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027" w:rsidRDefault="00127A0D" w:rsidP="00105027">
      <w:bookmarkStart w:id="0" w:name="_GoBack"/>
      <w:bookmarkEnd w:id="0"/>
      <w:r>
        <w:rPr>
          <w:noProof/>
        </w:rPr>
        <w:pict>
          <v:shapetype id="_x0000_t202" coordsize="21600,21600" o:spt="202" path="m,l,21600r21600,l21600,xe">
            <v:stroke joinstyle="miter"/>
            <v:path gradientshapeok="t" o:connecttype="rect"/>
          </v:shapetype>
          <v:shape id="Text Box 3" o:spid="_x0000_s1031" type="#_x0000_t202" style="position:absolute;margin-left:56.65pt;margin-top:69.3pt;width:338.75pt;height:588.45pt;z-index:251666432;visibility:visible;mso-wrap-style:square;mso-wrap-distance-left:9pt;mso-wrap-distance-top:0;mso-wrap-distance-right:9pt;mso-wrap-distance-bottom:0;mso-position-horizontal:absolute;mso-position-horizontal-relative:text;mso-position-vertical:absolute;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o4gAIAAGoFAAAOAAAAZHJzL2Uyb0RvYy54bWysVN9P2zAQfp+0/8Hy+0iatgyqpqgDMU1C&#10;gFYmnl3HptFsn2e7Tbq/nrOTtBXbC9NekvPd58/3e37VakV2wvkaTElHZzklwnCoavNS0h9Pt58u&#10;KPGBmYopMKKke+Hp1eLjh3ljZ6KADahKOIIkxs8aW9JNCHaWZZ5vhGb+DKwwaJTgNAt4dC9Z5ViD&#10;7FplRZ6fZw24yjrgwnvU3nRGukj8UgoeHqT0IhBVUvQtpK9L33X8Zos5m704Zjc1791g/+CFZrXB&#10;Rw9UNywwsnX1H1S65g48yHDGQWcgZc1FigGjGeVvolltmBUpFkyOt4c0+f9Hy+93j47UVUnHlBim&#10;sURPog3kC7RkHLPTWD9D0MoiLLSoxioPeo/KGHQrnY5/DIegHfO8P+Q2knFUTsZ5MSqmlHC0nV/k&#10;0+JyGnmy43XrfPgqQJMolNRh8VJO2e7Ohw46QOJrBm5rpVIBlSENso6nebpwsCC5MhErUiv0NDGk&#10;zvUkhb0SEaPMdyExFSmCqEhNKK6VIzuG7cM4Fyak4BMvoiNKohPvudjjj16953IXx/AymHC4rGsD&#10;LkX/xu3q5+Cy7PCY85O4oxjadZt6oBgqu4ZqjwV30A2Mt/y2xqLcMR8emcMJwRrj1IcH/EgFmHzo&#10;JUo24H7/TR/x2LhopaTBiSup/7VlTlCivhls6cvRZBJHNB0m088FHtypZX1qMVt9DViVEe4Xy5MY&#10;8UENonSgn3E5LOOraGKG49slDYN4Hbo9gMuFi+UygXAoLQt3ZmV5pI5Fii331D4zZ/u+DNjS9zDM&#10;Jpu9ac8OG28aWG4DyDr1bsxzl9U+/zjQqfv75RM3xuk5oY4rcvEKAAD//wMAUEsDBBQABgAIAAAA&#10;IQDU8Uu/4wAAAAwBAAAPAAAAZHJzL2Rvd25yZXYueG1sTI9BT8MwDIXvSPyHyEjcWLp2dKM0naZK&#10;ExKCw8Yu3NLGaysapzTZVvj1mBPc/Oyn5+/l68n24oyj7xwpmM8iEEi1Mx01Cg5v27sVCB80Gd07&#10;QgVf6GFdXF/lOjPuQjs870MjOIR8phW0IQyZlL5u0Wo/cwMS345utDqwHBtpRn3hcNvLOIpSaXVH&#10;/KHVA5Yt1h/7k1XwXG5f9a6K7eq7L59ejpvh8/B+r9TtzbR5BBFwCn9m+MVndCiYqXInMl70rOdJ&#10;wlYelosUBDuWDxGXqXgTL9IEZJHL/yWKHwAAAP//AwBQSwECLQAUAAYACAAAACEAtoM4kv4AAADh&#10;AQAAEwAAAAAAAAAAAAAAAAAAAAAAW0NvbnRlbnRfVHlwZXNdLnhtbFBLAQItABQABgAIAAAAIQA4&#10;/SH/1gAAAJQBAAALAAAAAAAAAAAAAAAAAC8BAABfcmVscy8ucmVsc1BLAQItABQABgAIAAAAIQDK&#10;dxo4gAIAAGoFAAAOAAAAAAAAAAAAAAAAAC4CAABkcnMvZTJvRG9jLnhtbFBLAQItABQABgAIAAAA&#10;IQDU8Uu/4wAAAAwBAAAPAAAAAAAAAAAAAAAAANoEAABkcnMvZG93bnJldi54bWxQSwUGAAAAAAQA&#10;BADzAAAA6gUAAAAA&#10;" filled="f" stroked="f" strokeweight=".5pt">
            <v:textbox>
              <w:txbxContent>
                <w:p w:rsidR="00105027" w:rsidRDefault="00105027" w:rsidP="005D21BA">
                  <w:pPr>
                    <w:spacing w:line="360" w:lineRule="auto"/>
                    <w:jc w:val="center"/>
                    <w:rPr>
                      <w:rFonts w:ascii="Microsoft Sans Serif" w:eastAsia="Microsoft YaHei" w:hAnsi="Microsoft Sans Serif"/>
                      <w:sz w:val="44"/>
                    </w:rPr>
                  </w:pPr>
                </w:p>
                <w:p w:rsidR="00105027" w:rsidRDefault="00105027" w:rsidP="005D21BA">
                  <w:pPr>
                    <w:jc w:val="center"/>
                    <w:rPr>
                      <w:rFonts w:ascii="Microsoft Sans Serif" w:eastAsia="Microsoft YaHei" w:hAnsi="Microsoft Sans Serif"/>
                      <w:sz w:val="44"/>
                    </w:rPr>
                  </w:pPr>
                </w:p>
                <w:p w:rsidR="00105027" w:rsidRPr="00582446" w:rsidRDefault="00105027" w:rsidP="005D21BA">
                  <w:pPr>
                    <w:jc w:val="center"/>
                    <w:rPr>
                      <w:rFonts w:ascii="Microsoft Sans Serif" w:eastAsia="Microsoft YaHei" w:hAnsi="Microsoft Sans Serif"/>
                      <w:sz w:val="44"/>
                    </w:rPr>
                  </w:pPr>
                  <w:r w:rsidRPr="00582446">
                    <w:rPr>
                      <w:rFonts w:ascii="Microsoft Sans Serif" w:eastAsia="Microsoft YaHei" w:hAnsi="Microsoft Sans Serif"/>
                      <w:sz w:val="44"/>
                    </w:rPr>
                    <w:t>Health and Disability</w:t>
                  </w:r>
                </w:p>
                <w:p w:rsidR="00105027" w:rsidRPr="00582446" w:rsidRDefault="00105027" w:rsidP="005D21BA">
                  <w:pPr>
                    <w:jc w:val="center"/>
                    <w:rPr>
                      <w:rFonts w:ascii="Microsoft Sans Serif" w:eastAsia="Microsoft YaHei" w:hAnsi="Microsoft Sans Serif"/>
                      <w:sz w:val="44"/>
                    </w:rPr>
                  </w:pPr>
                  <w:r w:rsidRPr="00582446">
                    <w:rPr>
                      <w:rFonts w:ascii="Microsoft Sans Serif" w:eastAsia="Microsoft YaHei" w:hAnsi="Microsoft Sans Serif"/>
                      <w:sz w:val="44"/>
                    </w:rPr>
                    <w:t>Commissioner Act 1994</w:t>
                  </w:r>
                </w:p>
                <w:p w:rsidR="00105027" w:rsidRPr="00582446" w:rsidRDefault="00105027" w:rsidP="005D21BA">
                  <w:pPr>
                    <w:jc w:val="center"/>
                    <w:rPr>
                      <w:rFonts w:ascii="Microsoft Sans Serif" w:eastAsia="Microsoft YaHei" w:hAnsi="Microsoft Sans Serif"/>
                      <w:sz w:val="44"/>
                    </w:rPr>
                  </w:pPr>
                  <w:r>
                    <w:rPr>
                      <w:rFonts w:ascii="Microsoft Sans Serif" w:eastAsia="Microsoft YaHei" w:hAnsi="Microsoft Sans Serif"/>
                      <w:sz w:val="44"/>
                    </w:rPr>
                    <w:t>a</w:t>
                  </w:r>
                  <w:r w:rsidRPr="00582446">
                    <w:rPr>
                      <w:rFonts w:ascii="Microsoft Sans Serif" w:eastAsia="Microsoft YaHei" w:hAnsi="Microsoft Sans Serif"/>
                      <w:sz w:val="44"/>
                    </w:rPr>
                    <w:t>nd</w:t>
                  </w:r>
                </w:p>
                <w:p w:rsidR="00105027" w:rsidRPr="00582446" w:rsidRDefault="00105027" w:rsidP="005D21BA">
                  <w:pPr>
                    <w:jc w:val="center"/>
                    <w:rPr>
                      <w:rFonts w:ascii="Microsoft Sans Serif" w:eastAsia="Microsoft YaHei" w:hAnsi="Microsoft Sans Serif"/>
                      <w:sz w:val="44"/>
                    </w:rPr>
                  </w:pPr>
                  <w:r w:rsidRPr="00582446">
                    <w:rPr>
                      <w:rFonts w:ascii="Microsoft Sans Serif" w:eastAsia="Microsoft YaHei" w:hAnsi="Microsoft Sans Serif"/>
                      <w:sz w:val="44"/>
                    </w:rPr>
                    <w:t>Code of Health and Disability</w:t>
                  </w:r>
                </w:p>
                <w:p w:rsidR="00105027" w:rsidRPr="00582446" w:rsidRDefault="00105027" w:rsidP="005D21BA">
                  <w:pPr>
                    <w:spacing w:line="360" w:lineRule="auto"/>
                    <w:jc w:val="center"/>
                    <w:rPr>
                      <w:rFonts w:ascii="Microsoft Sans Serif" w:eastAsia="Microsoft YaHei" w:hAnsi="Microsoft Sans Serif"/>
                      <w:sz w:val="44"/>
                    </w:rPr>
                  </w:pPr>
                  <w:r w:rsidRPr="00582446">
                    <w:rPr>
                      <w:rFonts w:ascii="Microsoft Sans Serif" w:eastAsia="Microsoft YaHei" w:hAnsi="Microsoft Sans Serif"/>
                      <w:sz w:val="44"/>
                    </w:rPr>
                    <w:t>Services Consumers’</w:t>
                  </w:r>
                  <w:r>
                    <w:rPr>
                      <w:rFonts w:ascii="Microsoft Sans Serif" w:eastAsia="Microsoft YaHei" w:hAnsi="Microsoft Sans Serif"/>
                      <w:sz w:val="44"/>
                    </w:rPr>
                    <w:t xml:space="preserve"> </w:t>
                  </w:r>
                  <w:r w:rsidRPr="00582446">
                    <w:rPr>
                      <w:rFonts w:ascii="Microsoft Sans Serif" w:eastAsia="Microsoft YaHei" w:hAnsi="Microsoft Sans Serif"/>
                      <w:sz w:val="44"/>
                    </w:rPr>
                    <w:t>Rights</w:t>
                  </w:r>
                </w:p>
                <w:p w:rsidR="00105027" w:rsidRPr="00582446" w:rsidRDefault="00105027" w:rsidP="005D21BA">
                  <w:pPr>
                    <w:jc w:val="center"/>
                    <w:rPr>
                      <w:rFonts w:ascii="Microsoft Sans Serif" w:eastAsia="Microsoft YaHei" w:hAnsi="Microsoft Sans Serif"/>
                      <w:sz w:val="44"/>
                    </w:rPr>
                  </w:pPr>
                </w:p>
                <w:p w:rsidR="00105027" w:rsidRDefault="00105027" w:rsidP="005D21BA">
                  <w:pPr>
                    <w:jc w:val="center"/>
                    <w:rPr>
                      <w:rFonts w:ascii="Microsoft Sans Serif" w:eastAsia="Microsoft YaHei" w:hAnsi="Microsoft Sans Serif"/>
                      <w:sz w:val="44"/>
                    </w:rPr>
                  </w:pPr>
                </w:p>
                <w:p w:rsidR="00105027" w:rsidRPr="00582446" w:rsidRDefault="00105027" w:rsidP="005D21BA">
                  <w:pPr>
                    <w:jc w:val="center"/>
                    <w:rPr>
                      <w:rFonts w:ascii="Microsoft Sans Serif" w:eastAsia="Microsoft YaHei" w:hAnsi="Microsoft Sans Serif"/>
                      <w:sz w:val="44"/>
                    </w:rPr>
                  </w:pPr>
                </w:p>
                <w:p w:rsidR="00105027" w:rsidRPr="00582446" w:rsidRDefault="00105027" w:rsidP="00105027">
                  <w:pPr>
                    <w:spacing w:line="360" w:lineRule="auto"/>
                    <w:jc w:val="center"/>
                    <w:rPr>
                      <w:rFonts w:ascii="Microsoft Sans Serif" w:eastAsia="Microsoft YaHei" w:hAnsi="Microsoft Sans Serif"/>
                      <w:sz w:val="32"/>
                    </w:rPr>
                  </w:pPr>
                </w:p>
                <w:p w:rsidR="00105027" w:rsidRPr="00582446" w:rsidRDefault="00105027" w:rsidP="005D21BA">
                  <w:pPr>
                    <w:jc w:val="center"/>
                    <w:rPr>
                      <w:rFonts w:ascii="Microsoft Sans Serif" w:eastAsia="Microsoft YaHei" w:hAnsi="Microsoft Sans Serif"/>
                      <w:sz w:val="32"/>
                    </w:rPr>
                  </w:pPr>
                  <w:r w:rsidRPr="00582446">
                    <w:rPr>
                      <w:rFonts w:ascii="Microsoft Sans Serif" w:eastAsia="Microsoft YaHei" w:hAnsi="Microsoft Sans Serif"/>
                      <w:sz w:val="32"/>
                    </w:rPr>
                    <w:t>Report to the</w:t>
                  </w:r>
                </w:p>
                <w:p w:rsidR="00105027" w:rsidRPr="00582446" w:rsidRDefault="00105027" w:rsidP="005D21BA">
                  <w:pPr>
                    <w:jc w:val="center"/>
                    <w:rPr>
                      <w:rFonts w:ascii="Microsoft Sans Serif" w:eastAsia="Microsoft YaHei" w:hAnsi="Microsoft Sans Serif"/>
                      <w:sz w:val="32"/>
                    </w:rPr>
                  </w:pPr>
                  <w:r w:rsidRPr="00582446">
                    <w:rPr>
                      <w:rFonts w:ascii="Microsoft Sans Serif" w:eastAsia="Microsoft YaHei" w:hAnsi="Microsoft Sans Serif"/>
                      <w:sz w:val="32"/>
                    </w:rPr>
                    <w:t>Minister of Health</w:t>
                  </w:r>
                </w:p>
                <w:p w:rsidR="00105027" w:rsidRPr="00582446" w:rsidRDefault="00105027" w:rsidP="00105027">
                  <w:pPr>
                    <w:spacing w:line="360" w:lineRule="auto"/>
                    <w:jc w:val="center"/>
                    <w:rPr>
                      <w:rFonts w:ascii="Microsoft Sans Serif" w:eastAsia="Microsoft YaHei" w:hAnsi="Microsoft Sans Serif"/>
                      <w:sz w:val="32"/>
                    </w:rPr>
                  </w:pPr>
                  <w:r w:rsidRPr="00582446">
                    <w:rPr>
                      <w:rFonts w:ascii="Microsoft Sans Serif" w:eastAsia="Microsoft YaHei" w:hAnsi="Microsoft Sans Serif"/>
                      <w:sz w:val="32"/>
                    </w:rPr>
                    <w:t>June 2014</w:t>
                  </w:r>
                </w:p>
                <w:p w:rsidR="00105027" w:rsidRDefault="00105027" w:rsidP="00105027">
                  <w:pPr>
                    <w:jc w:val="center"/>
                    <w:rPr>
                      <w:rFonts w:ascii="Microsoft YaHei" w:eastAsia="Microsoft YaHei" w:hAnsi="Microsoft YaHei"/>
                      <w:sz w:val="44"/>
                    </w:rPr>
                  </w:pPr>
                </w:p>
                <w:p w:rsidR="00105027" w:rsidRDefault="00105027" w:rsidP="00105027">
                  <w:pPr>
                    <w:jc w:val="center"/>
                    <w:rPr>
                      <w:rFonts w:ascii="Microsoft YaHei" w:eastAsia="Microsoft YaHei" w:hAnsi="Microsoft YaHei"/>
                      <w:sz w:val="44"/>
                    </w:rPr>
                  </w:pPr>
                </w:p>
                <w:p w:rsidR="00105027" w:rsidRDefault="00105027" w:rsidP="00105027">
                  <w:pPr>
                    <w:jc w:val="center"/>
                    <w:rPr>
                      <w:rFonts w:ascii="Microsoft YaHei" w:eastAsia="Microsoft YaHei" w:hAnsi="Microsoft YaHei"/>
                      <w:sz w:val="44"/>
                    </w:rPr>
                  </w:pPr>
                </w:p>
                <w:p w:rsidR="00105027" w:rsidRDefault="00105027" w:rsidP="00105027">
                  <w:pPr>
                    <w:jc w:val="center"/>
                    <w:rPr>
                      <w:rFonts w:ascii="Microsoft YaHei" w:eastAsia="Microsoft YaHei" w:hAnsi="Microsoft YaHei"/>
                      <w:sz w:val="44"/>
                    </w:rPr>
                  </w:pPr>
                </w:p>
                <w:p w:rsidR="00105027" w:rsidRPr="00582446" w:rsidRDefault="00105027" w:rsidP="00105027">
                  <w:pPr>
                    <w:jc w:val="center"/>
                    <w:rPr>
                      <w:rFonts w:ascii="Microsoft YaHei" w:eastAsia="Microsoft YaHei" w:hAnsi="Microsoft YaHei"/>
                      <w:sz w:val="44"/>
                    </w:rPr>
                  </w:pPr>
                </w:p>
              </w:txbxContent>
            </v:textbox>
          </v:shape>
        </w:pict>
      </w:r>
      <w:r w:rsidR="00105027">
        <w:rPr>
          <w:noProof/>
        </w:rPr>
        <w:drawing>
          <wp:inline distT="0" distB="0" distL="0" distR="0" wp14:anchorId="3DBB92DD" wp14:editId="5FFE0E7C">
            <wp:extent cx="6636244" cy="78682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n background_b&amp;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54819" cy="7890243"/>
                    </a:xfrm>
                    <a:prstGeom prst="rect">
                      <a:avLst/>
                    </a:prstGeom>
                  </pic:spPr>
                </pic:pic>
              </a:graphicData>
            </a:graphic>
          </wp:inline>
        </w:drawing>
      </w:r>
      <w:r>
        <w:rPr>
          <w:noProof/>
        </w:rPr>
        <w:pict>
          <v:shape id="Text Box 2" o:spid="_x0000_s1030" type="#_x0000_t202" style="position:absolute;margin-left:108.55pt;margin-top:3.45pt;width:194.75pt;height:44.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efNgAIAAGkFAAAOAAAAZHJzL2Uyb0RvYy54bWysVFtv2yAUfp+0/4B4X504tzWqU2WtMk2q&#10;2mrt1GeCIbEGHAYkdvbre8B2EnV76bQX+3DOx8e5X103WpG9cL4CU9DhxYASYTiUldkU9Mfz6tNn&#10;SnxgpmQKjCjoQXh6vfj44aq2c5HDFlQpHEES4+e1Leg2BDvPMs+3QjN/AVYYNEpwmgU8uk1WOlYj&#10;u1ZZPhhMsxpcaR1w4T1qb1sjXSR+KQUPD1J6EYgqKPoW0tel7zp+s8UVm28cs9uKd26wf/BCs8rg&#10;o0eqWxYY2bnqDypdcQceZLjgoDOQsuIixYDRDAdvonnaMitSLJgcb49p8v+Plt/vHx2pyoLmlBim&#10;sUTPognkCzQkj9mprZ8j6MkiLDSoxir3eo/KGHQjnY5/DIegHfN8OOY2knFU5uPZaDSbUcLRNple&#10;TvNppMlOt63z4asATaJQUIe1Syll+zsfWmgPiY8ZWFVKpfopQ+qCTkeTQbpwtCC5MhErUid0NDGi&#10;1vMkhYMSEaPMdyExEymAqEg9KG6UI3uG3cM4Fyak2BMvoiNKohPvudjhT16953IbR/8ymHC8rCsD&#10;LkX/xu3yZ++ybPGY87O4oxiadZNaYNQXdg3lAevtoJ0Xb/mqwqLcMR8emcMBwRLj0IcH/EgFmHzo&#10;JEq24H7/TR/x2LdopaTGgSuo/7VjTlCivhns6MvheBwnNB3Gk1mOB3duWZ9bzE7fAFZliOvF8iRG&#10;fFC9KB3oF9wNy/gqmpjh+HZBQy/ehHYN4G7hYrlMIJxJy8KdebI8UscixZZ7bl6Ys11fBuzoe+hH&#10;k83ftGeLjTcNLHcBZJV6N+a5zWqXf5zn1P3d7okL4/ycUKcNuXgFAAD//wMAUEsDBBQABgAIAAAA&#10;IQAv7elQ4AAAAAgBAAAPAAAAZHJzL2Rvd25yZXYueG1sTI9PS8NAEMXvgt9hGcGb3SRgbGMmpQSK&#10;IHpo7cXbJLtNgvsnZrdt9NM7nvT0GN7jvd+U69kacdZTGLxDSBcJCO1arwbXIRzetndLECGSU2S8&#10;0whfOsC6ur4qqVD+4nb6vI+d4BIXCkLoYxwLKUPba0th4Uft2Dv6yVLkc+qkmujC5dbILElyaWlw&#10;vNDTqOtetx/7k0V4rrevtGsyu/w29dPLcTN+Ht7vEW9v5s0jiKjn+BeGX3xGh4qZGn9yKgiDkKUP&#10;KUcR8hUI9vMkz0E0CCtWWZXy/wPVDwAAAP//AwBQSwECLQAUAAYACAAAACEAtoM4kv4AAADhAQAA&#10;EwAAAAAAAAAAAAAAAAAAAAAAW0NvbnRlbnRfVHlwZXNdLnhtbFBLAQItABQABgAIAAAAIQA4/SH/&#10;1gAAAJQBAAALAAAAAAAAAAAAAAAAAC8BAABfcmVscy8ucmVsc1BLAQItABQABgAIAAAAIQCf7efN&#10;gAIAAGkFAAAOAAAAAAAAAAAAAAAAAC4CAABkcnMvZTJvRG9jLnhtbFBLAQItABQABgAIAAAAIQAv&#10;7elQ4AAAAAgBAAAPAAAAAAAAAAAAAAAAANoEAABkcnMvZG93bnJldi54bWxQSwUGAAAAAAQABADz&#10;AAAA5wUAAAAA&#10;" filled="f" stroked="f" strokeweight=".5pt">
            <v:textbox>
              <w:txbxContent>
                <w:p w:rsidR="00105027" w:rsidRPr="00582446" w:rsidRDefault="00105027" w:rsidP="00105027">
                  <w:pPr>
                    <w:ind w:firstLine="720"/>
                    <w:jc w:val="center"/>
                    <w:rPr>
                      <w:rFonts w:ascii="Microsoft YaHei" w:eastAsia="Microsoft YaHei" w:hAnsi="Microsoft YaHei"/>
                      <w:sz w:val="36"/>
                    </w:rPr>
                  </w:pPr>
                  <w:r w:rsidRPr="00582446">
                    <w:rPr>
                      <w:rFonts w:ascii="Microsoft YaHei" w:eastAsia="Microsoft YaHei" w:hAnsi="Microsoft YaHei"/>
                      <w:sz w:val="36"/>
                    </w:rPr>
                    <w:t>A Review of the</w:t>
                  </w:r>
                </w:p>
              </w:txbxContent>
            </v:textbox>
          </v:shape>
        </w:pict>
      </w:r>
      <w:r>
        <w:rPr>
          <w:noProof/>
        </w:rPr>
        <w:pict>
          <v:rect id="Rectangle 9" o:spid="_x0000_s1029" style="position:absolute;margin-left:-1in;margin-top:8.25pt;width:594.9pt;height:31.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L8nwIAANQFAAAOAAAAZHJzL2Uyb0RvYy54bWysVE1PGzEQvVfqf7B8L7sbkgIRGxSBqCpR&#10;QEDF2fHa2ZVsj2s72aS/vmPvBymlrVQ1B8djz7zneTsz5xc7rchWON+AKWlxlFMiDIeqMeuSfn26&#10;/nBKiQ/MVEyBESXdC08vFu/fnbd2LiZQg6qEIwhi/Ly1Ja1DsPMs87wWmvkjsMLgpQSnWUDTrbPK&#10;sRbRtcomef4xa8FV1gEX3uPpVXdJFwlfSsHDnZReBKJKim8LaXVpXcU1W5yz+doxWze8fwb7h1do&#10;1hgkHaGuWGBk45pfoHTDHXiQ4YiDzkDKhouUA2ZT5K+yeayZFSkXFMfbUSb//2D57fbekaYq6Rkl&#10;hmn8RA8oGjNrJchZlKe1fo5ej/be9ZbHbcx1J52O/5gF2SVJ96OkYhcIx8OT2WyWT48p4Xg3zacn&#10;x7MImr1EW+fDJwGaxE1JHbInJdn2xofOdXCJZB5UU103SiUjlom4VI5sGX5gxrkwYdIT/OSpzN+C&#10;V+tJ4lUb/QWqDrDI8TfADVzp9QfgmEtEz6JQnTRpF/ZKRE5lHoREhVGMjiDV9utHF4nb16wSHfXs&#10;t9QJMCJLVGHE7gGGRx4KUvQZ9P4xVKTWGIPzjv1PwWNEYgYTxmDdGHBvAagwMnf+g0idNFGlFVR7&#10;rD8HXWN6y68bLIMb5sM9c9iJ2LM4XcIdLlJBW1Lod5TU4L6/dR79sUHwlpIWO7uk/tuGOUGJ+myw&#10;dc6K6TSOgmRMZycTNNzhzerwxmz0JWBtFTjHLE/b6B/UsJUO9DMOoWVkxStmOHKXlAc3GJehmzg4&#10;xrhYLpMbtr9l4cY8Wh7Bo6qxzJ92z8zZvhcCdtEtDFOAzV+1ROcbIw0sNwFkk/rlRddebxwdqWb7&#10;MRdn06GdvF6G8eIHAAAA//8DAFBLAwQUAAYACAAAACEAJFwSu98AAAALAQAADwAAAGRycy9kb3du&#10;cmV2LnhtbEyPQU7DMBBF90jcwRokdq3dKq1CiFMhpEpdABKlB5jGQxyIxyF2m8DpcVewHP2vP++V&#10;m8l14kxDaD1rWMwVCOLam5YbDYe37SwHESKywc4zafimAJvq+qrEwviRX+m8j41IIxwK1GBj7Asp&#10;Q23JYZj7njhl735wGNM5NNIMOKZx18mlUmvpsOX0wWJPj5bqz/3JaRjlj325243Z19PzB6p8uyM6&#10;eK1vb6aHexCRpvhXhgt+QocqMR39iU0QnYbZIsuSTEzJegXi0lDZKtkcNeRqCbIq5X+H6hcAAP//&#10;AwBQSwECLQAUAAYACAAAACEAtoM4kv4AAADhAQAAEwAAAAAAAAAAAAAAAAAAAAAAW0NvbnRlbnRf&#10;VHlwZXNdLnhtbFBLAQItABQABgAIAAAAIQA4/SH/1gAAAJQBAAALAAAAAAAAAAAAAAAAAC8BAABf&#10;cmVscy8ucmVsc1BLAQItABQABgAIAAAAIQAq4HL8nwIAANQFAAAOAAAAAAAAAAAAAAAAAC4CAABk&#10;cnMvZTJvRG9jLnhtbFBLAQItABQABgAIAAAAIQAkXBK73wAAAAsBAAAPAAAAAAAAAAAAAAAAAPkE&#10;AABkcnMvZG93bnJldi54bWxQSwUGAAAAAAQABADzAAAABQYAAAAA&#10;" fillcolor="#c0504d" strokecolor="#181818 [334]" strokeweight="2pt"/>
        </w:pict>
      </w:r>
    </w:p>
    <w:p w:rsidR="00105027" w:rsidRDefault="00105027" w:rsidP="00105027"/>
    <w:p w:rsidR="00105027" w:rsidRDefault="00105027" w:rsidP="00105027">
      <w:pPr>
        <w:sectPr w:rsidR="00105027" w:rsidSect="005D21BA">
          <w:footerReference w:type="default" r:id="rId9"/>
          <w:footerReference w:type="first" r:id="rId10"/>
          <w:pgSz w:w="11906" w:h="16838"/>
          <w:pgMar w:top="1440" w:right="1440" w:bottom="1134" w:left="1440" w:header="709" w:footer="334" w:gutter="0"/>
          <w:cols w:space="708"/>
          <w:titlePg/>
          <w:docGrid w:linePitch="360"/>
        </w:sectPr>
      </w:pPr>
    </w:p>
    <w:p w:rsidR="00082CF4" w:rsidRPr="00A40ACC" w:rsidRDefault="00082CF4" w:rsidP="00235461">
      <w:pPr>
        <w:spacing w:after="0" w:line="264" w:lineRule="auto"/>
        <w:jc w:val="center"/>
      </w:pPr>
    </w:p>
    <w:p w:rsidR="00016BD2" w:rsidRPr="00A40ACC" w:rsidRDefault="005F1C77" w:rsidP="00235461">
      <w:pPr>
        <w:pStyle w:val="NoSpacing"/>
        <w:spacing w:line="264" w:lineRule="auto"/>
        <w:rPr>
          <w:rFonts w:ascii="Times New Roman" w:hAnsi="Times New Roman" w:cs="Times New Roman"/>
          <w:sz w:val="24"/>
          <w:szCs w:val="24"/>
        </w:rPr>
      </w:pPr>
      <w:r>
        <w:rPr>
          <w:rFonts w:ascii="Times New Roman" w:hAnsi="Times New Roman" w:cs="Times New Roman"/>
          <w:sz w:val="24"/>
          <w:szCs w:val="24"/>
        </w:rPr>
        <w:t>27</w:t>
      </w:r>
      <w:r w:rsidRPr="00A40ACC">
        <w:rPr>
          <w:rFonts w:ascii="Times New Roman" w:hAnsi="Times New Roman" w:cs="Times New Roman"/>
          <w:sz w:val="24"/>
          <w:szCs w:val="24"/>
        </w:rPr>
        <w:t xml:space="preserve"> </w:t>
      </w:r>
      <w:r w:rsidR="00016BD2" w:rsidRPr="00A40ACC">
        <w:rPr>
          <w:rFonts w:ascii="Times New Roman" w:hAnsi="Times New Roman" w:cs="Times New Roman"/>
          <w:sz w:val="24"/>
          <w:szCs w:val="24"/>
        </w:rPr>
        <w:t>June 20</w:t>
      </w:r>
      <w:r w:rsidR="00DF45AA" w:rsidRPr="00A40ACC">
        <w:rPr>
          <w:rFonts w:ascii="Times New Roman" w:hAnsi="Times New Roman" w:cs="Times New Roman"/>
          <w:sz w:val="24"/>
          <w:szCs w:val="24"/>
        </w:rPr>
        <w:t>14</w:t>
      </w:r>
    </w:p>
    <w:p w:rsidR="00016BD2" w:rsidRPr="00A40ACC" w:rsidRDefault="00016BD2" w:rsidP="00235461">
      <w:pPr>
        <w:pStyle w:val="NoSpacing"/>
        <w:spacing w:line="264" w:lineRule="auto"/>
        <w:jc w:val="both"/>
        <w:rPr>
          <w:rFonts w:ascii="Times New Roman" w:hAnsi="Times New Roman" w:cs="Times New Roman"/>
          <w:sz w:val="24"/>
          <w:szCs w:val="24"/>
        </w:rPr>
      </w:pPr>
    </w:p>
    <w:p w:rsidR="00016BD2" w:rsidRPr="00A40ACC" w:rsidRDefault="00016BD2" w:rsidP="00235461">
      <w:pPr>
        <w:pStyle w:val="NoSpacing"/>
        <w:spacing w:line="264" w:lineRule="auto"/>
        <w:jc w:val="both"/>
        <w:rPr>
          <w:rFonts w:ascii="Times New Roman" w:hAnsi="Times New Roman" w:cs="Times New Roman"/>
          <w:sz w:val="24"/>
          <w:szCs w:val="24"/>
        </w:rPr>
      </w:pPr>
    </w:p>
    <w:p w:rsidR="00016BD2" w:rsidRPr="00A40ACC" w:rsidRDefault="00016BD2"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The Honourable Tony </w:t>
      </w:r>
      <w:proofErr w:type="spellStart"/>
      <w:r w:rsidRPr="00A40ACC">
        <w:rPr>
          <w:rFonts w:ascii="Times New Roman" w:hAnsi="Times New Roman" w:cs="Times New Roman"/>
          <w:sz w:val="24"/>
          <w:szCs w:val="24"/>
        </w:rPr>
        <w:t>Ryall</w:t>
      </w:r>
      <w:proofErr w:type="spellEnd"/>
    </w:p>
    <w:p w:rsidR="00016BD2" w:rsidRPr="00A40ACC" w:rsidRDefault="00016BD2"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Minister of Health</w:t>
      </w:r>
    </w:p>
    <w:p w:rsidR="00016BD2" w:rsidRPr="00A40ACC" w:rsidRDefault="00016BD2"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Parliament Buildings</w:t>
      </w:r>
    </w:p>
    <w:p w:rsidR="00016BD2" w:rsidRPr="00A40ACC" w:rsidRDefault="00016BD2"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WELLINGTON</w:t>
      </w:r>
    </w:p>
    <w:p w:rsidR="00016BD2" w:rsidRPr="00A40ACC" w:rsidRDefault="00016BD2" w:rsidP="00235461">
      <w:pPr>
        <w:pStyle w:val="NoSpacing"/>
        <w:spacing w:line="264" w:lineRule="auto"/>
        <w:jc w:val="both"/>
        <w:rPr>
          <w:rFonts w:ascii="Times New Roman" w:hAnsi="Times New Roman" w:cs="Times New Roman"/>
          <w:sz w:val="24"/>
          <w:szCs w:val="24"/>
        </w:rPr>
      </w:pPr>
    </w:p>
    <w:p w:rsidR="00223276" w:rsidRPr="00A40ACC" w:rsidRDefault="00223276" w:rsidP="00235461">
      <w:pPr>
        <w:pStyle w:val="NoSpacing"/>
        <w:spacing w:line="264" w:lineRule="auto"/>
        <w:jc w:val="both"/>
        <w:rPr>
          <w:rFonts w:ascii="Times New Roman" w:hAnsi="Times New Roman" w:cs="Times New Roman"/>
          <w:sz w:val="24"/>
          <w:szCs w:val="24"/>
        </w:rPr>
      </w:pPr>
    </w:p>
    <w:p w:rsidR="00016BD2" w:rsidRPr="00A40ACC" w:rsidRDefault="00016BD2"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Dear Minister</w:t>
      </w:r>
    </w:p>
    <w:p w:rsidR="00937F44" w:rsidRPr="00A40ACC" w:rsidRDefault="00937F44" w:rsidP="00235461">
      <w:pPr>
        <w:pStyle w:val="NoSpacing"/>
        <w:spacing w:line="264" w:lineRule="auto"/>
        <w:jc w:val="both"/>
        <w:rPr>
          <w:rFonts w:ascii="Times New Roman" w:hAnsi="Times New Roman" w:cs="Times New Roman"/>
          <w:sz w:val="24"/>
          <w:szCs w:val="24"/>
        </w:rPr>
      </w:pPr>
    </w:p>
    <w:p w:rsidR="00937F44" w:rsidRPr="00A40ACC" w:rsidRDefault="00937F44" w:rsidP="00235461">
      <w:pPr>
        <w:pStyle w:val="NoSpacing"/>
        <w:spacing w:line="264" w:lineRule="auto"/>
        <w:jc w:val="both"/>
        <w:rPr>
          <w:rFonts w:ascii="Times New Roman" w:hAnsi="Times New Roman" w:cs="Times New Roman"/>
          <w:b/>
          <w:sz w:val="24"/>
          <w:szCs w:val="24"/>
        </w:rPr>
      </w:pPr>
      <w:r w:rsidRPr="00A40ACC">
        <w:rPr>
          <w:rFonts w:ascii="Times New Roman" w:hAnsi="Times New Roman" w:cs="Times New Roman"/>
          <w:b/>
          <w:sz w:val="24"/>
          <w:szCs w:val="24"/>
        </w:rPr>
        <w:t>Background to review</w:t>
      </w:r>
    </w:p>
    <w:p w:rsidR="005F2A49" w:rsidRPr="00A40ACC" w:rsidRDefault="000203FF"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The Health and Disability Commissioner Act has been in force since 1994 and the Code of Health and Disability Services Consumers’ Rights since Ju</w:t>
      </w:r>
      <w:r w:rsidR="005F2A49" w:rsidRPr="00A40ACC">
        <w:rPr>
          <w:rFonts w:ascii="Times New Roman" w:hAnsi="Times New Roman" w:cs="Times New Roman"/>
          <w:sz w:val="24"/>
          <w:szCs w:val="24"/>
        </w:rPr>
        <w:t xml:space="preserve">ly 1996. The legislation requires the Commissioner to undertake reviews of both the Act and the Code, consider whether any amendments are necessary or desirable, and report the findings to the Minister. As in </w:t>
      </w:r>
      <w:r w:rsidR="004544B4" w:rsidRPr="00A40ACC">
        <w:rPr>
          <w:rFonts w:ascii="Times New Roman" w:hAnsi="Times New Roman" w:cs="Times New Roman"/>
          <w:sz w:val="24"/>
          <w:szCs w:val="24"/>
        </w:rPr>
        <w:t>previous reviews</w:t>
      </w:r>
      <w:r w:rsidR="005F2A49" w:rsidRPr="00A40ACC">
        <w:rPr>
          <w:rFonts w:ascii="Times New Roman" w:hAnsi="Times New Roman" w:cs="Times New Roman"/>
          <w:sz w:val="24"/>
          <w:szCs w:val="24"/>
        </w:rPr>
        <w:t xml:space="preserve">, I decided to undertake these </w:t>
      </w:r>
      <w:r w:rsidR="000C033E">
        <w:rPr>
          <w:rFonts w:ascii="Times New Roman" w:hAnsi="Times New Roman" w:cs="Times New Roman"/>
          <w:sz w:val="24"/>
          <w:szCs w:val="24"/>
        </w:rPr>
        <w:t xml:space="preserve">reviews </w:t>
      </w:r>
      <w:r w:rsidR="005F2A49" w:rsidRPr="00A40ACC">
        <w:rPr>
          <w:rFonts w:ascii="Times New Roman" w:hAnsi="Times New Roman" w:cs="Times New Roman"/>
          <w:sz w:val="24"/>
          <w:szCs w:val="24"/>
        </w:rPr>
        <w:t xml:space="preserve">simultaneously. </w:t>
      </w:r>
    </w:p>
    <w:p w:rsidR="005F2A49" w:rsidRPr="00A40ACC" w:rsidRDefault="005F2A49" w:rsidP="00235461">
      <w:pPr>
        <w:pStyle w:val="NoSpacing"/>
        <w:spacing w:line="264" w:lineRule="auto"/>
        <w:jc w:val="both"/>
        <w:rPr>
          <w:rFonts w:ascii="Times New Roman" w:hAnsi="Times New Roman" w:cs="Times New Roman"/>
          <w:sz w:val="24"/>
          <w:szCs w:val="24"/>
        </w:rPr>
      </w:pPr>
    </w:p>
    <w:p w:rsidR="005F2A49" w:rsidRPr="00A40ACC" w:rsidRDefault="005F2A49"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b/>
          <w:sz w:val="24"/>
          <w:szCs w:val="24"/>
        </w:rPr>
        <w:t>Consultation</w:t>
      </w:r>
    </w:p>
    <w:p w:rsidR="005B53DE" w:rsidRPr="00A40ACC" w:rsidRDefault="005F2A49"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In early December 2013 I published a document </w:t>
      </w:r>
      <w:r w:rsidR="004544B4" w:rsidRPr="00A40ACC">
        <w:rPr>
          <w:rFonts w:ascii="Times New Roman" w:hAnsi="Times New Roman" w:cs="Times New Roman"/>
          <w:sz w:val="24"/>
          <w:szCs w:val="24"/>
        </w:rPr>
        <w:t xml:space="preserve">for </w:t>
      </w:r>
      <w:r w:rsidR="00141AE8" w:rsidRPr="00A40ACC">
        <w:rPr>
          <w:rFonts w:ascii="Times New Roman" w:hAnsi="Times New Roman" w:cs="Times New Roman"/>
          <w:sz w:val="24"/>
          <w:szCs w:val="24"/>
        </w:rPr>
        <w:t>public consultation</w:t>
      </w:r>
      <w:r w:rsidR="00641036" w:rsidRPr="00A40ACC">
        <w:rPr>
          <w:rFonts w:ascii="Times New Roman" w:hAnsi="Times New Roman" w:cs="Times New Roman"/>
          <w:sz w:val="24"/>
          <w:szCs w:val="24"/>
        </w:rPr>
        <w:t xml:space="preserve">. This outlined previous reviews, </w:t>
      </w:r>
      <w:r w:rsidR="000C033E">
        <w:rPr>
          <w:rFonts w:ascii="Times New Roman" w:hAnsi="Times New Roman" w:cs="Times New Roman"/>
          <w:sz w:val="24"/>
          <w:szCs w:val="24"/>
        </w:rPr>
        <w:t xml:space="preserve">noted </w:t>
      </w:r>
      <w:r w:rsidR="00641036" w:rsidRPr="00A40ACC">
        <w:rPr>
          <w:rFonts w:ascii="Times New Roman" w:hAnsi="Times New Roman" w:cs="Times New Roman"/>
          <w:sz w:val="24"/>
          <w:szCs w:val="24"/>
        </w:rPr>
        <w:t xml:space="preserve">the proposed amendments that arose from the 2009 review that I continue to support, and welcomed thoughts and feedback on questions about the </w:t>
      </w:r>
      <w:r w:rsidR="00B73039" w:rsidRPr="00A40ACC">
        <w:rPr>
          <w:rFonts w:ascii="Times New Roman" w:hAnsi="Times New Roman" w:cs="Times New Roman"/>
          <w:sz w:val="24"/>
          <w:szCs w:val="24"/>
        </w:rPr>
        <w:t xml:space="preserve">Act and the Code and their general </w:t>
      </w:r>
      <w:r w:rsidR="00641036" w:rsidRPr="00A40ACC">
        <w:rPr>
          <w:rFonts w:ascii="Times New Roman" w:hAnsi="Times New Roman" w:cs="Times New Roman"/>
          <w:sz w:val="24"/>
          <w:szCs w:val="24"/>
        </w:rPr>
        <w:t xml:space="preserve">operation. </w:t>
      </w:r>
    </w:p>
    <w:p w:rsidR="005B53DE" w:rsidRPr="00A40ACC" w:rsidRDefault="005B53DE" w:rsidP="00235461">
      <w:pPr>
        <w:pStyle w:val="NoSpacing"/>
        <w:spacing w:line="264" w:lineRule="auto"/>
        <w:jc w:val="both"/>
        <w:rPr>
          <w:rFonts w:ascii="Times New Roman" w:hAnsi="Times New Roman" w:cs="Times New Roman"/>
          <w:sz w:val="24"/>
          <w:szCs w:val="24"/>
        </w:rPr>
      </w:pPr>
    </w:p>
    <w:p w:rsidR="005B53DE" w:rsidRPr="00A40ACC" w:rsidRDefault="005B53DE"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Copies of th</w:t>
      </w:r>
      <w:r w:rsidR="000C033E">
        <w:rPr>
          <w:rFonts w:ascii="Times New Roman" w:hAnsi="Times New Roman" w:cs="Times New Roman"/>
          <w:sz w:val="24"/>
          <w:szCs w:val="24"/>
        </w:rPr>
        <w:t>e</w:t>
      </w:r>
      <w:r w:rsidRPr="00A40ACC">
        <w:rPr>
          <w:rFonts w:ascii="Times New Roman" w:hAnsi="Times New Roman" w:cs="Times New Roman"/>
          <w:sz w:val="24"/>
          <w:szCs w:val="24"/>
        </w:rPr>
        <w:t xml:space="preserve"> consultation document were sent to a wide range of representative consumer and provider groups</w:t>
      </w:r>
      <w:r w:rsidR="00D61CEC">
        <w:rPr>
          <w:rFonts w:ascii="Times New Roman" w:hAnsi="Times New Roman" w:cs="Times New Roman"/>
          <w:sz w:val="24"/>
          <w:szCs w:val="24"/>
        </w:rPr>
        <w:t>,</w:t>
      </w:r>
      <w:r w:rsidRPr="00A40ACC">
        <w:rPr>
          <w:rFonts w:ascii="Times New Roman" w:hAnsi="Times New Roman" w:cs="Times New Roman"/>
          <w:sz w:val="24"/>
          <w:szCs w:val="24"/>
        </w:rPr>
        <w:t xml:space="preserve"> and statutory agencies. A copy of the consultation document w</w:t>
      </w:r>
      <w:r w:rsidR="0082770D" w:rsidRPr="00A40ACC">
        <w:rPr>
          <w:rFonts w:ascii="Times New Roman" w:hAnsi="Times New Roman" w:cs="Times New Roman"/>
          <w:sz w:val="24"/>
          <w:szCs w:val="24"/>
        </w:rPr>
        <w:t xml:space="preserve">as </w:t>
      </w:r>
      <w:r w:rsidRPr="00A40ACC">
        <w:rPr>
          <w:rFonts w:ascii="Times New Roman" w:hAnsi="Times New Roman" w:cs="Times New Roman"/>
          <w:sz w:val="24"/>
          <w:szCs w:val="24"/>
        </w:rPr>
        <w:t>posted on the H</w:t>
      </w:r>
      <w:r w:rsidR="00957F42">
        <w:rPr>
          <w:rFonts w:ascii="Times New Roman" w:hAnsi="Times New Roman" w:cs="Times New Roman"/>
          <w:sz w:val="24"/>
          <w:szCs w:val="24"/>
        </w:rPr>
        <w:t xml:space="preserve">ealth and </w:t>
      </w:r>
      <w:r w:rsidRPr="00A40ACC">
        <w:rPr>
          <w:rFonts w:ascii="Times New Roman" w:hAnsi="Times New Roman" w:cs="Times New Roman"/>
          <w:sz w:val="24"/>
          <w:szCs w:val="24"/>
        </w:rPr>
        <w:t>D</w:t>
      </w:r>
      <w:r w:rsidR="00957F42">
        <w:rPr>
          <w:rFonts w:ascii="Times New Roman" w:hAnsi="Times New Roman" w:cs="Times New Roman"/>
          <w:sz w:val="24"/>
          <w:szCs w:val="24"/>
        </w:rPr>
        <w:t xml:space="preserve">isability </w:t>
      </w:r>
      <w:r w:rsidRPr="00A40ACC">
        <w:rPr>
          <w:rFonts w:ascii="Times New Roman" w:hAnsi="Times New Roman" w:cs="Times New Roman"/>
          <w:sz w:val="24"/>
          <w:szCs w:val="24"/>
        </w:rPr>
        <w:t>C</w:t>
      </w:r>
      <w:r w:rsidR="00957F42">
        <w:rPr>
          <w:rFonts w:ascii="Times New Roman" w:hAnsi="Times New Roman" w:cs="Times New Roman"/>
          <w:sz w:val="24"/>
          <w:szCs w:val="24"/>
        </w:rPr>
        <w:t xml:space="preserve">ommissioner </w:t>
      </w:r>
      <w:r w:rsidRPr="00A40ACC">
        <w:rPr>
          <w:rFonts w:ascii="Times New Roman" w:hAnsi="Times New Roman" w:cs="Times New Roman"/>
          <w:sz w:val="24"/>
          <w:szCs w:val="24"/>
        </w:rPr>
        <w:t xml:space="preserve">website. </w:t>
      </w:r>
    </w:p>
    <w:p w:rsidR="005B53DE" w:rsidRPr="00A40ACC" w:rsidRDefault="005B53DE" w:rsidP="00235461">
      <w:pPr>
        <w:pStyle w:val="NoSpacing"/>
        <w:spacing w:line="264" w:lineRule="auto"/>
        <w:jc w:val="both"/>
        <w:rPr>
          <w:rFonts w:ascii="Times New Roman" w:hAnsi="Times New Roman" w:cs="Times New Roman"/>
          <w:sz w:val="24"/>
          <w:szCs w:val="24"/>
        </w:rPr>
      </w:pPr>
    </w:p>
    <w:p w:rsidR="005B53DE" w:rsidRPr="00A40ACC" w:rsidRDefault="005B53DE"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I received 44 submissions as part of this review. A list of those </w:t>
      </w:r>
      <w:r w:rsidR="001D1002">
        <w:rPr>
          <w:rFonts w:ascii="Times New Roman" w:hAnsi="Times New Roman" w:cs="Times New Roman"/>
          <w:sz w:val="24"/>
          <w:szCs w:val="24"/>
        </w:rPr>
        <w:t>who made</w:t>
      </w:r>
      <w:r w:rsidR="001D1002" w:rsidRPr="00A40ACC">
        <w:rPr>
          <w:rFonts w:ascii="Times New Roman" w:hAnsi="Times New Roman" w:cs="Times New Roman"/>
          <w:sz w:val="24"/>
          <w:szCs w:val="24"/>
        </w:rPr>
        <w:t xml:space="preserve"> </w:t>
      </w:r>
      <w:r w:rsidRPr="00A40ACC">
        <w:rPr>
          <w:rFonts w:ascii="Times New Roman" w:hAnsi="Times New Roman" w:cs="Times New Roman"/>
          <w:sz w:val="24"/>
          <w:szCs w:val="24"/>
        </w:rPr>
        <w:t xml:space="preserve">submissions, and a summary of those submissions, are included in the appendices to my report. </w:t>
      </w:r>
    </w:p>
    <w:p w:rsidR="005B53DE" w:rsidRPr="00A40ACC" w:rsidRDefault="005B53DE" w:rsidP="00235461">
      <w:pPr>
        <w:pStyle w:val="NoSpacing"/>
        <w:spacing w:line="264" w:lineRule="auto"/>
        <w:jc w:val="both"/>
        <w:rPr>
          <w:rFonts w:ascii="Times New Roman" w:hAnsi="Times New Roman" w:cs="Times New Roman"/>
          <w:sz w:val="24"/>
          <w:szCs w:val="24"/>
        </w:rPr>
      </w:pPr>
    </w:p>
    <w:p w:rsidR="005B53DE" w:rsidRPr="00A40ACC" w:rsidRDefault="005B53DE" w:rsidP="00235461">
      <w:pPr>
        <w:pStyle w:val="NoSpacing"/>
        <w:spacing w:line="264" w:lineRule="auto"/>
        <w:jc w:val="both"/>
        <w:rPr>
          <w:rFonts w:ascii="Times New Roman" w:hAnsi="Times New Roman" w:cs="Times New Roman"/>
          <w:b/>
          <w:sz w:val="24"/>
          <w:szCs w:val="24"/>
        </w:rPr>
      </w:pPr>
      <w:r w:rsidRPr="00A40ACC">
        <w:rPr>
          <w:rFonts w:ascii="Times New Roman" w:hAnsi="Times New Roman" w:cs="Times New Roman"/>
          <w:b/>
          <w:sz w:val="24"/>
          <w:szCs w:val="24"/>
        </w:rPr>
        <w:t>Report</w:t>
      </w:r>
    </w:p>
    <w:p w:rsidR="0045425C" w:rsidRPr="00A40ACC" w:rsidRDefault="005B53DE"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Having reviewed the submissions, and further considered the Act and </w:t>
      </w:r>
      <w:r w:rsidR="00B73039" w:rsidRPr="00A40ACC">
        <w:rPr>
          <w:rFonts w:ascii="Times New Roman" w:hAnsi="Times New Roman" w:cs="Times New Roman"/>
          <w:sz w:val="24"/>
          <w:szCs w:val="24"/>
        </w:rPr>
        <w:t xml:space="preserve">the </w:t>
      </w:r>
      <w:r w:rsidRPr="00A40ACC">
        <w:rPr>
          <w:rFonts w:ascii="Times New Roman" w:hAnsi="Times New Roman" w:cs="Times New Roman"/>
          <w:sz w:val="24"/>
          <w:szCs w:val="24"/>
        </w:rPr>
        <w:t>Code</w:t>
      </w:r>
      <w:r w:rsidR="000C033E">
        <w:rPr>
          <w:rFonts w:ascii="Times New Roman" w:hAnsi="Times New Roman" w:cs="Times New Roman"/>
          <w:sz w:val="24"/>
          <w:szCs w:val="24"/>
        </w:rPr>
        <w:t xml:space="preserve"> in light of those submissions</w:t>
      </w:r>
      <w:r w:rsidRPr="00A40ACC">
        <w:rPr>
          <w:rFonts w:ascii="Times New Roman" w:hAnsi="Times New Roman" w:cs="Times New Roman"/>
          <w:sz w:val="24"/>
          <w:szCs w:val="24"/>
        </w:rPr>
        <w:t>, I now submit my final report.</w:t>
      </w:r>
    </w:p>
    <w:p w:rsidR="0045425C" w:rsidRPr="00A40ACC" w:rsidRDefault="0045425C" w:rsidP="00235461">
      <w:pPr>
        <w:pStyle w:val="NoSpacing"/>
        <w:spacing w:line="264" w:lineRule="auto"/>
        <w:jc w:val="both"/>
        <w:rPr>
          <w:rFonts w:ascii="Times New Roman" w:hAnsi="Times New Roman" w:cs="Times New Roman"/>
          <w:sz w:val="24"/>
          <w:szCs w:val="24"/>
        </w:rPr>
      </w:pPr>
    </w:p>
    <w:p w:rsidR="0045425C" w:rsidRPr="00A40ACC" w:rsidRDefault="0045425C"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I trust that this report will assist in the ongoing review of the legislation. </w:t>
      </w:r>
    </w:p>
    <w:p w:rsidR="0045425C" w:rsidRPr="00A40ACC" w:rsidRDefault="0045425C" w:rsidP="00235461">
      <w:pPr>
        <w:pStyle w:val="NoSpacing"/>
        <w:spacing w:line="264" w:lineRule="auto"/>
        <w:jc w:val="both"/>
        <w:rPr>
          <w:rFonts w:ascii="Times New Roman" w:hAnsi="Times New Roman" w:cs="Times New Roman"/>
          <w:sz w:val="24"/>
          <w:szCs w:val="24"/>
        </w:rPr>
      </w:pPr>
    </w:p>
    <w:p w:rsidR="0045425C" w:rsidRPr="00A40ACC" w:rsidRDefault="0045425C"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Yours sincerely</w:t>
      </w:r>
    </w:p>
    <w:p w:rsidR="0045425C" w:rsidRPr="00A40ACC" w:rsidRDefault="00443A7D" w:rsidP="00235461">
      <w:pPr>
        <w:pStyle w:val="NoSpacing"/>
        <w:spacing w:line="264"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39CDC21F" wp14:editId="259CEF70">
            <wp:simplePos x="0" y="0"/>
            <wp:positionH relativeFrom="column">
              <wp:posOffset>-199390</wp:posOffset>
            </wp:positionH>
            <wp:positionV relativeFrom="paragraph">
              <wp:posOffset>68580</wp:posOffset>
            </wp:positionV>
            <wp:extent cx="1717040" cy="808990"/>
            <wp:effectExtent l="0" t="0" r="0" b="0"/>
            <wp:wrapTight wrapText="bothSides">
              <wp:wrapPolygon edited="0">
                <wp:start x="0" y="0"/>
                <wp:lineTo x="0" y="20854"/>
                <wp:lineTo x="21328" y="20854"/>
                <wp:lineTo x="213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7040" cy="808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25C" w:rsidRPr="00A40ACC" w:rsidRDefault="0045425C" w:rsidP="00235461">
      <w:pPr>
        <w:pStyle w:val="NoSpacing"/>
        <w:spacing w:line="264" w:lineRule="auto"/>
        <w:jc w:val="both"/>
        <w:rPr>
          <w:rFonts w:ascii="Times New Roman" w:hAnsi="Times New Roman" w:cs="Times New Roman"/>
          <w:sz w:val="24"/>
          <w:szCs w:val="24"/>
        </w:rPr>
      </w:pPr>
    </w:p>
    <w:p w:rsidR="00443A7D" w:rsidRDefault="00443A7D" w:rsidP="00235461">
      <w:pPr>
        <w:pStyle w:val="NoSpacing"/>
        <w:spacing w:line="264" w:lineRule="auto"/>
        <w:jc w:val="both"/>
        <w:rPr>
          <w:rFonts w:ascii="Times New Roman" w:hAnsi="Times New Roman" w:cs="Times New Roman"/>
          <w:sz w:val="24"/>
          <w:szCs w:val="24"/>
        </w:rPr>
      </w:pPr>
    </w:p>
    <w:p w:rsidR="00443A7D" w:rsidRDefault="00443A7D" w:rsidP="00235461">
      <w:pPr>
        <w:pStyle w:val="NoSpacing"/>
        <w:spacing w:line="264" w:lineRule="auto"/>
        <w:jc w:val="both"/>
        <w:rPr>
          <w:rFonts w:ascii="Times New Roman" w:hAnsi="Times New Roman" w:cs="Times New Roman"/>
          <w:sz w:val="24"/>
          <w:szCs w:val="24"/>
        </w:rPr>
      </w:pPr>
    </w:p>
    <w:p w:rsidR="00443A7D" w:rsidRDefault="00443A7D" w:rsidP="00235461">
      <w:pPr>
        <w:pStyle w:val="NoSpacing"/>
        <w:spacing w:line="264" w:lineRule="auto"/>
        <w:jc w:val="both"/>
        <w:rPr>
          <w:rFonts w:ascii="Times New Roman" w:hAnsi="Times New Roman" w:cs="Times New Roman"/>
          <w:sz w:val="24"/>
          <w:szCs w:val="24"/>
        </w:rPr>
      </w:pPr>
    </w:p>
    <w:p w:rsidR="0045425C" w:rsidRPr="00A40ACC" w:rsidRDefault="0045425C"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Anthony Hill</w:t>
      </w:r>
    </w:p>
    <w:p w:rsidR="00A413C3" w:rsidRPr="00A40ACC" w:rsidRDefault="0045425C"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b/>
          <w:sz w:val="24"/>
          <w:szCs w:val="24"/>
        </w:rPr>
        <w:t>Health and Disability Commissioner</w:t>
      </w:r>
      <w:r w:rsidR="00A413C3" w:rsidRPr="00A40ACC">
        <w:rPr>
          <w:rFonts w:eastAsiaTheme="majorEastAsia"/>
          <w:b/>
          <w:spacing w:val="5"/>
          <w:kern w:val="28"/>
        </w:rPr>
        <w:br w:type="page"/>
      </w:r>
    </w:p>
    <w:p w:rsidR="00082CF4" w:rsidRPr="00A40ACC" w:rsidRDefault="00082CF4" w:rsidP="00235461">
      <w:pPr>
        <w:spacing w:after="0" w:line="264" w:lineRule="auto"/>
        <w:rPr>
          <w:rFonts w:ascii="Times New Roman" w:eastAsiaTheme="majorEastAsia" w:hAnsi="Times New Roman" w:cs="Times New Roman"/>
          <w:b/>
          <w:spacing w:val="5"/>
          <w:kern w:val="28"/>
          <w:sz w:val="28"/>
          <w:szCs w:val="28"/>
        </w:rPr>
      </w:pPr>
      <w:r w:rsidRPr="00A40ACC">
        <w:rPr>
          <w:rFonts w:ascii="Times New Roman" w:eastAsiaTheme="majorEastAsia" w:hAnsi="Times New Roman" w:cs="Times New Roman"/>
          <w:b/>
          <w:spacing w:val="5"/>
          <w:kern w:val="28"/>
          <w:sz w:val="28"/>
          <w:szCs w:val="28"/>
        </w:rPr>
        <w:lastRenderedPageBreak/>
        <w:br w:type="page"/>
      </w:r>
    </w:p>
    <w:p w:rsidR="00016D36" w:rsidRPr="00A40ACC" w:rsidRDefault="004509AD" w:rsidP="00235461">
      <w:pPr>
        <w:pStyle w:val="Title"/>
        <w:spacing w:after="0" w:line="264" w:lineRule="auto"/>
        <w:jc w:val="center"/>
        <w:outlineLvl w:val="0"/>
        <w:rPr>
          <w:rFonts w:ascii="Times New Roman" w:hAnsi="Times New Roman" w:cs="Times New Roman"/>
          <w:b/>
          <w:color w:val="auto"/>
          <w:sz w:val="44"/>
          <w:szCs w:val="44"/>
        </w:rPr>
      </w:pPr>
      <w:bookmarkStart w:id="1" w:name="_Toc390266392"/>
      <w:bookmarkStart w:id="2" w:name="_Toc390269593"/>
      <w:r w:rsidRPr="00A40ACC">
        <w:rPr>
          <w:rFonts w:ascii="Times New Roman" w:hAnsi="Times New Roman" w:cs="Times New Roman"/>
          <w:b/>
          <w:color w:val="auto"/>
          <w:sz w:val="44"/>
          <w:szCs w:val="44"/>
        </w:rPr>
        <w:lastRenderedPageBreak/>
        <w:t>TABLE OF CONTENTS</w:t>
      </w:r>
      <w:bookmarkEnd w:id="1"/>
      <w:bookmarkEnd w:id="2"/>
    </w:p>
    <w:sdt>
      <w:sdtPr>
        <w:rPr>
          <w:rFonts w:ascii="Times New Roman" w:eastAsiaTheme="minorEastAsia" w:hAnsi="Times New Roman" w:cs="Times New Roman"/>
          <w:b w:val="0"/>
          <w:bCs w:val="0"/>
          <w:color w:val="auto"/>
          <w:sz w:val="24"/>
          <w:szCs w:val="24"/>
          <w:lang w:val="en-NZ" w:eastAsia="en-NZ"/>
        </w:rPr>
        <w:id w:val="41941047"/>
        <w:docPartObj>
          <w:docPartGallery w:val="Table of Contents"/>
          <w:docPartUnique/>
        </w:docPartObj>
      </w:sdtPr>
      <w:sdtEndPr/>
      <w:sdtContent>
        <w:p w:rsidR="00F02222" w:rsidRDefault="00F02222" w:rsidP="00105027">
          <w:pPr>
            <w:pStyle w:val="TOCHeading"/>
            <w:spacing w:before="0" w:line="240" w:lineRule="auto"/>
            <w:rPr>
              <w:rFonts w:ascii="Times New Roman" w:hAnsi="Times New Roman" w:cs="Times New Roman"/>
              <w:sz w:val="24"/>
              <w:szCs w:val="24"/>
            </w:rPr>
          </w:pPr>
        </w:p>
        <w:p w:rsidR="00650939" w:rsidRPr="00957F42" w:rsidRDefault="00FF4BD1" w:rsidP="00235461">
          <w:pPr>
            <w:pStyle w:val="TOC1"/>
            <w:tabs>
              <w:tab w:val="right" w:leader="dot" w:pos="9016"/>
            </w:tabs>
            <w:spacing w:after="0" w:line="360" w:lineRule="auto"/>
            <w:rPr>
              <w:rFonts w:ascii="Times New Roman" w:hAnsi="Times New Roman" w:cs="Times New Roman"/>
              <w:noProof/>
              <w:sz w:val="24"/>
              <w:szCs w:val="24"/>
            </w:rPr>
          </w:pPr>
          <w:r w:rsidRPr="003263C9">
            <w:rPr>
              <w:rFonts w:ascii="Times New Roman" w:hAnsi="Times New Roman" w:cs="Times New Roman"/>
              <w:sz w:val="24"/>
              <w:szCs w:val="24"/>
            </w:rPr>
            <w:fldChar w:fldCharType="begin"/>
          </w:r>
          <w:r w:rsidR="00891CE0" w:rsidRPr="003263C9">
            <w:rPr>
              <w:rFonts w:ascii="Times New Roman" w:hAnsi="Times New Roman" w:cs="Times New Roman"/>
              <w:sz w:val="24"/>
              <w:szCs w:val="24"/>
            </w:rPr>
            <w:instrText xml:space="preserve"> TOC \o "1-3" \h \z \u </w:instrText>
          </w:r>
          <w:r w:rsidRPr="003263C9">
            <w:rPr>
              <w:rFonts w:ascii="Times New Roman" w:hAnsi="Times New Roman" w:cs="Times New Roman"/>
              <w:sz w:val="24"/>
              <w:szCs w:val="24"/>
            </w:rPr>
            <w:fldChar w:fldCharType="separate"/>
          </w:r>
          <w:hyperlink w:anchor="_Toc390269594" w:history="1">
            <w:r w:rsidR="00650939" w:rsidRPr="003263C9">
              <w:rPr>
                <w:rStyle w:val="Hyperlink"/>
                <w:rFonts w:ascii="Times New Roman" w:hAnsi="Times New Roman" w:cs="Times New Roman"/>
                <w:b/>
                <w:noProof/>
                <w:color w:val="auto"/>
                <w:sz w:val="24"/>
                <w:szCs w:val="24"/>
              </w:rPr>
              <w:t>INTRODUCTION</w:t>
            </w:r>
            <w:r w:rsidR="00650939" w:rsidRPr="00957F42">
              <w:rPr>
                <w:rFonts w:ascii="Times New Roman" w:hAnsi="Times New Roman" w:cs="Times New Roman"/>
                <w:noProof/>
                <w:webHidden/>
                <w:sz w:val="24"/>
                <w:szCs w:val="24"/>
              </w:rPr>
              <w:tab/>
            </w:r>
            <w:r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_Toc390269594 \h </w:instrText>
            </w:r>
            <w:r w:rsidRPr="00957F42">
              <w:rPr>
                <w:rFonts w:ascii="Times New Roman" w:hAnsi="Times New Roman" w:cs="Times New Roman"/>
                <w:noProof/>
                <w:webHidden/>
                <w:sz w:val="24"/>
                <w:szCs w:val="24"/>
              </w:rPr>
            </w:r>
            <w:r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1</w:t>
            </w:r>
            <w:r w:rsidRPr="00957F42">
              <w:rPr>
                <w:rFonts w:ascii="Times New Roman" w:hAnsi="Times New Roman" w:cs="Times New Roman"/>
                <w:noProof/>
                <w:webHidden/>
                <w:sz w:val="24"/>
                <w:szCs w:val="24"/>
              </w:rPr>
              <w:fldChar w:fldCharType="end"/>
            </w:r>
          </w:hyperlink>
        </w:p>
        <w:p w:rsidR="00650939" w:rsidRPr="00957F42" w:rsidRDefault="00127A0D" w:rsidP="00235461">
          <w:pPr>
            <w:pStyle w:val="TOC1"/>
            <w:tabs>
              <w:tab w:val="right" w:leader="dot" w:pos="9016"/>
            </w:tabs>
            <w:spacing w:after="0" w:line="360" w:lineRule="auto"/>
            <w:rPr>
              <w:rFonts w:ascii="Times New Roman" w:hAnsi="Times New Roman" w:cs="Times New Roman"/>
              <w:noProof/>
              <w:sz w:val="24"/>
              <w:szCs w:val="24"/>
            </w:rPr>
          </w:pPr>
          <w:hyperlink w:anchor="_Toc390269595" w:history="1">
            <w:r w:rsidR="00650939" w:rsidRPr="003263C9">
              <w:rPr>
                <w:rStyle w:val="Hyperlink"/>
                <w:rFonts w:ascii="Times New Roman" w:hAnsi="Times New Roman" w:cs="Times New Roman"/>
                <w:b/>
                <w:noProof/>
                <w:color w:val="auto"/>
                <w:sz w:val="24"/>
                <w:szCs w:val="24"/>
              </w:rPr>
              <w:t>RECOMMENDATIONS FOR CHANGE</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_Toc390269595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3</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2"/>
            <w:tabs>
              <w:tab w:val="right" w:leader="dot" w:pos="9016"/>
            </w:tabs>
            <w:spacing w:after="0" w:line="360" w:lineRule="auto"/>
            <w:rPr>
              <w:rFonts w:ascii="Times New Roman" w:hAnsi="Times New Roman" w:cs="Times New Roman"/>
              <w:noProof/>
              <w:sz w:val="24"/>
              <w:szCs w:val="24"/>
            </w:rPr>
          </w:pPr>
          <w:hyperlink w:anchor="_Toc390269596" w:history="1">
            <w:r w:rsidR="00650939" w:rsidRPr="003263C9">
              <w:rPr>
                <w:rStyle w:val="Hyperlink"/>
                <w:rFonts w:ascii="Times New Roman" w:hAnsi="Times New Roman" w:cs="Times New Roman"/>
                <w:noProof/>
                <w:color w:val="auto"/>
                <w:sz w:val="24"/>
                <w:szCs w:val="24"/>
              </w:rPr>
              <w:t>Review of the Act and the Code</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_Toc390269596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3</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2"/>
            <w:tabs>
              <w:tab w:val="right" w:leader="dot" w:pos="9016"/>
            </w:tabs>
            <w:spacing w:after="0" w:line="360" w:lineRule="auto"/>
            <w:rPr>
              <w:rFonts w:ascii="Times New Roman" w:hAnsi="Times New Roman" w:cs="Times New Roman"/>
              <w:noProof/>
              <w:sz w:val="24"/>
              <w:szCs w:val="24"/>
            </w:rPr>
          </w:pPr>
          <w:hyperlink w:anchor="_Toc390269597" w:history="1">
            <w:r w:rsidR="00650939" w:rsidRPr="003263C9">
              <w:rPr>
                <w:rStyle w:val="Hyperlink"/>
                <w:rFonts w:ascii="Times New Roman" w:hAnsi="Times New Roman" w:cs="Times New Roman"/>
                <w:noProof/>
                <w:color w:val="auto"/>
                <w:sz w:val="24"/>
                <w:szCs w:val="24"/>
              </w:rPr>
              <w:t>Increase the maximum fine for an offence</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_Toc390269597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3</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2"/>
            <w:tabs>
              <w:tab w:val="right" w:leader="dot" w:pos="9016"/>
            </w:tabs>
            <w:spacing w:after="0" w:line="360" w:lineRule="auto"/>
            <w:rPr>
              <w:rFonts w:ascii="Times New Roman" w:hAnsi="Times New Roman" w:cs="Times New Roman"/>
              <w:noProof/>
              <w:sz w:val="24"/>
              <w:szCs w:val="24"/>
            </w:rPr>
          </w:pPr>
          <w:hyperlink w:anchor="_Toc390269598" w:history="1">
            <w:r w:rsidR="00650939" w:rsidRPr="003263C9">
              <w:rPr>
                <w:rStyle w:val="Hyperlink"/>
                <w:rFonts w:ascii="Times New Roman" w:hAnsi="Times New Roman" w:cs="Times New Roman"/>
                <w:noProof/>
                <w:color w:val="auto"/>
                <w:sz w:val="24"/>
                <w:szCs w:val="24"/>
              </w:rPr>
              <w:t>Definition of “aggrieved person”</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_Toc390269598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4</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2"/>
            <w:tabs>
              <w:tab w:val="right" w:leader="dot" w:pos="9016"/>
            </w:tabs>
            <w:spacing w:after="0" w:line="360" w:lineRule="auto"/>
            <w:rPr>
              <w:rFonts w:ascii="Times New Roman" w:hAnsi="Times New Roman" w:cs="Times New Roman"/>
              <w:noProof/>
              <w:sz w:val="24"/>
              <w:szCs w:val="24"/>
            </w:rPr>
          </w:pPr>
          <w:hyperlink w:anchor="_Toc390269599" w:history="1">
            <w:r w:rsidR="00650939" w:rsidRPr="003263C9">
              <w:rPr>
                <w:rStyle w:val="Hyperlink"/>
                <w:rFonts w:ascii="Times New Roman" w:hAnsi="Times New Roman" w:cs="Times New Roman"/>
                <w:noProof/>
                <w:color w:val="auto"/>
                <w:sz w:val="24"/>
                <w:szCs w:val="24"/>
              </w:rPr>
              <w:t>Director of Proceedings – power to require information</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_Toc390269599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4</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1"/>
            <w:tabs>
              <w:tab w:val="right" w:leader="dot" w:pos="9016"/>
            </w:tabs>
            <w:spacing w:after="0" w:line="360" w:lineRule="auto"/>
            <w:rPr>
              <w:rFonts w:ascii="Times New Roman" w:hAnsi="Times New Roman" w:cs="Times New Roman"/>
              <w:noProof/>
              <w:sz w:val="24"/>
              <w:szCs w:val="24"/>
            </w:rPr>
          </w:pPr>
          <w:hyperlink w:anchor="_Toc390269600" w:history="1">
            <w:r w:rsidR="00650939" w:rsidRPr="003263C9">
              <w:rPr>
                <w:rStyle w:val="Hyperlink"/>
                <w:rFonts w:ascii="Times New Roman" w:hAnsi="Times New Roman" w:cs="Times New Roman"/>
                <w:b/>
                <w:noProof/>
                <w:color w:val="auto"/>
                <w:sz w:val="24"/>
                <w:szCs w:val="24"/>
              </w:rPr>
              <w:t>ISSUES NOT REQUIRING CHANGE</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_Toc390269600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5</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1"/>
            <w:tabs>
              <w:tab w:val="right" w:leader="dot" w:pos="9016"/>
            </w:tabs>
            <w:spacing w:after="0" w:line="360" w:lineRule="auto"/>
            <w:rPr>
              <w:rFonts w:ascii="Times New Roman" w:hAnsi="Times New Roman" w:cs="Times New Roman"/>
              <w:noProof/>
              <w:sz w:val="24"/>
              <w:szCs w:val="24"/>
            </w:rPr>
          </w:pPr>
          <w:hyperlink w:anchor="_Toc390269601" w:history="1">
            <w:r w:rsidR="00650939" w:rsidRPr="003263C9">
              <w:rPr>
                <w:rStyle w:val="Hyperlink"/>
                <w:rFonts w:ascii="Times New Roman" w:hAnsi="Times New Roman" w:cs="Times New Roman"/>
                <w:b/>
                <w:noProof/>
                <w:color w:val="auto"/>
                <w:sz w:val="24"/>
                <w:szCs w:val="24"/>
              </w:rPr>
              <w:t>The Act</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_Toc390269601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5</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2"/>
            <w:tabs>
              <w:tab w:val="right" w:leader="dot" w:pos="9016"/>
            </w:tabs>
            <w:spacing w:after="0" w:line="360" w:lineRule="auto"/>
            <w:rPr>
              <w:rFonts w:ascii="Times New Roman" w:hAnsi="Times New Roman" w:cs="Times New Roman"/>
              <w:noProof/>
              <w:sz w:val="24"/>
              <w:szCs w:val="24"/>
            </w:rPr>
          </w:pPr>
          <w:hyperlink w:anchor="_Toc390269602" w:history="1">
            <w:r w:rsidR="00650939" w:rsidRPr="003263C9">
              <w:rPr>
                <w:rStyle w:val="Hyperlink"/>
                <w:rFonts w:ascii="Times New Roman" w:hAnsi="Times New Roman" w:cs="Times New Roman"/>
                <w:noProof/>
                <w:color w:val="auto"/>
                <w:sz w:val="24"/>
                <w:szCs w:val="24"/>
              </w:rPr>
              <w:t xml:space="preserve">Definition of </w:t>
            </w:r>
            <w:r w:rsidR="001D1002" w:rsidRPr="003263C9">
              <w:rPr>
                <w:rStyle w:val="Hyperlink"/>
                <w:rFonts w:ascii="Times New Roman" w:hAnsi="Times New Roman" w:cs="Times New Roman"/>
                <w:noProof/>
                <w:color w:val="auto"/>
                <w:sz w:val="24"/>
                <w:szCs w:val="24"/>
              </w:rPr>
              <w:t>“</w:t>
            </w:r>
            <w:r w:rsidR="00650939" w:rsidRPr="003263C9">
              <w:rPr>
                <w:rStyle w:val="Hyperlink"/>
                <w:rFonts w:ascii="Times New Roman" w:hAnsi="Times New Roman" w:cs="Times New Roman"/>
                <w:noProof/>
                <w:color w:val="auto"/>
                <w:sz w:val="24"/>
                <w:szCs w:val="24"/>
              </w:rPr>
              <w:t>disability</w:t>
            </w:r>
            <w:r w:rsidR="001D1002" w:rsidRPr="003263C9">
              <w:rPr>
                <w:rStyle w:val="Hyperlink"/>
                <w:rFonts w:ascii="Times New Roman" w:hAnsi="Times New Roman" w:cs="Times New Roman"/>
                <w:noProof/>
                <w:color w:val="auto"/>
                <w:sz w:val="24"/>
                <w:szCs w:val="24"/>
              </w:rPr>
              <w:t>”</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_Toc390269602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5</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2"/>
            <w:tabs>
              <w:tab w:val="right" w:leader="dot" w:pos="9016"/>
            </w:tabs>
            <w:spacing w:after="0" w:line="360" w:lineRule="auto"/>
            <w:rPr>
              <w:rFonts w:ascii="Times New Roman" w:hAnsi="Times New Roman" w:cs="Times New Roman"/>
              <w:noProof/>
              <w:sz w:val="24"/>
              <w:szCs w:val="24"/>
            </w:rPr>
          </w:pPr>
          <w:hyperlink w:anchor="_Toc390269603" w:history="1">
            <w:r w:rsidR="00650939" w:rsidRPr="003263C9">
              <w:rPr>
                <w:rStyle w:val="Hyperlink"/>
                <w:rFonts w:ascii="Times New Roman" w:hAnsi="Times New Roman" w:cs="Times New Roman"/>
                <w:noProof/>
                <w:color w:val="auto"/>
                <w:sz w:val="24"/>
                <w:szCs w:val="24"/>
              </w:rPr>
              <w:t>Referrals</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_Toc390269603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5</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2"/>
            <w:tabs>
              <w:tab w:val="right" w:leader="dot" w:pos="9016"/>
            </w:tabs>
            <w:spacing w:after="0" w:line="360" w:lineRule="auto"/>
            <w:rPr>
              <w:rFonts w:ascii="Times New Roman" w:hAnsi="Times New Roman" w:cs="Times New Roman"/>
              <w:noProof/>
              <w:sz w:val="24"/>
              <w:szCs w:val="24"/>
            </w:rPr>
          </w:pPr>
          <w:hyperlink w:anchor="_Toc390269604" w:history="1">
            <w:r w:rsidR="00650939" w:rsidRPr="003263C9">
              <w:rPr>
                <w:rStyle w:val="Hyperlink"/>
                <w:rFonts w:ascii="Times New Roman" w:hAnsi="Times New Roman" w:cs="Times New Roman"/>
                <w:noProof/>
                <w:color w:val="auto"/>
                <w:sz w:val="24"/>
                <w:szCs w:val="24"/>
              </w:rPr>
              <w:t>Information during investigation</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_Toc390269604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5</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1"/>
            <w:tabs>
              <w:tab w:val="right" w:leader="dot" w:pos="9016"/>
            </w:tabs>
            <w:spacing w:after="0" w:line="360" w:lineRule="auto"/>
            <w:rPr>
              <w:rFonts w:ascii="Times New Roman" w:hAnsi="Times New Roman" w:cs="Times New Roman"/>
              <w:noProof/>
              <w:sz w:val="24"/>
              <w:szCs w:val="24"/>
            </w:rPr>
          </w:pPr>
          <w:hyperlink w:anchor="_Toc390269605" w:history="1">
            <w:r w:rsidR="00650939" w:rsidRPr="003263C9">
              <w:rPr>
                <w:rStyle w:val="Hyperlink"/>
                <w:rFonts w:ascii="Times New Roman" w:hAnsi="Times New Roman" w:cs="Times New Roman"/>
                <w:b/>
                <w:noProof/>
                <w:color w:val="auto"/>
                <w:sz w:val="24"/>
                <w:szCs w:val="24"/>
              </w:rPr>
              <w:t>The Code</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_Toc390269605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5</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2"/>
            <w:tabs>
              <w:tab w:val="right" w:leader="dot" w:pos="9016"/>
            </w:tabs>
            <w:spacing w:after="0" w:line="360" w:lineRule="auto"/>
            <w:rPr>
              <w:rFonts w:ascii="Times New Roman" w:hAnsi="Times New Roman" w:cs="Times New Roman"/>
              <w:noProof/>
              <w:sz w:val="24"/>
              <w:szCs w:val="24"/>
            </w:rPr>
          </w:pPr>
          <w:hyperlink w:anchor="_Toc390269606" w:history="1">
            <w:r w:rsidR="00650939" w:rsidRPr="003263C9">
              <w:rPr>
                <w:rStyle w:val="Hyperlink"/>
                <w:rFonts w:ascii="Times New Roman" w:hAnsi="Times New Roman" w:cs="Times New Roman"/>
                <w:noProof/>
                <w:color w:val="auto"/>
                <w:sz w:val="24"/>
                <w:szCs w:val="24"/>
              </w:rPr>
              <w:t>Access to disability services</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_Toc390269606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5</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2"/>
            <w:tabs>
              <w:tab w:val="right" w:leader="dot" w:pos="9016"/>
            </w:tabs>
            <w:spacing w:after="0" w:line="360" w:lineRule="auto"/>
            <w:rPr>
              <w:rFonts w:ascii="Times New Roman" w:hAnsi="Times New Roman" w:cs="Times New Roman"/>
              <w:noProof/>
              <w:sz w:val="24"/>
              <w:szCs w:val="24"/>
            </w:rPr>
          </w:pPr>
          <w:hyperlink w:anchor="_Toc390269607" w:history="1">
            <w:r w:rsidR="00650939" w:rsidRPr="003263C9">
              <w:rPr>
                <w:rStyle w:val="Hyperlink"/>
                <w:rFonts w:ascii="Times New Roman" w:hAnsi="Times New Roman" w:cs="Times New Roman"/>
                <w:noProof/>
                <w:color w:val="auto"/>
                <w:sz w:val="24"/>
                <w:szCs w:val="24"/>
              </w:rPr>
              <w:t>Interpreters</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_Toc390269607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6</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2"/>
            <w:tabs>
              <w:tab w:val="right" w:leader="dot" w:pos="9016"/>
            </w:tabs>
            <w:spacing w:after="0" w:line="360" w:lineRule="auto"/>
            <w:rPr>
              <w:rFonts w:ascii="Times New Roman" w:hAnsi="Times New Roman" w:cs="Times New Roman"/>
              <w:noProof/>
              <w:sz w:val="24"/>
              <w:szCs w:val="24"/>
            </w:rPr>
          </w:pPr>
          <w:hyperlink w:anchor="_Toc390269608" w:history="1">
            <w:r w:rsidR="00650939" w:rsidRPr="003263C9">
              <w:rPr>
                <w:rStyle w:val="Hyperlink"/>
                <w:rFonts w:ascii="Times New Roman" w:hAnsi="Times New Roman" w:cs="Times New Roman"/>
                <w:noProof/>
                <w:color w:val="auto"/>
                <w:sz w:val="24"/>
                <w:szCs w:val="24"/>
              </w:rPr>
              <w:t>Disclosing information about identity and qualifications</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_Toc390269608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6</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2"/>
            <w:tabs>
              <w:tab w:val="right" w:leader="dot" w:pos="9016"/>
            </w:tabs>
            <w:spacing w:after="0" w:line="360" w:lineRule="auto"/>
            <w:rPr>
              <w:rFonts w:ascii="Times New Roman" w:hAnsi="Times New Roman" w:cs="Times New Roman"/>
              <w:noProof/>
              <w:sz w:val="24"/>
              <w:szCs w:val="24"/>
            </w:rPr>
          </w:pPr>
          <w:hyperlink w:anchor="_Toc390269609" w:history="1">
            <w:r w:rsidR="00650939" w:rsidRPr="003263C9">
              <w:rPr>
                <w:rStyle w:val="Hyperlink"/>
                <w:rFonts w:ascii="Times New Roman" w:hAnsi="Times New Roman" w:cs="Times New Roman"/>
                <w:noProof/>
                <w:color w:val="auto"/>
                <w:sz w:val="24"/>
                <w:szCs w:val="24"/>
              </w:rPr>
              <w:t>Nurse and pharmacist prescribing</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_Toc390269609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6</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2"/>
            <w:tabs>
              <w:tab w:val="right" w:leader="dot" w:pos="9016"/>
            </w:tabs>
            <w:spacing w:after="0" w:line="360" w:lineRule="auto"/>
            <w:rPr>
              <w:rFonts w:ascii="Times New Roman" w:hAnsi="Times New Roman" w:cs="Times New Roman"/>
              <w:noProof/>
              <w:sz w:val="24"/>
              <w:szCs w:val="24"/>
            </w:rPr>
          </w:pPr>
          <w:hyperlink w:anchor="_Toc390269610" w:history="1">
            <w:r w:rsidR="00650939" w:rsidRPr="003263C9">
              <w:rPr>
                <w:rStyle w:val="Hyperlink"/>
                <w:rFonts w:ascii="Times New Roman" w:hAnsi="Times New Roman" w:cs="Times New Roman"/>
                <w:noProof/>
                <w:color w:val="auto"/>
                <w:sz w:val="24"/>
                <w:szCs w:val="24"/>
              </w:rPr>
              <w:t>Research</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_Toc390269610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6</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2"/>
            <w:tabs>
              <w:tab w:val="right" w:leader="dot" w:pos="9016"/>
            </w:tabs>
            <w:spacing w:after="0" w:line="360" w:lineRule="auto"/>
            <w:rPr>
              <w:rFonts w:ascii="Times New Roman" w:hAnsi="Times New Roman" w:cs="Times New Roman"/>
              <w:noProof/>
              <w:sz w:val="24"/>
              <w:szCs w:val="24"/>
            </w:rPr>
          </w:pPr>
          <w:hyperlink w:anchor="_Toc390269611" w:history="1">
            <w:r w:rsidR="00650939" w:rsidRPr="00957F42">
              <w:rPr>
                <w:rStyle w:val="Hyperlink"/>
                <w:rFonts w:ascii="Times New Roman" w:hAnsi="Times New Roman" w:cs="Times New Roman"/>
                <w:noProof/>
                <w:color w:val="auto"/>
                <w:sz w:val="24"/>
                <w:szCs w:val="24"/>
              </w:rPr>
              <w:t>Situations requiring written consent</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_Toc390269611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7</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2"/>
            <w:tabs>
              <w:tab w:val="right" w:leader="dot" w:pos="9016"/>
            </w:tabs>
            <w:spacing w:after="0" w:line="360" w:lineRule="auto"/>
            <w:rPr>
              <w:rFonts w:ascii="Times New Roman" w:hAnsi="Times New Roman" w:cs="Times New Roman"/>
              <w:noProof/>
              <w:sz w:val="24"/>
              <w:szCs w:val="24"/>
            </w:rPr>
          </w:pPr>
          <w:hyperlink w:anchor="_Toc390269612" w:history="1">
            <w:r w:rsidR="00650939" w:rsidRPr="00957F42">
              <w:rPr>
                <w:rStyle w:val="Hyperlink"/>
                <w:rFonts w:ascii="Times New Roman" w:hAnsi="Times New Roman" w:cs="Times New Roman"/>
                <w:noProof/>
                <w:color w:val="auto"/>
                <w:sz w:val="24"/>
                <w:szCs w:val="24"/>
              </w:rPr>
              <w:t>Provider compliance</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_Toc390269612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7</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2"/>
            <w:tabs>
              <w:tab w:val="right" w:leader="dot" w:pos="9016"/>
            </w:tabs>
            <w:spacing w:after="0" w:line="360" w:lineRule="auto"/>
            <w:rPr>
              <w:rFonts w:ascii="Times New Roman" w:hAnsi="Times New Roman" w:cs="Times New Roman"/>
              <w:noProof/>
              <w:sz w:val="24"/>
              <w:szCs w:val="24"/>
            </w:rPr>
          </w:pPr>
          <w:hyperlink w:anchor="_Toc390269613" w:history="1">
            <w:r w:rsidR="00650939" w:rsidRPr="00957F42">
              <w:rPr>
                <w:rStyle w:val="Hyperlink"/>
                <w:rFonts w:ascii="Times New Roman" w:hAnsi="Times New Roman" w:cs="Times New Roman"/>
                <w:noProof/>
                <w:color w:val="auto"/>
                <w:sz w:val="24"/>
                <w:szCs w:val="24"/>
              </w:rPr>
              <w:t>Assisted Reproductive Technology</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_Toc390269613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8</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1"/>
            <w:tabs>
              <w:tab w:val="right" w:leader="dot" w:pos="9016"/>
            </w:tabs>
            <w:spacing w:after="0" w:line="360" w:lineRule="auto"/>
            <w:rPr>
              <w:rFonts w:ascii="Times New Roman" w:hAnsi="Times New Roman" w:cs="Times New Roman"/>
              <w:noProof/>
              <w:sz w:val="24"/>
              <w:szCs w:val="24"/>
            </w:rPr>
          </w:pPr>
          <w:hyperlink w:anchor="_Toc390269614" w:history="1">
            <w:r w:rsidR="00650939" w:rsidRPr="003263C9">
              <w:rPr>
                <w:rStyle w:val="Hyperlink"/>
                <w:rFonts w:ascii="Times New Roman" w:hAnsi="Times New Roman" w:cs="Times New Roman"/>
                <w:b/>
                <w:noProof/>
                <w:color w:val="auto"/>
                <w:sz w:val="24"/>
                <w:szCs w:val="24"/>
              </w:rPr>
              <w:t>General operation of the Act and the Code</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_Toc390269614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9</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2"/>
            <w:tabs>
              <w:tab w:val="right" w:leader="dot" w:pos="9016"/>
            </w:tabs>
            <w:spacing w:after="0" w:line="360" w:lineRule="auto"/>
            <w:rPr>
              <w:rFonts w:ascii="Times New Roman" w:hAnsi="Times New Roman" w:cs="Times New Roman"/>
              <w:noProof/>
              <w:sz w:val="24"/>
              <w:szCs w:val="24"/>
            </w:rPr>
          </w:pPr>
          <w:hyperlink w:anchor="_Toc390269615" w:history="1">
            <w:r w:rsidR="00650939" w:rsidRPr="00957F42">
              <w:rPr>
                <w:rStyle w:val="Hyperlink"/>
                <w:rFonts w:ascii="Times New Roman" w:hAnsi="Times New Roman" w:cs="Times New Roman"/>
                <w:noProof/>
                <w:color w:val="auto"/>
                <w:sz w:val="24"/>
                <w:szCs w:val="24"/>
              </w:rPr>
              <w:t>Jurisdiction</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_Toc390269615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9</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2"/>
            <w:tabs>
              <w:tab w:val="right" w:leader="dot" w:pos="9016"/>
            </w:tabs>
            <w:spacing w:after="0" w:line="360" w:lineRule="auto"/>
            <w:rPr>
              <w:rFonts w:ascii="Times New Roman" w:hAnsi="Times New Roman" w:cs="Times New Roman"/>
              <w:noProof/>
              <w:sz w:val="24"/>
              <w:szCs w:val="24"/>
            </w:rPr>
          </w:pPr>
          <w:hyperlink w:anchor="_Toc390269616" w:history="1">
            <w:r w:rsidR="00650939" w:rsidRPr="00957F42">
              <w:rPr>
                <w:rStyle w:val="Hyperlink"/>
                <w:rFonts w:ascii="Times New Roman" w:hAnsi="Times New Roman" w:cs="Times New Roman"/>
                <w:noProof/>
                <w:color w:val="auto"/>
                <w:sz w:val="24"/>
                <w:szCs w:val="24"/>
              </w:rPr>
              <w:t>Collaboration between agencies</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_Toc390269616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10</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2"/>
            <w:tabs>
              <w:tab w:val="right" w:leader="dot" w:pos="9016"/>
            </w:tabs>
            <w:spacing w:after="0" w:line="360" w:lineRule="auto"/>
            <w:rPr>
              <w:rFonts w:ascii="Times New Roman" w:hAnsi="Times New Roman" w:cs="Times New Roman"/>
              <w:noProof/>
              <w:sz w:val="24"/>
              <w:szCs w:val="24"/>
            </w:rPr>
          </w:pPr>
          <w:hyperlink w:anchor="_Toc390269617" w:history="1">
            <w:r w:rsidR="00650939" w:rsidRPr="00957F42">
              <w:rPr>
                <w:rStyle w:val="Hyperlink"/>
                <w:rFonts w:ascii="Times New Roman" w:hAnsi="Times New Roman" w:cs="Times New Roman"/>
                <w:noProof/>
                <w:color w:val="auto"/>
                <w:sz w:val="24"/>
                <w:szCs w:val="24"/>
              </w:rPr>
              <w:t>Naming</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_Toc390269617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10</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2"/>
            <w:tabs>
              <w:tab w:val="right" w:leader="dot" w:pos="9016"/>
            </w:tabs>
            <w:spacing w:after="0" w:line="360" w:lineRule="auto"/>
            <w:rPr>
              <w:rFonts w:ascii="Times New Roman" w:hAnsi="Times New Roman" w:cs="Times New Roman"/>
              <w:noProof/>
              <w:sz w:val="24"/>
              <w:szCs w:val="24"/>
            </w:rPr>
          </w:pPr>
          <w:hyperlink w:anchor="_Toc390269618" w:history="1">
            <w:r w:rsidR="00650939" w:rsidRPr="00957F42">
              <w:rPr>
                <w:rStyle w:val="Hyperlink"/>
                <w:rFonts w:ascii="Times New Roman" w:hAnsi="Times New Roman" w:cs="Times New Roman"/>
                <w:noProof/>
                <w:color w:val="auto"/>
                <w:sz w:val="24"/>
                <w:szCs w:val="24"/>
              </w:rPr>
              <w:t>Privacy</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_Toc390269618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10</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2"/>
            <w:tabs>
              <w:tab w:val="right" w:leader="dot" w:pos="9016"/>
            </w:tabs>
            <w:spacing w:after="0" w:line="360" w:lineRule="auto"/>
            <w:rPr>
              <w:rFonts w:ascii="Times New Roman" w:hAnsi="Times New Roman" w:cs="Times New Roman"/>
              <w:noProof/>
              <w:sz w:val="24"/>
              <w:szCs w:val="24"/>
            </w:rPr>
          </w:pPr>
          <w:hyperlink w:anchor="_Toc390269619" w:history="1">
            <w:r w:rsidR="00650939" w:rsidRPr="00957F42">
              <w:rPr>
                <w:rStyle w:val="Hyperlink"/>
                <w:rFonts w:ascii="Times New Roman" w:hAnsi="Times New Roman" w:cs="Times New Roman"/>
                <w:noProof/>
                <w:color w:val="auto"/>
                <w:sz w:val="24"/>
                <w:szCs w:val="24"/>
              </w:rPr>
              <w:t>Advocacy</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_Toc390269619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11</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2"/>
            <w:tabs>
              <w:tab w:val="right" w:leader="dot" w:pos="9016"/>
            </w:tabs>
            <w:spacing w:after="0" w:line="360" w:lineRule="auto"/>
            <w:rPr>
              <w:rFonts w:ascii="Times New Roman" w:hAnsi="Times New Roman" w:cs="Times New Roman"/>
              <w:noProof/>
              <w:sz w:val="24"/>
              <w:szCs w:val="24"/>
            </w:rPr>
          </w:pPr>
          <w:hyperlink w:anchor="_Toc390269620" w:history="1">
            <w:r w:rsidR="00650939" w:rsidRPr="00957F42">
              <w:rPr>
                <w:rStyle w:val="Hyperlink"/>
                <w:rFonts w:ascii="Times New Roman" w:hAnsi="Times New Roman" w:cs="Times New Roman"/>
                <w:noProof/>
                <w:color w:val="auto"/>
                <w:sz w:val="24"/>
                <w:szCs w:val="24"/>
              </w:rPr>
              <w:t>Ethics Committees</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_Toc390269620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11</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2"/>
            <w:tabs>
              <w:tab w:val="right" w:leader="dot" w:pos="9016"/>
            </w:tabs>
            <w:spacing w:after="0" w:line="360" w:lineRule="auto"/>
            <w:rPr>
              <w:rFonts w:ascii="Times New Roman" w:hAnsi="Times New Roman" w:cs="Times New Roman"/>
              <w:noProof/>
              <w:sz w:val="24"/>
              <w:szCs w:val="24"/>
            </w:rPr>
          </w:pPr>
          <w:hyperlink w:anchor="_Toc390269621" w:history="1">
            <w:r w:rsidR="00650939" w:rsidRPr="00957F42">
              <w:rPr>
                <w:rStyle w:val="Hyperlink"/>
                <w:rFonts w:ascii="Times New Roman" w:hAnsi="Times New Roman" w:cs="Times New Roman"/>
                <w:noProof/>
                <w:color w:val="auto"/>
                <w:sz w:val="24"/>
                <w:szCs w:val="24"/>
              </w:rPr>
              <w:t>Appeals</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_Toc390269621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11</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2"/>
            <w:tabs>
              <w:tab w:val="right" w:leader="dot" w:pos="9016"/>
            </w:tabs>
            <w:spacing w:after="0" w:line="360" w:lineRule="auto"/>
            <w:rPr>
              <w:rFonts w:ascii="Times New Roman" w:hAnsi="Times New Roman" w:cs="Times New Roman"/>
              <w:noProof/>
              <w:sz w:val="24"/>
              <w:szCs w:val="24"/>
            </w:rPr>
          </w:pPr>
          <w:hyperlink w:anchor="_Toc390269622" w:history="1">
            <w:r w:rsidR="00650939" w:rsidRPr="00957F42">
              <w:rPr>
                <w:rStyle w:val="Hyperlink"/>
                <w:rFonts w:ascii="Times New Roman" w:hAnsi="Times New Roman" w:cs="Times New Roman"/>
                <w:noProof/>
                <w:color w:val="auto"/>
                <w:sz w:val="24"/>
                <w:szCs w:val="24"/>
              </w:rPr>
              <w:t>Investigations processes</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_Toc390269622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11</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1"/>
            <w:tabs>
              <w:tab w:val="right" w:leader="dot" w:pos="9016"/>
            </w:tabs>
            <w:spacing w:after="0" w:line="360" w:lineRule="auto"/>
            <w:rPr>
              <w:rFonts w:ascii="Times New Roman" w:hAnsi="Times New Roman" w:cs="Times New Roman"/>
              <w:noProof/>
              <w:sz w:val="24"/>
              <w:szCs w:val="24"/>
            </w:rPr>
          </w:pPr>
          <w:hyperlink w:anchor="_Toc390269623" w:history="1">
            <w:r w:rsidR="00650939" w:rsidRPr="003263C9">
              <w:rPr>
                <w:rStyle w:val="Hyperlink"/>
                <w:rFonts w:ascii="Times New Roman" w:hAnsi="Times New Roman" w:cs="Times New Roman"/>
                <w:b/>
                <w:noProof/>
                <w:color w:val="auto"/>
                <w:sz w:val="24"/>
                <w:szCs w:val="24"/>
              </w:rPr>
              <w:t>APPENDIX A – LIST OF SUBMITTERS</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_Toc390269623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13</w:t>
            </w:r>
            <w:r w:rsidR="00FF4BD1" w:rsidRPr="00957F42">
              <w:rPr>
                <w:rFonts w:ascii="Times New Roman" w:hAnsi="Times New Roman" w:cs="Times New Roman"/>
                <w:noProof/>
                <w:webHidden/>
                <w:sz w:val="24"/>
                <w:szCs w:val="24"/>
              </w:rPr>
              <w:fldChar w:fldCharType="end"/>
            </w:r>
          </w:hyperlink>
        </w:p>
        <w:p w:rsidR="00650939" w:rsidRPr="00957F42" w:rsidRDefault="00127A0D" w:rsidP="00235461">
          <w:pPr>
            <w:pStyle w:val="TOC1"/>
            <w:tabs>
              <w:tab w:val="right" w:leader="dot" w:pos="9016"/>
            </w:tabs>
            <w:spacing w:after="0" w:line="360" w:lineRule="auto"/>
            <w:rPr>
              <w:rFonts w:ascii="Times New Roman" w:hAnsi="Times New Roman" w:cs="Times New Roman"/>
              <w:noProof/>
              <w:sz w:val="24"/>
              <w:szCs w:val="24"/>
            </w:rPr>
          </w:pPr>
          <w:hyperlink w:anchor="_Toc390269624" w:history="1">
            <w:r w:rsidR="00650939" w:rsidRPr="003263C9">
              <w:rPr>
                <w:rStyle w:val="Hyperlink"/>
                <w:rFonts w:ascii="Times New Roman" w:hAnsi="Times New Roman" w:cs="Times New Roman"/>
                <w:b/>
                <w:noProof/>
                <w:color w:val="auto"/>
                <w:sz w:val="24"/>
                <w:szCs w:val="24"/>
              </w:rPr>
              <w:t>APPENDIX B – SUMMARY OF SUBMISSIONS</w:t>
            </w:r>
            <w:r w:rsidR="00650939" w:rsidRPr="00957F42">
              <w:rPr>
                <w:rFonts w:ascii="Times New Roman" w:hAnsi="Times New Roman" w:cs="Times New Roman"/>
                <w:noProof/>
                <w:webHidden/>
                <w:sz w:val="24"/>
                <w:szCs w:val="24"/>
              </w:rPr>
              <w:tab/>
            </w:r>
            <w:r w:rsidR="00FF4BD1" w:rsidRPr="00957F42">
              <w:rPr>
                <w:rFonts w:ascii="Times New Roman" w:hAnsi="Times New Roman" w:cs="Times New Roman"/>
                <w:noProof/>
                <w:webHidden/>
                <w:sz w:val="24"/>
                <w:szCs w:val="24"/>
              </w:rPr>
              <w:fldChar w:fldCharType="begin"/>
            </w:r>
            <w:r w:rsidR="00650939" w:rsidRPr="00957F42">
              <w:rPr>
                <w:rFonts w:ascii="Times New Roman" w:hAnsi="Times New Roman" w:cs="Times New Roman"/>
                <w:noProof/>
                <w:webHidden/>
                <w:sz w:val="24"/>
                <w:szCs w:val="24"/>
              </w:rPr>
              <w:instrText xml:space="preserve"> PAGEREF _Toc390269624 \h </w:instrText>
            </w:r>
            <w:r w:rsidR="00FF4BD1" w:rsidRPr="00957F42">
              <w:rPr>
                <w:rFonts w:ascii="Times New Roman" w:hAnsi="Times New Roman" w:cs="Times New Roman"/>
                <w:noProof/>
                <w:webHidden/>
                <w:sz w:val="24"/>
                <w:szCs w:val="24"/>
              </w:rPr>
            </w:r>
            <w:r w:rsidR="00FF4BD1" w:rsidRPr="00957F42">
              <w:rPr>
                <w:rFonts w:ascii="Times New Roman" w:hAnsi="Times New Roman" w:cs="Times New Roman"/>
                <w:noProof/>
                <w:webHidden/>
                <w:sz w:val="24"/>
                <w:szCs w:val="24"/>
              </w:rPr>
              <w:fldChar w:fldCharType="separate"/>
            </w:r>
            <w:r w:rsidR="002F4934">
              <w:rPr>
                <w:rFonts w:ascii="Times New Roman" w:hAnsi="Times New Roman" w:cs="Times New Roman"/>
                <w:noProof/>
                <w:webHidden/>
                <w:sz w:val="24"/>
                <w:szCs w:val="24"/>
              </w:rPr>
              <w:t>15</w:t>
            </w:r>
            <w:r w:rsidR="00FF4BD1" w:rsidRPr="00957F42">
              <w:rPr>
                <w:rFonts w:ascii="Times New Roman" w:hAnsi="Times New Roman" w:cs="Times New Roman"/>
                <w:noProof/>
                <w:webHidden/>
                <w:sz w:val="24"/>
                <w:szCs w:val="24"/>
              </w:rPr>
              <w:fldChar w:fldCharType="end"/>
            </w:r>
          </w:hyperlink>
        </w:p>
        <w:p w:rsidR="00891CE0" w:rsidRPr="00A40ACC" w:rsidRDefault="00FF4BD1" w:rsidP="00235461">
          <w:pPr>
            <w:spacing w:after="0" w:line="360" w:lineRule="auto"/>
            <w:rPr>
              <w:rFonts w:ascii="Times New Roman" w:hAnsi="Times New Roman" w:cs="Times New Roman"/>
              <w:sz w:val="24"/>
              <w:szCs w:val="24"/>
            </w:rPr>
          </w:pPr>
          <w:r w:rsidRPr="003263C9">
            <w:rPr>
              <w:rFonts w:ascii="Times New Roman" w:hAnsi="Times New Roman" w:cs="Times New Roman"/>
              <w:sz w:val="24"/>
              <w:szCs w:val="24"/>
            </w:rPr>
            <w:lastRenderedPageBreak/>
            <w:fldChar w:fldCharType="end"/>
          </w:r>
        </w:p>
      </w:sdtContent>
    </w:sdt>
    <w:p w:rsidR="00A75CFC" w:rsidRPr="00A40ACC" w:rsidRDefault="00A75CFC" w:rsidP="00235461">
      <w:pPr>
        <w:pStyle w:val="NoSpacing"/>
        <w:spacing w:line="264" w:lineRule="auto"/>
        <w:jc w:val="both"/>
        <w:rPr>
          <w:rFonts w:ascii="Times New Roman" w:hAnsi="Times New Roman" w:cs="Times New Roman"/>
          <w:b/>
          <w:sz w:val="24"/>
          <w:szCs w:val="24"/>
        </w:rPr>
        <w:sectPr w:rsidR="00A75CFC" w:rsidRPr="00A40ACC" w:rsidSect="00105027">
          <w:footerReference w:type="default" r:id="rId12"/>
          <w:footerReference w:type="first" r:id="rId13"/>
          <w:type w:val="oddPage"/>
          <w:pgSz w:w="11906" w:h="16838"/>
          <w:pgMar w:top="1440" w:right="1440" w:bottom="1134" w:left="1440" w:header="709" w:footer="709" w:gutter="0"/>
          <w:cols w:space="708"/>
          <w:titlePg/>
          <w:docGrid w:linePitch="360"/>
        </w:sectPr>
      </w:pPr>
    </w:p>
    <w:p w:rsidR="001141A7" w:rsidRPr="00A40ACC" w:rsidRDefault="001141A7" w:rsidP="00235461">
      <w:pPr>
        <w:pStyle w:val="Title"/>
        <w:spacing w:after="0" w:line="264" w:lineRule="auto"/>
        <w:jc w:val="center"/>
        <w:outlineLvl w:val="0"/>
        <w:rPr>
          <w:rFonts w:ascii="Times New Roman" w:hAnsi="Times New Roman" w:cs="Times New Roman"/>
          <w:b/>
          <w:color w:val="auto"/>
          <w:sz w:val="44"/>
          <w:szCs w:val="44"/>
        </w:rPr>
      </w:pPr>
      <w:bookmarkStart w:id="3" w:name="_Toc390269594"/>
      <w:r w:rsidRPr="00A40ACC">
        <w:rPr>
          <w:rFonts w:ascii="Times New Roman" w:hAnsi="Times New Roman" w:cs="Times New Roman"/>
          <w:b/>
          <w:color w:val="auto"/>
          <w:sz w:val="44"/>
          <w:szCs w:val="44"/>
        </w:rPr>
        <w:lastRenderedPageBreak/>
        <w:t>INTRODUCTION</w:t>
      </w:r>
      <w:bookmarkEnd w:id="3"/>
    </w:p>
    <w:p w:rsidR="00A832C1" w:rsidRPr="00A40ACC" w:rsidRDefault="00A832C1" w:rsidP="00235461">
      <w:pPr>
        <w:pStyle w:val="NoSpacing"/>
        <w:spacing w:line="264" w:lineRule="auto"/>
        <w:jc w:val="both"/>
        <w:rPr>
          <w:rFonts w:ascii="Times New Roman" w:hAnsi="Times New Roman" w:cs="Times New Roman"/>
          <w:sz w:val="24"/>
          <w:szCs w:val="24"/>
        </w:rPr>
      </w:pPr>
    </w:p>
    <w:p w:rsidR="005C78F5" w:rsidRDefault="005C78F5" w:rsidP="00235461">
      <w:pPr>
        <w:pStyle w:val="NoSpacing"/>
        <w:spacing w:line="264" w:lineRule="auto"/>
        <w:jc w:val="both"/>
        <w:rPr>
          <w:rFonts w:ascii="Times New Roman" w:hAnsi="Times New Roman" w:cs="Times New Roman"/>
          <w:sz w:val="24"/>
          <w:szCs w:val="24"/>
        </w:rPr>
      </w:pPr>
    </w:p>
    <w:p w:rsidR="00CF0388" w:rsidRPr="00A40ACC" w:rsidRDefault="00A832C1"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The</w:t>
      </w:r>
      <w:r w:rsidR="00957F42">
        <w:rPr>
          <w:rFonts w:ascii="Times New Roman" w:hAnsi="Times New Roman" w:cs="Times New Roman"/>
          <w:sz w:val="24"/>
          <w:szCs w:val="24"/>
        </w:rPr>
        <w:t xml:space="preserve"> Health and Disability Commissioner</w:t>
      </w:r>
      <w:r w:rsidRPr="00A40ACC">
        <w:rPr>
          <w:rFonts w:ascii="Times New Roman" w:hAnsi="Times New Roman" w:cs="Times New Roman"/>
          <w:sz w:val="24"/>
          <w:szCs w:val="24"/>
        </w:rPr>
        <w:t xml:space="preserve"> </w:t>
      </w:r>
      <w:r w:rsidR="00957F42">
        <w:rPr>
          <w:rFonts w:ascii="Times New Roman" w:hAnsi="Times New Roman" w:cs="Times New Roman"/>
          <w:sz w:val="24"/>
          <w:szCs w:val="24"/>
        </w:rPr>
        <w:t>(</w:t>
      </w:r>
      <w:r w:rsidRPr="00A40ACC">
        <w:rPr>
          <w:rFonts w:ascii="Times New Roman" w:hAnsi="Times New Roman" w:cs="Times New Roman"/>
          <w:sz w:val="24"/>
          <w:szCs w:val="24"/>
        </w:rPr>
        <w:t>HDC</w:t>
      </w:r>
      <w:r w:rsidR="00957F42">
        <w:rPr>
          <w:rFonts w:ascii="Times New Roman" w:hAnsi="Times New Roman" w:cs="Times New Roman"/>
          <w:sz w:val="24"/>
          <w:szCs w:val="24"/>
        </w:rPr>
        <w:t>)</w:t>
      </w:r>
      <w:r w:rsidRPr="00A40ACC">
        <w:rPr>
          <w:rFonts w:ascii="Times New Roman" w:hAnsi="Times New Roman" w:cs="Times New Roman"/>
          <w:sz w:val="24"/>
          <w:szCs w:val="24"/>
        </w:rPr>
        <w:t xml:space="preserve"> was established under the Health and Disability Commissioner Act 1994 (the Act) to promote and protect the rights of </w:t>
      </w:r>
      <w:r w:rsidR="00CF0388" w:rsidRPr="00A40ACC">
        <w:rPr>
          <w:rFonts w:ascii="Times New Roman" w:hAnsi="Times New Roman" w:cs="Times New Roman"/>
          <w:sz w:val="24"/>
          <w:szCs w:val="24"/>
        </w:rPr>
        <w:t xml:space="preserve">consumers of </w:t>
      </w:r>
      <w:r w:rsidRPr="00A40ACC">
        <w:rPr>
          <w:rFonts w:ascii="Times New Roman" w:hAnsi="Times New Roman" w:cs="Times New Roman"/>
          <w:sz w:val="24"/>
          <w:szCs w:val="24"/>
        </w:rPr>
        <w:t xml:space="preserve">health and disability services. The rights of consumers are set out in the Code of Health and Disability Services Consumers’ Rights 1996 (the Code). </w:t>
      </w:r>
    </w:p>
    <w:p w:rsidR="00CF0388" w:rsidRPr="00A40ACC" w:rsidRDefault="00CF0388" w:rsidP="00235461">
      <w:pPr>
        <w:pStyle w:val="NoSpacing"/>
        <w:spacing w:line="264" w:lineRule="auto"/>
        <w:jc w:val="both"/>
        <w:rPr>
          <w:rFonts w:ascii="Times New Roman" w:hAnsi="Times New Roman" w:cs="Times New Roman"/>
          <w:sz w:val="24"/>
          <w:szCs w:val="24"/>
        </w:rPr>
      </w:pPr>
    </w:p>
    <w:p w:rsidR="00A832C1" w:rsidRPr="00A40ACC" w:rsidRDefault="00A832C1"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The legislation requires the Commissioner to </w:t>
      </w:r>
      <w:r w:rsidR="00CF0388" w:rsidRPr="00A40ACC">
        <w:rPr>
          <w:rFonts w:ascii="Times New Roman" w:hAnsi="Times New Roman" w:cs="Times New Roman"/>
          <w:sz w:val="24"/>
          <w:szCs w:val="24"/>
        </w:rPr>
        <w:t xml:space="preserve">periodically </w:t>
      </w:r>
      <w:r w:rsidRPr="00A40ACC">
        <w:rPr>
          <w:rFonts w:ascii="Times New Roman" w:hAnsi="Times New Roman" w:cs="Times New Roman"/>
          <w:sz w:val="24"/>
          <w:szCs w:val="24"/>
        </w:rPr>
        <w:t xml:space="preserve">undertake reviews of both the Act and </w:t>
      </w:r>
      <w:r w:rsidR="00CF0388" w:rsidRPr="00A40ACC">
        <w:rPr>
          <w:rFonts w:ascii="Times New Roman" w:hAnsi="Times New Roman" w:cs="Times New Roman"/>
          <w:sz w:val="24"/>
          <w:szCs w:val="24"/>
        </w:rPr>
        <w:t xml:space="preserve">the </w:t>
      </w:r>
      <w:r w:rsidRPr="00A40ACC">
        <w:rPr>
          <w:rFonts w:ascii="Times New Roman" w:hAnsi="Times New Roman" w:cs="Times New Roman"/>
          <w:sz w:val="24"/>
          <w:szCs w:val="24"/>
        </w:rPr>
        <w:t>Code, consider whether any amendments are necessary or desirable, and report the fin</w:t>
      </w:r>
      <w:r w:rsidR="000F7F88" w:rsidRPr="00A40ACC">
        <w:rPr>
          <w:rFonts w:ascii="Times New Roman" w:hAnsi="Times New Roman" w:cs="Times New Roman"/>
          <w:sz w:val="24"/>
          <w:szCs w:val="24"/>
        </w:rPr>
        <w:t xml:space="preserve">dings to the Minister. </w:t>
      </w:r>
      <w:r w:rsidR="00CF0388" w:rsidRPr="00A40ACC">
        <w:rPr>
          <w:rFonts w:ascii="Times New Roman" w:hAnsi="Times New Roman" w:cs="Times New Roman"/>
          <w:sz w:val="24"/>
          <w:szCs w:val="24"/>
        </w:rPr>
        <w:t xml:space="preserve">As has been the practice in previous years, </w:t>
      </w:r>
      <w:r w:rsidR="000F7F88" w:rsidRPr="00A40ACC">
        <w:rPr>
          <w:rFonts w:ascii="Times New Roman" w:hAnsi="Times New Roman" w:cs="Times New Roman"/>
          <w:sz w:val="24"/>
          <w:szCs w:val="24"/>
        </w:rPr>
        <w:t>I decided to undertake these reviews simultaneously.</w:t>
      </w:r>
    </w:p>
    <w:p w:rsidR="000F7F88" w:rsidRPr="00A40ACC" w:rsidRDefault="000F7F88" w:rsidP="00235461">
      <w:pPr>
        <w:pStyle w:val="NoSpacing"/>
        <w:spacing w:line="264" w:lineRule="auto"/>
        <w:jc w:val="both"/>
        <w:rPr>
          <w:rFonts w:ascii="Times New Roman" w:hAnsi="Times New Roman" w:cs="Times New Roman"/>
          <w:sz w:val="24"/>
          <w:szCs w:val="24"/>
        </w:rPr>
      </w:pPr>
    </w:p>
    <w:p w:rsidR="00CD2D31" w:rsidRPr="00A40ACC" w:rsidRDefault="00CD2D31" w:rsidP="00235461">
      <w:pPr>
        <w:pStyle w:val="NoSpacing"/>
        <w:spacing w:line="264" w:lineRule="auto"/>
        <w:jc w:val="both"/>
        <w:rPr>
          <w:rFonts w:ascii="Times New Roman" w:hAnsi="Times New Roman" w:cs="Times New Roman"/>
          <w:i/>
          <w:sz w:val="24"/>
          <w:szCs w:val="24"/>
        </w:rPr>
      </w:pPr>
      <w:r w:rsidRPr="00A40ACC">
        <w:rPr>
          <w:rFonts w:ascii="Times New Roman" w:hAnsi="Times New Roman" w:cs="Times New Roman"/>
          <w:i/>
          <w:sz w:val="24"/>
          <w:szCs w:val="24"/>
        </w:rPr>
        <w:t>Consultation process</w:t>
      </w:r>
    </w:p>
    <w:p w:rsidR="000F7F88" w:rsidRPr="00A40ACC" w:rsidRDefault="00CF0388"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Since the last review in 2009, and d</w:t>
      </w:r>
      <w:r w:rsidR="00C7015A" w:rsidRPr="00A40ACC">
        <w:rPr>
          <w:rFonts w:ascii="Times New Roman" w:hAnsi="Times New Roman" w:cs="Times New Roman"/>
          <w:sz w:val="24"/>
          <w:szCs w:val="24"/>
        </w:rPr>
        <w:t xml:space="preserve">uring the </w:t>
      </w:r>
      <w:r w:rsidR="00B40AE3" w:rsidRPr="00A40ACC">
        <w:rPr>
          <w:rFonts w:ascii="Times New Roman" w:hAnsi="Times New Roman" w:cs="Times New Roman"/>
          <w:sz w:val="24"/>
          <w:szCs w:val="24"/>
        </w:rPr>
        <w:t xml:space="preserve">four </w:t>
      </w:r>
      <w:r w:rsidR="00C7015A" w:rsidRPr="00A40ACC">
        <w:rPr>
          <w:rFonts w:ascii="Times New Roman" w:hAnsi="Times New Roman" w:cs="Times New Roman"/>
          <w:sz w:val="24"/>
          <w:szCs w:val="24"/>
        </w:rPr>
        <w:t>year</w:t>
      </w:r>
      <w:r w:rsidR="005D5899" w:rsidRPr="00A40ACC">
        <w:rPr>
          <w:rFonts w:ascii="Times New Roman" w:hAnsi="Times New Roman" w:cs="Times New Roman"/>
          <w:sz w:val="24"/>
          <w:szCs w:val="24"/>
        </w:rPr>
        <w:t>s that I have been Commissioner</w:t>
      </w:r>
      <w:r w:rsidR="00450C2B">
        <w:rPr>
          <w:rFonts w:ascii="Times New Roman" w:hAnsi="Times New Roman" w:cs="Times New Roman"/>
          <w:sz w:val="24"/>
          <w:szCs w:val="24"/>
        </w:rPr>
        <w:t xml:space="preserve"> up until I commenced this review</w:t>
      </w:r>
      <w:r w:rsidR="005D5899" w:rsidRPr="00A40ACC">
        <w:rPr>
          <w:rFonts w:ascii="Times New Roman" w:hAnsi="Times New Roman" w:cs="Times New Roman"/>
          <w:sz w:val="24"/>
          <w:szCs w:val="24"/>
        </w:rPr>
        <w:t>,</w:t>
      </w:r>
      <w:r w:rsidR="00C7015A" w:rsidRPr="00A40ACC">
        <w:rPr>
          <w:rFonts w:ascii="Times New Roman" w:hAnsi="Times New Roman" w:cs="Times New Roman"/>
          <w:sz w:val="24"/>
          <w:szCs w:val="24"/>
        </w:rPr>
        <w:t xml:space="preserve"> I ha</w:t>
      </w:r>
      <w:r w:rsidR="00450C2B">
        <w:rPr>
          <w:rFonts w:ascii="Times New Roman" w:hAnsi="Times New Roman" w:cs="Times New Roman"/>
          <w:sz w:val="24"/>
          <w:szCs w:val="24"/>
        </w:rPr>
        <w:t>d</w:t>
      </w:r>
      <w:r w:rsidR="00C7015A" w:rsidRPr="00A40ACC">
        <w:rPr>
          <w:rFonts w:ascii="Times New Roman" w:hAnsi="Times New Roman" w:cs="Times New Roman"/>
          <w:sz w:val="24"/>
          <w:szCs w:val="24"/>
        </w:rPr>
        <w:t xml:space="preserve"> not be</w:t>
      </w:r>
      <w:r w:rsidRPr="00A40ACC">
        <w:rPr>
          <w:rFonts w:ascii="Times New Roman" w:hAnsi="Times New Roman" w:cs="Times New Roman"/>
          <w:sz w:val="24"/>
          <w:szCs w:val="24"/>
        </w:rPr>
        <w:t>come</w:t>
      </w:r>
      <w:r w:rsidR="00C7015A" w:rsidRPr="00A40ACC">
        <w:rPr>
          <w:rFonts w:ascii="Times New Roman" w:hAnsi="Times New Roman" w:cs="Times New Roman"/>
          <w:sz w:val="24"/>
          <w:szCs w:val="24"/>
        </w:rPr>
        <w:t xml:space="preserve"> </w:t>
      </w:r>
      <w:r w:rsidR="005D5899" w:rsidRPr="00A40ACC">
        <w:rPr>
          <w:rFonts w:ascii="Times New Roman" w:hAnsi="Times New Roman" w:cs="Times New Roman"/>
          <w:sz w:val="24"/>
          <w:szCs w:val="24"/>
        </w:rPr>
        <w:t xml:space="preserve">aware of any issues with the Act </w:t>
      </w:r>
      <w:r w:rsidRPr="00A40ACC">
        <w:rPr>
          <w:rFonts w:ascii="Times New Roman" w:hAnsi="Times New Roman" w:cs="Times New Roman"/>
          <w:sz w:val="24"/>
          <w:szCs w:val="24"/>
        </w:rPr>
        <w:t>or the</w:t>
      </w:r>
      <w:r w:rsidR="005D5899" w:rsidRPr="00A40ACC">
        <w:rPr>
          <w:rFonts w:ascii="Times New Roman" w:hAnsi="Times New Roman" w:cs="Times New Roman"/>
          <w:sz w:val="24"/>
          <w:szCs w:val="24"/>
        </w:rPr>
        <w:t xml:space="preserve"> Code that </w:t>
      </w:r>
      <w:r w:rsidR="00485044" w:rsidRPr="00A40ACC">
        <w:rPr>
          <w:rFonts w:ascii="Times New Roman" w:hAnsi="Times New Roman" w:cs="Times New Roman"/>
          <w:sz w:val="24"/>
          <w:szCs w:val="24"/>
        </w:rPr>
        <w:t xml:space="preserve">might </w:t>
      </w:r>
      <w:r w:rsidR="005D5899" w:rsidRPr="00A40ACC">
        <w:rPr>
          <w:rFonts w:ascii="Times New Roman" w:hAnsi="Times New Roman" w:cs="Times New Roman"/>
          <w:sz w:val="24"/>
          <w:szCs w:val="24"/>
        </w:rPr>
        <w:t xml:space="preserve">warrant particular focus in this review. At the time I </w:t>
      </w:r>
      <w:r w:rsidR="008A05B4" w:rsidRPr="00A40ACC">
        <w:rPr>
          <w:rFonts w:ascii="Times New Roman" w:hAnsi="Times New Roman" w:cs="Times New Roman"/>
          <w:sz w:val="24"/>
          <w:szCs w:val="24"/>
        </w:rPr>
        <w:t>began consultation</w:t>
      </w:r>
      <w:r w:rsidR="005D5899" w:rsidRPr="00A40ACC">
        <w:rPr>
          <w:rFonts w:ascii="Times New Roman" w:hAnsi="Times New Roman" w:cs="Times New Roman"/>
          <w:sz w:val="24"/>
          <w:szCs w:val="24"/>
        </w:rPr>
        <w:t xml:space="preserve"> on this review, a number of recommendations from the 2009 review were still on the legislative agenda. Accordingly, I decided to carry out a general </w:t>
      </w:r>
      <w:r w:rsidR="00CD2D31" w:rsidRPr="00A40ACC">
        <w:rPr>
          <w:rFonts w:ascii="Times New Roman" w:hAnsi="Times New Roman" w:cs="Times New Roman"/>
          <w:sz w:val="24"/>
          <w:szCs w:val="24"/>
        </w:rPr>
        <w:t>consultation in which I</w:t>
      </w:r>
      <w:r w:rsidR="005D5899" w:rsidRPr="00A40ACC">
        <w:rPr>
          <w:rFonts w:ascii="Times New Roman" w:hAnsi="Times New Roman" w:cs="Times New Roman"/>
          <w:sz w:val="24"/>
          <w:szCs w:val="24"/>
        </w:rPr>
        <w:t xml:space="preserve"> </w:t>
      </w:r>
      <w:r w:rsidR="00A61C32" w:rsidRPr="00A40ACC">
        <w:rPr>
          <w:rFonts w:ascii="Times New Roman" w:hAnsi="Times New Roman" w:cs="Times New Roman"/>
          <w:sz w:val="24"/>
          <w:szCs w:val="24"/>
        </w:rPr>
        <w:t>confirm</w:t>
      </w:r>
      <w:r w:rsidR="00CD2D31" w:rsidRPr="00A40ACC">
        <w:rPr>
          <w:rFonts w:ascii="Times New Roman" w:hAnsi="Times New Roman" w:cs="Times New Roman"/>
          <w:sz w:val="24"/>
          <w:szCs w:val="24"/>
        </w:rPr>
        <w:t xml:space="preserve">ed my support for </w:t>
      </w:r>
      <w:r w:rsidR="00A61C32" w:rsidRPr="00A40ACC">
        <w:rPr>
          <w:rFonts w:ascii="Times New Roman" w:hAnsi="Times New Roman" w:cs="Times New Roman"/>
          <w:sz w:val="24"/>
          <w:szCs w:val="24"/>
        </w:rPr>
        <w:t xml:space="preserve">the amendments </w:t>
      </w:r>
      <w:r w:rsidR="008A05B4" w:rsidRPr="00A40ACC">
        <w:rPr>
          <w:rFonts w:ascii="Times New Roman" w:hAnsi="Times New Roman" w:cs="Times New Roman"/>
          <w:sz w:val="24"/>
          <w:szCs w:val="24"/>
        </w:rPr>
        <w:t>to the Act</w:t>
      </w:r>
      <w:r w:rsidR="00D61CEC">
        <w:rPr>
          <w:rFonts w:ascii="Times New Roman" w:hAnsi="Times New Roman" w:cs="Times New Roman"/>
          <w:sz w:val="24"/>
          <w:szCs w:val="24"/>
        </w:rPr>
        <w:t>,</w:t>
      </w:r>
      <w:r w:rsidR="008A05B4" w:rsidRPr="00A40ACC">
        <w:rPr>
          <w:rFonts w:ascii="Times New Roman" w:hAnsi="Times New Roman" w:cs="Times New Roman"/>
          <w:sz w:val="24"/>
          <w:szCs w:val="24"/>
        </w:rPr>
        <w:t xml:space="preserve"> </w:t>
      </w:r>
      <w:r w:rsidR="00A61C32" w:rsidRPr="00A40ACC">
        <w:rPr>
          <w:rFonts w:ascii="Times New Roman" w:hAnsi="Times New Roman" w:cs="Times New Roman"/>
          <w:sz w:val="24"/>
          <w:szCs w:val="24"/>
        </w:rPr>
        <w:t xml:space="preserve">agreed on by the Minister </w:t>
      </w:r>
      <w:r w:rsidR="008A05B4" w:rsidRPr="00A40ACC">
        <w:rPr>
          <w:rFonts w:ascii="Times New Roman" w:hAnsi="Times New Roman" w:cs="Times New Roman"/>
          <w:sz w:val="24"/>
          <w:szCs w:val="24"/>
        </w:rPr>
        <w:t xml:space="preserve">of Health </w:t>
      </w:r>
      <w:r w:rsidR="00A61C32" w:rsidRPr="00A40ACC">
        <w:rPr>
          <w:rFonts w:ascii="Times New Roman" w:hAnsi="Times New Roman" w:cs="Times New Roman"/>
          <w:sz w:val="24"/>
          <w:szCs w:val="24"/>
        </w:rPr>
        <w:t xml:space="preserve">after the 2009 review, and </w:t>
      </w:r>
      <w:r w:rsidR="005D5899" w:rsidRPr="00A40ACC">
        <w:rPr>
          <w:rFonts w:ascii="Times New Roman" w:hAnsi="Times New Roman" w:cs="Times New Roman"/>
          <w:sz w:val="24"/>
          <w:szCs w:val="24"/>
        </w:rPr>
        <w:t>ask</w:t>
      </w:r>
      <w:r w:rsidR="00CD2D31" w:rsidRPr="00A40ACC">
        <w:rPr>
          <w:rFonts w:ascii="Times New Roman" w:hAnsi="Times New Roman" w:cs="Times New Roman"/>
          <w:sz w:val="24"/>
          <w:szCs w:val="24"/>
        </w:rPr>
        <w:t>ed</w:t>
      </w:r>
      <w:r w:rsidR="005D5899" w:rsidRPr="00A40ACC">
        <w:rPr>
          <w:rFonts w:ascii="Times New Roman" w:hAnsi="Times New Roman" w:cs="Times New Roman"/>
          <w:sz w:val="24"/>
          <w:szCs w:val="24"/>
        </w:rPr>
        <w:t xml:space="preserve"> for thoughts and feedback on whether the Act and/or the Code should be amended in any </w:t>
      </w:r>
      <w:r w:rsidR="00A61C32" w:rsidRPr="00A40ACC">
        <w:rPr>
          <w:rFonts w:ascii="Times New Roman" w:hAnsi="Times New Roman" w:cs="Times New Roman"/>
          <w:sz w:val="24"/>
          <w:szCs w:val="24"/>
        </w:rPr>
        <w:t xml:space="preserve">other </w:t>
      </w:r>
      <w:r w:rsidR="005D5899" w:rsidRPr="00A40ACC">
        <w:rPr>
          <w:rFonts w:ascii="Times New Roman" w:hAnsi="Times New Roman" w:cs="Times New Roman"/>
          <w:sz w:val="24"/>
          <w:szCs w:val="24"/>
        </w:rPr>
        <w:t>way.</w:t>
      </w:r>
      <w:r w:rsidR="00A61C32" w:rsidRPr="00A40ACC">
        <w:rPr>
          <w:rFonts w:ascii="Times New Roman" w:hAnsi="Times New Roman" w:cs="Times New Roman"/>
          <w:sz w:val="24"/>
          <w:szCs w:val="24"/>
        </w:rPr>
        <w:t xml:space="preserve"> </w:t>
      </w:r>
      <w:r w:rsidR="005D5899" w:rsidRPr="00A40ACC">
        <w:rPr>
          <w:rFonts w:ascii="Times New Roman" w:hAnsi="Times New Roman" w:cs="Times New Roman"/>
          <w:sz w:val="24"/>
          <w:szCs w:val="24"/>
        </w:rPr>
        <w:t>I published a consultation document in December 2013. Copies of that document were distributed to a wide range of representati</w:t>
      </w:r>
      <w:r w:rsidR="001141A7" w:rsidRPr="00A40ACC">
        <w:rPr>
          <w:rFonts w:ascii="Times New Roman" w:hAnsi="Times New Roman" w:cs="Times New Roman"/>
          <w:sz w:val="24"/>
          <w:szCs w:val="24"/>
        </w:rPr>
        <w:t xml:space="preserve">ve consumer and provider groups, </w:t>
      </w:r>
      <w:r w:rsidR="005D5899" w:rsidRPr="00A40ACC">
        <w:rPr>
          <w:rFonts w:ascii="Times New Roman" w:hAnsi="Times New Roman" w:cs="Times New Roman"/>
          <w:sz w:val="24"/>
          <w:szCs w:val="24"/>
        </w:rPr>
        <w:t>statutory agencies</w:t>
      </w:r>
      <w:r w:rsidR="00485044" w:rsidRPr="00A40ACC">
        <w:rPr>
          <w:rFonts w:ascii="Times New Roman" w:hAnsi="Times New Roman" w:cs="Times New Roman"/>
          <w:sz w:val="24"/>
          <w:szCs w:val="24"/>
        </w:rPr>
        <w:t>,</w:t>
      </w:r>
      <w:r w:rsidR="001141A7" w:rsidRPr="00A40ACC">
        <w:rPr>
          <w:rFonts w:ascii="Times New Roman" w:hAnsi="Times New Roman" w:cs="Times New Roman"/>
          <w:sz w:val="24"/>
          <w:szCs w:val="24"/>
        </w:rPr>
        <w:t xml:space="preserve"> and </w:t>
      </w:r>
      <w:r w:rsidR="00485044" w:rsidRPr="00A40ACC">
        <w:rPr>
          <w:rFonts w:ascii="Times New Roman" w:hAnsi="Times New Roman" w:cs="Times New Roman"/>
          <w:sz w:val="24"/>
          <w:szCs w:val="24"/>
        </w:rPr>
        <w:t xml:space="preserve">to the </w:t>
      </w:r>
      <w:r w:rsidR="001141A7" w:rsidRPr="00A40ACC">
        <w:rPr>
          <w:rFonts w:ascii="Times New Roman" w:hAnsi="Times New Roman" w:cs="Times New Roman"/>
          <w:sz w:val="24"/>
          <w:szCs w:val="24"/>
        </w:rPr>
        <w:t>media</w:t>
      </w:r>
      <w:r w:rsidR="005D5899" w:rsidRPr="00A40ACC">
        <w:rPr>
          <w:rFonts w:ascii="Times New Roman" w:hAnsi="Times New Roman" w:cs="Times New Roman"/>
          <w:sz w:val="24"/>
          <w:szCs w:val="24"/>
        </w:rPr>
        <w:t>, as well as being posted on the HDC website.</w:t>
      </w:r>
    </w:p>
    <w:p w:rsidR="005D5899" w:rsidRPr="00A40ACC" w:rsidRDefault="005D5899" w:rsidP="00235461">
      <w:pPr>
        <w:pStyle w:val="NoSpacing"/>
        <w:spacing w:line="264" w:lineRule="auto"/>
        <w:jc w:val="both"/>
        <w:rPr>
          <w:rFonts w:ascii="Times New Roman" w:hAnsi="Times New Roman" w:cs="Times New Roman"/>
          <w:sz w:val="24"/>
          <w:szCs w:val="24"/>
        </w:rPr>
      </w:pPr>
    </w:p>
    <w:p w:rsidR="00CD2D31" w:rsidRPr="00A40ACC" w:rsidRDefault="00CD2D31" w:rsidP="00235461">
      <w:pPr>
        <w:pStyle w:val="NoSpacing"/>
        <w:spacing w:line="264" w:lineRule="auto"/>
        <w:jc w:val="both"/>
        <w:rPr>
          <w:rFonts w:ascii="Times New Roman" w:hAnsi="Times New Roman" w:cs="Times New Roman"/>
          <w:i/>
          <w:sz w:val="24"/>
          <w:szCs w:val="24"/>
        </w:rPr>
      </w:pPr>
      <w:r w:rsidRPr="00A40ACC">
        <w:rPr>
          <w:rFonts w:ascii="Times New Roman" w:hAnsi="Times New Roman" w:cs="Times New Roman"/>
          <w:i/>
          <w:sz w:val="24"/>
          <w:szCs w:val="24"/>
        </w:rPr>
        <w:t>Submissions</w:t>
      </w:r>
    </w:p>
    <w:p w:rsidR="005D5899" w:rsidRPr="00A40ACC" w:rsidRDefault="005D5899"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I received </w:t>
      </w:r>
      <w:r w:rsidR="00F033AF" w:rsidRPr="00A40ACC">
        <w:rPr>
          <w:rFonts w:ascii="Times New Roman" w:hAnsi="Times New Roman" w:cs="Times New Roman"/>
          <w:sz w:val="24"/>
          <w:szCs w:val="24"/>
        </w:rPr>
        <w:t>4</w:t>
      </w:r>
      <w:r w:rsidR="008F5E92" w:rsidRPr="00A40ACC">
        <w:rPr>
          <w:rFonts w:ascii="Times New Roman" w:hAnsi="Times New Roman" w:cs="Times New Roman"/>
          <w:sz w:val="24"/>
          <w:szCs w:val="24"/>
        </w:rPr>
        <w:t xml:space="preserve">4 </w:t>
      </w:r>
      <w:r w:rsidRPr="00A40ACC">
        <w:rPr>
          <w:rFonts w:ascii="Times New Roman" w:hAnsi="Times New Roman" w:cs="Times New Roman"/>
          <w:sz w:val="24"/>
          <w:szCs w:val="24"/>
        </w:rPr>
        <w:t xml:space="preserve">submissions </w:t>
      </w:r>
      <w:r w:rsidR="00A61C32" w:rsidRPr="00A40ACC">
        <w:rPr>
          <w:rFonts w:ascii="Times New Roman" w:hAnsi="Times New Roman" w:cs="Times New Roman"/>
          <w:sz w:val="24"/>
          <w:szCs w:val="24"/>
        </w:rPr>
        <w:t>on th</w:t>
      </w:r>
      <w:r w:rsidR="00902ADF" w:rsidRPr="00A40ACC">
        <w:rPr>
          <w:rFonts w:ascii="Times New Roman" w:hAnsi="Times New Roman" w:cs="Times New Roman"/>
          <w:sz w:val="24"/>
          <w:szCs w:val="24"/>
        </w:rPr>
        <w:t>e current</w:t>
      </w:r>
      <w:r w:rsidR="00A61C32" w:rsidRPr="00A40ACC">
        <w:rPr>
          <w:rFonts w:ascii="Times New Roman" w:hAnsi="Times New Roman" w:cs="Times New Roman"/>
          <w:sz w:val="24"/>
          <w:szCs w:val="24"/>
        </w:rPr>
        <w:t xml:space="preserve"> review. The submissions raised similar issues to those raised in previous reviews, confirming my view that the Act and </w:t>
      </w:r>
      <w:r w:rsidR="00902ADF" w:rsidRPr="00A40ACC">
        <w:rPr>
          <w:rFonts w:ascii="Times New Roman" w:hAnsi="Times New Roman" w:cs="Times New Roman"/>
          <w:sz w:val="24"/>
          <w:szCs w:val="24"/>
        </w:rPr>
        <w:t xml:space="preserve">the </w:t>
      </w:r>
      <w:r w:rsidR="00A61C32" w:rsidRPr="00A40ACC">
        <w:rPr>
          <w:rFonts w:ascii="Times New Roman" w:hAnsi="Times New Roman" w:cs="Times New Roman"/>
          <w:sz w:val="24"/>
          <w:szCs w:val="24"/>
        </w:rPr>
        <w:t xml:space="preserve">Code </w:t>
      </w:r>
      <w:r w:rsidR="00902ADF" w:rsidRPr="00A40ACC">
        <w:rPr>
          <w:rFonts w:ascii="Times New Roman" w:hAnsi="Times New Roman" w:cs="Times New Roman"/>
          <w:sz w:val="24"/>
          <w:szCs w:val="24"/>
        </w:rPr>
        <w:t>are</w:t>
      </w:r>
      <w:r w:rsidR="00A61C32" w:rsidRPr="00A40ACC">
        <w:rPr>
          <w:rFonts w:ascii="Times New Roman" w:hAnsi="Times New Roman" w:cs="Times New Roman"/>
          <w:sz w:val="24"/>
          <w:szCs w:val="24"/>
        </w:rPr>
        <w:t xml:space="preserve"> </w:t>
      </w:r>
      <w:r w:rsidR="005E63AA" w:rsidRPr="00A40ACC">
        <w:rPr>
          <w:rFonts w:ascii="Times New Roman" w:hAnsi="Times New Roman" w:cs="Times New Roman"/>
          <w:sz w:val="24"/>
          <w:szCs w:val="24"/>
        </w:rPr>
        <w:t xml:space="preserve">operating well. I have not been persuaded by any submissions that any </w:t>
      </w:r>
      <w:r w:rsidR="00902ADF" w:rsidRPr="00A40ACC">
        <w:rPr>
          <w:rFonts w:ascii="Times New Roman" w:hAnsi="Times New Roman" w:cs="Times New Roman"/>
          <w:sz w:val="24"/>
          <w:szCs w:val="24"/>
        </w:rPr>
        <w:t xml:space="preserve">additional </w:t>
      </w:r>
      <w:r w:rsidR="005E63AA" w:rsidRPr="00A40ACC">
        <w:rPr>
          <w:rFonts w:ascii="Times New Roman" w:hAnsi="Times New Roman" w:cs="Times New Roman"/>
          <w:sz w:val="24"/>
          <w:szCs w:val="24"/>
        </w:rPr>
        <w:t xml:space="preserve">amendment to the Act </w:t>
      </w:r>
      <w:r w:rsidR="00902ADF" w:rsidRPr="00A40ACC">
        <w:rPr>
          <w:rFonts w:ascii="Times New Roman" w:hAnsi="Times New Roman" w:cs="Times New Roman"/>
          <w:sz w:val="24"/>
          <w:szCs w:val="24"/>
        </w:rPr>
        <w:t>or the</w:t>
      </w:r>
      <w:r w:rsidR="005E63AA" w:rsidRPr="00A40ACC">
        <w:rPr>
          <w:rFonts w:ascii="Times New Roman" w:hAnsi="Times New Roman" w:cs="Times New Roman"/>
          <w:sz w:val="24"/>
          <w:szCs w:val="24"/>
        </w:rPr>
        <w:t xml:space="preserve"> Code is necessary</w:t>
      </w:r>
      <w:r w:rsidR="00902ADF" w:rsidRPr="00A40ACC">
        <w:rPr>
          <w:rFonts w:ascii="Times New Roman" w:hAnsi="Times New Roman" w:cs="Times New Roman"/>
          <w:sz w:val="24"/>
          <w:szCs w:val="24"/>
        </w:rPr>
        <w:t xml:space="preserve"> at this point</w:t>
      </w:r>
      <w:r w:rsidR="005E63AA" w:rsidRPr="00A40ACC">
        <w:rPr>
          <w:rFonts w:ascii="Times New Roman" w:hAnsi="Times New Roman" w:cs="Times New Roman"/>
          <w:sz w:val="24"/>
          <w:szCs w:val="24"/>
        </w:rPr>
        <w:t>.</w:t>
      </w:r>
    </w:p>
    <w:p w:rsidR="001141A7" w:rsidRPr="00A40ACC" w:rsidRDefault="001141A7" w:rsidP="00235461">
      <w:pPr>
        <w:pStyle w:val="NoSpacing"/>
        <w:spacing w:line="264" w:lineRule="auto"/>
        <w:jc w:val="both"/>
        <w:rPr>
          <w:rFonts w:ascii="Times New Roman" w:hAnsi="Times New Roman" w:cs="Times New Roman"/>
          <w:sz w:val="24"/>
          <w:szCs w:val="24"/>
        </w:rPr>
      </w:pPr>
    </w:p>
    <w:p w:rsidR="001141A7" w:rsidRPr="00A40ACC" w:rsidRDefault="001141A7"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In the following section I outline my comments on the </w:t>
      </w:r>
      <w:r w:rsidR="00485044" w:rsidRPr="00A40ACC">
        <w:rPr>
          <w:rFonts w:ascii="Times New Roman" w:hAnsi="Times New Roman" w:cs="Times New Roman"/>
          <w:sz w:val="24"/>
          <w:szCs w:val="24"/>
        </w:rPr>
        <w:t>main issues</w:t>
      </w:r>
      <w:r w:rsidRPr="00A40ACC">
        <w:rPr>
          <w:rFonts w:ascii="Times New Roman" w:hAnsi="Times New Roman" w:cs="Times New Roman"/>
          <w:sz w:val="24"/>
          <w:szCs w:val="24"/>
        </w:rPr>
        <w:t xml:space="preserve"> raised</w:t>
      </w:r>
      <w:r w:rsidR="00CF0388" w:rsidRPr="00A40ACC">
        <w:rPr>
          <w:rFonts w:ascii="Times New Roman" w:hAnsi="Times New Roman" w:cs="Times New Roman"/>
          <w:sz w:val="24"/>
          <w:szCs w:val="24"/>
        </w:rPr>
        <w:t xml:space="preserve">; </w:t>
      </w:r>
      <w:r w:rsidR="00485044" w:rsidRPr="00A40ACC">
        <w:rPr>
          <w:rFonts w:ascii="Times New Roman" w:hAnsi="Times New Roman" w:cs="Times New Roman"/>
          <w:sz w:val="24"/>
          <w:szCs w:val="24"/>
        </w:rPr>
        <w:t xml:space="preserve">further detail of the </w:t>
      </w:r>
      <w:r w:rsidR="00CF0388" w:rsidRPr="00A40ACC">
        <w:rPr>
          <w:rFonts w:ascii="Times New Roman" w:hAnsi="Times New Roman" w:cs="Times New Roman"/>
          <w:sz w:val="24"/>
          <w:szCs w:val="24"/>
        </w:rPr>
        <w:t xml:space="preserve">submissions </w:t>
      </w:r>
      <w:r w:rsidR="00393E47" w:rsidRPr="00A40ACC">
        <w:rPr>
          <w:rFonts w:ascii="Times New Roman" w:hAnsi="Times New Roman" w:cs="Times New Roman"/>
          <w:sz w:val="24"/>
          <w:szCs w:val="24"/>
        </w:rPr>
        <w:t>received</w:t>
      </w:r>
      <w:r w:rsidR="00485044" w:rsidRPr="00A40ACC">
        <w:rPr>
          <w:rFonts w:ascii="Times New Roman" w:hAnsi="Times New Roman" w:cs="Times New Roman"/>
          <w:sz w:val="24"/>
          <w:szCs w:val="24"/>
        </w:rPr>
        <w:t xml:space="preserve"> is</w:t>
      </w:r>
      <w:r w:rsidR="00CF0388" w:rsidRPr="00A40ACC">
        <w:rPr>
          <w:rFonts w:ascii="Times New Roman" w:hAnsi="Times New Roman" w:cs="Times New Roman"/>
          <w:sz w:val="24"/>
          <w:szCs w:val="24"/>
        </w:rPr>
        <w:t xml:space="preserve"> set out in Appendix B.</w:t>
      </w:r>
    </w:p>
    <w:p w:rsidR="005E63AA" w:rsidRPr="00A40ACC" w:rsidRDefault="005E63AA" w:rsidP="00235461">
      <w:pPr>
        <w:pStyle w:val="NoSpacing"/>
        <w:spacing w:line="264" w:lineRule="auto"/>
        <w:jc w:val="both"/>
        <w:rPr>
          <w:rFonts w:ascii="Times New Roman" w:hAnsi="Times New Roman" w:cs="Times New Roman"/>
          <w:sz w:val="24"/>
          <w:szCs w:val="24"/>
        </w:rPr>
      </w:pPr>
    </w:p>
    <w:p w:rsidR="00CD2D31" w:rsidRPr="00A40ACC" w:rsidRDefault="00CD2D31" w:rsidP="00235461">
      <w:pPr>
        <w:pStyle w:val="NoSpacing"/>
        <w:spacing w:line="264" w:lineRule="auto"/>
        <w:jc w:val="both"/>
        <w:rPr>
          <w:rFonts w:ascii="Times New Roman" w:hAnsi="Times New Roman" w:cs="Times New Roman"/>
          <w:i/>
          <w:sz w:val="24"/>
          <w:szCs w:val="24"/>
        </w:rPr>
      </w:pPr>
      <w:r w:rsidRPr="00A40ACC">
        <w:rPr>
          <w:rFonts w:ascii="Times New Roman" w:hAnsi="Times New Roman" w:cs="Times New Roman"/>
          <w:i/>
          <w:sz w:val="24"/>
          <w:szCs w:val="24"/>
        </w:rPr>
        <w:t>Recent amendments</w:t>
      </w:r>
    </w:p>
    <w:p w:rsidR="005E63AA" w:rsidRPr="00A40ACC" w:rsidRDefault="00CE5C87"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I note that the Act </w:t>
      </w:r>
      <w:r w:rsidR="00485044" w:rsidRPr="00A40ACC">
        <w:rPr>
          <w:rFonts w:ascii="Times New Roman" w:hAnsi="Times New Roman" w:cs="Times New Roman"/>
          <w:sz w:val="24"/>
          <w:szCs w:val="24"/>
        </w:rPr>
        <w:t>h</w:t>
      </w:r>
      <w:r w:rsidRPr="00A40ACC">
        <w:rPr>
          <w:rFonts w:ascii="Times New Roman" w:hAnsi="Times New Roman" w:cs="Times New Roman"/>
          <w:sz w:val="24"/>
          <w:szCs w:val="24"/>
        </w:rPr>
        <w:t>as recently</w:t>
      </w:r>
      <w:r w:rsidR="00485044" w:rsidRPr="00A40ACC">
        <w:rPr>
          <w:rFonts w:ascii="Times New Roman" w:hAnsi="Times New Roman" w:cs="Times New Roman"/>
          <w:sz w:val="24"/>
          <w:szCs w:val="24"/>
        </w:rPr>
        <w:t xml:space="preserve"> been</w:t>
      </w:r>
      <w:r w:rsidRPr="00A40ACC">
        <w:rPr>
          <w:rFonts w:ascii="Times New Roman" w:hAnsi="Times New Roman" w:cs="Times New Roman"/>
          <w:sz w:val="24"/>
          <w:szCs w:val="24"/>
        </w:rPr>
        <w:t xml:space="preserve"> amended as follows:</w:t>
      </w:r>
    </w:p>
    <w:p w:rsidR="00E268A8" w:rsidRPr="007C64C1" w:rsidRDefault="003A1D92" w:rsidP="007C64C1">
      <w:pPr>
        <w:pStyle w:val="NoSpacing"/>
        <w:numPr>
          <w:ilvl w:val="0"/>
          <w:numId w:val="11"/>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6D4CE1" w:rsidRPr="00A40ACC">
        <w:rPr>
          <w:rFonts w:ascii="Times New Roman" w:eastAsia="Times New Roman" w:hAnsi="Times New Roman" w:cs="Times New Roman"/>
          <w:sz w:val="24"/>
          <w:szCs w:val="24"/>
        </w:rPr>
        <w:t>ection 9 (Deputy Commissioners and Mental Health Commissioner) was amended by adding:</w:t>
      </w:r>
      <w:r w:rsidR="007C64C1">
        <w:rPr>
          <w:rFonts w:ascii="Times New Roman" w:eastAsia="Times New Roman" w:hAnsi="Times New Roman" w:cs="Times New Roman"/>
          <w:sz w:val="24"/>
          <w:szCs w:val="24"/>
        </w:rPr>
        <w:t xml:space="preserve"> </w:t>
      </w:r>
      <w:r w:rsidR="006D4CE1" w:rsidRPr="007C64C1">
        <w:rPr>
          <w:rFonts w:ascii="Times New Roman" w:eastAsia="Times New Roman" w:hAnsi="Times New Roman" w:cs="Times New Roman"/>
          <w:spacing w:val="15"/>
          <w:sz w:val="24"/>
          <w:szCs w:val="24"/>
        </w:rPr>
        <w:t>“</w:t>
      </w:r>
      <w:r w:rsidR="006D4CE1" w:rsidRPr="007C64C1">
        <w:rPr>
          <w:rFonts w:ascii="Times New Roman" w:eastAsia="Times New Roman" w:hAnsi="Times New Roman" w:cs="Times New Roman"/>
          <w:sz w:val="24"/>
          <w:szCs w:val="24"/>
        </w:rPr>
        <w:t>(1A) Part 2 of the Crown Entities Act 2004 (except section 46) applies to the appointment and removal of a Deputy Health and Disability Commissioner in the same manner as it applies to the appointment and removal of the Commissioner.</w:t>
      </w:r>
      <w:r w:rsidR="006D4CE1" w:rsidRPr="007C64C1">
        <w:rPr>
          <w:rFonts w:ascii="Times New Roman" w:eastAsia="Times New Roman" w:hAnsi="Times New Roman" w:cs="Times New Roman"/>
          <w:spacing w:val="15"/>
          <w:sz w:val="24"/>
          <w:szCs w:val="24"/>
        </w:rPr>
        <w:t>”</w:t>
      </w:r>
    </w:p>
    <w:p w:rsidR="00244C0C" w:rsidRPr="00A40ACC" w:rsidRDefault="003A1D92" w:rsidP="00235461">
      <w:pPr>
        <w:pStyle w:val="NoSpacing"/>
        <w:numPr>
          <w:ilvl w:val="0"/>
          <w:numId w:val="11"/>
        </w:numPr>
        <w:spacing w:line="264" w:lineRule="auto"/>
        <w:ind w:left="714" w:hanging="357"/>
        <w:jc w:val="both"/>
        <w:rPr>
          <w:rFonts w:ascii="Times New Roman" w:hAnsi="Times New Roman" w:cs="Times New Roman"/>
          <w:bCs/>
          <w:sz w:val="24"/>
          <w:szCs w:val="24"/>
        </w:rPr>
      </w:pPr>
      <w:r>
        <w:rPr>
          <w:rFonts w:ascii="Times New Roman" w:hAnsi="Times New Roman" w:cs="Times New Roman"/>
          <w:bCs/>
          <w:sz w:val="24"/>
          <w:szCs w:val="24"/>
        </w:rPr>
        <w:t>T</w:t>
      </w:r>
      <w:r w:rsidR="006D4CE1" w:rsidRPr="00A40ACC">
        <w:rPr>
          <w:rFonts w:ascii="Times New Roman" w:hAnsi="Times New Roman" w:cs="Times New Roman"/>
          <w:bCs/>
          <w:sz w:val="24"/>
          <w:szCs w:val="24"/>
        </w:rPr>
        <w:t>he heading of section 38 (Commissioner may decide to take no action on complaint) was amended</w:t>
      </w:r>
      <w:r w:rsidR="00244C0C" w:rsidRPr="00A40ACC">
        <w:rPr>
          <w:rFonts w:ascii="Times New Roman" w:hAnsi="Times New Roman" w:cs="Times New Roman"/>
          <w:bCs/>
          <w:sz w:val="24"/>
          <w:szCs w:val="24"/>
        </w:rPr>
        <w:t xml:space="preserve"> by inserting </w:t>
      </w:r>
      <w:r w:rsidR="00244C0C" w:rsidRPr="00A40ACC">
        <w:rPr>
          <w:rFonts w:ascii="Times New Roman" w:hAnsi="Times New Roman" w:cs="Times New Roman"/>
          <w:sz w:val="24"/>
          <w:szCs w:val="24"/>
        </w:rPr>
        <w:t>“</w:t>
      </w:r>
      <w:r w:rsidR="00244C0C" w:rsidRPr="00A40ACC">
        <w:rPr>
          <w:rFonts w:ascii="Times New Roman" w:hAnsi="Times New Roman" w:cs="Times New Roman"/>
          <w:bCs/>
          <w:sz w:val="24"/>
          <w:szCs w:val="24"/>
        </w:rPr>
        <w:t>or no further action</w:t>
      </w:r>
      <w:r w:rsidR="00244C0C" w:rsidRPr="00A40ACC">
        <w:rPr>
          <w:rFonts w:ascii="Times New Roman" w:hAnsi="Times New Roman" w:cs="Times New Roman"/>
          <w:sz w:val="24"/>
          <w:szCs w:val="24"/>
        </w:rPr>
        <w:t>”</w:t>
      </w:r>
      <w:r w:rsidR="006D4CE1" w:rsidRPr="00A40ACC">
        <w:rPr>
          <w:rFonts w:ascii="Times New Roman" w:hAnsi="Times New Roman" w:cs="Times New Roman"/>
          <w:sz w:val="24"/>
          <w:szCs w:val="24"/>
        </w:rPr>
        <w:t xml:space="preserve"> after “</w:t>
      </w:r>
      <w:r w:rsidR="006D4CE1" w:rsidRPr="00A40ACC">
        <w:rPr>
          <w:rFonts w:ascii="Times New Roman" w:hAnsi="Times New Roman" w:cs="Times New Roman"/>
          <w:bCs/>
          <w:sz w:val="24"/>
          <w:szCs w:val="24"/>
        </w:rPr>
        <w:t>action</w:t>
      </w:r>
      <w:r w:rsidR="006D4CE1" w:rsidRPr="00A40ACC">
        <w:rPr>
          <w:rFonts w:ascii="Times New Roman" w:hAnsi="Times New Roman" w:cs="Times New Roman"/>
          <w:sz w:val="24"/>
          <w:szCs w:val="24"/>
        </w:rPr>
        <w:t>”.</w:t>
      </w:r>
    </w:p>
    <w:p w:rsidR="006D4CE1" w:rsidRPr="00A40ACC" w:rsidRDefault="003A1D92" w:rsidP="00235461">
      <w:pPr>
        <w:pStyle w:val="ListParagraph"/>
        <w:numPr>
          <w:ilvl w:val="0"/>
          <w:numId w:val="10"/>
        </w:numPr>
        <w:shd w:val="clear" w:color="auto" w:fill="FFFFFF"/>
        <w:spacing w:line="264" w:lineRule="auto"/>
        <w:ind w:left="714" w:hanging="357"/>
        <w:jc w:val="both"/>
        <w:outlineLvl w:val="5"/>
        <w:rPr>
          <w:bCs/>
          <w:szCs w:val="24"/>
        </w:rPr>
      </w:pPr>
      <w:r>
        <w:rPr>
          <w:bCs/>
          <w:szCs w:val="24"/>
        </w:rPr>
        <w:lastRenderedPageBreak/>
        <w:t>S</w:t>
      </w:r>
      <w:r w:rsidR="006D4CE1" w:rsidRPr="00A40ACC">
        <w:rPr>
          <w:bCs/>
          <w:szCs w:val="24"/>
        </w:rPr>
        <w:t xml:space="preserve">ection 47 </w:t>
      </w:r>
      <w:r w:rsidR="0051426E" w:rsidRPr="00A40ACC">
        <w:rPr>
          <w:bCs/>
          <w:szCs w:val="24"/>
        </w:rPr>
        <w:t xml:space="preserve">(Director of Proceedings’ right to participate in disciplinary and other proceedings) was </w:t>
      </w:r>
      <w:r w:rsidR="006D4CE1" w:rsidRPr="00A40ACC">
        <w:rPr>
          <w:bCs/>
          <w:szCs w:val="24"/>
        </w:rPr>
        <w:t xml:space="preserve">amended </w:t>
      </w:r>
      <w:r w:rsidR="0051426E" w:rsidRPr="00A40ACC">
        <w:rPr>
          <w:bCs/>
          <w:szCs w:val="24"/>
        </w:rPr>
        <w:t xml:space="preserve">by inserting, after “may”, </w:t>
      </w:r>
      <w:r w:rsidR="0051426E" w:rsidRPr="00A40ACC">
        <w:rPr>
          <w:szCs w:val="24"/>
        </w:rPr>
        <w:t>“, after referral from the Commissioner under section 45(2)(f),”</w:t>
      </w:r>
      <w:r w:rsidR="00356AA7">
        <w:rPr>
          <w:szCs w:val="24"/>
        </w:rPr>
        <w:t>.</w:t>
      </w:r>
    </w:p>
    <w:p w:rsidR="00CF0696" w:rsidRPr="00A40ACC" w:rsidRDefault="00CF0696" w:rsidP="00235461">
      <w:pPr>
        <w:pStyle w:val="NoSpacing"/>
        <w:spacing w:line="264" w:lineRule="auto"/>
        <w:jc w:val="both"/>
        <w:rPr>
          <w:rFonts w:ascii="Times New Roman" w:hAnsi="Times New Roman" w:cs="Times New Roman"/>
          <w:sz w:val="24"/>
          <w:szCs w:val="24"/>
        </w:rPr>
      </w:pPr>
    </w:p>
    <w:p w:rsidR="006038F1" w:rsidRPr="00A40ACC" w:rsidRDefault="006038F1" w:rsidP="00235461">
      <w:pPr>
        <w:pStyle w:val="NoSpacing"/>
        <w:spacing w:line="264" w:lineRule="auto"/>
        <w:jc w:val="both"/>
        <w:rPr>
          <w:rFonts w:ascii="Times New Roman" w:hAnsi="Times New Roman" w:cs="Times New Roman"/>
          <w:b/>
          <w:sz w:val="24"/>
          <w:szCs w:val="24"/>
        </w:rPr>
      </w:pPr>
    </w:p>
    <w:p w:rsidR="000F39D6" w:rsidRPr="00A40ACC" w:rsidRDefault="000F39D6" w:rsidP="00235461">
      <w:pPr>
        <w:spacing w:after="0" w:line="264" w:lineRule="auto"/>
        <w:jc w:val="both"/>
        <w:rPr>
          <w:rFonts w:ascii="Times New Roman" w:hAnsi="Times New Roman" w:cs="Times New Roman"/>
          <w:b/>
          <w:sz w:val="24"/>
          <w:szCs w:val="24"/>
        </w:rPr>
      </w:pPr>
      <w:r w:rsidRPr="00A40ACC">
        <w:rPr>
          <w:rFonts w:ascii="Times New Roman" w:hAnsi="Times New Roman" w:cs="Times New Roman"/>
          <w:b/>
          <w:sz w:val="24"/>
          <w:szCs w:val="24"/>
        </w:rPr>
        <w:br w:type="page"/>
      </w:r>
    </w:p>
    <w:p w:rsidR="000F39D6" w:rsidRPr="00A40ACC" w:rsidRDefault="000F39D6" w:rsidP="00235461">
      <w:pPr>
        <w:pStyle w:val="Title"/>
        <w:spacing w:after="0" w:line="264" w:lineRule="auto"/>
        <w:jc w:val="center"/>
        <w:outlineLvl w:val="0"/>
        <w:rPr>
          <w:rFonts w:ascii="Times New Roman" w:hAnsi="Times New Roman" w:cs="Times New Roman"/>
          <w:b/>
          <w:color w:val="auto"/>
          <w:sz w:val="44"/>
          <w:szCs w:val="44"/>
        </w:rPr>
      </w:pPr>
      <w:bookmarkStart w:id="4" w:name="_Toc390269595"/>
      <w:r w:rsidRPr="00A40ACC">
        <w:rPr>
          <w:rFonts w:ascii="Times New Roman" w:hAnsi="Times New Roman" w:cs="Times New Roman"/>
          <w:b/>
          <w:color w:val="auto"/>
          <w:sz w:val="44"/>
          <w:szCs w:val="44"/>
        </w:rPr>
        <w:lastRenderedPageBreak/>
        <w:t>RECOMMENDATIONS FOR CHANGE</w:t>
      </w:r>
      <w:bookmarkEnd w:id="4"/>
    </w:p>
    <w:p w:rsidR="00CF7E5A" w:rsidRPr="00A40ACC" w:rsidRDefault="00CF7E5A" w:rsidP="00235461">
      <w:pPr>
        <w:pStyle w:val="NoSpacing"/>
        <w:spacing w:line="264" w:lineRule="auto"/>
        <w:jc w:val="both"/>
        <w:rPr>
          <w:rFonts w:ascii="Times New Roman" w:hAnsi="Times New Roman" w:cs="Times New Roman"/>
          <w:b/>
          <w:sz w:val="24"/>
          <w:szCs w:val="24"/>
        </w:rPr>
      </w:pPr>
    </w:p>
    <w:p w:rsidR="005C78F5" w:rsidRDefault="005C78F5" w:rsidP="00235461">
      <w:pPr>
        <w:pStyle w:val="NoSpacing"/>
        <w:spacing w:line="264" w:lineRule="auto"/>
        <w:jc w:val="both"/>
        <w:rPr>
          <w:rFonts w:ascii="Times New Roman" w:hAnsi="Times New Roman" w:cs="Times New Roman"/>
          <w:sz w:val="24"/>
          <w:szCs w:val="24"/>
        </w:rPr>
      </w:pPr>
    </w:p>
    <w:p w:rsidR="00CF7E5A" w:rsidRPr="00A40ACC" w:rsidRDefault="00CF7E5A"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As outlined in the consultation document, I </w:t>
      </w:r>
      <w:r w:rsidR="002B1A9C" w:rsidRPr="00A40ACC">
        <w:rPr>
          <w:rFonts w:ascii="Times New Roman" w:hAnsi="Times New Roman" w:cs="Times New Roman"/>
          <w:sz w:val="24"/>
          <w:szCs w:val="24"/>
        </w:rPr>
        <w:t xml:space="preserve">continue to </w:t>
      </w:r>
      <w:r w:rsidRPr="00A40ACC">
        <w:rPr>
          <w:rFonts w:ascii="Times New Roman" w:hAnsi="Times New Roman" w:cs="Times New Roman"/>
          <w:sz w:val="24"/>
          <w:szCs w:val="24"/>
        </w:rPr>
        <w:t>support the following proposed amendments to the Act arising out of the 2009 review</w:t>
      </w:r>
      <w:r w:rsidR="00DE79C4" w:rsidRPr="00A40ACC">
        <w:rPr>
          <w:rFonts w:ascii="Times New Roman" w:hAnsi="Times New Roman" w:cs="Times New Roman"/>
          <w:sz w:val="24"/>
          <w:szCs w:val="24"/>
        </w:rPr>
        <w:t>:</w:t>
      </w:r>
    </w:p>
    <w:p w:rsidR="00002996" w:rsidRPr="00A40ACC" w:rsidRDefault="00002996" w:rsidP="00235461">
      <w:pPr>
        <w:pStyle w:val="NoSpacing"/>
        <w:numPr>
          <w:ilvl w:val="0"/>
          <w:numId w:val="3"/>
        </w:numPr>
        <w:spacing w:line="264" w:lineRule="auto"/>
        <w:jc w:val="both"/>
        <w:rPr>
          <w:rFonts w:ascii="Times New Roman" w:hAnsi="Times New Roman" w:cs="Times New Roman"/>
          <w:sz w:val="24"/>
          <w:szCs w:val="24"/>
          <w:u w:val="single"/>
          <w:lang w:val="en-US"/>
        </w:rPr>
      </w:pPr>
      <w:r w:rsidRPr="00A40ACC">
        <w:rPr>
          <w:rFonts w:ascii="Times New Roman" w:hAnsi="Times New Roman" w:cs="Times New Roman"/>
          <w:sz w:val="24"/>
          <w:szCs w:val="24"/>
          <w:lang w:val="en-US"/>
        </w:rPr>
        <w:t xml:space="preserve">To require review of the Act and </w:t>
      </w:r>
      <w:r w:rsidR="002B1A9C" w:rsidRPr="00A40ACC">
        <w:rPr>
          <w:rFonts w:ascii="Times New Roman" w:hAnsi="Times New Roman" w:cs="Times New Roman"/>
          <w:sz w:val="24"/>
          <w:szCs w:val="24"/>
          <w:lang w:val="en-US"/>
        </w:rPr>
        <w:t xml:space="preserve">the </w:t>
      </w:r>
      <w:r w:rsidRPr="00A40ACC">
        <w:rPr>
          <w:rFonts w:ascii="Times New Roman" w:hAnsi="Times New Roman" w:cs="Times New Roman"/>
          <w:sz w:val="24"/>
          <w:szCs w:val="24"/>
          <w:lang w:val="en-US"/>
        </w:rPr>
        <w:t>Code only every ten years with the option of an earlier review if desirable.</w:t>
      </w:r>
    </w:p>
    <w:p w:rsidR="00002996" w:rsidRPr="00A40ACC" w:rsidRDefault="00002996" w:rsidP="00235461">
      <w:pPr>
        <w:pStyle w:val="NoSpacing"/>
        <w:numPr>
          <w:ilvl w:val="0"/>
          <w:numId w:val="3"/>
        </w:numPr>
        <w:spacing w:line="264" w:lineRule="auto"/>
        <w:jc w:val="both"/>
        <w:rPr>
          <w:rFonts w:ascii="Times New Roman" w:hAnsi="Times New Roman" w:cs="Times New Roman"/>
          <w:sz w:val="24"/>
          <w:szCs w:val="24"/>
          <w:u w:val="single"/>
          <w:lang w:val="en-US"/>
        </w:rPr>
      </w:pPr>
      <w:r w:rsidRPr="00A40ACC">
        <w:rPr>
          <w:rFonts w:ascii="Times New Roman" w:hAnsi="Times New Roman" w:cs="Times New Roman"/>
          <w:sz w:val="24"/>
          <w:szCs w:val="24"/>
          <w:lang w:val="en-US"/>
        </w:rPr>
        <w:t>To increase the maximum fine for an offence under the Act from $3,000 to $10,000.</w:t>
      </w:r>
    </w:p>
    <w:p w:rsidR="00002996" w:rsidRPr="00A40ACC" w:rsidRDefault="00002996" w:rsidP="00235461">
      <w:pPr>
        <w:pStyle w:val="NoSpacing"/>
        <w:numPr>
          <w:ilvl w:val="0"/>
          <w:numId w:val="3"/>
        </w:numPr>
        <w:spacing w:line="264" w:lineRule="auto"/>
        <w:jc w:val="both"/>
        <w:rPr>
          <w:rFonts w:ascii="Times New Roman" w:hAnsi="Times New Roman" w:cs="Times New Roman"/>
          <w:sz w:val="24"/>
          <w:szCs w:val="24"/>
          <w:u w:val="single"/>
          <w:lang w:val="en-US"/>
        </w:rPr>
      </w:pPr>
      <w:r w:rsidRPr="00A40ACC">
        <w:rPr>
          <w:rFonts w:ascii="Times New Roman" w:hAnsi="Times New Roman" w:cs="Times New Roman"/>
          <w:sz w:val="24"/>
          <w:szCs w:val="24"/>
          <w:lang w:val="en-US"/>
        </w:rPr>
        <w:t xml:space="preserve">To substitute the phrase “aggrieved person” </w:t>
      </w:r>
      <w:r w:rsidR="009E5377" w:rsidRPr="00A40ACC">
        <w:rPr>
          <w:rFonts w:ascii="Times New Roman" w:hAnsi="Times New Roman" w:cs="Times New Roman"/>
          <w:sz w:val="24"/>
          <w:szCs w:val="24"/>
          <w:lang w:val="en-US"/>
        </w:rPr>
        <w:t>with t</w:t>
      </w:r>
      <w:r w:rsidRPr="00A40ACC">
        <w:rPr>
          <w:rFonts w:ascii="Times New Roman" w:hAnsi="Times New Roman" w:cs="Times New Roman"/>
          <w:sz w:val="24"/>
          <w:szCs w:val="24"/>
          <w:lang w:val="en-US"/>
        </w:rPr>
        <w:t>he phrase “the complainant (if any) or the aggrieved person(s) (if not the complainant)”.</w:t>
      </w:r>
    </w:p>
    <w:p w:rsidR="00002996" w:rsidRPr="00A40ACC" w:rsidRDefault="00002996" w:rsidP="00235461">
      <w:pPr>
        <w:pStyle w:val="NoSpacing"/>
        <w:numPr>
          <w:ilvl w:val="0"/>
          <w:numId w:val="3"/>
        </w:numPr>
        <w:spacing w:line="264" w:lineRule="auto"/>
        <w:jc w:val="both"/>
        <w:rPr>
          <w:rFonts w:ascii="Times New Roman" w:hAnsi="Times New Roman" w:cs="Times New Roman"/>
          <w:sz w:val="24"/>
          <w:szCs w:val="24"/>
          <w:u w:val="single"/>
          <w:lang w:val="en-US"/>
        </w:rPr>
      </w:pPr>
      <w:r w:rsidRPr="00A40ACC">
        <w:rPr>
          <w:rFonts w:ascii="Times New Roman" w:hAnsi="Times New Roman" w:cs="Times New Roman"/>
          <w:sz w:val="24"/>
          <w:szCs w:val="24"/>
          <w:lang w:val="en-US"/>
        </w:rPr>
        <w:t>To enable the Director of Proceedings to require any person to provide information relating to a matter under consideration, until a decision has been made to issue proceedings, subject to section 63 of the Act.</w:t>
      </w:r>
    </w:p>
    <w:p w:rsidR="0021096B" w:rsidRPr="00A40ACC" w:rsidRDefault="0021096B" w:rsidP="00235461">
      <w:pPr>
        <w:pStyle w:val="NoSpacing"/>
        <w:spacing w:line="264" w:lineRule="auto"/>
        <w:jc w:val="both"/>
        <w:outlineLvl w:val="1"/>
        <w:rPr>
          <w:rFonts w:ascii="Times New Roman" w:hAnsi="Times New Roman" w:cs="Times New Roman"/>
          <w:sz w:val="24"/>
          <w:szCs w:val="24"/>
          <w:lang w:val="en-US"/>
        </w:rPr>
      </w:pPr>
    </w:p>
    <w:p w:rsidR="0021096B" w:rsidRPr="00A40ACC" w:rsidRDefault="003D3EFD" w:rsidP="00235461">
      <w:pPr>
        <w:pStyle w:val="NoSpacing"/>
        <w:spacing w:line="264" w:lineRule="auto"/>
        <w:jc w:val="both"/>
        <w:outlineLvl w:val="1"/>
        <w:rPr>
          <w:rFonts w:ascii="Times New Roman" w:hAnsi="Times New Roman" w:cs="Times New Roman"/>
          <w:i/>
          <w:sz w:val="24"/>
          <w:szCs w:val="24"/>
        </w:rPr>
      </w:pPr>
      <w:bookmarkStart w:id="5" w:name="_Toc390269596"/>
      <w:r w:rsidRPr="00A40ACC">
        <w:rPr>
          <w:rFonts w:ascii="Times New Roman" w:hAnsi="Times New Roman" w:cs="Times New Roman"/>
          <w:i/>
          <w:sz w:val="24"/>
          <w:szCs w:val="24"/>
        </w:rPr>
        <w:t xml:space="preserve">Review of </w:t>
      </w:r>
      <w:r w:rsidR="00BA0881" w:rsidRPr="00A40ACC">
        <w:rPr>
          <w:rFonts w:ascii="Times New Roman" w:hAnsi="Times New Roman" w:cs="Times New Roman"/>
          <w:i/>
          <w:sz w:val="24"/>
          <w:szCs w:val="24"/>
        </w:rPr>
        <w:t xml:space="preserve">the </w:t>
      </w:r>
      <w:r w:rsidRPr="00A40ACC">
        <w:rPr>
          <w:rFonts w:ascii="Times New Roman" w:hAnsi="Times New Roman" w:cs="Times New Roman"/>
          <w:i/>
          <w:sz w:val="24"/>
          <w:szCs w:val="24"/>
        </w:rPr>
        <w:t xml:space="preserve">Act and </w:t>
      </w:r>
      <w:r w:rsidR="00BA0881" w:rsidRPr="00A40ACC">
        <w:rPr>
          <w:rFonts w:ascii="Times New Roman" w:hAnsi="Times New Roman" w:cs="Times New Roman"/>
          <w:i/>
          <w:sz w:val="24"/>
          <w:szCs w:val="24"/>
        </w:rPr>
        <w:t xml:space="preserve">the </w:t>
      </w:r>
      <w:r w:rsidRPr="00A40ACC">
        <w:rPr>
          <w:rFonts w:ascii="Times New Roman" w:hAnsi="Times New Roman" w:cs="Times New Roman"/>
          <w:i/>
          <w:sz w:val="24"/>
          <w:szCs w:val="24"/>
        </w:rPr>
        <w:t>Code</w:t>
      </w:r>
      <w:bookmarkEnd w:id="5"/>
      <w:r w:rsidRPr="00A40ACC">
        <w:rPr>
          <w:rFonts w:ascii="Times New Roman" w:hAnsi="Times New Roman" w:cs="Times New Roman"/>
          <w:i/>
          <w:sz w:val="24"/>
          <w:szCs w:val="24"/>
        </w:rPr>
        <w:t xml:space="preserve"> </w:t>
      </w:r>
    </w:p>
    <w:p w:rsidR="003D3EFD" w:rsidRPr="00A40ACC" w:rsidRDefault="003D3EFD"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As mentioned above, the Act requires a regular review of the Act and </w:t>
      </w:r>
      <w:r w:rsidR="002B1A9C" w:rsidRPr="00A40ACC">
        <w:rPr>
          <w:rFonts w:ascii="Times New Roman" w:hAnsi="Times New Roman" w:cs="Times New Roman"/>
          <w:sz w:val="24"/>
          <w:szCs w:val="24"/>
        </w:rPr>
        <w:t xml:space="preserve">the </w:t>
      </w:r>
      <w:r w:rsidRPr="00A40ACC">
        <w:rPr>
          <w:rFonts w:ascii="Times New Roman" w:hAnsi="Times New Roman" w:cs="Times New Roman"/>
          <w:sz w:val="24"/>
          <w:szCs w:val="24"/>
        </w:rPr>
        <w:t xml:space="preserve">Code to consider whether any changes are necessary or desirable (sections 18 and 21 of the Act). This is the fourth review of the Act and </w:t>
      </w:r>
      <w:r w:rsidR="00650939" w:rsidRPr="00A40ACC">
        <w:rPr>
          <w:rFonts w:ascii="Times New Roman" w:hAnsi="Times New Roman" w:cs="Times New Roman"/>
          <w:sz w:val="24"/>
          <w:szCs w:val="24"/>
        </w:rPr>
        <w:t xml:space="preserve">the </w:t>
      </w:r>
      <w:r w:rsidRPr="00A40ACC">
        <w:rPr>
          <w:rFonts w:ascii="Times New Roman" w:hAnsi="Times New Roman" w:cs="Times New Roman"/>
          <w:sz w:val="24"/>
          <w:szCs w:val="24"/>
        </w:rPr>
        <w:t>Code.</w:t>
      </w:r>
    </w:p>
    <w:p w:rsidR="003D3EFD" w:rsidRPr="00A40ACC" w:rsidRDefault="003D3EFD" w:rsidP="00235461">
      <w:pPr>
        <w:pStyle w:val="NoSpacing"/>
        <w:spacing w:line="264" w:lineRule="auto"/>
        <w:jc w:val="both"/>
        <w:rPr>
          <w:rFonts w:ascii="Times New Roman" w:hAnsi="Times New Roman" w:cs="Times New Roman"/>
          <w:sz w:val="24"/>
          <w:szCs w:val="24"/>
        </w:rPr>
      </w:pPr>
    </w:p>
    <w:p w:rsidR="00B24269" w:rsidRPr="00A40ACC" w:rsidRDefault="00B24269"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Of the 13 submissions received on this issue, o</w:t>
      </w:r>
      <w:r w:rsidR="003D3EFD" w:rsidRPr="00A40ACC">
        <w:rPr>
          <w:rFonts w:ascii="Times New Roman" w:hAnsi="Times New Roman" w:cs="Times New Roman"/>
          <w:sz w:val="24"/>
          <w:szCs w:val="24"/>
        </w:rPr>
        <w:t>pinion was divided over</w:t>
      </w:r>
      <w:r w:rsidRPr="00A40ACC">
        <w:rPr>
          <w:rFonts w:ascii="Times New Roman" w:hAnsi="Times New Roman" w:cs="Times New Roman"/>
          <w:sz w:val="24"/>
          <w:szCs w:val="24"/>
        </w:rPr>
        <w:t xml:space="preserve"> whether change was needed.</w:t>
      </w:r>
    </w:p>
    <w:p w:rsidR="00B24269" w:rsidRPr="00A40ACC" w:rsidRDefault="00B24269" w:rsidP="00235461">
      <w:pPr>
        <w:pStyle w:val="NoSpacing"/>
        <w:spacing w:line="264" w:lineRule="auto"/>
        <w:jc w:val="both"/>
        <w:rPr>
          <w:rFonts w:ascii="Times New Roman" w:hAnsi="Times New Roman" w:cs="Times New Roman"/>
          <w:sz w:val="24"/>
          <w:szCs w:val="24"/>
        </w:rPr>
      </w:pPr>
    </w:p>
    <w:p w:rsidR="003D3EFD" w:rsidRPr="00A40ACC" w:rsidRDefault="00B24269"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I recommend that the Act be amended to require review of the Act and </w:t>
      </w:r>
      <w:r w:rsidR="00650939" w:rsidRPr="00A40ACC">
        <w:rPr>
          <w:rFonts w:ascii="Times New Roman" w:hAnsi="Times New Roman" w:cs="Times New Roman"/>
          <w:sz w:val="24"/>
          <w:szCs w:val="24"/>
        </w:rPr>
        <w:t xml:space="preserve">the </w:t>
      </w:r>
      <w:r w:rsidRPr="00A40ACC">
        <w:rPr>
          <w:rFonts w:ascii="Times New Roman" w:hAnsi="Times New Roman" w:cs="Times New Roman"/>
          <w:sz w:val="24"/>
          <w:szCs w:val="24"/>
        </w:rPr>
        <w:t xml:space="preserve">Code every </w:t>
      </w:r>
      <w:r w:rsidR="00896F31">
        <w:rPr>
          <w:rFonts w:ascii="Times New Roman" w:hAnsi="Times New Roman" w:cs="Times New Roman"/>
          <w:sz w:val="24"/>
          <w:szCs w:val="24"/>
        </w:rPr>
        <w:t>ten</w:t>
      </w:r>
      <w:r w:rsidRPr="00A40ACC">
        <w:rPr>
          <w:rFonts w:ascii="Times New Roman" w:hAnsi="Times New Roman" w:cs="Times New Roman"/>
          <w:sz w:val="24"/>
          <w:szCs w:val="24"/>
        </w:rPr>
        <w:t xml:space="preserve"> years. Given that</w:t>
      </w:r>
      <w:r w:rsidR="00427CFC" w:rsidRPr="00A40ACC">
        <w:rPr>
          <w:rFonts w:ascii="Times New Roman" w:hAnsi="Times New Roman" w:cs="Times New Roman"/>
          <w:sz w:val="24"/>
          <w:szCs w:val="24"/>
        </w:rPr>
        <w:t xml:space="preserve">, </w:t>
      </w:r>
      <w:r w:rsidR="00ED126F" w:rsidRPr="00A40ACC">
        <w:rPr>
          <w:rFonts w:ascii="Times New Roman" w:hAnsi="Times New Roman" w:cs="Times New Roman"/>
          <w:sz w:val="24"/>
          <w:szCs w:val="24"/>
        </w:rPr>
        <w:t>since the early days of the Act and the Code</w:t>
      </w:r>
      <w:r w:rsidR="00427CFC" w:rsidRPr="00A40ACC">
        <w:rPr>
          <w:rFonts w:ascii="Times New Roman" w:hAnsi="Times New Roman" w:cs="Times New Roman"/>
          <w:sz w:val="24"/>
          <w:szCs w:val="24"/>
        </w:rPr>
        <w:t>,</w:t>
      </w:r>
      <w:r w:rsidRPr="00A40ACC">
        <w:rPr>
          <w:rFonts w:ascii="Times New Roman" w:hAnsi="Times New Roman" w:cs="Times New Roman"/>
          <w:sz w:val="24"/>
          <w:szCs w:val="24"/>
        </w:rPr>
        <w:t xml:space="preserve"> the reviews </w:t>
      </w:r>
      <w:r w:rsidR="00AB1E67" w:rsidRPr="00A40ACC">
        <w:rPr>
          <w:rFonts w:ascii="Times New Roman" w:hAnsi="Times New Roman" w:cs="Times New Roman"/>
          <w:sz w:val="24"/>
          <w:szCs w:val="24"/>
        </w:rPr>
        <w:t>have</w:t>
      </w:r>
      <w:r w:rsidRPr="00A40ACC">
        <w:rPr>
          <w:rFonts w:ascii="Times New Roman" w:hAnsi="Times New Roman" w:cs="Times New Roman"/>
          <w:sz w:val="24"/>
          <w:szCs w:val="24"/>
        </w:rPr>
        <w:t xml:space="preserve"> not</w:t>
      </w:r>
      <w:r w:rsidR="00AB1E67" w:rsidRPr="00A40ACC">
        <w:rPr>
          <w:rFonts w:ascii="Times New Roman" w:hAnsi="Times New Roman" w:cs="Times New Roman"/>
          <w:sz w:val="24"/>
          <w:szCs w:val="24"/>
        </w:rPr>
        <w:t xml:space="preserve"> </w:t>
      </w:r>
      <w:r w:rsidRPr="00A40ACC">
        <w:rPr>
          <w:rFonts w:ascii="Times New Roman" w:hAnsi="Times New Roman" w:cs="Times New Roman"/>
          <w:sz w:val="24"/>
          <w:szCs w:val="24"/>
        </w:rPr>
        <w:t>result</w:t>
      </w:r>
      <w:r w:rsidR="00AB1E67" w:rsidRPr="00A40ACC">
        <w:rPr>
          <w:rFonts w:ascii="Times New Roman" w:hAnsi="Times New Roman" w:cs="Times New Roman"/>
          <w:sz w:val="24"/>
          <w:szCs w:val="24"/>
        </w:rPr>
        <w:t>ed</w:t>
      </w:r>
      <w:r w:rsidRPr="00A40ACC">
        <w:rPr>
          <w:rFonts w:ascii="Times New Roman" w:hAnsi="Times New Roman" w:cs="Times New Roman"/>
          <w:sz w:val="24"/>
          <w:szCs w:val="24"/>
        </w:rPr>
        <w:t xml:space="preserve"> in significant change</w:t>
      </w:r>
      <w:r w:rsidR="00B40AE3" w:rsidRPr="00A40ACC">
        <w:rPr>
          <w:rFonts w:ascii="Times New Roman" w:hAnsi="Times New Roman" w:cs="Times New Roman"/>
          <w:sz w:val="24"/>
          <w:szCs w:val="24"/>
        </w:rPr>
        <w:t xml:space="preserve"> and are resource-intensive</w:t>
      </w:r>
      <w:r w:rsidRPr="00A40ACC">
        <w:rPr>
          <w:rFonts w:ascii="Times New Roman" w:hAnsi="Times New Roman" w:cs="Times New Roman"/>
          <w:sz w:val="24"/>
          <w:szCs w:val="24"/>
        </w:rPr>
        <w:t>, I consider that it is unnecessary to require such a regular review. The legislation a</w:t>
      </w:r>
      <w:r w:rsidR="00AB1E67" w:rsidRPr="00A40ACC">
        <w:rPr>
          <w:rFonts w:ascii="Times New Roman" w:hAnsi="Times New Roman" w:cs="Times New Roman"/>
          <w:sz w:val="24"/>
          <w:szCs w:val="24"/>
        </w:rPr>
        <w:t>lready a</w:t>
      </w:r>
      <w:r w:rsidRPr="00A40ACC">
        <w:rPr>
          <w:rFonts w:ascii="Times New Roman" w:hAnsi="Times New Roman" w:cs="Times New Roman"/>
          <w:sz w:val="24"/>
          <w:szCs w:val="24"/>
        </w:rPr>
        <w:t>llows the Commissioner to undertake a review at any time as necessary</w:t>
      </w:r>
      <w:r w:rsidR="00EA5D95" w:rsidRPr="00A40ACC">
        <w:rPr>
          <w:rFonts w:ascii="Times New Roman" w:hAnsi="Times New Roman" w:cs="Times New Roman"/>
          <w:sz w:val="24"/>
          <w:szCs w:val="24"/>
        </w:rPr>
        <w:t>,</w:t>
      </w:r>
      <w:r w:rsidRPr="00A40ACC">
        <w:rPr>
          <w:rFonts w:ascii="Times New Roman" w:hAnsi="Times New Roman" w:cs="Times New Roman"/>
          <w:sz w:val="24"/>
          <w:szCs w:val="24"/>
        </w:rPr>
        <w:t xml:space="preserve"> and the proposed amendment retains that safeguard. I do not consider that a less regular review in any way diminishes the ability of the Commissioner to protect and promote the rights of consumers. </w:t>
      </w:r>
      <w:r w:rsidR="00896F31">
        <w:rPr>
          <w:rFonts w:ascii="Times New Roman" w:hAnsi="Times New Roman" w:cs="Times New Roman"/>
          <w:sz w:val="24"/>
          <w:szCs w:val="24"/>
        </w:rPr>
        <w:t>In my view, t</w:t>
      </w:r>
      <w:r w:rsidRPr="00A40ACC">
        <w:rPr>
          <w:rFonts w:ascii="Times New Roman" w:hAnsi="Times New Roman" w:cs="Times New Roman"/>
          <w:sz w:val="24"/>
          <w:szCs w:val="24"/>
        </w:rPr>
        <w:t>he fact t</w:t>
      </w:r>
      <w:r w:rsidR="00EA5D95" w:rsidRPr="00A40ACC">
        <w:rPr>
          <w:rFonts w:ascii="Times New Roman" w:hAnsi="Times New Roman" w:cs="Times New Roman"/>
          <w:sz w:val="24"/>
          <w:szCs w:val="24"/>
        </w:rPr>
        <w:t>hat submissions received on the current</w:t>
      </w:r>
      <w:r w:rsidRPr="00A40ACC">
        <w:rPr>
          <w:rFonts w:ascii="Times New Roman" w:hAnsi="Times New Roman" w:cs="Times New Roman"/>
          <w:sz w:val="24"/>
          <w:szCs w:val="24"/>
        </w:rPr>
        <w:t xml:space="preserve"> review </w:t>
      </w:r>
      <w:r w:rsidR="00EA5D95" w:rsidRPr="00A40ACC">
        <w:rPr>
          <w:rFonts w:ascii="Times New Roman" w:hAnsi="Times New Roman" w:cs="Times New Roman"/>
          <w:sz w:val="24"/>
          <w:szCs w:val="24"/>
        </w:rPr>
        <w:t>did not raise</w:t>
      </w:r>
      <w:r w:rsidRPr="00A40ACC">
        <w:rPr>
          <w:rFonts w:ascii="Times New Roman" w:hAnsi="Times New Roman" w:cs="Times New Roman"/>
          <w:sz w:val="24"/>
          <w:szCs w:val="24"/>
        </w:rPr>
        <w:t xml:space="preserve"> any</w:t>
      </w:r>
      <w:r w:rsidR="00EA5D95" w:rsidRPr="00A40ACC">
        <w:rPr>
          <w:rFonts w:ascii="Times New Roman" w:hAnsi="Times New Roman" w:cs="Times New Roman"/>
          <w:sz w:val="24"/>
          <w:szCs w:val="24"/>
        </w:rPr>
        <w:t xml:space="preserve"> </w:t>
      </w:r>
      <w:r w:rsidR="00ED126F" w:rsidRPr="00A40ACC">
        <w:rPr>
          <w:rFonts w:ascii="Times New Roman" w:hAnsi="Times New Roman" w:cs="Times New Roman"/>
          <w:sz w:val="24"/>
          <w:szCs w:val="24"/>
        </w:rPr>
        <w:t xml:space="preserve">significant new </w:t>
      </w:r>
      <w:r w:rsidRPr="00A40ACC">
        <w:rPr>
          <w:rFonts w:ascii="Times New Roman" w:hAnsi="Times New Roman" w:cs="Times New Roman"/>
          <w:sz w:val="24"/>
          <w:szCs w:val="24"/>
        </w:rPr>
        <w:t>issue</w:t>
      </w:r>
      <w:r w:rsidR="00EA5D95" w:rsidRPr="00A40ACC">
        <w:rPr>
          <w:rFonts w:ascii="Times New Roman" w:hAnsi="Times New Roman" w:cs="Times New Roman"/>
          <w:sz w:val="24"/>
          <w:szCs w:val="24"/>
        </w:rPr>
        <w:t>s</w:t>
      </w:r>
      <w:r w:rsidR="00896F31">
        <w:rPr>
          <w:rFonts w:ascii="Times New Roman" w:hAnsi="Times New Roman" w:cs="Times New Roman"/>
          <w:sz w:val="24"/>
          <w:szCs w:val="24"/>
        </w:rPr>
        <w:t xml:space="preserve"> </w:t>
      </w:r>
      <w:r w:rsidRPr="00A40ACC">
        <w:rPr>
          <w:rFonts w:ascii="Times New Roman" w:hAnsi="Times New Roman" w:cs="Times New Roman"/>
          <w:sz w:val="24"/>
          <w:szCs w:val="24"/>
        </w:rPr>
        <w:t>supports the recommendation that such regular reviews are unnecessary.</w:t>
      </w:r>
      <w:r w:rsidR="003D3EFD" w:rsidRPr="00A40ACC">
        <w:rPr>
          <w:rFonts w:ascii="Times New Roman" w:hAnsi="Times New Roman" w:cs="Times New Roman"/>
          <w:sz w:val="24"/>
          <w:szCs w:val="24"/>
        </w:rPr>
        <w:t xml:space="preserve"> </w:t>
      </w:r>
    </w:p>
    <w:p w:rsidR="003D3EFD" w:rsidRPr="00A40ACC" w:rsidRDefault="003D3EFD" w:rsidP="00235461">
      <w:pPr>
        <w:pStyle w:val="NoSpacing"/>
        <w:spacing w:line="264" w:lineRule="auto"/>
        <w:jc w:val="both"/>
        <w:rPr>
          <w:rFonts w:ascii="Times New Roman" w:hAnsi="Times New Roman" w:cs="Times New Roman"/>
          <w:i/>
          <w:sz w:val="24"/>
          <w:szCs w:val="24"/>
        </w:rPr>
      </w:pPr>
    </w:p>
    <w:p w:rsidR="0021096B" w:rsidRPr="00A40ACC" w:rsidRDefault="003D3EFD" w:rsidP="00235461">
      <w:pPr>
        <w:pStyle w:val="NoSpacing"/>
        <w:spacing w:line="264" w:lineRule="auto"/>
        <w:jc w:val="both"/>
        <w:outlineLvl w:val="1"/>
        <w:rPr>
          <w:rFonts w:ascii="Times New Roman" w:hAnsi="Times New Roman" w:cs="Times New Roman"/>
          <w:i/>
          <w:sz w:val="24"/>
          <w:szCs w:val="24"/>
        </w:rPr>
      </w:pPr>
      <w:bookmarkStart w:id="6" w:name="_Toc390269597"/>
      <w:r w:rsidRPr="00A40ACC">
        <w:rPr>
          <w:rFonts w:ascii="Times New Roman" w:hAnsi="Times New Roman" w:cs="Times New Roman"/>
          <w:i/>
          <w:sz w:val="24"/>
          <w:szCs w:val="24"/>
        </w:rPr>
        <w:t>Increase the maximum fine for an offence</w:t>
      </w:r>
      <w:bookmarkEnd w:id="6"/>
      <w:r w:rsidRPr="00A40ACC">
        <w:rPr>
          <w:rFonts w:ascii="Times New Roman" w:hAnsi="Times New Roman" w:cs="Times New Roman"/>
          <w:i/>
          <w:sz w:val="24"/>
          <w:szCs w:val="24"/>
        </w:rPr>
        <w:t xml:space="preserve"> </w:t>
      </w:r>
    </w:p>
    <w:p w:rsidR="00B24269" w:rsidRPr="00A40ACC" w:rsidRDefault="00632ACE"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Section 73 sets out the offences against the Act with the penalty being a fine not exceeding $3,000. </w:t>
      </w:r>
    </w:p>
    <w:p w:rsidR="00632ACE" w:rsidRPr="00A40ACC" w:rsidRDefault="00632ACE" w:rsidP="00235461">
      <w:pPr>
        <w:pStyle w:val="NoSpacing"/>
        <w:spacing w:line="264" w:lineRule="auto"/>
        <w:jc w:val="both"/>
        <w:rPr>
          <w:rFonts w:ascii="Times New Roman" w:hAnsi="Times New Roman" w:cs="Times New Roman"/>
          <w:sz w:val="24"/>
          <w:szCs w:val="24"/>
        </w:rPr>
      </w:pPr>
    </w:p>
    <w:p w:rsidR="00632ACE" w:rsidRDefault="00632ACE"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Ten submitters commented on this amendment, with all but one agreeing that the maximum fine should be increased to $10,000. I consider that increasing the fine to align with other offences such as those outlined in the Health Practitioners Competence Assurance Act </w:t>
      </w:r>
      <w:r w:rsidR="00EA5D95" w:rsidRPr="00A40ACC">
        <w:rPr>
          <w:rFonts w:ascii="Times New Roman" w:hAnsi="Times New Roman" w:cs="Times New Roman"/>
          <w:sz w:val="24"/>
          <w:szCs w:val="24"/>
        </w:rPr>
        <w:t xml:space="preserve">2003 </w:t>
      </w:r>
      <w:r w:rsidRPr="00A40ACC">
        <w:rPr>
          <w:rFonts w:ascii="Times New Roman" w:hAnsi="Times New Roman" w:cs="Times New Roman"/>
          <w:sz w:val="24"/>
          <w:szCs w:val="24"/>
        </w:rPr>
        <w:t>would send a strong message to those who choose to obstruct the Commissioner’s process. Accordingly, I recommend that the Act be amended to increase the fine in section 73 to $10,000.</w:t>
      </w:r>
    </w:p>
    <w:p w:rsidR="00891758" w:rsidRDefault="00891758" w:rsidP="00235461">
      <w:pPr>
        <w:pStyle w:val="NoSpacing"/>
        <w:spacing w:line="264" w:lineRule="auto"/>
        <w:jc w:val="both"/>
        <w:rPr>
          <w:rFonts w:ascii="Times New Roman" w:hAnsi="Times New Roman" w:cs="Times New Roman"/>
          <w:sz w:val="24"/>
          <w:szCs w:val="24"/>
        </w:rPr>
      </w:pPr>
    </w:p>
    <w:p w:rsidR="00891758" w:rsidRPr="00A40ACC" w:rsidRDefault="00891758" w:rsidP="00235461">
      <w:pPr>
        <w:pStyle w:val="NoSpacing"/>
        <w:spacing w:line="264" w:lineRule="auto"/>
        <w:jc w:val="both"/>
        <w:rPr>
          <w:rFonts w:ascii="Times New Roman" w:hAnsi="Times New Roman" w:cs="Times New Roman"/>
          <w:sz w:val="24"/>
          <w:szCs w:val="24"/>
        </w:rPr>
      </w:pPr>
    </w:p>
    <w:p w:rsidR="0021096B" w:rsidRPr="00A40ACC" w:rsidRDefault="003D3EFD" w:rsidP="00235461">
      <w:pPr>
        <w:pStyle w:val="NoSpacing"/>
        <w:spacing w:line="264" w:lineRule="auto"/>
        <w:jc w:val="both"/>
        <w:outlineLvl w:val="1"/>
        <w:rPr>
          <w:rFonts w:ascii="Times New Roman" w:hAnsi="Times New Roman" w:cs="Times New Roman"/>
          <w:i/>
          <w:sz w:val="24"/>
          <w:szCs w:val="24"/>
        </w:rPr>
      </w:pPr>
      <w:bookmarkStart w:id="7" w:name="_Toc390269598"/>
      <w:r w:rsidRPr="00A40ACC">
        <w:rPr>
          <w:rFonts w:ascii="Times New Roman" w:hAnsi="Times New Roman" w:cs="Times New Roman"/>
          <w:i/>
          <w:sz w:val="24"/>
          <w:szCs w:val="24"/>
        </w:rPr>
        <w:lastRenderedPageBreak/>
        <w:t>Definition of “aggrieved person”</w:t>
      </w:r>
      <w:bookmarkEnd w:id="7"/>
    </w:p>
    <w:p w:rsidR="00971962" w:rsidRPr="00A40ACC" w:rsidRDefault="00AA4D3F" w:rsidP="00235461">
      <w:pPr>
        <w:pStyle w:val="NoSpacing"/>
        <w:spacing w:line="264" w:lineRule="auto"/>
        <w:jc w:val="both"/>
        <w:rPr>
          <w:rFonts w:ascii="Times New Roman" w:hAnsi="Times New Roman" w:cs="Times New Roman"/>
          <w:sz w:val="24"/>
          <w:szCs w:val="24"/>
          <w:lang w:val="en-US"/>
        </w:rPr>
      </w:pPr>
      <w:r w:rsidRPr="00A40ACC">
        <w:rPr>
          <w:rFonts w:ascii="Times New Roman" w:hAnsi="Times New Roman" w:cs="Times New Roman"/>
          <w:sz w:val="24"/>
          <w:szCs w:val="24"/>
          <w:lang w:val="en-US"/>
        </w:rPr>
        <w:t xml:space="preserve">Sections 50 to 58 of the Act outline who is able to bring proceedings before the Human Rights Review Tribunal (the Tribunal), and therefore who can claim damages in </w:t>
      </w:r>
      <w:r w:rsidR="00ED126F" w:rsidRPr="00A40ACC">
        <w:rPr>
          <w:rFonts w:ascii="Times New Roman" w:hAnsi="Times New Roman" w:cs="Times New Roman"/>
          <w:sz w:val="24"/>
          <w:szCs w:val="24"/>
          <w:lang w:val="en-US"/>
        </w:rPr>
        <w:t xml:space="preserve">that forum </w:t>
      </w:r>
      <w:r w:rsidRPr="00A40ACC">
        <w:rPr>
          <w:rFonts w:ascii="Times New Roman" w:hAnsi="Times New Roman" w:cs="Times New Roman"/>
          <w:sz w:val="24"/>
          <w:szCs w:val="24"/>
          <w:lang w:val="en-US"/>
        </w:rPr>
        <w:t>arising from a breach of the Code. Rather than referring to health or disability consumers, the term “aggrieved person” is used.</w:t>
      </w:r>
      <w:r w:rsidRPr="00A40ACC">
        <w:rPr>
          <w:rFonts w:ascii="Times New Roman" w:hAnsi="Times New Roman" w:cs="Times New Roman"/>
          <w:sz w:val="24"/>
          <w:szCs w:val="24"/>
        </w:rPr>
        <w:t xml:space="preserve"> The Court of Appeal in </w:t>
      </w:r>
      <w:r w:rsidRPr="00A40ACC">
        <w:rPr>
          <w:rFonts w:ascii="Times New Roman" w:hAnsi="Times New Roman" w:cs="Times New Roman"/>
          <w:i/>
          <w:sz w:val="24"/>
          <w:szCs w:val="24"/>
        </w:rPr>
        <w:t>Marks v Director of Health and Disability Proceedings</w:t>
      </w:r>
      <w:r w:rsidRPr="00A40ACC">
        <w:rPr>
          <w:rFonts w:ascii="Times New Roman" w:hAnsi="Times New Roman" w:cs="Times New Roman"/>
          <w:sz w:val="24"/>
          <w:szCs w:val="24"/>
        </w:rPr>
        <w:t xml:space="preserve"> [2009] NZCA 151 held that the term “aggrieved person” in the Act is essentially limited to consumers who themselves have rights under the Code, apart from </w:t>
      </w:r>
      <w:r w:rsidRPr="00A40ACC">
        <w:rPr>
          <w:rFonts w:ascii="Times New Roman" w:hAnsi="Times New Roman" w:cs="Times New Roman"/>
          <w:sz w:val="24"/>
          <w:szCs w:val="24"/>
          <w:lang w:val="en-US"/>
        </w:rPr>
        <w:t>two additional classes of people who may fall within the definition of “aggrieved person”: fathers of babies in the course of pregnancy and the birth process</w:t>
      </w:r>
      <w:r w:rsidRPr="00A40ACC">
        <w:rPr>
          <w:rFonts w:ascii="Times New Roman" w:hAnsi="Times New Roman" w:cs="Times New Roman"/>
          <w:sz w:val="24"/>
          <w:szCs w:val="24"/>
        </w:rPr>
        <w:t xml:space="preserve">, </w:t>
      </w:r>
      <w:r w:rsidRPr="00A40ACC">
        <w:rPr>
          <w:rFonts w:ascii="Times New Roman" w:hAnsi="Times New Roman" w:cs="Times New Roman"/>
          <w:sz w:val="24"/>
          <w:szCs w:val="24"/>
          <w:lang w:val="en-US"/>
        </w:rPr>
        <w:t>and executors/administrators of the estates of deceased consumers.</w:t>
      </w:r>
    </w:p>
    <w:p w:rsidR="00874B5B" w:rsidRPr="00A40ACC" w:rsidRDefault="00874B5B" w:rsidP="00235461">
      <w:pPr>
        <w:pStyle w:val="NoSpacing"/>
        <w:spacing w:line="264" w:lineRule="auto"/>
        <w:jc w:val="both"/>
        <w:rPr>
          <w:rFonts w:ascii="Times New Roman" w:hAnsi="Times New Roman" w:cs="Times New Roman"/>
          <w:sz w:val="24"/>
          <w:szCs w:val="24"/>
          <w:lang w:val="en-US"/>
        </w:rPr>
      </w:pPr>
    </w:p>
    <w:p w:rsidR="006953D2" w:rsidRPr="00A40ACC" w:rsidRDefault="00874B5B" w:rsidP="00235461">
      <w:pPr>
        <w:pStyle w:val="NoSpacing"/>
        <w:spacing w:line="264" w:lineRule="auto"/>
        <w:jc w:val="both"/>
        <w:rPr>
          <w:rFonts w:ascii="Times New Roman" w:hAnsi="Times New Roman" w:cs="Times New Roman"/>
          <w:sz w:val="24"/>
          <w:szCs w:val="24"/>
          <w:lang w:val="en-US"/>
        </w:rPr>
      </w:pPr>
      <w:r w:rsidRPr="00A40ACC">
        <w:rPr>
          <w:rFonts w:ascii="Times New Roman" w:hAnsi="Times New Roman" w:cs="Times New Roman"/>
          <w:sz w:val="24"/>
          <w:szCs w:val="24"/>
          <w:lang w:val="en-US"/>
        </w:rPr>
        <w:t xml:space="preserve">Recently, </w:t>
      </w:r>
      <w:r w:rsidR="008E70D1" w:rsidRPr="00A40ACC">
        <w:rPr>
          <w:rFonts w:ascii="Times New Roman" w:hAnsi="Times New Roman" w:cs="Times New Roman"/>
          <w:sz w:val="24"/>
          <w:szCs w:val="24"/>
          <w:lang w:val="en-US"/>
        </w:rPr>
        <w:t xml:space="preserve">in </w:t>
      </w:r>
      <w:r w:rsidR="008E70D1" w:rsidRPr="00A40ACC">
        <w:rPr>
          <w:rFonts w:ascii="Times New Roman" w:hAnsi="Times New Roman" w:cs="Times New Roman"/>
          <w:i/>
          <w:sz w:val="24"/>
          <w:szCs w:val="24"/>
          <w:lang w:val="en-US"/>
        </w:rPr>
        <w:t>P v F</w:t>
      </w:r>
      <w:r w:rsidR="008E70D1" w:rsidRPr="00A40ACC">
        <w:rPr>
          <w:rFonts w:ascii="Times New Roman" w:hAnsi="Times New Roman" w:cs="Times New Roman"/>
          <w:sz w:val="24"/>
          <w:szCs w:val="24"/>
          <w:lang w:val="en-US"/>
        </w:rPr>
        <w:t xml:space="preserve"> [2014] NZHC 456 </w:t>
      </w:r>
      <w:r w:rsidRPr="00A40ACC">
        <w:rPr>
          <w:rFonts w:ascii="Times New Roman" w:hAnsi="Times New Roman" w:cs="Times New Roman"/>
          <w:sz w:val="24"/>
          <w:szCs w:val="24"/>
        </w:rPr>
        <w:t>the High Court consi</w:t>
      </w:r>
      <w:r w:rsidR="006823C1" w:rsidRPr="00A40ACC">
        <w:rPr>
          <w:rFonts w:ascii="Times New Roman" w:hAnsi="Times New Roman" w:cs="Times New Roman"/>
          <w:sz w:val="24"/>
          <w:szCs w:val="24"/>
        </w:rPr>
        <w:t xml:space="preserve">dered a claim for damages from </w:t>
      </w:r>
      <w:r w:rsidRPr="00A40ACC">
        <w:rPr>
          <w:rFonts w:ascii="Times New Roman" w:hAnsi="Times New Roman" w:cs="Times New Roman"/>
          <w:sz w:val="24"/>
          <w:szCs w:val="24"/>
        </w:rPr>
        <w:t xml:space="preserve">a father whose baby suffered oxygen deprivation as a result of birth complications and developed cerebral palsy. </w:t>
      </w:r>
      <w:r w:rsidR="006823C1" w:rsidRPr="00A40ACC">
        <w:rPr>
          <w:rFonts w:ascii="Times New Roman" w:hAnsi="Times New Roman" w:cs="Times New Roman"/>
          <w:sz w:val="24"/>
          <w:szCs w:val="24"/>
        </w:rPr>
        <w:t xml:space="preserve">Justice </w:t>
      </w:r>
      <w:r w:rsidR="006823C1" w:rsidRPr="00A40ACC">
        <w:rPr>
          <w:rFonts w:ascii="Times New Roman" w:hAnsi="Times New Roman" w:cs="Times New Roman"/>
          <w:sz w:val="24"/>
          <w:szCs w:val="24"/>
          <w:lang w:val="en-US"/>
        </w:rPr>
        <w:t>Young</w:t>
      </w:r>
      <w:r w:rsidRPr="00A40ACC">
        <w:rPr>
          <w:rFonts w:ascii="Times New Roman" w:hAnsi="Times New Roman" w:cs="Times New Roman"/>
          <w:sz w:val="24"/>
          <w:szCs w:val="24"/>
          <w:lang w:val="en-US"/>
        </w:rPr>
        <w:t xml:space="preserve"> considered the situation of an involved father to be quite different from</w:t>
      </w:r>
      <w:r w:rsidR="004B6537">
        <w:rPr>
          <w:rFonts w:ascii="Times New Roman" w:hAnsi="Times New Roman" w:cs="Times New Roman"/>
          <w:sz w:val="24"/>
          <w:szCs w:val="24"/>
          <w:lang w:val="en-US"/>
        </w:rPr>
        <w:t xml:space="preserve"> that of</w:t>
      </w:r>
      <w:r w:rsidRPr="00A40ACC">
        <w:rPr>
          <w:rFonts w:ascii="Times New Roman" w:hAnsi="Times New Roman" w:cs="Times New Roman"/>
          <w:sz w:val="24"/>
          <w:szCs w:val="24"/>
          <w:lang w:val="en-US"/>
        </w:rPr>
        <w:t xml:space="preserve"> a party representing a consumer’s estate or a party acting for a consumer who cannot act for themselves</w:t>
      </w:r>
      <w:r w:rsidR="004B6537">
        <w:rPr>
          <w:rFonts w:ascii="Times New Roman" w:hAnsi="Times New Roman" w:cs="Times New Roman"/>
          <w:sz w:val="24"/>
          <w:szCs w:val="24"/>
          <w:lang w:val="en-US"/>
        </w:rPr>
        <w:t>,</w:t>
      </w:r>
      <w:r w:rsidR="00456961" w:rsidRPr="00A40ACC">
        <w:rPr>
          <w:rFonts w:ascii="Times New Roman" w:hAnsi="Times New Roman" w:cs="Times New Roman"/>
          <w:sz w:val="24"/>
          <w:szCs w:val="24"/>
          <w:lang w:val="en-US"/>
        </w:rPr>
        <w:t xml:space="preserve"> and </w:t>
      </w:r>
      <w:r w:rsidR="008E70D1" w:rsidRPr="00A40ACC">
        <w:rPr>
          <w:rFonts w:ascii="Times New Roman" w:hAnsi="Times New Roman" w:cs="Times New Roman"/>
          <w:sz w:val="24"/>
          <w:szCs w:val="24"/>
          <w:lang w:val="en-US"/>
        </w:rPr>
        <w:t xml:space="preserve">ruled </w:t>
      </w:r>
      <w:r w:rsidR="00456961" w:rsidRPr="00A40ACC">
        <w:rPr>
          <w:rFonts w:ascii="Times New Roman" w:hAnsi="Times New Roman" w:cs="Times New Roman"/>
          <w:sz w:val="24"/>
          <w:szCs w:val="24"/>
          <w:lang w:val="en-US"/>
        </w:rPr>
        <w:t>that such fathers do not come within the definition of “aggrieved person”.</w:t>
      </w:r>
    </w:p>
    <w:p w:rsidR="00456961" w:rsidRPr="00A40ACC" w:rsidRDefault="00456961" w:rsidP="00235461">
      <w:pPr>
        <w:pStyle w:val="NoSpacing"/>
        <w:spacing w:line="264" w:lineRule="auto"/>
        <w:jc w:val="both"/>
        <w:rPr>
          <w:rFonts w:ascii="Times New Roman" w:hAnsi="Times New Roman" w:cs="Times New Roman"/>
          <w:sz w:val="24"/>
          <w:szCs w:val="24"/>
          <w:lang w:val="en-US"/>
        </w:rPr>
      </w:pPr>
    </w:p>
    <w:p w:rsidR="00BB4E9F" w:rsidRPr="00A40ACC" w:rsidRDefault="00456961"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lang w:val="en-US"/>
        </w:rPr>
        <w:t>Bearing in mind this context,</w:t>
      </w:r>
      <w:r w:rsidR="00213B90" w:rsidRPr="00A40ACC">
        <w:rPr>
          <w:rFonts w:ascii="Times New Roman" w:hAnsi="Times New Roman" w:cs="Times New Roman"/>
          <w:sz w:val="24"/>
          <w:szCs w:val="24"/>
          <w:lang w:val="en-US"/>
        </w:rPr>
        <w:t xml:space="preserve"> I remain in agreement with the proposed amendment to </w:t>
      </w:r>
      <w:r w:rsidR="00BB4E9F" w:rsidRPr="00A40ACC">
        <w:rPr>
          <w:rFonts w:ascii="Times New Roman" w:hAnsi="Times New Roman" w:cs="Times New Roman"/>
          <w:sz w:val="24"/>
          <w:szCs w:val="24"/>
        </w:rPr>
        <w:t>replace “aggrieved person” with “the complainant (if any) or the aggrieved person(s) (if not the complainant)”</w:t>
      </w:r>
      <w:r w:rsidR="008E70D1" w:rsidRPr="00A40ACC">
        <w:rPr>
          <w:rFonts w:ascii="Times New Roman" w:hAnsi="Times New Roman" w:cs="Times New Roman"/>
          <w:sz w:val="24"/>
          <w:szCs w:val="24"/>
        </w:rPr>
        <w:t>.</w:t>
      </w:r>
      <w:r w:rsidR="00BB4E9F" w:rsidRPr="00A40ACC">
        <w:rPr>
          <w:rFonts w:ascii="Times New Roman" w:hAnsi="Times New Roman" w:cs="Times New Roman"/>
          <w:sz w:val="24"/>
          <w:szCs w:val="24"/>
        </w:rPr>
        <w:t xml:space="preserve"> </w:t>
      </w:r>
      <w:r w:rsidR="00213B90" w:rsidRPr="00A40ACC">
        <w:rPr>
          <w:rFonts w:ascii="Times New Roman" w:hAnsi="Times New Roman" w:cs="Times New Roman"/>
          <w:sz w:val="24"/>
          <w:szCs w:val="24"/>
        </w:rPr>
        <w:t>In my view, the proposed change would promote accountability and quality improvement</w:t>
      </w:r>
      <w:r w:rsidR="00E252F4" w:rsidRPr="00A40ACC">
        <w:rPr>
          <w:rFonts w:ascii="Times New Roman" w:hAnsi="Times New Roman" w:cs="Times New Roman"/>
          <w:sz w:val="24"/>
          <w:szCs w:val="24"/>
        </w:rPr>
        <w:t xml:space="preserve"> by allowing a potentially </w:t>
      </w:r>
      <w:r w:rsidRPr="00A40ACC">
        <w:rPr>
          <w:rFonts w:ascii="Times New Roman" w:hAnsi="Times New Roman" w:cs="Times New Roman"/>
          <w:sz w:val="24"/>
          <w:szCs w:val="24"/>
        </w:rPr>
        <w:t>wider class of complainants to bring proceedings in the Tribunal.</w:t>
      </w:r>
      <w:r w:rsidR="00294D9A" w:rsidRPr="00A40ACC">
        <w:rPr>
          <w:rFonts w:ascii="Times New Roman" w:hAnsi="Times New Roman" w:cs="Times New Roman"/>
          <w:sz w:val="24"/>
          <w:szCs w:val="24"/>
        </w:rPr>
        <w:t xml:space="preserve"> </w:t>
      </w:r>
      <w:r w:rsidR="00BB4E9F" w:rsidRPr="00A40ACC">
        <w:rPr>
          <w:rFonts w:ascii="Times New Roman" w:hAnsi="Times New Roman" w:cs="Times New Roman"/>
          <w:sz w:val="24"/>
          <w:szCs w:val="24"/>
        </w:rPr>
        <w:t>Ten submitters commented on this amendment with nine agreeing that “aggrieved person” should be defined in this way.</w:t>
      </w:r>
      <w:r w:rsidR="00213B90" w:rsidRPr="00A40ACC">
        <w:rPr>
          <w:rFonts w:ascii="Times New Roman" w:hAnsi="Times New Roman" w:cs="Times New Roman"/>
          <w:sz w:val="24"/>
          <w:szCs w:val="24"/>
        </w:rPr>
        <w:t xml:space="preserve"> </w:t>
      </w:r>
      <w:r w:rsidR="00874B5B" w:rsidRPr="00A40ACC">
        <w:rPr>
          <w:rFonts w:ascii="Times New Roman" w:hAnsi="Times New Roman" w:cs="Times New Roman"/>
          <w:sz w:val="24"/>
          <w:szCs w:val="24"/>
        </w:rPr>
        <w:t xml:space="preserve">Accordingly, </w:t>
      </w:r>
      <w:r w:rsidR="00BB4E9F" w:rsidRPr="00A40ACC">
        <w:rPr>
          <w:rFonts w:ascii="Times New Roman" w:hAnsi="Times New Roman" w:cs="Times New Roman"/>
          <w:sz w:val="24"/>
          <w:szCs w:val="24"/>
        </w:rPr>
        <w:t xml:space="preserve">I recommend that </w:t>
      </w:r>
      <w:r w:rsidR="00BF1D3D" w:rsidRPr="00A40ACC">
        <w:rPr>
          <w:rFonts w:ascii="Times New Roman" w:hAnsi="Times New Roman" w:cs="Times New Roman"/>
          <w:sz w:val="24"/>
          <w:szCs w:val="24"/>
        </w:rPr>
        <w:t xml:space="preserve">section 2 of </w:t>
      </w:r>
      <w:r w:rsidR="00874B5B" w:rsidRPr="00A40ACC">
        <w:rPr>
          <w:rFonts w:ascii="Times New Roman" w:hAnsi="Times New Roman" w:cs="Times New Roman"/>
          <w:sz w:val="24"/>
          <w:szCs w:val="24"/>
        </w:rPr>
        <w:t xml:space="preserve">the Act be amended to </w:t>
      </w:r>
      <w:r w:rsidR="00B567B7" w:rsidRPr="00A40ACC">
        <w:rPr>
          <w:rFonts w:ascii="Times New Roman" w:hAnsi="Times New Roman" w:cs="Times New Roman"/>
          <w:sz w:val="24"/>
          <w:szCs w:val="24"/>
        </w:rPr>
        <w:t>define</w:t>
      </w:r>
      <w:r w:rsidR="00874B5B" w:rsidRPr="00A40ACC">
        <w:rPr>
          <w:rFonts w:ascii="Times New Roman" w:hAnsi="Times New Roman" w:cs="Times New Roman"/>
          <w:sz w:val="24"/>
          <w:szCs w:val="24"/>
        </w:rPr>
        <w:t xml:space="preserve"> “aggrieved person” </w:t>
      </w:r>
      <w:r w:rsidR="00BF1D3D" w:rsidRPr="00A40ACC">
        <w:rPr>
          <w:rFonts w:ascii="Times New Roman" w:hAnsi="Times New Roman" w:cs="Times New Roman"/>
          <w:sz w:val="24"/>
          <w:szCs w:val="24"/>
        </w:rPr>
        <w:t>as</w:t>
      </w:r>
      <w:r w:rsidR="00874B5B" w:rsidRPr="00A40ACC">
        <w:rPr>
          <w:rFonts w:ascii="Times New Roman" w:hAnsi="Times New Roman" w:cs="Times New Roman"/>
          <w:sz w:val="24"/>
          <w:szCs w:val="24"/>
        </w:rPr>
        <w:t xml:space="preserve"> “the complainant (if any) or the aggrieved per</w:t>
      </w:r>
      <w:r w:rsidR="006F2EF3">
        <w:rPr>
          <w:rFonts w:ascii="Times New Roman" w:hAnsi="Times New Roman" w:cs="Times New Roman"/>
          <w:sz w:val="24"/>
          <w:szCs w:val="24"/>
        </w:rPr>
        <w:t>son(s) (if not the complainant)</w:t>
      </w:r>
      <w:r w:rsidR="00874B5B" w:rsidRPr="00A40ACC">
        <w:rPr>
          <w:rFonts w:ascii="Times New Roman" w:hAnsi="Times New Roman" w:cs="Times New Roman"/>
          <w:sz w:val="24"/>
          <w:szCs w:val="24"/>
        </w:rPr>
        <w:t>”</w:t>
      </w:r>
      <w:r w:rsidR="006F2EF3">
        <w:rPr>
          <w:rFonts w:ascii="Times New Roman" w:hAnsi="Times New Roman" w:cs="Times New Roman"/>
          <w:sz w:val="24"/>
          <w:szCs w:val="24"/>
        </w:rPr>
        <w:t>.</w:t>
      </w:r>
    </w:p>
    <w:p w:rsidR="00BB4E9F" w:rsidRPr="00A40ACC" w:rsidRDefault="00BB4E9F" w:rsidP="00235461">
      <w:pPr>
        <w:pStyle w:val="NoSpacing"/>
        <w:spacing w:line="264" w:lineRule="auto"/>
        <w:jc w:val="both"/>
        <w:rPr>
          <w:rFonts w:ascii="Times New Roman" w:hAnsi="Times New Roman" w:cs="Times New Roman"/>
          <w:sz w:val="24"/>
          <w:szCs w:val="24"/>
        </w:rPr>
      </w:pPr>
    </w:p>
    <w:p w:rsidR="0021096B" w:rsidRPr="00A40ACC" w:rsidRDefault="003D3EFD" w:rsidP="00235461">
      <w:pPr>
        <w:pStyle w:val="NoSpacing"/>
        <w:spacing w:line="264" w:lineRule="auto"/>
        <w:jc w:val="both"/>
        <w:outlineLvl w:val="1"/>
        <w:rPr>
          <w:rFonts w:ascii="Times New Roman" w:hAnsi="Times New Roman" w:cs="Times New Roman"/>
          <w:i/>
          <w:sz w:val="24"/>
          <w:szCs w:val="24"/>
        </w:rPr>
      </w:pPr>
      <w:bookmarkStart w:id="8" w:name="_Toc390269599"/>
      <w:r w:rsidRPr="00A40ACC">
        <w:rPr>
          <w:rFonts w:ascii="Times New Roman" w:hAnsi="Times New Roman" w:cs="Times New Roman"/>
          <w:i/>
          <w:sz w:val="24"/>
          <w:szCs w:val="24"/>
        </w:rPr>
        <w:t>Director of Proceedings – power to require information</w:t>
      </w:r>
      <w:bookmarkEnd w:id="8"/>
    </w:p>
    <w:p w:rsidR="005D5899" w:rsidRPr="00A40ACC" w:rsidRDefault="00DC2EA2"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I support the amendment proposed to give the Director of Proceedings the same power as the Commissioner under section 62 to require the provision of information, until a decision has been made under section 49 to issue any proceedings. I agree that there may be situations where the Director wishes to obtain additional information </w:t>
      </w:r>
      <w:r w:rsidR="00E252F4" w:rsidRPr="00A40ACC">
        <w:rPr>
          <w:rFonts w:ascii="Times New Roman" w:hAnsi="Times New Roman" w:cs="Times New Roman"/>
          <w:sz w:val="24"/>
          <w:szCs w:val="24"/>
        </w:rPr>
        <w:t>in order to inform the Director’s decision</w:t>
      </w:r>
      <w:r w:rsidRPr="00A40ACC">
        <w:rPr>
          <w:rFonts w:ascii="Times New Roman" w:hAnsi="Times New Roman" w:cs="Times New Roman"/>
          <w:sz w:val="24"/>
          <w:szCs w:val="24"/>
        </w:rPr>
        <w:t xml:space="preserve"> under section 49, </w:t>
      </w:r>
      <w:r w:rsidR="00E252F4" w:rsidRPr="00A40ACC">
        <w:rPr>
          <w:rFonts w:ascii="Times New Roman" w:hAnsi="Times New Roman" w:cs="Times New Roman"/>
          <w:sz w:val="24"/>
          <w:szCs w:val="24"/>
        </w:rPr>
        <w:t xml:space="preserve">regarding </w:t>
      </w:r>
      <w:r w:rsidRPr="00A40ACC">
        <w:rPr>
          <w:rFonts w:ascii="Times New Roman" w:hAnsi="Times New Roman" w:cs="Times New Roman"/>
          <w:sz w:val="24"/>
          <w:szCs w:val="24"/>
        </w:rPr>
        <w:t xml:space="preserve">what (if any) action to take after a referral is </w:t>
      </w:r>
      <w:r w:rsidR="00E252F4" w:rsidRPr="00A40ACC">
        <w:rPr>
          <w:rFonts w:ascii="Times New Roman" w:hAnsi="Times New Roman" w:cs="Times New Roman"/>
          <w:sz w:val="24"/>
          <w:szCs w:val="24"/>
        </w:rPr>
        <w:t>received</w:t>
      </w:r>
      <w:r w:rsidRPr="00A40ACC">
        <w:rPr>
          <w:rFonts w:ascii="Times New Roman" w:hAnsi="Times New Roman" w:cs="Times New Roman"/>
          <w:sz w:val="24"/>
          <w:szCs w:val="24"/>
        </w:rPr>
        <w:t xml:space="preserve"> from the Commissioner.</w:t>
      </w:r>
    </w:p>
    <w:p w:rsidR="00DC2EA2" w:rsidRPr="00A40ACC" w:rsidRDefault="00DC2EA2" w:rsidP="00235461">
      <w:pPr>
        <w:pStyle w:val="NoSpacing"/>
        <w:spacing w:line="264" w:lineRule="auto"/>
        <w:jc w:val="both"/>
        <w:rPr>
          <w:rFonts w:ascii="Times New Roman" w:hAnsi="Times New Roman" w:cs="Times New Roman"/>
          <w:sz w:val="24"/>
          <w:szCs w:val="24"/>
        </w:rPr>
      </w:pPr>
    </w:p>
    <w:p w:rsidR="004B1DE4" w:rsidRPr="00A40ACC" w:rsidRDefault="00DC2EA2"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Nine out of ten submissions on this issue supported the proposed amendment. I have considered the submission that such an amendment would undermine the right to silence and common law rights to decline to provide further information. However, on balance, I recommend </w:t>
      </w:r>
      <w:r w:rsidR="009D3E49" w:rsidRPr="00A40ACC">
        <w:rPr>
          <w:rFonts w:ascii="Times New Roman" w:hAnsi="Times New Roman" w:cs="Times New Roman"/>
          <w:sz w:val="24"/>
          <w:szCs w:val="24"/>
        </w:rPr>
        <w:t xml:space="preserve">that </w:t>
      </w:r>
      <w:r w:rsidRPr="00A40ACC">
        <w:rPr>
          <w:rFonts w:ascii="Times New Roman" w:hAnsi="Times New Roman" w:cs="Times New Roman"/>
          <w:sz w:val="24"/>
          <w:szCs w:val="24"/>
        </w:rPr>
        <w:t>this amendment</w:t>
      </w:r>
      <w:r w:rsidR="009D3E49" w:rsidRPr="00A40ACC">
        <w:rPr>
          <w:rFonts w:ascii="Times New Roman" w:hAnsi="Times New Roman" w:cs="Times New Roman"/>
          <w:sz w:val="24"/>
          <w:szCs w:val="24"/>
        </w:rPr>
        <w:t xml:space="preserve"> be made to the Act</w:t>
      </w:r>
      <w:r w:rsidRPr="00A40ACC">
        <w:rPr>
          <w:rFonts w:ascii="Times New Roman" w:hAnsi="Times New Roman" w:cs="Times New Roman"/>
          <w:sz w:val="24"/>
          <w:szCs w:val="24"/>
        </w:rPr>
        <w:t>.</w:t>
      </w:r>
    </w:p>
    <w:p w:rsidR="005D5899" w:rsidRPr="00A40ACC" w:rsidRDefault="005D5899" w:rsidP="00235461">
      <w:pPr>
        <w:pStyle w:val="NoSpacing"/>
        <w:spacing w:line="264" w:lineRule="auto"/>
        <w:jc w:val="both"/>
        <w:rPr>
          <w:rFonts w:ascii="Times New Roman" w:hAnsi="Times New Roman" w:cs="Times New Roman"/>
          <w:sz w:val="24"/>
          <w:szCs w:val="24"/>
        </w:rPr>
      </w:pPr>
    </w:p>
    <w:p w:rsidR="00CF52A1" w:rsidRPr="00A40ACC" w:rsidRDefault="00CF52A1" w:rsidP="00235461">
      <w:pPr>
        <w:spacing w:after="0" w:line="264" w:lineRule="auto"/>
        <w:jc w:val="both"/>
        <w:rPr>
          <w:rFonts w:ascii="Times New Roman" w:hAnsi="Times New Roman" w:cs="Times New Roman"/>
          <w:b/>
          <w:sz w:val="24"/>
          <w:szCs w:val="24"/>
        </w:rPr>
      </w:pPr>
      <w:r w:rsidRPr="00A40ACC">
        <w:rPr>
          <w:rFonts w:ascii="Times New Roman" w:hAnsi="Times New Roman" w:cs="Times New Roman"/>
          <w:b/>
          <w:sz w:val="24"/>
          <w:szCs w:val="24"/>
        </w:rPr>
        <w:br w:type="page"/>
      </w:r>
    </w:p>
    <w:p w:rsidR="00CF52A1" w:rsidRPr="00A40ACC" w:rsidRDefault="00CF52A1" w:rsidP="00235461">
      <w:pPr>
        <w:pStyle w:val="Title"/>
        <w:spacing w:after="0" w:line="264" w:lineRule="auto"/>
        <w:jc w:val="center"/>
        <w:outlineLvl w:val="0"/>
        <w:rPr>
          <w:rFonts w:ascii="Times New Roman" w:hAnsi="Times New Roman" w:cs="Times New Roman"/>
          <w:b/>
          <w:color w:val="auto"/>
          <w:sz w:val="44"/>
          <w:szCs w:val="44"/>
        </w:rPr>
      </w:pPr>
      <w:bookmarkStart w:id="9" w:name="_Toc390269600"/>
      <w:r w:rsidRPr="00A40ACC">
        <w:rPr>
          <w:rFonts w:ascii="Times New Roman" w:hAnsi="Times New Roman" w:cs="Times New Roman"/>
          <w:b/>
          <w:color w:val="auto"/>
          <w:sz w:val="44"/>
          <w:szCs w:val="44"/>
        </w:rPr>
        <w:lastRenderedPageBreak/>
        <w:t>ISSUES NOT REQUIRING CHANGE</w:t>
      </w:r>
      <w:bookmarkEnd w:id="9"/>
    </w:p>
    <w:p w:rsidR="005C78F5" w:rsidRPr="00A40ACC" w:rsidRDefault="005C78F5" w:rsidP="00235461">
      <w:pPr>
        <w:autoSpaceDE w:val="0"/>
        <w:autoSpaceDN w:val="0"/>
        <w:adjustRightInd w:val="0"/>
        <w:spacing w:after="0" w:line="264" w:lineRule="auto"/>
        <w:jc w:val="both"/>
        <w:rPr>
          <w:rFonts w:ascii="Tms Rmn" w:hAnsi="Tms Rmn"/>
          <w:b/>
          <w:sz w:val="28"/>
          <w:szCs w:val="28"/>
        </w:rPr>
      </w:pPr>
    </w:p>
    <w:p w:rsidR="0021096B" w:rsidRPr="00A40ACC" w:rsidRDefault="00944D2A" w:rsidP="00235461">
      <w:pPr>
        <w:pStyle w:val="NoSpacing"/>
        <w:spacing w:line="264" w:lineRule="auto"/>
        <w:jc w:val="both"/>
        <w:outlineLvl w:val="0"/>
        <w:rPr>
          <w:rFonts w:ascii="Times New Roman" w:hAnsi="Times New Roman" w:cs="Times New Roman"/>
          <w:b/>
          <w:sz w:val="28"/>
          <w:szCs w:val="28"/>
        </w:rPr>
      </w:pPr>
      <w:bookmarkStart w:id="10" w:name="_Toc390269601"/>
      <w:r w:rsidRPr="00A40ACC">
        <w:rPr>
          <w:rFonts w:ascii="Times New Roman" w:hAnsi="Times New Roman" w:cs="Times New Roman"/>
          <w:b/>
          <w:sz w:val="28"/>
          <w:szCs w:val="28"/>
        </w:rPr>
        <w:t>The Act</w:t>
      </w:r>
      <w:bookmarkEnd w:id="10"/>
    </w:p>
    <w:p w:rsidR="00067B0E" w:rsidRPr="00A40ACC" w:rsidRDefault="00067B0E" w:rsidP="00235461">
      <w:pPr>
        <w:autoSpaceDE w:val="0"/>
        <w:autoSpaceDN w:val="0"/>
        <w:adjustRightInd w:val="0"/>
        <w:spacing w:after="0" w:line="264" w:lineRule="auto"/>
        <w:jc w:val="both"/>
        <w:rPr>
          <w:rFonts w:ascii="Tms Rmn" w:hAnsi="Tms Rmn"/>
          <w:sz w:val="24"/>
          <w:szCs w:val="24"/>
        </w:rPr>
      </w:pPr>
    </w:p>
    <w:p w:rsidR="0021096B" w:rsidRPr="00A40ACC" w:rsidRDefault="00944D2A" w:rsidP="00235461">
      <w:pPr>
        <w:pStyle w:val="NoSpacing"/>
        <w:spacing w:line="264" w:lineRule="auto"/>
        <w:jc w:val="both"/>
        <w:outlineLvl w:val="1"/>
        <w:rPr>
          <w:rFonts w:ascii="Times New Roman" w:hAnsi="Times New Roman" w:cs="Times New Roman"/>
          <w:i/>
          <w:sz w:val="24"/>
          <w:szCs w:val="24"/>
        </w:rPr>
      </w:pPr>
      <w:bookmarkStart w:id="11" w:name="_Toc390269602"/>
      <w:r w:rsidRPr="00A40ACC">
        <w:rPr>
          <w:rFonts w:ascii="Times New Roman" w:hAnsi="Times New Roman" w:cs="Times New Roman"/>
          <w:i/>
          <w:sz w:val="24"/>
          <w:szCs w:val="24"/>
        </w:rPr>
        <w:t>Definition of disability</w:t>
      </w:r>
      <w:bookmarkEnd w:id="11"/>
    </w:p>
    <w:p w:rsidR="00971962" w:rsidRPr="00A40ACC" w:rsidRDefault="00067B0E" w:rsidP="00235461">
      <w:pPr>
        <w:autoSpaceDE w:val="0"/>
        <w:autoSpaceDN w:val="0"/>
        <w:adjustRightInd w:val="0"/>
        <w:spacing w:after="0" w:line="264" w:lineRule="auto"/>
        <w:jc w:val="both"/>
        <w:rPr>
          <w:rFonts w:ascii="Tms Rmn" w:hAnsi="Tms Rmn"/>
          <w:sz w:val="24"/>
          <w:szCs w:val="24"/>
        </w:rPr>
      </w:pPr>
      <w:r w:rsidRPr="00A40ACC">
        <w:rPr>
          <w:rFonts w:ascii="Tms Rmn" w:hAnsi="Tms Rmn"/>
          <w:sz w:val="24"/>
          <w:szCs w:val="24"/>
        </w:rPr>
        <w:t xml:space="preserve">The 2009 review recommended that disability be defined in section 2 of the Act, in </w:t>
      </w:r>
      <w:r w:rsidR="009F4C1A" w:rsidRPr="00A40ACC">
        <w:rPr>
          <w:rFonts w:ascii="Tms Rmn" w:hAnsi="Tms Rmn"/>
          <w:sz w:val="24"/>
          <w:szCs w:val="24"/>
        </w:rPr>
        <w:t xml:space="preserve">a manner </w:t>
      </w:r>
      <w:r w:rsidRPr="00A40ACC">
        <w:rPr>
          <w:rFonts w:ascii="Tms Rmn" w:hAnsi="Tms Rmn"/>
          <w:sz w:val="24"/>
          <w:szCs w:val="24"/>
        </w:rPr>
        <w:t xml:space="preserve">consistent with the definitions in the New Zealand Disability Strategy and </w:t>
      </w:r>
      <w:r w:rsidR="006F2EF3">
        <w:rPr>
          <w:rFonts w:ascii="Tms Rmn" w:hAnsi="Tms Rmn"/>
          <w:sz w:val="24"/>
          <w:szCs w:val="24"/>
        </w:rPr>
        <w:t>the United Nations Convention on</w:t>
      </w:r>
      <w:r w:rsidRPr="00A40ACC">
        <w:rPr>
          <w:rFonts w:ascii="Tms Rmn" w:hAnsi="Tms Rmn"/>
          <w:sz w:val="24"/>
          <w:szCs w:val="24"/>
        </w:rPr>
        <w:t xml:space="preserve"> the Rights of People with Disabilities. </w:t>
      </w:r>
      <w:r w:rsidR="009C5AD1">
        <w:rPr>
          <w:rFonts w:ascii="Tms Rmn" w:hAnsi="Tms Rmn"/>
          <w:sz w:val="24"/>
          <w:szCs w:val="24"/>
        </w:rPr>
        <w:t>Submissions o</w:t>
      </w:r>
      <w:r w:rsidR="009F4C1A" w:rsidRPr="00A40ACC">
        <w:rPr>
          <w:rFonts w:ascii="Tms Rmn" w:hAnsi="Tms Rmn"/>
          <w:sz w:val="24"/>
          <w:szCs w:val="24"/>
        </w:rPr>
        <w:t>n the current</w:t>
      </w:r>
      <w:r w:rsidRPr="00A40ACC">
        <w:rPr>
          <w:rFonts w:ascii="Tms Rmn" w:hAnsi="Tms Rmn"/>
          <w:sz w:val="24"/>
          <w:szCs w:val="24"/>
        </w:rPr>
        <w:t xml:space="preserve"> review reflected this recommendation, with reference once again made to the UN Convention. While it is not ideal that these two definitions are different, I do not consider that the current definition impairs </w:t>
      </w:r>
      <w:r w:rsidR="009F4C1A" w:rsidRPr="00A40ACC">
        <w:rPr>
          <w:rFonts w:ascii="Tms Rmn" w:hAnsi="Tms Rmn"/>
          <w:sz w:val="24"/>
          <w:szCs w:val="24"/>
        </w:rPr>
        <w:t>HDC’s</w:t>
      </w:r>
      <w:r w:rsidRPr="00A40ACC">
        <w:rPr>
          <w:rFonts w:ascii="Tms Rmn" w:hAnsi="Tms Rmn"/>
          <w:sz w:val="24"/>
          <w:szCs w:val="24"/>
        </w:rPr>
        <w:t xml:space="preserve"> ability to consider </w:t>
      </w:r>
      <w:r w:rsidR="00C0583F" w:rsidRPr="00A40ACC">
        <w:rPr>
          <w:rFonts w:ascii="Tms Rmn" w:hAnsi="Tms Rmn"/>
          <w:sz w:val="24"/>
          <w:szCs w:val="24"/>
        </w:rPr>
        <w:t>t</w:t>
      </w:r>
      <w:r w:rsidRPr="00A40ACC">
        <w:rPr>
          <w:rFonts w:ascii="Tms Rmn" w:hAnsi="Tms Rmn"/>
          <w:sz w:val="24"/>
          <w:szCs w:val="24"/>
        </w:rPr>
        <w:t xml:space="preserve">he concerns of disability services consumers. I note that the </w:t>
      </w:r>
      <w:r w:rsidR="008E70D1" w:rsidRPr="00A40ACC">
        <w:rPr>
          <w:rFonts w:ascii="Tms Rmn" w:hAnsi="Tms Rmn"/>
          <w:sz w:val="24"/>
          <w:szCs w:val="24"/>
        </w:rPr>
        <w:t xml:space="preserve">Minister </w:t>
      </w:r>
      <w:r w:rsidR="009F4C1A" w:rsidRPr="00A40ACC">
        <w:rPr>
          <w:rFonts w:ascii="Tms Rmn" w:hAnsi="Tms Rmn"/>
          <w:sz w:val="24"/>
          <w:szCs w:val="24"/>
        </w:rPr>
        <w:t xml:space="preserve">of Health </w:t>
      </w:r>
      <w:r w:rsidRPr="00A40ACC">
        <w:rPr>
          <w:rFonts w:ascii="Tms Rmn" w:hAnsi="Tms Rmn"/>
          <w:sz w:val="24"/>
          <w:szCs w:val="24"/>
        </w:rPr>
        <w:t>declined to amend this section following the 2009 review</w:t>
      </w:r>
      <w:r w:rsidR="009F4C1A" w:rsidRPr="00A40ACC">
        <w:rPr>
          <w:rFonts w:ascii="Tms Rmn" w:hAnsi="Tms Rmn"/>
          <w:sz w:val="24"/>
          <w:szCs w:val="24"/>
        </w:rPr>
        <w:t xml:space="preserve"> </w:t>
      </w:r>
      <w:r w:rsidR="004205A4" w:rsidRPr="00A40ACC">
        <w:rPr>
          <w:rFonts w:ascii="Tms Rmn" w:hAnsi="Tms Rmn"/>
          <w:sz w:val="24"/>
          <w:szCs w:val="24"/>
        </w:rPr>
        <w:t>as it does not reflect a change in policy. The Ministry of Health noted that such ‘stylistic’ changes are undesirable as they imply that Parliament intended to substantively alter the meaning of the words defined, which is not the case, and may lead to uncert</w:t>
      </w:r>
      <w:r w:rsidR="00A758FF">
        <w:rPr>
          <w:rFonts w:ascii="Tms Rmn" w:hAnsi="Tms Rmn"/>
          <w:sz w:val="24"/>
          <w:szCs w:val="24"/>
        </w:rPr>
        <w:t>ainty and increased litigation.</w:t>
      </w:r>
      <w:r w:rsidRPr="00A40ACC">
        <w:rPr>
          <w:rFonts w:ascii="Tms Rmn" w:hAnsi="Tms Rmn"/>
          <w:sz w:val="24"/>
          <w:szCs w:val="24"/>
        </w:rPr>
        <w:t xml:space="preserve"> After careful consideration, I </w:t>
      </w:r>
      <w:r w:rsidR="009F4C1A" w:rsidRPr="00A40ACC">
        <w:rPr>
          <w:rFonts w:ascii="Tms Rmn" w:hAnsi="Tms Rmn"/>
          <w:sz w:val="24"/>
          <w:szCs w:val="24"/>
        </w:rPr>
        <w:t xml:space="preserve">too </w:t>
      </w:r>
      <w:r w:rsidRPr="00A40ACC">
        <w:rPr>
          <w:rFonts w:ascii="Tms Rmn" w:hAnsi="Tms Rmn"/>
          <w:sz w:val="24"/>
          <w:szCs w:val="24"/>
        </w:rPr>
        <w:t>am not convinced that</w:t>
      </w:r>
      <w:r w:rsidR="009F4C1A" w:rsidRPr="00A40ACC">
        <w:rPr>
          <w:rFonts w:ascii="Tms Rmn" w:hAnsi="Tms Rmn"/>
          <w:sz w:val="24"/>
          <w:szCs w:val="24"/>
        </w:rPr>
        <w:t xml:space="preserve"> such</w:t>
      </w:r>
      <w:r w:rsidRPr="00A40ACC">
        <w:rPr>
          <w:rFonts w:ascii="Tms Rmn" w:hAnsi="Tms Rmn"/>
          <w:sz w:val="24"/>
          <w:szCs w:val="24"/>
        </w:rPr>
        <w:t xml:space="preserve"> an amendment to section 2 is necessary. </w:t>
      </w:r>
    </w:p>
    <w:p w:rsidR="00971962" w:rsidRPr="00A40ACC" w:rsidRDefault="00971962" w:rsidP="00235461">
      <w:pPr>
        <w:autoSpaceDE w:val="0"/>
        <w:autoSpaceDN w:val="0"/>
        <w:adjustRightInd w:val="0"/>
        <w:spacing w:after="0" w:line="264" w:lineRule="auto"/>
        <w:jc w:val="both"/>
        <w:rPr>
          <w:rFonts w:ascii="Tms Rmn" w:hAnsi="Tms Rmn"/>
          <w:i/>
          <w:sz w:val="24"/>
          <w:szCs w:val="24"/>
        </w:rPr>
      </w:pPr>
    </w:p>
    <w:p w:rsidR="0021096B" w:rsidRPr="00A40ACC" w:rsidRDefault="00944D2A" w:rsidP="00235461">
      <w:pPr>
        <w:pStyle w:val="NoSpacing"/>
        <w:spacing w:line="264" w:lineRule="auto"/>
        <w:jc w:val="both"/>
        <w:outlineLvl w:val="1"/>
        <w:rPr>
          <w:rFonts w:ascii="Tms Rmn" w:hAnsi="Tms Rmn"/>
          <w:i/>
          <w:sz w:val="24"/>
          <w:szCs w:val="24"/>
        </w:rPr>
      </w:pPr>
      <w:bookmarkStart w:id="12" w:name="_Toc390269603"/>
      <w:r w:rsidRPr="00A40ACC">
        <w:rPr>
          <w:rFonts w:ascii="Times New Roman" w:hAnsi="Times New Roman" w:cs="Times New Roman"/>
          <w:i/>
          <w:sz w:val="24"/>
          <w:szCs w:val="24"/>
        </w:rPr>
        <w:t>Referrals</w:t>
      </w:r>
      <w:bookmarkEnd w:id="12"/>
    </w:p>
    <w:p w:rsidR="00971962" w:rsidRPr="00A40ACC" w:rsidRDefault="00067B0E" w:rsidP="00235461">
      <w:pPr>
        <w:autoSpaceDE w:val="0"/>
        <w:autoSpaceDN w:val="0"/>
        <w:adjustRightInd w:val="0"/>
        <w:spacing w:after="0" w:line="264" w:lineRule="auto"/>
        <w:jc w:val="both"/>
        <w:rPr>
          <w:rFonts w:ascii="Tms Rmn" w:hAnsi="Tms Rmn"/>
          <w:sz w:val="24"/>
          <w:szCs w:val="24"/>
        </w:rPr>
      </w:pPr>
      <w:r w:rsidRPr="00A40ACC">
        <w:rPr>
          <w:rFonts w:ascii="Tms Rmn" w:hAnsi="Tms Rmn"/>
          <w:sz w:val="24"/>
          <w:szCs w:val="24"/>
        </w:rPr>
        <w:t xml:space="preserve">Two submissions considered that all complaints about registered providers should be referred to the relevant registration authority. This was consulted on </w:t>
      </w:r>
      <w:r w:rsidR="009F4C1A" w:rsidRPr="00A40ACC">
        <w:rPr>
          <w:rFonts w:ascii="Tms Rmn" w:hAnsi="Tms Rmn"/>
          <w:sz w:val="24"/>
          <w:szCs w:val="24"/>
        </w:rPr>
        <w:t>as part of the</w:t>
      </w:r>
      <w:r w:rsidRPr="00A40ACC">
        <w:rPr>
          <w:rFonts w:ascii="Tms Rmn" w:hAnsi="Tms Rmn"/>
          <w:sz w:val="24"/>
          <w:szCs w:val="24"/>
        </w:rPr>
        <w:t xml:space="preserve"> 2009 </w:t>
      </w:r>
      <w:r w:rsidR="009F4C1A" w:rsidRPr="00A40ACC">
        <w:rPr>
          <w:rFonts w:ascii="Tms Rmn" w:hAnsi="Tms Rmn"/>
          <w:sz w:val="24"/>
          <w:szCs w:val="24"/>
        </w:rPr>
        <w:t xml:space="preserve">review </w:t>
      </w:r>
      <w:r w:rsidRPr="00A40ACC">
        <w:rPr>
          <w:rFonts w:ascii="Tms Rmn" w:hAnsi="Tms Rmn"/>
          <w:sz w:val="24"/>
          <w:szCs w:val="24"/>
        </w:rPr>
        <w:t xml:space="preserve">and it was noted that </w:t>
      </w:r>
      <w:r w:rsidR="009F4C1A" w:rsidRPr="00A40ACC">
        <w:rPr>
          <w:rFonts w:ascii="Tms Rmn" w:hAnsi="Tms Rmn"/>
          <w:sz w:val="24"/>
          <w:szCs w:val="24"/>
        </w:rPr>
        <w:t>HDC</w:t>
      </w:r>
      <w:r w:rsidRPr="00A40ACC">
        <w:rPr>
          <w:rFonts w:ascii="Tms Rmn" w:hAnsi="Tms Rmn"/>
          <w:sz w:val="24"/>
          <w:szCs w:val="24"/>
        </w:rPr>
        <w:t xml:space="preserve"> has </w:t>
      </w:r>
      <w:r w:rsidR="009C5AD1">
        <w:rPr>
          <w:rFonts w:ascii="Tms Rmn" w:hAnsi="Tms Rmn"/>
          <w:sz w:val="24"/>
          <w:szCs w:val="24"/>
        </w:rPr>
        <w:t xml:space="preserve">a </w:t>
      </w:r>
      <w:r w:rsidRPr="00A40ACC">
        <w:rPr>
          <w:rFonts w:ascii="Tms Rmn" w:hAnsi="Tms Rmn"/>
          <w:sz w:val="24"/>
          <w:szCs w:val="24"/>
        </w:rPr>
        <w:t>Memorand</w:t>
      </w:r>
      <w:r w:rsidR="009C5AD1">
        <w:rPr>
          <w:rFonts w:ascii="Tms Rmn" w:hAnsi="Tms Rmn"/>
          <w:sz w:val="24"/>
          <w:szCs w:val="24"/>
        </w:rPr>
        <w:t>um</w:t>
      </w:r>
      <w:r w:rsidRPr="00A40ACC">
        <w:rPr>
          <w:rFonts w:ascii="Tms Rmn" w:hAnsi="Tms Rmn"/>
          <w:sz w:val="24"/>
          <w:szCs w:val="24"/>
        </w:rPr>
        <w:t xml:space="preserve"> of Understanding</w:t>
      </w:r>
      <w:r w:rsidR="008E70D1" w:rsidRPr="00A40ACC">
        <w:rPr>
          <w:rFonts w:ascii="Tms Rmn" w:hAnsi="Tms Rmn"/>
          <w:sz w:val="24"/>
          <w:szCs w:val="24"/>
        </w:rPr>
        <w:t xml:space="preserve"> (MOU)</w:t>
      </w:r>
      <w:r w:rsidRPr="00A40ACC">
        <w:rPr>
          <w:rFonts w:ascii="Tms Rmn" w:hAnsi="Tms Rmn"/>
          <w:sz w:val="24"/>
          <w:szCs w:val="24"/>
        </w:rPr>
        <w:t xml:space="preserve"> with a number of registration authorities so that they are informed of complaints where appropriate. </w:t>
      </w:r>
      <w:r w:rsidR="00E877EE" w:rsidRPr="00A40ACC">
        <w:rPr>
          <w:rFonts w:ascii="Tms Rmn" w:hAnsi="Tms Rmn"/>
          <w:sz w:val="24"/>
          <w:szCs w:val="24"/>
        </w:rPr>
        <w:t>Since that time, I note that MOUs have been agreed with addition</w:t>
      </w:r>
      <w:r w:rsidR="005D76BD" w:rsidRPr="00A40ACC">
        <w:rPr>
          <w:rFonts w:ascii="Tms Rmn" w:hAnsi="Tms Rmn"/>
          <w:sz w:val="24"/>
          <w:szCs w:val="24"/>
        </w:rPr>
        <w:t>al</w:t>
      </w:r>
      <w:r w:rsidR="00E877EE" w:rsidRPr="00A40ACC">
        <w:rPr>
          <w:rFonts w:ascii="Tms Rmn" w:hAnsi="Tms Rmn"/>
          <w:sz w:val="24"/>
          <w:szCs w:val="24"/>
        </w:rPr>
        <w:t xml:space="preserve"> registration authorities. </w:t>
      </w:r>
      <w:r w:rsidRPr="00A40ACC">
        <w:rPr>
          <w:rFonts w:ascii="Tms Rmn" w:hAnsi="Tms Rmn"/>
          <w:sz w:val="24"/>
          <w:szCs w:val="24"/>
        </w:rPr>
        <w:t xml:space="preserve">I consider that these continue to operate effectively, and </w:t>
      </w:r>
      <w:r w:rsidR="00E877EE" w:rsidRPr="00A40ACC">
        <w:rPr>
          <w:rFonts w:ascii="Tms Rmn" w:hAnsi="Tms Rmn"/>
          <w:sz w:val="24"/>
          <w:szCs w:val="24"/>
        </w:rPr>
        <w:t>do not recommend that any</w:t>
      </w:r>
      <w:r w:rsidRPr="00A40ACC">
        <w:rPr>
          <w:rFonts w:ascii="Tms Rmn" w:hAnsi="Tms Rmn"/>
          <w:sz w:val="24"/>
          <w:szCs w:val="24"/>
        </w:rPr>
        <w:t xml:space="preserve"> change be made to the Act in this respect.</w:t>
      </w:r>
    </w:p>
    <w:p w:rsidR="00971962" w:rsidRPr="00A40ACC" w:rsidRDefault="00971962" w:rsidP="00235461">
      <w:pPr>
        <w:autoSpaceDE w:val="0"/>
        <w:autoSpaceDN w:val="0"/>
        <w:adjustRightInd w:val="0"/>
        <w:spacing w:after="0" w:line="264" w:lineRule="auto"/>
        <w:jc w:val="both"/>
        <w:rPr>
          <w:rFonts w:ascii="Tms Rmn" w:hAnsi="Tms Rmn"/>
          <w:sz w:val="24"/>
          <w:szCs w:val="24"/>
        </w:rPr>
      </w:pPr>
    </w:p>
    <w:p w:rsidR="0021096B" w:rsidRPr="00A40ACC" w:rsidRDefault="00944D2A" w:rsidP="00235461">
      <w:pPr>
        <w:pStyle w:val="NoSpacing"/>
        <w:spacing w:line="264" w:lineRule="auto"/>
        <w:jc w:val="both"/>
        <w:outlineLvl w:val="1"/>
        <w:rPr>
          <w:rFonts w:ascii="Times New Roman" w:hAnsi="Times New Roman" w:cs="Times New Roman"/>
          <w:i/>
          <w:sz w:val="24"/>
          <w:szCs w:val="24"/>
        </w:rPr>
      </w:pPr>
      <w:bookmarkStart w:id="13" w:name="_Toc390269604"/>
      <w:r w:rsidRPr="00A40ACC">
        <w:rPr>
          <w:rFonts w:ascii="Times New Roman" w:hAnsi="Times New Roman" w:cs="Times New Roman"/>
          <w:i/>
          <w:sz w:val="24"/>
          <w:szCs w:val="24"/>
        </w:rPr>
        <w:t>Information during investigation</w:t>
      </w:r>
      <w:bookmarkEnd w:id="13"/>
    </w:p>
    <w:p w:rsidR="00971962" w:rsidRPr="00A40ACC" w:rsidRDefault="00067B0E" w:rsidP="00235461">
      <w:pPr>
        <w:autoSpaceDE w:val="0"/>
        <w:autoSpaceDN w:val="0"/>
        <w:adjustRightInd w:val="0"/>
        <w:spacing w:after="0" w:line="264" w:lineRule="auto"/>
        <w:jc w:val="both"/>
        <w:rPr>
          <w:rFonts w:ascii="Times New Roman" w:hAnsi="Times New Roman" w:cs="Times New Roman"/>
          <w:sz w:val="24"/>
          <w:szCs w:val="24"/>
        </w:rPr>
      </w:pPr>
      <w:r w:rsidRPr="00A40ACC">
        <w:rPr>
          <w:rFonts w:ascii="Tms Rmn" w:hAnsi="Tms Rmn"/>
          <w:sz w:val="24"/>
          <w:szCs w:val="24"/>
        </w:rPr>
        <w:t>Two submissions considered that the Commissioner should have the power to withhold infor</w:t>
      </w:r>
      <w:r w:rsidR="00E877EE" w:rsidRPr="00A40ACC">
        <w:rPr>
          <w:rFonts w:ascii="Tms Rmn" w:hAnsi="Tms Rmn"/>
          <w:sz w:val="24"/>
          <w:szCs w:val="24"/>
        </w:rPr>
        <w:t xml:space="preserve">mation during </w:t>
      </w:r>
      <w:r w:rsidR="009C5AD1">
        <w:rPr>
          <w:rFonts w:ascii="Tms Rmn" w:hAnsi="Tms Rmn"/>
          <w:sz w:val="24"/>
          <w:szCs w:val="24"/>
        </w:rPr>
        <w:t xml:space="preserve">an </w:t>
      </w:r>
      <w:r w:rsidR="00E877EE" w:rsidRPr="00A40ACC">
        <w:rPr>
          <w:rFonts w:ascii="Tms Rmn" w:hAnsi="Tms Rmn"/>
          <w:sz w:val="24"/>
          <w:szCs w:val="24"/>
        </w:rPr>
        <w:t>investigation. O</w:t>
      </w:r>
      <w:r w:rsidRPr="00A40ACC">
        <w:rPr>
          <w:rFonts w:ascii="Tms Rmn" w:hAnsi="Tms Rmn"/>
          <w:sz w:val="24"/>
          <w:szCs w:val="24"/>
        </w:rPr>
        <w:t>nce again</w:t>
      </w:r>
      <w:r w:rsidR="00E877EE" w:rsidRPr="00A40ACC">
        <w:rPr>
          <w:rFonts w:ascii="Tms Rmn" w:hAnsi="Tms Rmn"/>
          <w:sz w:val="24"/>
          <w:szCs w:val="24"/>
        </w:rPr>
        <w:t>, this was a</w:t>
      </w:r>
      <w:r w:rsidRPr="00A40ACC">
        <w:rPr>
          <w:rFonts w:ascii="Tms Rmn" w:hAnsi="Tms Rmn"/>
          <w:sz w:val="24"/>
          <w:szCs w:val="24"/>
        </w:rPr>
        <w:t xml:space="preserve"> change</w:t>
      </w:r>
      <w:r w:rsidR="00E877EE" w:rsidRPr="00A40ACC">
        <w:rPr>
          <w:rFonts w:ascii="Tms Rmn" w:hAnsi="Tms Rmn"/>
          <w:sz w:val="24"/>
          <w:szCs w:val="24"/>
        </w:rPr>
        <w:t xml:space="preserve"> that</w:t>
      </w:r>
      <w:r w:rsidRPr="00A40ACC">
        <w:rPr>
          <w:rFonts w:ascii="Tms Rmn" w:hAnsi="Tms Rmn"/>
          <w:sz w:val="24"/>
          <w:szCs w:val="24"/>
        </w:rPr>
        <w:t xml:space="preserve"> was recommended to the Minist</w:t>
      </w:r>
      <w:r w:rsidR="008E70D1" w:rsidRPr="00A40ACC">
        <w:rPr>
          <w:rFonts w:ascii="Tms Rmn" w:hAnsi="Tms Rmn"/>
          <w:sz w:val="24"/>
          <w:szCs w:val="24"/>
        </w:rPr>
        <w:t>er</w:t>
      </w:r>
      <w:r w:rsidR="00E877EE" w:rsidRPr="00A40ACC">
        <w:rPr>
          <w:rFonts w:ascii="Tms Rmn" w:hAnsi="Tms Rmn"/>
          <w:sz w:val="24"/>
          <w:szCs w:val="24"/>
        </w:rPr>
        <w:t xml:space="preserve"> of Health</w:t>
      </w:r>
      <w:r w:rsidRPr="00A40ACC">
        <w:rPr>
          <w:rFonts w:ascii="Tms Rmn" w:hAnsi="Tms Rmn"/>
          <w:sz w:val="24"/>
          <w:szCs w:val="24"/>
        </w:rPr>
        <w:t xml:space="preserve"> in 2009 and subsequently declined. </w:t>
      </w:r>
      <w:r w:rsidRPr="00A40ACC">
        <w:rPr>
          <w:rFonts w:ascii="Times New Roman" w:hAnsi="Times New Roman" w:cs="Times New Roman"/>
          <w:sz w:val="24"/>
          <w:szCs w:val="24"/>
        </w:rPr>
        <w:t xml:space="preserve">I consider that the current investigative process is working well, and affords natural justice to both providers and consumers. I am not convinced that any change to the </w:t>
      </w:r>
      <w:r w:rsidR="00896F31">
        <w:rPr>
          <w:rFonts w:ascii="Times New Roman" w:hAnsi="Times New Roman" w:cs="Times New Roman"/>
          <w:sz w:val="24"/>
          <w:szCs w:val="24"/>
        </w:rPr>
        <w:t>Act</w:t>
      </w:r>
      <w:r w:rsidR="00896F31" w:rsidRPr="00A40ACC">
        <w:rPr>
          <w:rFonts w:ascii="Times New Roman" w:hAnsi="Times New Roman" w:cs="Times New Roman"/>
          <w:sz w:val="24"/>
          <w:szCs w:val="24"/>
        </w:rPr>
        <w:t xml:space="preserve"> </w:t>
      </w:r>
      <w:r w:rsidRPr="00A40ACC">
        <w:rPr>
          <w:rFonts w:ascii="Times New Roman" w:hAnsi="Times New Roman" w:cs="Times New Roman"/>
          <w:sz w:val="24"/>
          <w:szCs w:val="24"/>
        </w:rPr>
        <w:t>is necessary in this regard.</w:t>
      </w:r>
    </w:p>
    <w:p w:rsidR="004B1DE4" w:rsidRPr="00A40ACC" w:rsidRDefault="004B1DE4" w:rsidP="00235461">
      <w:pPr>
        <w:pStyle w:val="NoSpacing"/>
        <w:spacing w:line="264" w:lineRule="auto"/>
        <w:jc w:val="both"/>
        <w:rPr>
          <w:rFonts w:ascii="Times New Roman" w:hAnsi="Times New Roman" w:cs="Times New Roman"/>
          <w:b/>
          <w:sz w:val="24"/>
          <w:szCs w:val="24"/>
        </w:rPr>
      </w:pPr>
    </w:p>
    <w:p w:rsidR="0021096B" w:rsidRPr="00A40ACC" w:rsidRDefault="004B1DE4" w:rsidP="00235461">
      <w:pPr>
        <w:pStyle w:val="NoSpacing"/>
        <w:spacing w:line="264" w:lineRule="auto"/>
        <w:jc w:val="both"/>
        <w:outlineLvl w:val="0"/>
        <w:rPr>
          <w:rFonts w:ascii="Times New Roman" w:hAnsi="Times New Roman" w:cs="Times New Roman"/>
          <w:b/>
          <w:sz w:val="28"/>
          <w:szCs w:val="28"/>
        </w:rPr>
      </w:pPr>
      <w:bookmarkStart w:id="14" w:name="_Toc390269605"/>
      <w:r w:rsidRPr="00A40ACC">
        <w:rPr>
          <w:rFonts w:ascii="Times New Roman" w:hAnsi="Times New Roman" w:cs="Times New Roman"/>
          <w:b/>
          <w:sz w:val="28"/>
          <w:szCs w:val="28"/>
        </w:rPr>
        <w:t>The Code</w:t>
      </w:r>
      <w:bookmarkEnd w:id="14"/>
    </w:p>
    <w:p w:rsidR="004B1DE4" w:rsidRPr="00A40ACC" w:rsidRDefault="004B1DE4" w:rsidP="00235461">
      <w:pPr>
        <w:pStyle w:val="NoSpacing"/>
        <w:spacing w:line="264" w:lineRule="auto"/>
        <w:jc w:val="both"/>
        <w:rPr>
          <w:rFonts w:ascii="Times New Roman" w:hAnsi="Times New Roman" w:cs="Times New Roman"/>
          <w:b/>
          <w:sz w:val="24"/>
          <w:szCs w:val="24"/>
        </w:rPr>
      </w:pPr>
    </w:p>
    <w:p w:rsidR="0021096B" w:rsidRPr="00A40ACC" w:rsidRDefault="004B1DE4" w:rsidP="00235461">
      <w:pPr>
        <w:pStyle w:val="NoSpacing"/>
        <w:spacing w:line="264" w:lineRule="auto"/>
        <w:jc w:val="both"/>
        <w:outlineLvl w:val="1"/>
        <w:rPr>
          <w:rFonts w:ascii="Times New Roman" w:hAnsi="Times New Roman" w:cs="Times New Roman"/>
          <w:i/>
          <w:sz w:val="24"/>
          <w:szCs w:val="24"/>
        </w:rPr>
      </w:pPr>
      <w:bookmarkStart w:id="15" w:name="_Toc390269606"/>
      <w:r w:rsidRPr="00A40ACC">
        <w:rPr>
          <w:rFonts w:ascii="Times New Roman" w:hAnsi="Times New Roman" w:cs="Times New Roman"/>
          <w:i/>
          <w:sz w:val="24"/>
          <w:szCs w:val="24"/>
        </w:rPr>
        <w:t>Access to disability services</w:t>
      </w:r>
      <w:bookmarkEnd w:id="15"/>
    </w:p>
    <w:p w:rsidR="00971962" w:rsidRPr="00A40ACC" w:rsidRDefault="00776F36" w:rsidP="00235461">
      <w:pPr>
        <w:autoSpaceDE w:val="0"/>
        <w:autoSpaceDN w:val="0"/>
        <w:adjustRightInd w:val="0"/>
        <w:spacing w:after="0" w:line="264" w:lineRule="auto"/>
        <w:jc w:val="both"/>
        <w:rPr>
          <w:rFonts w:ascii="Tms Rmn" w:hAnsi="Tms Rmn"/>
          <w:sz w:val="24"/>
          <w:szCs w:val="24"/>
        </w:rPr>
      </w:pPr>
      <w:r w:rsidRPr="00A40ACC">
        <w:rPr>
          <w:rFonts w:ascii="Tms Rmn" w:hAnsi="Tms Rmn"/>
          <w:sz w:val="24"/>
          <w:szCs w:val="24"/>
        </w:rPr>
        <w:t>In the 2009 review it was recommended that the Code be amended to give disability services consumers a legally enforceable right to receive the services they have been assessed as needing following a needs assessment. T</w:t>
      </w:r>
      <w:r w:rsidR="004B1DE4" w:rsidRPr="00A40ACC">
        <w:rPr>
          <w:rFonts w:ascii="Tms Rmn" w:hAnsi="Tms Rmn"/>
          <w:sz w:val="24"/>
          <w:szCs w:val="24"/>
        </w:rPr>
        <w:t xml:space="preserve">he issue of whether Right 4 should be extended to include </w:t>
      </w:r>
      <w:r w:rsidR="004B6537">
        <w:rPr>
          <w:rFonts w:ascii="Tms Rmn" w:hAnsi="Tms Rmn"/>
          <w:sz w:val="24"/>
          <w:szCs w:val="24"/>
        </w:rPr>
        <w:t xml:space="preserve">a right of </w:t>
      </w:r>
      <w:r w:rsidR="004B1DE4" w:rsidRPr="00A40ACC">
        <w:rPr>
          <w:rFonts w:ascii="Tms Rmn" w:hAnsi="Tms Rmn"/>
          <w:sz w:val="24"/>
          <w:szCs w:val="24"/>
        </w:rPr>
        <w:t xml:space="preserve">access to disability services was raised </w:t>
      </w:r>
      <w:r w:rsidRPr="00A40ACC">
        <w:rPr>
          <w:rFonts w:ascii="Tms Rmn" w:hAnsi="Tms Rmn"/>
          <w:sz w:val="24"/>
          <w:szCs w:val="24"/>
        </w:rPr>
        <w:t xml:space="preserve">again </w:t>
      </w:r>
      <w:r w:rsidR="004B1DE4" w:rsidRPr="00A40ACC">
        <w:rPr>
          <w:rFonts w:ascii="Tms Rmn" w:hAnsi="Tms Rmn"/>
          <w:sz w:val="24"/>
          <w:szCs w:val="24"/>
        </w:rPr>
        <w:t>in a number of submissions</w:t>
      </w:r>
      <w:r w:rsidRPr="00A40ACC">
        <w:rPr>
          <w:rFonts w:ascii="Tms Rmn" w:hAnsi="Tms Rmn"/>
          <w:sz w:val="24"/>
          <w:szCs w:val="24"/>
        </w:rPr>
        <w:t xml:space="preserve"> in the current review</w:t>
      </w:r>
      <w:r w:rsidR="004B1DE4" w:rsidRPr="00A40ACC">
        <w:rPr>
          <w:rFonts w:ascii="Tms Rmn" w:hAnsi="Tms Rmn"/>
          <w:sz w:val="24"/>
          <w:szCs w:val="24"/>
        </w:rPr>
        <w:t xml:space="preserve">. </w:t>
      </w:r>
    </w:p>
    <w:p w:rsidR="00971962" w:rsidRPr="00A40ACC" w:rsidRDefault="00971962" w:rsidP="00235461">
      <w:pPr>
        <w:autoSpaceDE w:val="0"/>
        <w:autoSpaceDN w:val="0"/>
        <w:adjustRightInd w:val="0"/>
        <w:spacing w:after="0" w:line="264" w:lineRule="auto"/>
        <w:jc w:val="both"/>
        <w:rPr>
          <w:rFonts w:ascii="Tms Rmn" w:hAnsi="Tms Rmn"/>
          <w:sz w:val="24"/>
          <w:szCs w:val="24"/>
        </w:rPr>
      </w:pPr>
    </w:p>
    <w:p w:rsidR="00971962" w:rsidRPr="00A40ACC" w:rsidRDefault="00776F36" w:rsidP="00235461">
      <w:pPr>
        <w:autoSpaceDE w:val="0"/>
        <w:autoSpaceDN w:val="0"/>
        <w:adjustRightInd w:val="0"/>
        <w:spacing w:after="0" w:line="264" w:lineRule="auto"/>
        <w:jc w:val="both"/>
        <w:rPr>
          <w:rFonts w:ascii="Tms Rmn" w:hAnsi="Tms Rmn"/>
          <w:sz w:val="24"/>
          <w:szCs w:val="24"/>
        </w:rPr>
      </w:pPr>
      <w:r w:rsidRPr="00A40ACC">
        <w:rPr>
          <w:rFonts w:ascii="Tms Rmn" w:hAnsi="Tms Rmn"/>
          <w:sz w:val="24"/>
          <w:szCs w:val="24"/>
        </w:rPr>
        <w:lastRenderedPageBreak/>
        <w:t xml:space="preserve">In response to the recommendations made in the 2009 review the </w:t>
      </w:r>
      <w:r w:rsidR="00430AD2" w:rsidRPr="00A40ACC">
        <w:rPr>
          <w:rFonts w:ascii="Tms Rmn" w:hAnsi="Tms Rmn"/>
          <w:sz w:val="24"/>
          <w:szCs w:val="24"/>
        </w:rPr>
        <w:t>Ministry</w:t>
      </w:r>
      <w:r w:rsidRPr="00A40ACC">
        <w:rPr>
          <w:rFonts w:ascii="Tms Rmn" w:hAnsi="Tms Rmn"/>
          <w:sz w:val="24"/>
          <w:szCs w:val="24"/>
        </w:rPr>
        <w:t xml:space="preserve"> of Health</w:t>
      </w:r>
      <w:r w:rsidR="004B1DE4" w:rsidRPr="00A40ACC">
        <w:rPr>
          <w:rFonts w:ascii="Tms Rmn" w:hAnsi="Tms Rmn"/>
          <w:sz w:val="24"/>
          <w:szCs w:val="24"/>
        </w:rPr>
        <w:t xml:space="preserve"> noted that </w:t>
      </w:r>
      <w:r w:rsidR="00986C64" w:rsidRPr="00A40ACC">
        <w:rPr>
          <w:rFonts w:ascii="Tms Rmn" w:hAnsi="Tms Rmn"/>
          <w:sz w:val="24"/>
          <w:szCs w:val="24"/>
        </w:rPr>
        <w:t>Needs Assessment and Services Coordination (</w:t>
      </w:r>
      <w:r w:rsidR="004B1DE4" w:rsidRPr="00A40ACC">
        <w:rPr>
          <w:rFonts w:ascii="Tms Rmn" w:hAnsi="Tms Rmn"/>
          <w:sz w:val="24"/>
          <w:szCs w:val="24"/>
        </w:rPr>
        <w:t>NASC</w:t>
      </w:r>
      <w:r w:rsidR="00986C64" w:rsidRPr="00A40ACC">
        <w:rPr>
          <w:rFonts w:ascii="Tms Rmn" w:hAnsi="Tms Rmn"/>
          <w:sz w:val="24"/>
          <w:szCs w:val="24"/>
        </w:rPr>
        <w:t>)</w:t>
      </w:r>
      <w:r w:rsidR="004B1DE4" w:rsidRPr="00A40ACC">
        <w:rPr>
          <w:rFonts w:ascii="Tms Rmn" w:hAnsi="Tms Rmn"/>
          <w:sz w:val="24"/>
          <w:szCs w:val="24"/>
        </w:rPr>
        <w:t xml:space="preserve"> services are already covered by the Code. The </w:t>
      </w:r>
      <w:r w:rsidR="00430AD2" w:rsidRPr="00A40ACC">
        <w:rPr>
          <w:rFonts w:ascii="Tms Rmn" w:hAnsi="Tms Rmn"/>
          <w:sz w:val="24"/>
          <w:szCs w:val="24"/>
        </w:rPr>
        <w:t>Ministry</w:t>
      </w:r>
      <w:r w:rsidR="004B1DE4" w:rsidRPr="00A40ACC">
        <w:rPr>
          <w:rFonts w:ascii="Tms Rmn" w:hAnsi="Tms Rmn"/>
          <w:sz w:val="24"/>
          <w:szCs w:val="24"/>
        </w:rPr>
        <w:t xml:space="preserve"> considered that the proposed amendment could have the unintended consequence of bringing resource allocation decisions </w:t>
      </w:r>
      <w:r w:rsidR="00986C64" w:rsidRPr="00A40ACC">
        <w:rPr>
          <w:rFonts w:ascii="Tms Rmn" w:hAnsi="Tms Rmn"/>
          <w:sz w:val="24"/>
          <w:szCs w:val="24"/>
        </w:rPr>
        <w:t xml:space="preserve">within </w:t>
      </w:r>
      <w:r w:rsidR="00734ECA" w:rsidRPr="00A40ACC">
        <w:rPr>
          <w:rFonts w:ascii="Tms Rmn" w:hAnsi="Tms Rmn"/>
          <w:sz w:val="24"/>
          <w:szCs w:val="24"/>
        </w:rPr>
        <w:t>HDC</w:t>
      </w:r>
      <w:r w:rsidR="004B1DE4" w:rsidRPr="00A40ACC">
        <w:rPr>
          <w:rFonts w:ascii="Tms Rmn" w:hAnsi="Tms Rmn"/>
          <w:sz w:val="24"/>
          <w:szCs w:val="24"/>
        </w:rPr>
        <w:t xml:space="preserve">’s jurisdiction. </w:t>
      </w:r>
      <w:r w:rsidR="00734ECA" w:rsidRPr="00A40ACC">
        <w:rPr>
          <w:rFonts w:ascii="Tms Rmn" w:hAnsi="Tms Rmn"/>
          <w:sz w:val="24"/>
          <w:szCs w:val="24"/>
        </w:rPr>
        <w:t>Notwithstanding the submission received from the Office of the Ombudsman in the current review, I agree with that</w:t>
      </w:r>
      <w:r w:rsidR="004B1DE4" w:rsidRPr="00A40ACC">
        <w:rPr>
          <w:rFonts w:ascii="Tms Rmn" w:hAnsi="Tms Rmn"/>
          <w:sz w:val="24"/>
          <w:szCs w:val="24"/>
        </w:rPr>
        <w:t xml:space="preserve"> analysis, and am wary of making any amendment that </w:t>
      </w:r>
      <w:r w:rsidR="00734ECA" w:rsidRPr="00A40ACC">
        <w:rPr>
          <w:rFonts w:ascii="Tms Rmn" w:hAnsi="Tms Rmn"/>
          <w:sz w:val="24"/>
          <w:szCs w:val="24"/>
        </w:rPr>
        <w:t xml:space="preserve">could have that effect. I also </w:t>
      </w:r>
      <w:r w:rsidR="00986C64" w:rsidRPr="00A40ACC">
        <w:rPr>
          <w:rFonts w:ascii="Tms Rmn" w:hAnsi="Tms Rmn"/>
          <w:sz w:val="24"/>
          <w:szCs w:val="24"/>
        </w:rPr>
        <w:t xml:space="preserve">agree </w:t>
      </w:r>
      <w:r w:rsidR="00734ECA" w:rsidRPr="00A40ACC">
        <w:rPr>
          <w:rFonts w:ascii="Tms Rmn" w:hAnsi="Tms Rmn"/>
          <w:sz w:val="24"/>
          <w:szCs w:val="24"/>
        </w:rPr>
        <w:t xml:space="preserve">that services delivered by NASCs </w:t>
      </w:r>
      <w:r w:rsidR="00986C64" w:rsidRPr="00A40ACC">
        <w:rPr>
          <w:rFonts w:ascii="Tms Rmn" w:hAnsi="Tms Rmn"/>
          <w:sz w:val="24"/>
          <w:szCs w:val="24"/>
        </w:rPr>
        <w:t>already</w:t>
      </w:r>
      <w:r w:rsidR="00734ECA" w:rsidRPr="00A40ACC">
        <w:rPr>
          <w:rFonts w:ascii="Tms Rmn" w:hAnsi="Tms Rmn"/>
          <w:sz w:val="24"/>
          <w:szCs w:val="24"/>
        </w:rPr>
        <w:t xml:space="preserve"> often come within my jurisdiction</w:t>
      </w:r>
      <w:r w:rsidR="004B1DE4" w:rsidRPr="00A40ACC">
        <w:rPr>
          <w:rFonts w:ascii="Tms Rmn" w:hAnsi="Tms Rmn"/>
          <w:sz w:val="24"/>
          <w:szCs w:val="24"/>
        </w:rPr>
        <w:t xml:space="preserve">. </w:t>
      </w:r>
    </w:p>
    <w:p w:rsidR="00971962" w:rsidRPr="00A40ACC" w:rsidRDefault="00971962" w:rsidP="00235461">
      <w:pPr>
        <w:autoSpaceDE w:val="0"/>
        <w:autoSpaceDN w:val="0"/>
        <w:adjustRightInd w:val="0"/>
        <w:spacing w:after="0" w:line="264" w:lineRule="auto"/>
        <w:jc w:val="both"/>
        <w:rPr>
          <w:rFonts w:ascii="Tms Rmn" w:hAnsi="Tms Rmn"/>
          <w:sz w:val="24"/>
          <w:szCs w:val="24"/>
        </w:rPr>
      </w:pPr>
    </w:p>
    <w:p w:rsidR="0021096B" w:rsidRPr="00A40ACC" w:rsidRDefault="00944D2A" w:rsidP="00235461">
      <w:pPr>
        <w:pStyle w:val="NoSpacing"/>
        <w:spacing w:line="264" w:lineRule="auto"/>
        <w:jc w:val="both"/>
        <w:outlineLvl w:val="1"/>
        <w:rPr>
          <w:rFonts w:ascii="Tms Rmn" w:hAnsi="Tms Rmn"/>
          <w:i/>
          <w:sz w:val="24"/>
          <w:szCs w:val="24"/>
        </w:rPr>
      </w:pPr>
      <w:bookmarkStart w:id="16" w:name="_Toc390269607"/>
      <w:r w:rsidRPr="00A40ACC">
        <w:rPr>
          <w:rFonts w:ascii="Times New Roman" w:hAnsi="Times New Roman" w:cs="Times New Roman"/>
          <w:i/>
          <w:sz w:val="24"/>
          <w:szCs w:val="24"/>
        </w:rPr>
        <w:t>Interpreters</w:t>
      </w:r>
      <w:bookmarkEnd w:id="16"/>
    </w:p>
    <w:p w:rsidR="00971962" w:rsidRPr="00A40ACC" w:rsidRDefault="004B1DE4" w:rsidP="00235461">
      <w:pPr>
        <w:autoSpaceDE w:val="0"/>
        <w:autoSpaceDN w:val="0"/>
        <w:adjustRightInd w:val="0"/>
        <w:spacing w:after="0" w:line="264" w:lineRule="auto"/>
        <w:jc w:val="both"/>
        <w:rPr>
          <w:rFonts w:ascii="Tms Rmn" w:hAnsi="Tms Rmn"/>
          <w:sz w:val="24"/>
          <w:szCs w:val="24"/>
        </w:rPr>
      </w:pPr>
      <w:r w:rsidRPr="00A40ACC">
        <w:rPr>
          <w:rFonts w:ascii="Tms Rmn" w:hAnsi="Tms Rmn"/>
          <w:sz w:val="24"/>
          <w:szCs w:val="24"/>
        </w:rPr>
        <w:t xml:space="preserve">A number of submissions considered that the qualification </w:t>
      </w:r>
      <w:r w:rsidR="00734ECA" w:rsidRPr="00A40ACC">
        <w:rPr>
          <w:rFonts w:ascii="Tms Rmn" w:hAnsi="Tms Rmn"/>
          <w:sz w:val="24"/>
          <w:szCs w:val="24"/>
        </w:rPr>
        <w:t xml:space="preserve">in Right 5(1) </w:t>
      </w:r>
      <w:r w:rsidRPr="00A40ACC">
        <w:rPr>
          <w:rFonts w:ascii="Tms Rmn" w:hAnsi="Tms Rmn"/>
          <w:sz w:val="24"/>
          <w:szCs w:val="24"/>
        </w:rPr>
        <w:t>that there is a right to an interpreter only where “reasonabl</w:t>
      </w:r>
      <w:r w:rsidR="00734ECA" w:rsidRPr="00A40ACC">
        <w:rPr>
          <w:rFonts w:ascii="Tms Rmn" w:hAnsi="Tms Rmn"/>
          <w:sz w:val="24"/>
          <w:szCs w:val="24"/>
        </w:rPr>
        <w:t>y practicable” should be removed</w:t>
      </w:r>
      <w:r w:rsidRPr="00A40ACC">
        <w:rPr>
          <w:rFonts w:ascii="Tms Rmn" w:hAnsi="Tms Rmn"/>
          <w:sz w:val="24"/>
          <w:szCs w:val="24"/>
        </w:rPr>
        <w:t>. I am not convinced that such a change is necessary. Clause 3 of the Cod</w:t>
      </w:r>
      <w:r w:rsidR="00C13417" w:rsidRPr="00A40ACC">
        <w:rPr>
          <w:rFonts w:ascii="Tms Rmn" w:hAnsi="Tms Rmn"/>
          <w:sz w:val="24"/>
          <w:szCs w:val="24"/>
        </w:rPr>
        <w:t>e already allows</w:t>
      </w:r>
      <w:r w:rsidRPr="00A40ACC">
        <w:rPr>
          <w:rFonts w:ascii="Tms Rmn" w:hAnsi="Tms Rmn"/>
          <w:sz w:val="24"/>
          <w:szCs w:val="24"/>
        </w:rPr>
        <w:t xml:space="preserve"> providers to assert that they have taken reasonable actions in the circumstances, therefore </w:t>
      </w:r>
      <w:r w:rsidR="00C13417" w:rsidRPr="00A40ACC">
        <w:rPr>
          <w:rFonts w:ascii="Tms Rmn" w:hAnsi="Tms Rmn"/>
          <w:sz w:val="24"/>
          <w:szCs w:val="24"/>
        </w:rPr>
        <w:t>a qualification of reasonableness would continue to apply</w:t>
      </w:r>
      <w:r w:rsidR="00986C64" w:rsidRPr="00A40ACC">
        <w:rPr>
          <w:rFonts w:ascii="Tms Rmn" w:hAnsi="Tms Rmn"/>
          <w:sz w:val="24"/>
          <w:szCs w:val="24"/>
        </w:rPr>
        <w:t xml:space="preserve"> even if those words were removed from Right 5(1)</w:t>
      </w:r>
      <w:r w:rsidR="00C13417" w:rsidRPr="00A40ACC">
        <w:rPr>
          <w:rFonts w:ascii="Tms Rmn" w:hAnsi="Tms Rmn"/>
          <w:sz w:val="24"/>
          <w:szCs w:val="24"/>
        </w:rPr>
        <w:t>.</w:t>
      </w:r>
    </w:p>
    <w:p w:rsidR="00971962" w:rsidRPr="00A40ACC" w:rsidRDefault="00971962" w:rsidP="00235461">
      <w:pPr>
        <w:autoSpaceDE w:val="0"/>
        <w:autoSpaceDN w:val="0"/>
        <w:adjustRightInd w:val="0"/>
        <w:spacing w:after="0" w:line="264" w:lineRule="auto"/>
        <w:jc w:val="both"/>
        <w:rPr>
          <w:rFonts w:ascii="Tms Rmn" w:hAnsi="Tms Rmn"/>
          <w:sz w:val="24"/>
          <w:szCs w:val="24"/>
        </w:rPr>
      </w:pPr>
    </w:p>
    <w:p w:rsidR="0021096B" w:rsidRPr="00A40ACC" w:rsidRDefault="00944D2A" w:rsidP="00235461">
      <w:pPr>
        <w:pStyle w:val="NoSpacing"/>
        <w:spacing w:line="264" w:lineRule="auto"/>
        <w:jc w:val="both"/>
        <w:outlineLvl w:val="1"/>
        <w:rPr>
          <w:rFonts w:ascii="Times New Roman" w:hAnsi="Times New Roman" w:cs="Times New Roman"/>
          <w:i/>
          <w:sz w:val="24"/>
          <w:szCs w:val="24"/>
        </w:rPr>
      </w:pPr>
      <w:bookmarkStart w:id="17" w:name="_Toc390269608"/>
      <w:r w:rsidRPr="00A40ACC">
        <w:rPr>
          <w:rFonts w:ascii="Times New Roman" w:hAnsi="Times New Roman" w:cs="Times New Roman"/>
          <w:i/>
          <w:sz w:val="24"/>
          <w:szCs w:val="24"/>
        </w:rPr>
        <w:t>Disclosing information about identity and qualifications</w:t>
      </w:r>
      <w:bookmarkEnd w:id="17"/>
    </w:p>
    <w:p w:rsidR="00971962" w:rsidRPr="00A40ACC" w:rsidRDefault="004B1DE4" w:rsidP="00235461">
      <w:pPr>
        <w:autoSpaceDE w:val="0"/>
        <w:autoSpaceDN w:val="0"/>
        <w:adjustRightInd w:val="0"/>
        <w:spacing w:after="0" w:line="264" w:lineRule="auto"/>
        <w:jc w:val="both"/>
        <w:rPr>
          <w:rFonts w:ascii="Tms Rmn" w:hAnsi="Tms Rmn"/>
          <w:sz w:val="24"/>
          <w:szCs w:val="24"/>
        </w:rPr>
      </w:pPr>
      <w:r w:rsidRPr="00A40ACC">
        <w:rPr>
          <w:rFonts w:ascii="Tms Rmn" w:hAnsi="Tms Rmn"/>
          <w:sz w:val="24"/>
          <w:szCs w:val="24"/>
        </w:rPr>
        <w:t xml:space="preserve">The Medical Council </w:t>
      </w:r>
      <w:r w:rsidR="00986C64" w:rsidRPr="00A40ACC">
        <w:rPr>
          <w:rFonts w:ascii="Tms Rmn" w:hAnsi="Tms Rmn"/>
          <w:sz w:val="24"/>
          <w:szCs w:val="24"/>
        </w:rPr>
        <w:t xml:space="preserve">of New Zealand </w:t>
      </w:r>
      <w:r w:rsidRPr="00A40ACC">
        <w:rPr>
          <w:rFonts w:ascii="Tms Rmn" w:hAnsi="Tms Rmn"/>
          <w:sz w:val="24"/>
          <w:szCs w:val="24"/>
        </w:rPr>
        <w:t xml:space="preserve">expressed concern in their submission that there is a lack of direction around when providers should disclose information </w:t>
      </w:r>
      <w:r w:rsidR="00C13417" w:rsidRPr="00A40ACC">
        <w:rPr>
          <w:rFonts w:ascii="Tms Rmn" w:hAnsi="Tms Rmn"/>
          <w:sz w:val="24"/>
          <w:szCs w:val="24"/>
        </w:rPr>
        <w:t xml:space="preserve">to consumers </w:t>
      </w:r>
      <w:r w:rsidRPr="00A40ACC">
        <w:rPr>
          <w:rFonts w:ascii="Tms Rmn" w:hAnsi="Tms Rmn"/>
          <w:sz w:val="24"/>
          <w:szCs w:val="24"/>
        </w:rPr>
        <w:t xml:space="preserve">about their identity and qualifications. </w:t>
      </w:r>
      <w:r w:rsidR="00C13417" w:rsidRPr="00A40ACC">
        <w:rPr>
          <w:rFonts w:ascii="Tms Rmn" w:hAnsi="Tms Rmn"/>
          <w:sz w:val="24"/>
          <w:szCs w:val="24"/>
        </w:rPr>
        <w:t>Providers are</w:t>
      </w:r>
      <w:r w:rsidRPr="00A40ACC">
        <w:rPr>
          <w:rFonts w:ascii="Tms Rmn" w:hAnsi="Tms Rmn"/>
          <w:sz w:val="24"/>
          <w:szCs w:val="24"/>
        </w:rPr>
        <w:t xml:space="preserve"> currently required to </w:t>
      </w:r>
      <w:r w:rsidR="00C13417" w:rsidRPr="00A40ACC">
        <w:rPr>
          <w:rFonts w:ascii="Tms Rmn" w:hAnsi="Tms Rmn"/>
          <w:sz w:val="24"/>
          <w:szCs w:val="24"/>
        </w:rPr>
        <w:t>provide such information when</w:t>
      </w:r>
      <w:r w:rsidRPr="00A40ACC">
        <w:rPr>
          <w:rFonts w:ascii="Tms Rmn" w:hAnsi="Tms Rmn"/>
          <w:sz w:val="24"/>
          <w:szCs w:val="24"/>
        </w:rPr>
        <w:t xml:space="preserve"> asked </w:t>
      </w:r>
      <w:r w:rsidR="00C13417" w:rsidRPr="00A40ACC">
        <w:rPr>
          <w:rFonts w:ascii="Tms Rmn" w:hAnsi="Tms Rmn"/>
          <w:sz w:val="24"/>
          <w:szCs w:val="24"/>
        </w:rPr>
        <w:t>(Right</w:t>
      </w:r>
      <w:r w:rsidRPr="00A40ACC">
        <w:rPr>
          <w:rFonts w:ascii="Tms Rmn" w:hAnsi="Tms Rmn"/>
          <w:sz w:val="24"/>
          <w:szCs w:val="24"/>
        </w:rPr>
        <w:t xml:space="preserve"> 6(3)</w:t>
      </w:r>
      <w:r w:rsidR="00C13417" w:rsidRPr="00A40ACC">
        <w:rPr>
          <w:rFonts w:ascii="Tms Rmn" w:hAnsi="Tms Rmn"/>
          <w:sz w:val="24"/>
          <w:szCs w:val="24"/>
        </w:rPr>
        <w:t>)</w:t>
      </w:r>
      <w:r w:rsidRPr="00A40ACC">
        <w:rPr>
          <w:rFonts w:ascii="Tms Rmn" w:hAnsi="Tms Rmn"/>
          <w:sz w:val="24"/>
          <w:szCs w:val="24"/>
        </w:rPr>
        <w:t xml:space="preserve">, </w:t>
      </w:r>
      <w:r w:rsidR="00C13417" w:rsidRPr="00A40ACC">
        <w:rPr>
          <w:rFonts w:ascii="Tms Rmn" w:hAnsi="Tms Rmn"/>
          <w:sz w:val="24"/>
          <w:szCs w:val="24"/>
        </w:rPr>
        <w:t>but this information is not explicitly</w:t>
      </w:r>
      <w:r w:rsidR="004B6537">
        <w:rPr>
          <w:rFonts w:ascii="Tms Rmn" w:hAnsi="Tms Rmn"/>
          <w:sz w:val="24"/>
          <w:szCs w:val="24"/>
        </w:rPr>
        <w:t xml:space="preserve"> </w:t>
      </w:r>
      <w:r w:rsidR="004B6537" w:rsidRPr="00A40ACC">
        <w:rPr>
          <w:rFonts w:ascii="Tms Rmn" w:hAnsi="Tms Rmn"/>
          <w:sz w:val="24"/>
          <w:szCs w:val="24"/>
        </w:rPr>
        <w:t>specified</w:t>
      </w:r>
      <w:r w:rsidR="00C13417" w:rsidRPr="00A40ACC">
        <w:rPr>
          <w:rFonts w:ascii="Tms Rmn" w:hAnsi="Tms Rmn"/>
          <w:sz w:val="24"/>
          <w:szCs w:val="24"/>
        </w:rPr>
        <w:t xml:space="preserve"> as information that a consumer </w:t>
      </w:r>
      <w:r w:rsidR="001C4055" w:rsidRPr="00A40ACC">
        <w:rPr>
          <w:rFonts w:ascii="Tms Rmn" w:hAnsi="Tms Rmn"/>
          <w:sz w:val="24"/>
          <w:szCs w:val="24"/>
        </w:rPr>
        <w:t xml:space="preserve">would </w:t>
      </w:r>
      <w:r w:rsidRPr="00A40ACC">
        <w:rPr>
          <w:rFonts w:ascii="Tms Rmn" w:hAnsi="Tms Rmn"/>
          <w:sz w:val="24"/>
          <w:szCs w:val="24"/>
        </w:rPr>
        <w:t xml:space="preserve">expect to receive under </w:t>
      </w:r>
      <w:r w:rsidR="00986C64" w:rsidRPr="00A40ACC">
        <w:rPr>
          <w:rFonts w:ascii="Tms Rmn" w:hAnsi="Tms Rmn"/>
          <w:sz w:val="24"/>
          <w:szCs w:val="24"/>
        </w:rPr>
        <w:t>R</w:t>
      </w:r>
      <w:r w:rsidRPr="00A40ACC">
        <w:rPr>
          <w:rFonts w:ascii="Tms Rmn" w:hAnsi="Tms Rmn"/>
          <w:sz w:val="24"/>
          <w:szCs w:val="24"/>
        </w:rPr>
        <w:t>ight 6(1).</w:t>
      </w:r>
    </w:p>
    <w:p w:rsidR="00971962" w:rsidRPr="00A40ACC" w:rsidRDefault="00971962" w:rsidP="00235461">
      <w:pPr>
        <w:autoSpaceDE w:val="0"/>
        <w:autoSpaceDN w:val="0"/>
        <w:adjustRightInd w:val="0"/>
        <w:spacing w:after="0" w:line="264" w:lineRule="auto"/>
        <w:jc w:val="both"/>
        <w:rPr>
          <w:rFonts w:ascii="Tms Rmn" w:hAnsi="Tms Rmn"/>
          <w:sz w:val="24"/>
          <w:szCs w:val="24"/>
        </w:rPr>
      </w:pPr>
    </w:p>
    <w:p w:rsidR="00971962" w:rsidRPr="00A40ACC" w:rsidRDefault="004B1DE4" w:rsidP="00235461">
      <w:pPr>
        <w:autoSpaceDE w:val="0"/>
        <w:autoSpaceDN w:val="0"/>
        <w:adjustRightInd w:val="0"/>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Providing this information when asked is a minimum requirement, and overall I support an environment of voluntary, positive and early disclosure of information. In my view, the sector should be moving towards greater transparency in regards to matters such as who is performing a procedure and </w:t>
      </w:r>
      <w:r w:rsidR="001C4055" w:rsidRPr="00A40ACC">
        <w:rPr>
          <w:rFonts w:ascii="Times New Roman" w:hAnsi="Times New Roman" w:cs="Times New Roman"/>
          <w:sz w:val="24"/>
          <w:szCs w:val="24"/>
        </w:rPr>
        <w:t>information about a provider’s level of experience</w:t>
      </w:r>
      <w:r w:rsidRPr="00A40ACC">
        <w:rPr>
          <w:rFonts w:ascii="Times New Roman" w:hAnsi="Times New Roman" w:cs="Times New Roman"/>
          <w:i/>
          <w:sz w:val="24"/>
          <w:szCs w:val="24"/>
        </w:rPr>
        <w:t xml:space="preserve">. </w:t>
      </w:r>
      <w:r w:rsidRPr="00A40ACC">
        <w:rPr>
          <w:rFonts w:ascii="Times New Roman" w:hAnsi="Times New Roman" w:cs="Times New Roman"/>
          <w:sz w:val="24"/>
          <w:szCs w:val="24"/>
        </w:rPr>
        <w:t xml:space="preserve">This is </w:t>
      </w:r>
      <w:r w:rsidR="00C212C7" w:rsidRPr="00A40ACC">
        <w:rPr>
          <w:rFonts w:ascii="Times New Roman" w:hAnsi="Times New Roman" w:cs="Times New Roman"/>
          <w:sz w:val="24"/>
          <w:szCs w:val="24"/>
        </w:rPr>
        <w:t>consistent with</w:t>
      </w:r>
      <w:r w:rsidRPr="00A40ACC">
        <w:rPr>
          <w:rFonts w:ascii="Times New Roman" w:hAnsi="Times New Roman" w:cs="Times New Roman"/>
          <w:sz w:val="24"/>
          <w:szCs w:val="24"/>
        </w:rPr>
        <w:t xml:space="preserve"> my wider conversation with the sector about the importance of transparency in a consumer-centred system. </w:t>
      </w:r>
    </w:p>
    <w:p w:rsidR="00971962" w:rsidRPr="00A40ACC" w:rsidRDefault="00971962" w:rsidP="00235461">
      <w:pPr>
        <w:autoSpaceDE w:val="0"/>
        <w:autoSpaceDN w:val="0"/>
        <w:adjustRightInd w:val="0"/>
        <w:spacing w:after="0" w:line="264" w:lineRule="auto"/>
        <w:jc w:val="both"/>
        <w:rPr>
          <w:rFonts w:ascii="Tms Rmn" w:hAnsi="Tms Rmn"/>
          <w:sz w:val="24"/>
          <w:szCs w:val="24"/>
        </w:rPr>
      </w:pPr>
    </w:p>
    <w:p w:rsidR="00971962" w:rsidRPr="00A40ACC" w:rsidRDefault="004B1DE4" w:rsidP="00235461">
      <w:pPr>
        <w:autoSpaceDE w:val="0"/>
        <w:autoSpaceDN w:val="0"/>
        <w:adjustRightInd w:val="0"/>
        <w:spacing w:after="0" w:line="264" w:lineRule="auto"/>
        <w:jc w:val="both"/>
        <w:rPr>
          <w:rFonts w:ascii="Tms Rmn" w:hAnsi="Tms Rmn"/>
          <w:sz w:val="24"/>
          <w:szCs w:val="24"/>
        </w:rPr>
      </w:pPr>
      <w:r w:rsidRPr="00A40ACC">
        <w:rPr>
          <w:rFonts w:ascii="Tms Rmn" w:hAnsi="Tms Rmn"/>
          <w:sz w:val="24"/>
          <w:szCs w:val="24"/>
        </w:rPr>
        <w:t xml:space="preserve">I consider that an amendment to the Code would be inappropriate, as </w:t>
      </w:r>
      <w:r w:rsidR="001C4055" w:rsidRPr="00A40ACC">
        <w:rPr>
          <w:rFonts w:ascii="Tms Rmn" w:hAnsi="Tms Rmn"/>
          <w:sz w:val="24"/>
          <w:szCs w:val="24"/>
        </w:rPr>
        <w:t>the</w:t>
      </w:r>
      <w:r w:rsidRPr="00A40ACC">
        <w:rPr>
          <w:rFonts w:ascii="Tms Rmn" w:hAnsi="Tms Rmn"/>
          <w:sz w:val="24"/>
          <w:szCs w:val="24"/>
        </w:rPr>
        <w:t xml:space="preserve"> information </w:t>
      </w:r>
      <w:r w:rsidR="001C4055" w:rsidRPr="00A40ACC">
        <w:rPr>
          <w:rFonts w:ascii="Tms Rmn" w:hAnsi="Tms Rmn"/>
          <w:sz w:val="24"/>
          <w:szCs w:val="24"/>
        </w:rPr>
        <w:t>that</w:t>
      </w:r>
      <w:r w:rsidRPr="00A40ACC">
        <w:rPr>
          <w:rFonts w:ascii="Tms Rmn" w:hAnsi="Tms Rmn"/>
          <w:sz w:val="24"/>
          <w:szCs w:val="24"/>
        </w:rPr>
        <w:t xml:space="preserve"> should be provided </w:t>
      </w:r>
      <w:r w:rsidR="001C4055" w:rsidRPr="00A40ACC">
        <w:rPr>
          <w:rFonts w:ascii="Tms Rmn" w:hAnsi="Tms Rmn"/>
          <w:sz w:val="24"/>
          <w:szCs w:val="24"/>
        </w:rPr>
        <w:t xml:space="preserve">will depend </w:t>
      </w:r>
      <w:r w:rsidRPr="00A40ACC">
        <w:rPr>
          <w:rFonts w:ascii="Tms Rmn" w:hAnsi="Tms Rmn"/>
          <w:sz w:val="24"/>
          <w:szCs w:val="24"/>
        </w:rPr>
        <w:t xml:space="preserve">on the circumstances. I also note Right 6(2), which </w:t>
      </w:r>
      <w:r w:rsidR="001C4055" w:rsidRPr="00A40ACC">
        <w:rPr>
          <w:rFonts w:ascii="Tms Rmn" w:hAnsi="Tms Rmn"/>
          <w:sz w:val="24"/>
          <w:szCs w:val="24"/>
        </w:rPr>
        <w:t xml:space="preserve">already </w:t>
      </w:r>
      <w:r w:rsidRPr="00A40ACC">
        <w:rPr>
          <w:rFonts w:ascii="Tms Rmn" w:hAnsi="Tms Rmn"/>
          <w:sz w:val="24"/>
          <w:szCs w:val="24"/>
        </w:rPr>
        <w:t>provides a right to the information that a reasonable consumer, in that consumer’s circumstances, need</w:t>
      </w:r>
      <w:r w:rsidR="001C4055" w:rsidRPr="00A40ACC">
        <w:rPr>
          <w:rFonts w:ascii="Tms Rmn" w:hAnsi="Tms Rmn"/>
          <w:sz w:val="24"/>
          <w:szCs w:val="24"/>
        </w:rPr>
        <w:t>s</w:t>
      </w:r>
      <w:r w:rsidRPr="00A40ACC">
        <w:rPr>
          <w:rFonts w:ascii="Tms Rmn" w:hAnsi="Tms Rmn"/>
          <w:sz w:val="24"/>
          <w:szCs w:val="24"/>
        </w:rPr>
        <w:t xml:space="preserve"> to make an informed choice or give informed consent. </w:t>
      </w:r>
    </w:p>
    <w:p w:rsidR="00971962" w:rsidRPr="00A40ACC" w:rsidRDefault="00971962" w:rsidP="00235461">
      <w:pPr>
        <w:autoSpaceDE w:val="0"/>
        <w:autoSpaceDN w:val="0"/>
        <w:adjustRightInd w:val="0"/>
        <w:spacing w:after="0" w:line="264" w:lineRule="auto"/>
        <w:jc w:val="both"/>
        <w:rPr>
          <w:rFonts w:ascii="Times New Roman" w:hAnsi="Times New Roman" w:cs="Times New Roman"/>
          <w:sz w:val="24"/>
          <w:szCs w:val="24"/>
        </w:rPr>
      </w:pPr>
    </w:p>
    <w:p w:rsidR="0021096B" w:rsidRPr="00A40ACC" w:rsidRDefault="00944D2A" w:rsidP="00235461">
      <w:pPr>
        <w:pStyle w:val="NoSpacing"/>
        <w:spacing w:line="264" w:lineRule="auto"/>
        <w:jc w:val="both"/>
        <w:outlineLvl w:val="1"/>
        <w:rPr>
          <w:rFonts w:ascii="Times New Roman" w:hAnsi="Times New Roman" w:cs="Times New Roman"/>
          <w:i/>
          <w:sz w:val="24"/>
          <w:szCs w:val="24"/>
        </w:rPr>
      </w:pPr>
      <w:bookmarkStart w:id="18" w:name="_Toc390269609"/>
      <w:r w:rsidRPr="00A40ACC">
        <w:rPr>
          <w:rFonts w:ascii="Times New Roman" w:hAnsi="Times New Roman" w:cs="Times New Roman"/>
          <w:i/>
          <w:sz w:val="24"/>
          <w:szCs w:val="24"/>
        </w:rPr>
        <w:t>Nurse and pharmacist prescribing</w:t>
      </w:r>
      <w:bookmarkEnd w:id="18"/>
    </w:p>
    <w:p w:rsidR="00971962" w:rsidRPr="00A40ACC" w:rsidRDefault="004B1DE4" w:rsidP="00235461">
      <w:pPr>
        <w:autoSpaceDE w:val="0"/>
        <w:autoSpaceDN w:val="0"/>
        <w:adjustRightInd w:val="0"/>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The Medical Council also expressed concern a</w:t>
      </w:r>
      <w:r w:rsidR="009809F8" w:rsidRPr="00A40ACC">
        <w:rPr>
          <w:rFonts w:ascii="Times New Roman" w:hAnsi="Times New Roman" w:cs="Times New Roman"/>
          <w:sz w:val="24"/>
          <w:szCs w:val="24"/>
        </w:rPr>
        <w:t>bout</w:t>
      </w:r>
      <w:r w:rsidRPr="00A40ACC">
        <w:rPr>
          <w:rFonts w:ascii="Times New Roman" w:hAnsi="Times New Roman" w:cs="Times New Roman"/>
          <w:sz w:val="24"/>
          <w:szCs w:val="24"/>
        </w:rPr>
        <w:t xml:space="preserve"> nurse and pharmacist prescribing, specifically submitting that Right 6(1) be amended to make it clear what information patients should be receiving in </w:t>
      </w:r>
      <w:r w:rsidR="00B36F10" w:rsidRPr="00A40ACC">
        <w:rPr>
          <w:rFonts w:ascii="Times New Roman" w:hAnsi="Times New Roman" w:cs="Times New Roman"/>
          <w:sz w:val="24"/>
          <w:szCs w:val="24"/>
        </w:rPr>
        <w:t xml:space="preserve">those </w:t>
      </w:r>
      <w:r w:rsidRPr="00A40ACC">
        <w:rPr>
          <w:rFonts w:ascii="Times New Roman" w:hAnsi="Times New Roman" w:cs="Times New Roman"/>
          <w:sz w:val="24"/>
          <w:szCs w:val="24"/>
        </w:rPr>
        <w:t>circumstances. I consider that Right 6(2)</w:t>
      </w:r>
      <w:r w:rsidR="009809F8" w:rsidRPr="00A40ACC">
        <w:rPr>
          <w:rFonts w:ascii="Times New Roman" w:hAnsi="Times New Roman" w:cs="Times New Roman"/>
          <w:sz w:val="24"/>
          <w:szCs w:val="24"/>
        </w:rPr>
        <w:t xml:space="preserve"> already</w:t>
      </w:r>
      <w:r w:rsidRPr="00A40ACC">
        <w:rPr>
          <w:rFonts w:ascii="Times New Roman" w:hAnsi="Times New Roman" w:cs="Times New Roman"/>
          <w:sz w:val="24"/>
          <w:szCs w:val="24"/>
        </w:rPr>
        <w:t xml:space="preserve"> provides adequ</w:t>
      </w:r>
      <w:r w:rsidR="009809F8" w:rsidRPr="00A40ACC">
        <w:rPr>
          <w:rFonts w:ascii="Times New Roman" w:hAnsi="Times New Roman" w:cs="Times New Roman"/>
          <w:sz w:val="24"/>
          <w:szCs w:val="24"/>
        </w:rPr>
        <w:t xml:space="preserve">ate safeguards to consumers in </w:t>
      </w:r>
      <w:r w:rsidR="006E6511">
        <w:rPr>
          <w:rFonts w:ascii="Times New Roman" w:hAnsi="Times New Roman" w:cs="Times New Roman"/>
          <w:sz w:val="24"/>
          <w:szCs w:val="24"/>
        </w:rPr>
        <w:t>these</w:t>
      </w:r>
      <w:r w:rsidRPr="00A40ACC">
        <w:rPr>
          <w:rFonts w:ascii="Times New Roman" w:hAnsi="Times New Roman" w:cs="Times New Roman"/>
          <w:sz w:val="24"/>
          <w:szCs w:val="24"/>
        </w:rPr>
        <w:t xml:space="preserve"> situations, and do not consider that the Code requires amendment on this point.</w:t>
      </w:r>
    </w:p>
    <w:p w:rsidR="00C64ACB" w:rsidRPr="00A40ACC" w:rsidRDefault="00C64ACB" w:rsidP="00235461">
      <w:pPr>
        <w:autoSpaceDE w:val="0"/>
        <w:autoSpaceDN w:val="0"/>
        <w:adjustRightInd w:val="0"/>
        <w:spacing w:after="0" w:line="264" w:lineRule="auto"/>
        <w:jc w:val="both"/>
        <w:rPr>
          <w:rFonts w:ascii="Tms Rmn" w:hAnsi="Tms Rmn"/>
          <w:i/>
          <w:sz w:val="24"/>
          <w:szCs w:val="24"/>
        </w:rPr>
      </w:pPr>
    </w:p>
    <w:p w:rsidR="0021096B" w:rsidRPr="00A40ACC" w:rsidRDefault="00944D2A" w:rsidP="00235461">
      <w:pPr>
        <w:pStyle w:val="NoSpacing"/>
        <w:spacing w:line="264" w:lineRule="auto"/>
        <w:jc w:val="both"/>
        <w:outlineLvl w:val="1"/>
        <w:rPr>
          <w:rFonts w:ascii="Tms Rmn" w:hAnsi="Tms Rmn"/>
          <w:i/>
          <w:sz w:val="24"/>
          <w:szCs w:val="24"/>
        </w:rPr>
      </w:pPr>
      <w:bookmarkStart w:id="19" w:name="_Toc390269610"/>
      <w:r w:rsidRPr="00A40ACC">
        <w:rPr>
          <w:rFonts w:ascii="Times New Roman" w:hAnsi="Times New Roman" w:cs="Times New Roman"/>
          <w:i/>
          <w:sz w:val="24"/>
          <w:szCs w:val="24"/>
        </w:rPr>
        <w:t>Research</w:t>
      </w:r>
      <w:bookmarkEnd w:id="19"/>
    </w:p>
    <w:p w:rsidR="00957F42" w:rsidRDefault="00E61D5C"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Currently Right 7(4) permits the participation of incompetent consumers in research only in very limited circumstances. As a prerequisite to that participation, services to be provided must be in the consumer</w:t>
      </w:r>
      <w:r w:rsidR="00450C2B">
        <w:rPr>
          <w:rFonts w:ascii="Times New Roman" w:hAnsi="Times New Roman" w:cs="Times New Roman"/>
          <w:sz w:val="24"/>
          <w:szCs w:val="24"/>
        </w:rPr>
        <w:t>’</w:t>
      </w:r>
      <w:r w:rsidRPr="00A40ACC">
        <w:rPr>
          <w:rFonts w:ascii="Times New Roman" w:hAnsi="Times New Roman" w:cs="Times New Roman"/>
          <w:sz w:val="24"/>
          <w:szCs w:val="24"/>
        </w:rPr>
        <w:t xml:space="preserve">s best interests. The submissions made during the 2009 review were </w:t>
      </w:r>
      <w:r w:rsidRPr="00A40ACC">
        <w:rPr>
          <w:rFonts w:ascii="Times New Roman" w:hAnsi="Times New Roman" w:cs="Times New Roman"/>
          <w:sz w:val="24"/>
          <w:szCs w:val="24"/>
        </w:rPr>
        <w:lastRenderedPageBreak/>
        <w:t xml:space="preserve">divided over whether Right 7(4) required amendment to widen this to include situations not known to be contrary to the consumer’s best interests as long as there was also approval from an ethics committee. </w:t>
      </w:r>
      <w:r w:rsidR="00C64ACB" w:rsidRPr="00A40ACC">
        <w:rPr>
          <w:rFonts w:ascii="Times New Roman" w:hAnsi="Times New Roman" w:cs="Times New Roman"/>
          <w:sz w:val="24"/>
          <w:szCs w:val="24"/>
        </w:rPr>
        <w:t xml:space="preserve">The 2009 review report recommended amending Right 7(4)(a) to read: </w:t>
      </w:r>
    </w:p>
    <w:p w:rsidR="00957F42" w:rsidRDefault="00C64ACB" w:rsidP="001B17D4">
      <w:pPr>
        <w:pStyle w:val="NoSpacing"/>
        <w:spacing w:before="240" w:after="240" w:line="264" w:lineRule="auto"/>
        <w:ind w:left="720"/>
        <w:jc w:val="both"/>
        <w:rPr>
          <w:rFonts w:ascii="Times New Roman" w:hAnsi="Times New Roman" w:cs="Times New Roman"/>
          <w:sz w:val="24"/>
          <w:szCs w:val="24"/>
        </w:rPr>
      </w:pPr>
      <w:r w:rsidRPr="00A40ACC">
        <w:rPr>
          <w:rFonts w:ascii="Times New Roman" w:hAnsi="Times New Roman" w:cs="Times New Roman"/>
          <w:sz w:val="24"/>
          <w:szCs w:val="24"/>
        </w:rPr>
        <w:t>“It is in the best interests of the consumer, or in the case of research, is not known to be contrary to the best interests of the consumer and has received the approval of an ethics committee</w:t>
      </w:r>
      <w:r w:rsidR="000C498F" w:rsidRPr="00A40ACC">
        <w:rPr>
          <w:rFonts w:ascii="Times New Roman" w:hAnsi="Times New Roman" w:cs="Times New Roman"/>
          <w:sz w:val="24"/>
          <w:szCs w:val="24"/>
        </w:rPr>
        <w:t>”</w:t>
      </w:r>
      <w:r w:rsidRPr="00A40ACC">
        <w:rPr>
          <w:rFonts w:ascii="Times New Roman" w:hAnsi="Times New Roman" w:cs="Times New Roman"/>
          <w:sz w:val="24"/>
          <w:szCs w:val="24"/>
        </w:rPr>
        <w:t>.</w:t>
      </w:r>
      <w:r w:rsidR="003E0FC0" w:rsidRPr="00A40ACC">
        <w:rPr>
          <w:rFonts w:ascii="Times New Roman" w:hAnsi="Times New Roman" w:cs="Times New Roman"/>
          <w:sz w:val="24"/>
          <w:szCs w:val="24"/>
        </w:rPr>
        <w:t xml:space="preserve"> </w:t>
      </w:r>
    </w:p>
    <w:p w:rsidR="00C64ACB" w:rsidRPr="00A40ACC" w:rsidRDefault="0029464D"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When I took </w:t>
      </w:r>
      <w:r w:rsidR="00F812E8" w:rsidRPr="00A40ACC">
        <w:rPr>
          <w:rFonts w:ascii="Times New Roman" w:hAnsi="Times New Roman" w:cs="Times New Roman"/>
          <w:sz w:val="24"/>
          <w:szCs w:val="24"/>
        </w:rPr>
        <w:t>office as Health and Disability Commissioner, the next step in progressing such a change would have been to prepare a draft Code and further consult on that draft. However, i</w:t>
      </w:r>
      <w:r w:rsidR="00E61D5C" w:rsidRPr="00A40ACC">
        <w:rPr>
          <w:rFonts w:ascii="Times New Roman" w:hAnsi="Times New Roman" w:cs="Times New Roman"/>
          <w:sz w:val="24"/>
          <w:szCs w:val="24"/>
        </w:rPr>
        <w:t xml:space="preserve">n my view, the safeguards in Right 7(4) are important to protect consumers’ rights and, after careful consideration of the competing views about this issue, I was not convinced that Right 7(4) required amendment. Accordingly, I did </w:t>
      </w:r>
      <w:r w:rsidR="00F812E8" w:rsidRPr="00A40ACC">
        <w:rPr>
          <w:rFonts w:ascii="Times New Roman" w:hAnsi="Times New Roman" w:cs="Times New Roman"/>
          <w:sz w:val="24"/>
          <w:szCs w:val="24"/>
        </w:rPr>
        <w:t>not take those next steps</w:t>
      </w:r>
      <w:r w:rsidR="00E61D5C" w:rsidRPr="00A40ACC">
        <w:rPr>
          <w:rFonts w:ascii="Times New Roman" w:hAnsi="Times New Roman" w:cs="Times New Roman"/>
          <w:sz w:val="24"/>
          <w:szCs w:val="24"/>
        </w:rPr>
        <w:t xml:space="preserve">. </w:t>
      </w:r>
    </w:p>
    <w:p w:rsidR="00C64ACB" w:rsidRPr="00A40ACC" w:rsidRDefault="00C64ACB" w:rsidP="00235461">
      <w:pPr>
        <w:pStyle w:val="NoSpacing"/>
        <w:spacing w:line="264" w:lineRule="auto"/>
        <w:jc w:val="both"/>
        <w:rPr>
          <w:rFonts w:ascii="Times New Roman" w:hAnsi="Times New Roman" w:cs="Times New Roman"/>
          <w:sz w:val="24"/>
          <w:szCs w:val="24"/>
        </w:rPr>
      </w:pPr>
    </w:p>
    <w:p w:rsidR="00E61D5C" w:rsidRPr="00A40ACC" w:rsidRDefault="003E0FC0"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In the current review, two submissions were received on this issue. One submission supported the amendment suggested in 2009, while the other did not. </w:t>
      </w:r>
      <w:r w:rsidR="00E61D5C" w:rsidRPr="00A40ACC">
        <w:rPr>
          <w:rFonts w:ascii="Times New Roman" w:hAnsi="Times New Roman" w:cs="Times New Roman"/>
          <w:sz w:val="24"/>
          <w:szCs w:val="24"/>
        </w:rPr>
        <w:t>Subsequent to the consultation process on the current review, issues surrounding research involving incompetent consumers have come to light and the application of Right 7(4) has been debated</w:t>
      </w:r>
      <w:r w:rsidR="0029464D" w:rsidRPr="00A40ACC">
        <w:rPr>
          <w:rFonts w:ascii="Times New Roman" w:hAnsi="Times New Roman" w:cs="Times New Roman"/>
          <w:sz w:val="24"/>
          <w:szCs w:val="24"/>
        </w:rPr>
        <w:t>, including</w:t>
      </w:r>
      <w:r w:rsidR="00E61D5C" w:rsidRPr="00A40ACC">
        <w:rPr>
          <w:rFonts w:ascii="Times New Roman" w:hAnsi="Times New Roman" w:cs="Times New Roman"/>
          <w:sz w:val="24"/>
          <w:szCs w:val="24"/>
        </w:rPr>
        <w:t xml:space="preserve"> in the media. Having again heard strong views </w:t>
      </w:r>
      <w:r w:rsidR="0029464D" w:rsidRPr="00A40ACC">
        <w:rPr>
          <w:rFonts w:ascii="Times New Roman" w:hAnsi="Times New Roman" w:cs="Times New Roman"/>
          <w:sz w:val="24"/>
          <w:szCs w:val="24"/>
        </w:rPr>
        <w:t>both for and against the change</w:t>
      </w:r>
      <w:r w:rsidR="00E61D5C" w:rsidRPr="00A40ACC">
        <w:rPr>
          <w:rFonts w:ascii="Times New Roman" w:hAnsi="Times New Roman" w:cs="Times New Roman"/>
          <w:sz w:val="24"/>
          <w:szCs w:val="24"/>
        </w:rPr>
        <w:t>, I remain unconvinced that there is a clear mandate for any amendment at this stage and particularly in the absence of a more fulsome public informa</w:t>
      </w:r>
      <w:r w:rsidR="0029464D" w:rsidRPr="00A40ACC">
        <w:rPr>
          <w:rFonts w:ascii="Times New Roman" w:hAnsi="Times New Roman" w:cs="Times New Roman"/>
          <w:sz w:val="24"/>
          <w:szCs w:val="24"/>
        </w:rPr>
        <w:t xml:space="preserve">tion and consultation process. </w:t>
      </w:r>
      <w:r w:rsidR="00BF7CAC" w:rsidRPr="00A40ACC">
        <w:rPr>
          <w:rFonts w:ascii="Times New Roman" w:hAnsi="Times New Roman" w:cs="Times New Roman"/>
          <w:sz w:val="24"/>
          <w:szCs w:val="24"/>
        </w:rPr>
        <w:t xml:space="preserve">I will </w:t>
      </w:r>
      <w:r w:rsidR="00BF7CAC" w:rsidRPr="00A40ACC">
        <w:rPr>
          <w:rFonts w:ascii="Tms Rmn" w:hAnsi="Tms Rmn" w:cs="Tms Rmn"/>
          <w:sz w:val="24"/>
          <w:szCs w:val="24"/>
        </w:rPr>
        <w:t>continue to monitor this issue before deciding whether a separate and wider consultation process is warranted.</w:t>
      </w:r>
    </w:p>
    <w:p w:rsidR="00C64ACB" w:rsidRPr="00A40ACC" w:rsidRDefault="00C64ACB" w:rsidP="00235461">
      <w:pPr>
        <w:autoSpaceDE w:val="0"/>
        <w:autoSpaceDN w:val="0"/>
        <w:adjustRightInd w:val="0"/>
        <w:spacing w:after="0" w:line="264" w:lineRule="auto"/>
        <w:jc w:val="both"/>
        <w:rPr>
          <w:rFonts w:ascii="Tms Rmn" w:hAnsi="Tms Rmn"/>
          <w:sz w:val="24"/>
          <w:szCs w:val="24"/>
        </w:rPr>
      </w:pPr>
    </w:p>
    <w:p w:rsidR="00402F8D" w:rsidRPr="00A40ACC" w:rsidRDefault="0029464D" w:rsidP="00235461">
      <w:pPr>
        <w:autoSpaceDE w:val="0"/>
        <w:autoSpaceDN w:val="0"/>
        <w:adjustRightInd w:val="0"/>
        <w:spacing w:after="0" w:line="264" w:lineRule="auto"/>
        <w:jc w:val="both"/>
        <w:rPr>
          <w:rFonts w:ascii="Tms Rmn" w:hAnsi="Tms Rmn"/>
          <w:sz w:val="24"/>
          <w:szCs w:val="24"/>
        </w:rPr>
      </w:pPr>
      <w:r w:rsidRPr="00A40ACC">
        <w:rPr>
          <w:rFonts w:ascii="Tms Rmn" w:hAnsi="Tms Rmn"/>
          <w:sz w:val="24"/>
          <w:szCs w:val="24"/>
        </w:rPr>
        <w:t>One</w:t>
      </w:r>
      <w:r w:rsidR="000E0E7D" w:rsidRPr="00A40ACC">
        <w:rPr>
          <w:rFonts w:ascii="Tms Rmn" w:hAnsi="Tms Rmn"/>
          <w:sz w:val="24"/>
          <w:szCs w:val="24"/>
        </w:rPr>
        <w:t xml:space="preserve"> submi</w:t>
      </w:r>
      <w:r w:rsidRPr="00A40ACC">
        <w:rPr>
          <w:rFonts w:ascii="Tms Rmn" w:hAnsi="Tms Rmn"/>
          <w:sz w:val="24"/>
          <w:szCs w:val="24"/>
        </w:rPr>
        <w:t>ssion was received that</w:t>
      </w:r>
      <w:r w:rsidR="000E0E7D" w:rsidRPr="00A40ACC">
        <w:rPr>
          <w:rFonts w:ascii="Tms Rmn" w:hAnsi="Tms Rmn"/>
          <w:sz w:val="24"/>
          <w:szCs w:val="24"/>
        </w:rPr>
        <w:t xml:space="preserve"> </w:t>
      </w:r>
      <w:r w:rsidR="00402F8D" w:rsidRPr="00A40ACC">
        <w:rPr>
          <w:rFonts w:ascii="Tms Rmn" w:hAnsi="Tms Rmn"/>
          <w:sz w:val="24"/>
          <w:szCs w:val="24"/>
        </w:rPr>
        <w:t>expressed</w:t>
      </w:r>
      <w:r w:rsidR="006E6511">
        <w:rPr>
          <w:rFonts w:ascii="Tms Rmn" w:hAnsi="Tms Rmn"/>
          <w:sz w:val="24"/>
          <w:szCs w:val="24"/>
        </w:rPr>
        <w:t xml:space="preserve"> concern</w:t>
      </w:r>
      <w:r w:rsidR="00080FF3" w:rsidRPr="00A40ACC">
        <w:rPr>
          <w:rFonts w:ascii="Tms Rmn" w:hAnsi="Tms Rmn"/>
          <w:sz w:val="24"/>
          <w:szCs w:val="24"/>
        </w:rPr>
        <w:t xml:space="preserve"> that the Code does not apply to all health and disability research, such as non-therapeutic health and disability research carried out by people other than health</w:t>
      </w:r>
      <w:r w:rsidR="007669AA" w:rsidRPr="00A40ACC">
        <w:rPr>
          <w:rFonts w:ascii="Tms Rmn" w:hAnsi="Tms Rmn"/>
          <w:sz w:val="24"/>
          <w:szCs w:val="24"/>
        </w:rPr>
        <w:t xml:space="preserve"> </w:t>
      </w:r>
      <w:r w:rsidR="00080FF3" w:rsidRPr="00A40ACC">
        <w:rPr>
          <w:rFonts w:ascii="Tms Rmn" w:hAnsi="Tms Rmn"/>
          <w:sz w:val="24"/>
          <w:szCs w:val="24"/>
        </w:rPr>
        <w:t>care p</w:t>
      </w:r>
      <w:r w:rsidR="00C153D1" w:rsidRPr="00A40ACC">
        <w:rPr>
          <w:rFonts w:ascii="Tms Rmn" w:hAnsi="Tms Rmn"/>
          <w:sz w:val="24"/>
          <w:szCs w:val="24"/>
        </w:rPr>
        <w:t>roviders</w:t>
      </w:r>
      <w:r w:rsidR="00F94F6B" w:rsidRPr="00A40ACC">
        <w:rPr>
          <w:rFonts w:ascii="Tms Rmn" w:hAnsi="Tms Rmn"/>
          <w:sz w:val="24"/>
          <w:szCs w:val="24"/>
        </w:rPr>
        <w:t xml:space="preserve">. </w:t>
      </w:r>
      <w:r w:rsidR="00402F8D" w:rsidRPr="00A40ACC">
        <w:rPr>
          <w:rFonts w:ascii="Tms Rmn" w:hAnsi="Tms Rmn"/>
          <w:sz w:val="24"/>
          <w:szCs w:val="24"/>
        </w:rPr>
        <w:t xml:space="preserve">In my view, the Code </w:t>
      </w:r>
      <w:r w:rsidR="00E908A6" w:rsidRPr="00A40ACC">
        <w:rPr>
          <w:rFonts w:ascii="Tms Rmn" w:hAnsi="Tms Rmn"/>
          <w:sz w:val="24"/>
          <w:szCs w:val="24"/>
        </w:rPr>
        <w:t>adequately</w:t>
      </w:r>
      <w:r w:rsidR="00402F8D" w:rsidRPr="00A40ACC">
        <w:rPr>
          <w:rFonts w:ascii="Tms Rmn" w:hAnsi="Tms Rmn"/>
          <w:sz w:val="24"/>
          <w:szCs w:val="24"/>
        </w:rPr>
        <w:t xml:space="preserve"> covers health and disability research. Specifically, it covers all health research conducted by </w:t>
      </w:r>
      <w:r w:rsidR="00E908A6" w:rsidRPr="00A40ACC">
        <w:rPr>
          <w:rFonts w:ascii="Tms Rmn" w:hAnsi="Tms Rmn"/>
          <w:sz w:val="24"/>
          <w:szCs w:val="24"/>
        </w:rPr>
        <w:t>health care providers</w:t>
      </w:r>
      <w:r w:rsidR="00402F8D" w:rsidRPr="00A40ACC">
        <w:rPr>
          <w:rFonts w:ascii="Tms Rmn" w:hAnsi="Tms Rmn"/>
          <w:sz w:val="24"/>
          <w:szCs w:val="24"/>
        </w:rPr>
        <w:t xml:space="preserve">. In addition, any research that involves the provision of health or disability </w:t>
      </w:r>
      <w:r w:rsidR="00CD3FCC" w:rsidRPr="00A40ACC">
        <w:rPr>
          <w:rFonts w:ascii="Tms Rmn" w:hAnsi="Tms Rmn"/>
          <w:sz w:val="24"/>
          <w:szCs w:val="24"/>
        </w:rPr>
        <w:t xml:space="preserve">services </w:t>
      </w:r>
      <w:r w:rsidR="00402F8D" w:rsidRPr="00A40ACC">
        <w:rPr>
          <w:rFonts w:ascii="Tms Rmn" w:hAnsi="Tms Rmn"/>
          <w:sz w:val="24"/>
          <w:szCs w:val="24"/>
        </w:rPr>
        <w:t xml:space="preserve">will also be covered. </w:t>
      </w:r>
      <w:r w:rsidR="007669AA" w:rsidRPr="00A40ACC">
        <w:rPr>
          <w:rFonts w:ascii="Tms Rmn" w:hAnsi="Tms Rmn"/>
          <w:sz w:val="24"/>
          <w:szCs w:val="24"/>
        </w:rPr>
        <w:t xml:space="preserve">I do not consider there is a significant gap that needs filling through amendment of the Act’s and/or </w:t>
      </w:r>
      <w:r w:rsidR="00650939" w:rsidRPr="00A40ACC">
        <w:rPr>
          <w:rFonts w:ascii="Tms Rmn" w:hAnsi="Tms Rmn"/>
          <w:sz w:val="24"/>
          <w:szCs w:val="24"/>
        </w:rPr>
        <w:t xml:space="preserve">the </w:t>
      </w:r>
      <w:r w:rsidR="007669AA" w:rsidRPr="00A40ACC">
        <w:rPr>
          <w:rFonts w:ascii="Tms Rmn" w:hAnsi="Tms Rmn"/>
          <w:sz w:val="24"/>
          <w:szCs w:val="24"/>
        </w:rPr>
        <w:t>Code’s definitions relative to research.</w:t>
      </w:r>
    </w:p>
    <w:p w:rsidR="007669AA" w:rsidRPr="00A40ACC" w:rsidRDefault="007669AA" w:rsidP="00235461">
      <w:pPr>
        <w:autoSpaceDE w:val="0"/>
        <w:autoSpaceDN w:val="0"/>
        <w:adjustRightInd w:val="0"/>
        <w:spacing w:after="0" w:line="264" w:lineRule="auto"/>
        <w:jc w:val="both"/>
        <w:rPr>
          <w:rFonts w:ascii="Tms Rmn" w:hAnsi="Tms Rmn"/>
          <w:i/>
          <w:sz w:val="24"/>
          <w:szCs w:val="24"/>
        </w:rPr>
      </w:pPr>
    </w:p>
    <w:p w:rsidR="0021096B" w:rsidRPr="00A40ACC" w:rsidRDefault="00C64ACB" w:rsidP="00235461">
      <w:pPr>
        <w:pStyle w:val="NoSpacing"/>
        <w:spacing w:line="264" w:lineRule="auto"/>
        <w:jc w:val="both"/>
        <w:outlineLvl w:val="1"/>
        <w:rPr>
          <w:rFonts w:ascii="Tms Rmn" w:hAnsi="Tms Rmn"/>
          <w:i/>
          <w:sz w:val="24"/>
          <w:szCs w:val="24"/>
        </w:rPr>
      </w:pPr>
      <w:bookmarkStart w:id="20" w:name="_Toc390269611"/>
      <w:r w:rsidRPr="00A40ACC">
        <w:rPr>
          <w:rFonts w:ascii="Tms Rmn" w:hAnsi="Tms Rmn"/>
          <w:i/>
          <w:sz w:val="24"/>
          <w:szCs w:val="24"/>
        </w:rPr>
        <w:t>Situations requiring written consent</w:t>
      </w:r>
      <w:bookmarkEnd w:id="20"/>
    </w:p>
    <w:p w:rsidR="00C64ACB" w:rsidRPr="00A40ACC" w:rsidRDefault="007C1DE5" w:rsidP="00235461">
      <w:pPr>
        <w:autoSpaceDE w:val="0"/>
        <w:autoSpaceDN w:val="0"/>
        <w:adjustRightInd w:val="0"/>
        <w:spacing w:after="0" w:line="264" w:lineRule="auto"/>
        <w:jc w:val="both"/>
        <w:rPr>
          <w:rFonts w:ascii="Tms Rmn" w:hAnsi="Tms Rmn"/>
          <w:sz w:val="24"/>
          <w:szCs w:val="24"/>
        </w:rPr>
      </w:pPr>
      <w:r w:rsidRPr="00A40ACC">
        <w:rPr>
          <w:rFonts w:ascii="Tms Rmn" w:hAnsi="Tms Rmn"/>
          <w:sz w:val="24"/>
          <w:szCs w:val="24"/>
        </w:rPr>
        <w:t xml:space="preserve">Right 7(6) sets out situations where written consent is required. The 2009 review report recommended that Right 7(6)(c), which outlines that consent must be in writing when the consumer will be under </w:t>
      </w:r>
      <w:r w:rsidR="00756C5A" w:rsidRPr="00A40ACC">
        <w:rPr>
          <w:rFonts w:ascii="Tms Rmn" w:hAnsi="Tms Rmn"/>
          <w:sz w:val="24"/>
          <w:szCs w:val="24"/>
        </w:rPr>
        <w:t>general anaesthetic, be amended</w:t>
      </w:r>
      <w:r w:rsidRPr="00A40ACC">
        <w:rPr>
          <w:rFonts w:ascii="Tms Rmn" w:hAnsi="Tms Rmn"/>
          <w:sz w:val="24"/>
          <w:szCs w:val="24"/>
        </w:rPr>
        <w:t xml:space="preserve"> by adding the words “…or sedation that has a similar effect”</w:t>
      </w:r>
      <w:r w:rsidR="00756C5A" w:rsidRPr="00A40ACC">
        <w:rPr>
          <w:rFonts w:ascii="Tms Rmn" w:hAnsi="Tms Rmn"/>
          <w:sz w:val="24"/>
          <w:szCs w:val="24"/>
        </w:rPr>
        <w:t xml:space="preserve">. </w:t>
      </w:r>
      <w:r w:rsidR="0029464D" w:rsidRPr="00A40ACC">
        <w:rPr>
          <w:rFonts w:ascii="Tms Rmn" w:hAnsi="Tms Rmn"/>
          <w:sz w:val="24"/>
          <w:szCs w:val="24"/>
        </w:rPr>
        <w:t>H</w:t>
      </w:r>
      <w:r w:rsidR="00756C5A" w:rsidRPr="00A40ACC">
        <w:rPr>
          <w:rFonts w:ascii="Tms Rmn" w:hAnsi="Tms Rmn"/>
          <w:sz w:val="24"/>
          <w:szCs w:val="24"/>
        </w:rPr>
        <w:t>owev</w:t>
      </w:r>
      <w:r w:rsidR="00CD5B8A" w:rsidRPr="00A40ACC">
        <w:rPr>
          <w:rFonts w:ascii="Tms Rmn" w:hAnsi="Tms Rmn"/>
          <w:sz w:val="24"/>
          <w:szCs w:val="24"/>
        </w:rPr>
        <w:t xml:space="preserve">er, I did not consider </w:t>
      </w:r>
      <w:r w:rsidR="00EE641B" w:rsidRPr="00A40ACC">
        <w:rPr>
          <w:rFonts w:ascii="Tms Rmn" w:hAnsi="Tms Rmn"/>
          <w:sz w:val="24"/>
          <w:szCs w:val="24"/>
        </w:rPr>
        <w:t>that such amendment</w:t>
      </w:r>
      <w:r w:rsidR="00CD5B8A" w:rsidRPr="00A40ACC">
        <w:rPr>
          <w:rFonts w:ascii="Tms Rmn" w:hAnsi="Tms Rmn"/>
          <w:sz w:val="24"/>
          <w:szCs w:val="24"/>
        </w:rPr>
        <w:t xml:space="preserve"> was </w:t>
      </w:r>
      <w:r w:rsidR="00756C5A" w:rsidRPr="00A40ACC">
        <w:rPr>
          <w:rFonts w:ascii="Tms Rmn" w:hAnsi="Tms Rmn"/>
          <w:sz w:val="24"/>
          <w:szCs w:val="24"/>
        </w:rPr>
        <w:t>necessary at that time, and accordingly determined not to proceed</w:t>
      </w:r>
      <w:r w:rsidR="00EE641B" w:rsidRPr="00A40ACC">
        <w:rPr>
          <w:rFonts w:ascii="Tms Rmn" w:hAnsi="Tms Rmn"/>
          <w:sz w:val="24"/>
          <w:szCs w:val="24"/>
        </w:rPr>
        <w:t xml:space="preserve"> with further consultation on a draft Code</w:t>
      </w:r>
      <w:r w:rsidR="00756C5A" w:rsidRPr="00A40ACC">
        <w:rPr>
          <w:rFonts w:ascii="Tms Rmn" w:hAnsi="Tms Rmn"/>
          <w:sz w:val="24"/>
          <w:szCs w:val="24"/>
        </w:rPr>
        <w:t xml:space="preserve">. </w:t>
      </w:r>
      <w:r w:rsidR="00EE6138" w:rsidRPr="00A40ACC">
        <w:rPr>
          <w:rFonts w:ascii="Tms Rmn" w:hAnsi="Tms Rmn"/>
          <w:sz w:val="24"/>
          <w:szCs w:val="24"/>
        </w:rPr>
        <w:t xml:space="preserve">This is not an issue that I see appearing in complaints. </w:t>
      </w:r>
      <w:r w:rsidR="00756C5A" w:rsidRPr="00A40ACC">
        <w:rPr>
          <w:rFonts w:ascii="Tms Rmn" w:hAnsi="Tms Rmn"/>
          <w:sz w:val="24"/>
          <w:szCs w:val="24"/>
        </w:rPr>
        <w:t>One submission was received on this</w:t>
      </w:r>
      <w:r w:rsidR="00EE641B" w:rsidRPr="00A40ACC">
        <w:rPr>
          <w:rFonts w:ascii="Tms Rmn" w:hAnsi="Tms Rmn"/>
          <w:sz w:val="24"/>
          <w:szCs w:val="24"/>
        </w:rPr>
        <w:t xml:space="preserve"> issue</w:t>
      </w:r>
      <w:r w:rsidR="00756C5A" w:rsidRPr="00A40ACC">
        <w:rPr>
          <w:rFonts w:ascii="Tms Rmn" w:hAnsi="Tms Rmn"/>
          <w:sz w:val="24"/>
          <w:szCs w:val="24"/>
        </w:rPr>
        <w:t xml:space="preserve"> in the current review, however, I am</w:t>
      </w:r>
      <w:r w:rsidR="00EE641B" w:rsidRPr="00A40ACC">
        <w:rPr>
          <w:rFonts w:ascii="Tms Rmn" w:hAnsi="Tms Rmn"/>
          <w:sz w:val="24"/>
          <w:szCs w:val="24"/>
        </w:rPr>
        <w:t xml:space="preserve"> still</w:t>
      </w:r>
      <w:r w:rsidR="00756C5A" w:rsidRPr="00A40ACC">
        <w:rPr>
          <w:rFonts w:ascii="Tms Rmn" w:hAnsi="Tms Rmn"/>
          <w:sz w:val="24"/>
          <w:szCs w:val="24"/>
        </w:rPr>
        <w:t xml:space="preserve"> not persuaded that an amendment to this </w:t>
      </w:r>
      <w:r w:rsidR="00EE641B" w:rsidRPr="00A40ACC">
        <w:rPr>
          <w:rFonts w:ascii="Tms Rmn" w:hAnsi="Tms Rmn"/>
          <w:sz w:val="24"/>
          <w:szCs w:val="24"/>
        </w:rPr>
        <w:t>r</w:t>
      </w:r>
      <w:r w:rsidR="00756C5A" w:rsidRPr="00A40ACC">
        <w:rPr>
          <w:rFonts w:ascii="Tms Rmn" w:hAnsi="Tms Rmn"/>
          <w:sz w:val="24"/>
          <w:szCs w:val="24"/>
        </w:rPr>
        <w:t>ight is necessary.</w:t>
      </w:r>
    </w:p>
    <w:p w:rsidR="00C64ACB" w:rsidRPr="00A40ACC" w:rsidRDefault="00C64ACB" w:rsidP="00235461">
      <w:pPr>
        <w:autoSpaceDE w:val="0"/>
        <w:autoSpaceDN w:val="0"/>
        <w:adjustRightInd w:val="0"/>
        <w:spacing w:after="0" w:line="264" w:lineRule="auto"/>
        <w:jc w:val="both"/>
        <w:rPr>
          <w:rFonts w:ascii="Tms Rmn" w:hAnsi="Tms Rmn"/>
          <w:i/>
          <w:sz w:val="24"/>
          <w:szCs w:val="24"/>
        </w:rPr>
      </w:pPr>
    </w:p>
    <w:p w:rsidR="0021096B" w:rsidRPr="00A40ACC" w:rsidRDefault="004B1DE4" w:rsidP="00235461">
      <w:pPr>
        <w:pStyle w:val="NoSpacing"/>
        <w:spacing w:line="264" w:lineRule="auto"/>
        <w:jc w:val="both"/>
        <w:outlineLvl w:val="1"/>
        <w:rPr>
          <w:rFonts w:ascii="Tms Rmn" w:hAnsi="Tms Rmn"/>
          <w:i/>
          <w:sz w:val="24"/>
          <w:szCs w:val="24"/>
        </w:rPr>
      </w:pPr>
      <w:bookmarkStart w:id="21" w:name="_Toc390269612"/>
      <w:r w:rsidRPr="00A40ACC">
        <w:rPr>
          <w:rFonts w:ascii="Tms Rmn" w:hAnsi="Tms Rmn"/>
          <w:i/>
          <w:sz w:val="24"/>
          <w:szCs w:val="24"/>
        </w:rPr>
        <w:t xml:space="preserve">Provider </w:t>
      </w:r>
      <w:r w:rsidR="009809F8" w:rsidRPr="00A40ACC">
        <w:rPr>
          <w:rFonts w:ascii="Tms Rmn" w:hAnsi="Tms Rmn"/>
          <w:i/>
          <w:sz w:val="24"/>
          <w:szCs w:val="24"/>
        </w:rPr>
        <w:t>c</w:t>
      </w:r>
      <w:r w:rsidRPr="00A40ACC">
        <w:rPr>
          <w:rFonts w:ascii="Tms Rmn" w:hAnsi="Tms Rmn"/>
          <w:i/>
          <w:sz w:val="24"/>
          <w:szCs w:val="24"/>
        </w:rPr>
        <w:t>ompliance</w:t>
      </w:r>
      <w:bookmarkEnd w:id="21"/>
    </w:p>
    <w:p w:rsidR="00971962" w:rsidRPr="00A40ACC" w:rsidRDefault="004B1DE4" w:rsidP="00235461">
      <w:pPr>
        <w:autoSpaceDE w:val="0"/>
        <w:autoSpaceDN w:val="0"/>
        <w:adjustRightInd w:val="0"/>
        <w:spacing w:after="0" w:line="264" w:lineRule="auto"/>
        <w:jc w:val="both"/>
        <w:rPr>
          <w:rFonts w:ascii="Tms Rmn" w:hAnsi="Tms Rmn"/>
          <w:sz w:val="24"/>
          <w:szCs w:val="24"/>
        </w:rPr>
      </w:pPr>
      <w:r w:rsidRPr="00A40ACC">
        <w:rPr>
          <w:rFonts w:ascii="Tms Rmn" w:hAnsi="Tms Rmn"/>
          <w:sz w:val="24"/>
          <w:szCs w:val="24"/>
        </w:rPr>
        <w:t xml:space="preserve">Two submissions on </w:t>
      </w:r>
      <w:r w:rsidR="00480272">
        <w:rPr>
          <w:rFonts w:ascii="Tms Rmn" w:hAnsi="Tms Rmn"/>
          <w:sz w:val="24"/>
          <w:szCs w:val="24"/>
        </w:rPr>
        <w:t>C</w:t>
      </w:r>
      <w:r w:rsidRPr="00A40ACC">
        <w:rPr>
          <w:rFonts w:ascii="Tms Rmn" w:hAnsi="Tms Rmn"/>
          <w:sz w:val="24"/>
          <w:szCs w:val="24"/>
        </w:rPr>
        <w:t xml:space="preserve">lause 3 considered that it could be expanded to include specific circumstances where a provider’s reasonable actions will not breach the Code. The current </w:t>
      </w:r>
      <w:r w:rsidRPr="00A40ACC">
        <w:rPr>
          <w:rFonts w:ascii="Tms Rmn" w:hAnsi="Tms Rmn"/>
          <w:sz w:val="24"/>
          <w:szCs w:val="24"/>
        </w:rPr>
        <w:lastRenderedPageBreak/>
        <w:t>wording o</w:t>
      </w:r>
      <w:r w:rsidR="009809F8" w:rsidRPr="00A40ACC">
        <w:rPr>
          <w:rFonts w:ascii="Tms Rmn" w:hAnsi="Tms Rmn"/>
          <w:sz w:val="24"/>
          <w:szCs w:val="24"/>
        </w:rPr>
        <w:t xml:space="preserve">f the clause is very broad, and, as such, I do not consider </w:t>
      </w:r>
      <w:r w:rsidRPr="00A40ACC">
        <w:rPr>
          <w:rFonts w:ascii="Tms Rmn" w:hAnsi="Tms Rmn"/>
          <w:sz w:val="24"/>
          <w:szCs w:val="24"/>
        </w:rPr>
        <w:t xml:space="preserve">that such an amendment </w:t>
      </w:r>
      <w:r w:rsidR="009809F8" w:rsidRPr="00A40ACC">
        <w:rPr>
          <w:rFonts w:ascii="Tms Rmn" w:hAnsi="Tms Rmn"/>
          <w:sz w:val="24"/>
          <w:szCs w:val="24"/>
        </w:rPr>
        <w:t>is necessary.</w:t>
      </w:r>
    </w:p>
    <w:p w:rsidR="00971962" w:rsidRPr="00A40ACC" w:rsidRDefault="00971962" w:rsidP="00235461">
      <w:pPr>
        <w:autoSpaceDE w:val="0"/>
        <w:autoSpaceDN w:val="0"/>
        <w:adjustRightInd w:val="0"/>
        <w:spacing w:after="0" w:line="264" w:lineRule="auto"/>
        <w:jc w:val="both"/>
        <w:rPr>
          <w:rFonts w:ascii="Tms Rmn" w:hAnsi="Tms Rmn"/>
          <w:i/>
          <w:sz w:val="24"/>
          <w:szCs w:val="24"/>
        </w:rPr>
      </w:pPr>
    </w:p>
    <w:p w:rsidR="0021096B" w:rsidRPr="00A40ACC" w:rsidRDefault="004B1DE4" w:rsidP="00235461">
      <w:pPr>
        <w:pStyle w:val="NoSpacing"/>
        <w:spacing w:line="264" w:lineRule="auto"/>
        <w:jc w:val="both"/>
        <w:outlineLvl w:val="1"/>
        <w:rPr>
          <w:rFonts w:ascii="Tms Rmn" w:hAnsi="Tms Rmn"/>
          <w:i/>
          <w:sz w:val="24"/>
          <w:szCs w:val="24"/>
        </w:rPr>
      </w:pPr>
      <w:bookmarkStart w:id="22" w:name="_Toc390269613"/>
      <w:r w:rsidRPr="00A40ACC">
        <w:rPr>
          <w:rFonts w:ascii="Tms Rmn" w:hAnsi="Tms Rmn"/>
          <w:i/>
          <w:sz w:val="24"/>
          <w:szCs w:val="24"/>
        </w:rPr>
        <w:t>Assisted Reproductive Technology</w:t>
      </w:r>
      <w:bookmarkEnd w:id="22"/>
    </w:p>
    <w:p w:rsidR="00EE6138" w:rsidRPr="00A40ACC" w:rsidRDefault="00EE6138" w:rsidP="00235461">
      <w:pPr>
        <w:spacing w:after="0" w:line="264" w:lineRule="auto"/>
        <w:jc w:val="both"/>
        <w:rPr>
          <w:rFonts w:ascii="Times New Roman" w:hAnsi="Times New Roman" w:cs="Times New Roman"/>
          <w:sz w:val="24"/>
          <w:szCs w:val="24"/>
          <w:lang w:val="en-US"/>
        </w:rPr>
      </w:pPr>
      <w:r w:rsidRPr="00A40ACC">
        <w:rPr>
          <w:rFonts w:ascii="Tms Rmn" w:hAnsi="Tms Rmn"/>
          <w:sz w:val="24"/>
          <w:szCs w:val="24"/>
        </w:rPr>
        <w:t>The Advisory Committee on Assisted Reproductive Technology (</w:t>
      </w:r>
      <w:r w:rsidRPr="00A40ACC">
        <w:rPr>
          <w:rFonts w:ascii="Times New Roman" w:hAnsi="Times New Roman" w:cs="Times New Roman"/>
          <w:sz w:val="24"/>
          <w:szCs w:val="24"/>
          <w:lang w:val="en-US"/>
        </w:rPr>
        <w:t>ACART) noted in their submission that some aspects of fertility services</w:t>
      </w:r>
      <w:r w:rsidR="002704FC">
        <w:rPr>
          <w:rFonts w:ascii="Times New Roman" w:hAnsi="Times New Roman" w:cs="Times New Roman"/>
          <w:sz w:val="24"/>
          <w:szCs w:val="24"/>
          <w:lang w:val="en-US"/>
        </w:rPr>
        <w:t>,</w:t>
      </w:r>
      <w:r w:rsidRPr="00A40ACC">
        <w:rPr>
          <w:rFonts w:ascii="Times New Roman" w:hAnsi="Times New Roman" w:cs="Times New Roman"/>
          <w:sz w:val="24"/>
          <w:szCs w:val="24"/>
          <w:lang w:val="en-US"/>
        </w:rPr>
        <w:t xml:space="preserve"> and the parties involved</w:t>
      </w:r>
      <w:r w:rsidR="009C5AD1">
        <w:rPr>
          <w:rFonts w:ascii="Times New Roman" w:hAnsi="Times New Roman" w:cs="Times New Roman"/>
          <w:sz w:val="24"/>
          <w:szCs w:val="24"/>
          <w:lang w:val="en-US"/>
        </w:rPr>
        <w:t>,</w:t>
      </w:r>
      <w:r w:rsidRPr="00A40ACC">
        <w:rPr>
          <w:rFonts w:ascii="Times New Roman" w:hAnsi="Times New Roman" w:cs="Times New Roman"/>
          <w:sz w:val="24"/>
          <w:szCs w:val="24"/>
          <w:lang w:val="en-US"/>
        </w:rPr>
        <w:t xml:space="preserve"> appear not to be caught within the definitions used in the Act and the Code.  In particular, they noted that:</w:t>
      </w:r>
    </w:p>
    <w:p w:rsidR="00EE6138" w:rsidRPr="00A40ACC" w:rsidRDefault="00EE6138" w:rsidP="00891758">
      <w:pPr>
        <w:pStyle w:val="ListParagraph"/>
        <w:numPr>
          <w:ilvl w:val="0"/>
          <w:numId w:val="21"/>
        </w:numPr>
        <w:spacing w:before="240" w:line="264" w:lineRule="auto"/>
        <w:jc w:val="both"/>
        <w:rPr>
          <w:szCs w:val="24"/>
          <w:lang w:val="en-US"/>
        </w:rPr>
      </w:pPr>
      <w:r w:rsidRPr="00A40ACC">
        <w:rPr>
          <w:szCs w:val="24"/>
          <w:lang w:val="en-US"/>
        </w:rPr>
        <w:t xml:space="preserve">some individuals who contribute to fertility treatment, but are not subject to a </w:t>
      </w:r>
      <w:r w:rsidR="00450C2B">
        <w:rPr>
          <w:szCs w:val="24"/>
          <w:lang w:val="en-US"/>
        </w:rPr>
        <w:t>“</w:t>
      </w:r>
      <w:r w:rsidRPr="00A40ACC">
        <w:rPr>
          <w:szCs w:val="24"/>
          <w:lang w:val="en-US"/>
        </w:rPr>
        <w:t>health care procedure</w:t>
      </w:r>
      <w:r w:rsidR="00450C2B">
        <w:rPr>
          <w:szCs w:val="24"/>
          <w:lang w:val="en-US"/>
        </w:rPr>
        <w:t>”, are not “consumers”</w:t>
      </w:r>
      <w:r w:rsidRPr="00A40ACC">
        <w:rPr>
          <w:szCs w:val="24"/>
          <w:lang w:val="en-US"/>
        </w:rPr>
        <w:t xml:space="preserve">; </w:t>
      </w:r>
    </w:p>
    <w:p w:rsidR="00EE6138" w:rsidRPr="00A40ACC" w:rsidRDefault="00EE6138" w:rsidP="00891758">
      <w:pPr>
        <w:pStyle w:val="ListParagraph"/>
        <w:numPr>
          <w:ilvl w:val="0"/>
          <w:numId w:val="21"/>
        </w:numPr>
        <w:spacing w:before="240" w:line="264" w:lineRule="auto"/>
        <w:jc w:val="both"/>
        <w:rPr>
          <w:szCs w:val="24"/>
          <w:lang w:val="en-US"/>
        </w:rPr>
      </w:pPr>
      <w:r w:rsidRPr="00A40ACC">
        <w:rPr>
          <w:szCs w:val="24"/>
          <w:lang w:val="en-US"/>
        </w:rPr>
        <w:t>some fertility services, such as creating an embryo outside the body or storage o</w:t>
      </w:r>
      <w:r w:rsidR="00450C2B">
        <w:rPr>
          <w:szCs w:val="24"/>
          <w:lang w:val="en-US"/>
        </w:rPr>
        <w:t>f gametes and embryos, are not “</w:t>
      </w:r>
      <w:r w:rsidRPr="00A40ACC">
        <w:rPr>
          <w:szCs w:val="24"/>
          <w:lang w:val="en-US"/>
        </w:rPr>
        <w:t>health care procedures</w:t>
      </w:r>
      <w:r w:rsidR="00450C2B">
        <w:rPr>
          <w:szCs w:val="24"/>
          <w:lang w:val="en-US"/>
        </w:rPr>
        <w:t>”</w:t>
      </w:r>
      <w:r w:rsidRPr="00A40ACC">
        <w:rPr>
          <w:szCs w:val="24"/>
          <w:lang w:val="en-US"/>
        </w:rPr>
        <w:t>; and</w:t>
      </w:r>
    </w:p>
    <w:p w:rsidR="00EE6138" w:rsidRPr="00A40ACC" w:rsidRDefault="00EE6138" w:rsidP="00891758">
      <w:pPr>
        <w:pStyle w:val="ListParagraph"/>
        <w:numPr>
          <w:ilvl w:val="0"/>
          <w:numId w:val="21"/>
        </w:numPr>
        <w:spacing w:before="240" w:after="240" w:line="264" w:lineRule="auto"/>
        <w:jc w:val="both"/>
        <w:rPr>
          <w:szCs w:val="24"/>
          <w:lang w:val="en-US"/>
        </w:rPr>
      </w:pPr>
      <w:r w:rsidRPr="00A40ACC">
        <w:rPr>
          <w:szCs w:val="24"/>
          <w:lang w:val="en-US"/>
        </w:rPr>
        <w:t>an embryo cre</w:t>
      </w:r>
      <w:r w:rsidR="00450C2B">
        <w:rPr>
          <w:szCs w:val="24"/>
          <w:lang w:val="en-US"/>
        </w:rPr>
        <w:t>ated outside the body is not a “</w:t>
      </w:r>
      <w:r w:rsidRPr="00A40ACC">
        <w:rPr>
          <w:szCs w:val="24"/>
          <w:lang w:val="en-US"/>
        </w:rPr>
        <w:t>body part</w:t>
      </w:r>
      <w:r w:rsidR="00450C2B">
        <w:rPr>
          <w:szCs w:val="24"/>
          <w:lang w:val="en-US"/>
        </w:rPr>
        <w:t>” or “</w:t>
      </w:r>
      <w:r w:rsidRPr="00A40ACC">
        <w:rPr>
          <w:szCs w:val="24"/>
          <w:lang w:val="en-US"/>
        </w:rPr>
        <w:t>bodily substance</w:t>
      </w:r>
      <w:r w:rsidR="00450C2B">
        <w:rPr>
          <w:szCs w:val="24"/>
          <w:lang w:val="en-US"/>
        </w:rPr>
        <w:t>”</w:t>
      </w:r>
      <w:r w:rsidRPr="00A40ACC">
        <w:rPr>
          <w:szCs w:val="24"/>
          <w:lang w:val="en-US"/>
        </w:rPr>
        <w:t xml:space="preserve"> under the Code.</w:t>
      </w:r>
    </w:p>
    <w:p w:rsidR="00EE6138" w:rsidRDefault="00EE6138" w:rsidP="00891758">
      <w:pPr>
        <w:spacing w:after="0" w:line="264" w:lineRule="auto"/>
        <w:jc w:val="both"/>
        <w:rPr>
          <w:rFonts w:ascii="Times New Roman" w:hAnsi="Times New Roman" w:cs="Times New Roman"/>
          <w:sz w:val="24"/>
          <w:szCs w:val="24"/>
          <w:lang w:val="en-US"/>
        </w:rPr>
      </w:pPr>
      <w:r w:rsidRPr="00A40ACC">
        <w:rPr>
          <w:rFonts w:ascii="Times New Roman" w:hAnsi="Times New Roman" w:cs="Times New Roman"/>
          <w:sz w:val="24"/>
          <w:szCs w:val="24"/>
          <w:lang w:val="en-US"/>
        </w:rPr>
        <w:t xml:space="preserve">I note that complaints concerning the use of assisted reproductive technology are not necessarily excluded from HDC’s jurisdiction. Rather, the Act specifically includes </w:t>
      </w:r>
      <w:r w:rsidR="002704FC">
        <w:rPr>
          <w:rFonts w:ascii="Times New Roman" w:hAnsi="Times New Roman" w:cs="Times New Roman"/>
          <w:sz w:val="24"/>
          <w:szCs w:val="24"/>
          <w:lang w:val="en-US"/>
        </w:rPr>
        <w:t>“</w:t>
      </w:r>
      <w:r w:rsidRPr="00A40ACC">
        <w:rPr>
          <w:rFonts w:ascii="Times New Roman" w:hAnsi="Times New Roman" w:cs="Times New Roman"/>
          <w:sz w:val="24"/>
          <w:szCs w:val="24"/>
          <w:lang w:val="en-US"/>
        </w:rPr>
        <w:t>fertility services</w:t>
      </w:r>
      <w:r w:rsidR="00450C2B">
        <w:rPr>
          <w:rFonts w:ascii="Times New Roman" w:hAnsi="Times New Roman" w:cs="Times New Roman"/>
          <w:sz w:val="24"/>
          <w:szCs w:val="24"/>
          <w:lang w:val="en-US"/>
        </w:rPr>
        <w:t>”</w:t>
      </w:r>
      <w:r w:rsidRPr="00A40ACC">
        <w:rPr>
          <w:rFonts w:ascii="Times New Roman" w:hAnsi="Times New Roman" w:cs="Times New Roman"/>
          <w:sz w:val="24"/>
          <w:szCs w:val="24"/>
          <w:lang w:val="en-US"/>
        </w:rPr>
        <w:t xml:space="preserve"> in its definition of </w:t>
      </w:r>
      <w:r w:rsidR="002704FC">
        <w:rPr>
          <w:rFonts w:ascii="Times New Roman" w:hAnsi="Times New Roman" w:cs="Times New Roman"/>
          <w:sz w:val="24"/>
          <w:szCs w:val="24"/>
          <w:lang w:val="en-US"/>
        </w:rPr>
        <w:t>“</w:t>
      </w:r>
      <w:r w:rsidRPr="00A40ACC">
        <w:rPr>
          <w:rFonts w:ascii="Times New Roman" w:hAnsi="Times New Roman" w:cs="Times New Roman"/>
          <w:sz w:val="24"/>
          <w:szCs w:val="24"/>
          <w:lang w:val="en-US"/>
        </w:rPr>
        <w:t>health</w:t>
      </w:r>
      <w:r w:rsidR="00957F42">
        <w:rPr>
          <w:rFonts w:ascii="Times New Roman" w:hAnsi="Times New Roman" w:cs="Times New Roman"/>
          <w:sz w:val="24"/>
          <w:szCs w:val="24"/>
          <w:lang w:val="en-US"/>
        </w:rPr>
        <w:t xml:space="preserve"> services</w:t>
      </w:r>
      <w:r w:rsidR="002704FC">
        <w:rPr>
          <w:rFonts w:ascii="Times New Roman" w:hAnsi="Times New Roman" w:cs="Times New Roman"/>
          <w:sz w:val="24"/>
          <w:szCs w:val="24"/>
          <w:lang w:val="en-US"/>
        </w:rPr>
        <w:t>”</w:t>
      </w:r>
      <w:r w:rsidRPr="00A40ACC">
        <w:rPr>
          <w:rFonts w:ascii="Times New Roman" w:hAnsi="Times New Roman" w:cs="Times New Roman"/>
          <w:sz w:val="24"/>
          <w:szCs w:val="24"/>
          <w:lang w:val="en-US"/>
        </w:rPr>
        <w:t xml:space="preserve">. Accordingly, many users of assisted reproductive technology services do have rights under the Code, for example, donors receiving fertility </w:t>
      </w:r>
      <w:proofErr w:type="spellStart"/>
      <w:r w:rsidRPr="00A40ACC">
        <w:rPr>
          <w:rFonts w:ascii="Times New Roman" w:hAnsi="Times New Roman" w:cs="Times New Roman"/>
          <w:sz w:val="24"/>
          <w:szCs w:val="24"/>
          <w:lang w:val="en-US"/>
        </w:rPr>
        <w:t>counse</w:t>
      </w:r>
      <w:r w:rsidR="005401DF" w:rsidRPr="00A40ACC">
        <w:rPr>
          <w:rFonts w:ascii="Times New Roman" w:hAnsi="Times New Roman" w:cs="Times New Roman"/>
          <w:sz w:val="24"/>
          <w:szCs w:val="24"/>
          <w:lang w:val="en-US"/>
        </w:rPr>
        <w:t>l</w:t>
      </w:r>
      <w:r w:rsidRPr="00A40ACC">
        <w:rPr>
          <w:rFonts w:ascii="Times New Roman" w:hAnsi="Times New Roman" w:cs="Times New Roman"/>
          <w:sz w:val="24"/>
          <w:szCs w:val="24"/>
          <w:lang w:val="en-US"/>
        </w:rPr>
        <w:t>ling</w:t>
      </w:r>
      <w:proofErr w:type="spellEnd"/>
      <w:r w:rsidRPr="00A40ACC">
        <w:rPr>
          <w:rFonts w:ascii="Times New Roman" w:hAnsi="Times New Roman" w:cs="Times New Roman"/>
          <w:sz w:val="24"/>
          <w:szCs w:val="24"/>
          <w:lang w:val="en-US"/>
        </w:rPr>
        <w:t xml:space="preserve">, people having gametes extracted, and women having an embryo implanted.  </w:t>
      </w:r>
    </w:p>
    <w:p w:rsidR="00891758" w:rsidRPr="00A40ACC" w:rsidRDefault="00891758" w:rsidP="00891758">
      <w:pPr>
        <w:spacing w:after="0" w:line="264" w:lineRule="auto"/>
        <w:jc w:val="both"/>
        <w:rPr>
          <w:rFonts w:ascii="Times New Roman" w:hAnsi="Times New Roman" w:cs="Times New Roman"/>
          <w:sz w:val="24"/>
          <w:szCs w:val="24"/>
          <w:lang w:val="en-US"/>
        </w:rPr>
      </w:pPr>
    </w:p>
    <w:p w:rsidR="00EE6138" w:rsidRDefault="00EE6138" w:rsidP="00235461">
      <w:pPr>
        <w:spacing w:after="0" w:line="264" w:lineRule="auto"/>
        <w:jc w:val="both"/>
        <w:rPr>
          <w:rFonts w:ascii="Times New Roman" w:hAnsi="Times New Roman" w:cs="Times New Roman"/>
          <w:sz w:val="24"/>
          <w:szCs w:val="24"/>
          <w:lang w:val="en-US"/>
        </w:rPr>
      </w:pPr>
      <w:r w:rsidRPr="00A40ACC">
        <w:rPr>
          <w:rFonts w:ascii="Times New Roman" w:hAnsi="Times New Roman" w:cs="Times New Roman"/>
          <w:sz w:val="24"/>
          <w:szCs w:val="24"/>
          <w:lang w:val="en-US"/>
        </w:rPr>
        <w:t xml:space="preserve">I </w:t>
      </w:r>
      <w:proofErr w:type="spellStart"/>
      <w:r w:rsidRPr="00A40ACC">
        <w:rPr>
          <w:rFonts w:ascii="Times New Roman" w:hAnsi="Times New Roman" w:cs="Times New Roman"/>
          <w:sz w:val="24"/>
          <w:szCs w:val="24"/>
          <w:lang w:val="en-US"/>
        </w:rPr>
        <w:t>recognise</w:t>
      </w:r>
      <w:proofErr w:type="spellEnd"/>
      <w:r w:rsidRPr="00A40ACC">
        <w:rPr>
          <w:rFonts w:ascii="Times New Roman" w:hAnsi="Times New Roman" w:cs="Times New Roman"/>
          <w:sz w:val="24"/>
          <w:szCs w:val="24"/>
          <w:lang w:val="en-US"/>
        </w:rPr>
        <w:t xml:space="preserve">, however, that there are some limited circumstances involving the use of assisted reproductive technology which </w:t>
      </w:r>
      <w:r w:rsidR="00450C2B">
        <w:rPr>
          <w:rFonts w:ascii="Times New Roman" w:hAnsi="Times New Roman" w:cs="Times New Roman"/>
          <w:sz w:val="24"/>
          <w:szCs w:val="24"/>
          <w:lang w:val="en-US"/>
        </w:rPr>
        <w:t>may</w:t>
      </w:r>
      <w:r w:rsidRPr="00A40ACC">
        <w:rPr>
          <w:rFonts w:ascii="Times New Roman" w:hAnsi="Times New Roman" w:cs="Times New Roman"/>
          <w:sz w:val="24"/>
          <w:szCs w:val="24"/>
          <w:lang w:val="en-US"/>
        </w:rPr>
        <w:t xml:space="preserve"> not</w:t>
      </w:r>
      <w:r w:rsidR="00450C2B">
        <w:rPr>
          <w:rFonts w:ascii="Times New Roman" w:hAnsi="Times New Roman" w:cs="Times New Roman"/>
          <w:sz w:val="24"/>
          <w:szCs w:val="24"/>
          <w:lang w:val="en-US"/>
        </w:rPr>
        <w:t xml:space="preserve"> be</w:t>
      </w:r>
      <w:r w:rsidRPr="00A40ACC">
        <w:rPr>
          <w:rFonts w:ascii="Times New Roman" w:hAnsi="Times New Roman" w:cs="Times New Roman"/>
          <w:sz w:val="24"/>
          <w:szCs w:val="24"/>
          <w:lang w:val="en-US"/>
        </w:rPr>
        <w:t xml:space="preserve"> captured by the provisions of the Act and the Code, and may fall outside of HDC’s jurisdiction. Exactly what these are will depend on the particular circumstances of the case concerned.  However, I am not convinced that any such gaps are sufficiently problematic to warrant an amendment to the Act.  </w:t>
      </w:r>
    </w:p>
    <w:p w:rsidR="00891758" w:rsidRPr="00A40ACC" w:rsidRDefault="00891758" w:rsidP="00235461">
      <w:pPr>
        <w:spacing w:after="0" w:line="264" w:lineRule="auto"/>
        <w:jc w:val="both"/>
        <w:rPr>
          <w:rFonts w:ascii="Times New Roman" w:hAnsi="Times New Roman" w:cs="Times New Roman"/>
          <w:sz w:val="24"/>
          <w:szCs w:val="24"/>
          <w:lang w:val="en-US"/>
        </w:rPr>
      </w:pPr>
    </w:p>
    <w:p w:rsidR="00EE6138" w:rsidRDefault="00EE6138" w:rsidP="00235461">
      <w:pPr>
        <w:spacing w:after="0" w:line="264" w:lineRule="auto"/>
        <w:jc w:val="both"/>
        <w:rPr>
          <w:rFonts w:ascii="Times New Roman" w:hAnsi="Times New Roman" w:cs="Times New Roman"/>
          <w:sz w:val="24"/>
          <w:szCs w:val="24"/>
          <w:vertAlign w:val="superscript"/>
          <w:lang w:val="en-US"/>
        </w:rPr>
      </w:pPr>
      <w:r w:rsidRPr="00A40ACC">
        <w:rPr>
          <w:rFonts w:ascii="Times New Roman" w:hAnsi="Times New Roman" w:cs="Times New Roman"/>
          <w:sz w:val="24"/>
          <w:szCs w:val="24"/>
          <w:lang w:val="en-US"/>
        </w:rPr>
        <w:t xml:space="preserve">The Act and the Code, and HDC’s jurisdiction, should be seen in the context of the other </w:t>
      </w:r>
      <w:proofErr w:type="spellStart"/>
      <w:r w:rsidRPr="00A40ACC">
        <w:rPr>
          <w:rFonts w:ascii="Times New Roman" w:hAnsi="Times New Roman" w:cs="Times New Roman"/>
          <w:sz w:val="24"/>
          <w:szCs w:val="24"/>
          <w:lang w:val="en-US"/>
        </w:rPr>
        <w:t>organisations</w:t>
      </w:r>
      <w:proofErr w:type="spellEnd"/>
      <w:r w:rsidRPr="00A40ACC">
        <w:rPr>
          <w:rFonts w:ascii="Times New Roman" w:hAnsi="Times New Roman" w:cs="Times New Roman"/>
          <w:sz w:val="24"/>
          <w:szCs w:val="24"/>
          <w:lang w:val="en-US"/>
        </w:rPr>
        <w:t xml:space="preserve"> and regulations that also operate to ensure the quality of fertility services.  The Human Assisted Reproductive Technology Act 2004 (HART Act) regulates assisted reproduction procedures, including the creation and storage of embryos, and provides protection for the people involved.  It sets </w:t>
      </w:r>
      <w:r w:rsidR="00C4465C">
        <w:rPr>
          <w:rFonts w:ascii="Times New Roman" w:hAnsi="Times New Roman" w:cs="Times New Roman"/>
          <w:sz w:val="24"/>
          <w:szCs w:val="24"/>
          <w:lang w:val="en-US"/>
        </w:rPr>
        <w:t xml:space="preserve">out </w:t>
      </w:r>
      <w:r w:rsidRPr="00A40ACC">
        <w:rPr>
          <w:rFonts w:ascii="Times New Roman" w:hAnsi="Times New Roman" w:cs="Times New Roman"/>
          <w:sz w:val="24"/>
          <w:szCs w:val="24"/>
          <w:lang w:val="en-US"/>
        </w:rPr>
        <w:t>a regime where certain assisted reproductive procedures are prohibited (for example, the creation of cloned embryos), certain ‘established procedures’ are permitted without ethical approval (for example, IVF) and others may only be carried out with ethical approval, in accordance with guidance issued by ACART.  The Ethics Committee on Assisted Reproductive Technology (ECART) reviews, determines and monitors applications for assisted reproductive procedures and human reproductive research.  A</w:t>
      </w:r>
      <w:r w:rsidR="003F4560">
        <w:rPr>
          <w:rFonts w:ascii="Times New Roman" w:hAnsi="Times New Roman" w:cs="Times New Roman"/>
          <w:sz w:val="24"/>
          <w:szCs w:val="24"/>
          <w:lang w:val="en-US"/>
        </w:rPr>
        <w:t>ccording to ACART’</w:t>
      </w:r>
      <w:r w:rsidRPr="00A40ACC">
        <w:rPr>
          <w:rFonts w:ascii="Times New Roman" w:hAnsi="Times New Roman" w:cs="Times New Roman"/>
          <w:sz w:val="24"/>
          <w:szCs w:val="24"/>
          <w:lang w:val="en-US"/>
        </w:rPr>
        <w:t>s</w:t>
      </w:r>
      <w:r w:rsidR="003F4560">
        <w:rPr>
          <w:rFonts w:ascii="Times New Roman" w:hAnsi="Times New Roman" w:cs="Times New Roman"/>
          <w:sz w:val="24"/>
          <w:szCs w:val="24"/>
          <w:lang w:val="en-US"/>
        </w:rPr>
        <w:t xml:space="preserve"> annual report (2012/13), as part of its role</w:t>
      </w:r>
      <w:r w:rsidR="00F418C4">
        <w:rPr>
          <w:rFonts w:ascii="Times New Roman" w:hAnsi="Times New Roman" w:cs="Times New Roman"/>
          <w:sz w:val="24"/>
          <w:szCs w:val="24"/>
          <w:lang w:val="en-US"/>
        </w:rPr>
        <w:t>,</w:t>
      </w:r>
      <w:r w:rsidRPr="00A40ACC">
        <w:rPr>
          <w:rFonts w:ascii="Times New Roman" w:hAnsi="Times New Roman" w:cs="Times New Roman"/>
          <w:sz w:val="24"/>
          <w:szCs w:val="24"/>
          <w:lang w:val="en-US"/>
        </w:rPr>
        <w:t xml:space="preserve"> ACART also monitors the application, and health outcomes, of assisted reproductive procedures and established procedures.</w:t>
      </w:r>
    </w:p>
    <w:p w:rsidR="00891758" w:rsidRPr="00A40ACC" w:rsidRDefault="00891758" w:rsidP="00235461">
      <w:pPr>
        <w:spacing w:after="0" w:line="264" w:lineRule="auto"/>
        <w:jc w:val="both"/>
        <w:rPr>
          <w:rFonts w:ascii="Times New Roman" w:hAnsi="Times New Roman" w:cs="Times New Roman"/>
          <w:sz w:val="24"/>
          <w:szCs w:val="24"/>
          <w:lang w:val="en-US"/>
        </w:rPr>
      </w:pPr>
    </w:p>
    <w:p w:rsidR="00EE6138" w:rsidRDefault="00EE6138" w:rsidP="00235461">
      <w:pPr>
        <w:spacing w:after="0" w:line="264" w:lineRule="auto"/>
        <w:jc w:val="both"/>
        <w:rPr>
          <w:rFonts w:ascii="Times New Roman" w:hAnsi="Times New Roman" w:cs="Times New Roman"/>
          <w:sz w:val="24"/>
          <w:szCs w:val="24"/>
          <w:lang w:val="en-US"/>
        </w:rPr>
      </w:pPr>
      <w:r w:rsidRPr="00A40ACC">
        <w:rPr>
          <w:rFonts w:ascii="Times New Roman" w:hAnsi="Times New Roman" w:cs="Times New Roman"/>
          <w:sz w:val="24"/>
          <w:szCs w:val="24"/>
          <w:lang w:val="en-US"/>
        </w:rPr>
        <w:t>The HART Act also requires providers of assisted reproductive technol</w:t>
      </w:r>
      <w:r w:rsidR="00993A0A" w:rsidRPr="00A40ACC">
        <w:rPr>
          <w:rFonts w:ascii="Times New Roman" w:hAnsi="Times New Roman" w:cs="Times New Roman"/>
          <w:sz w:val="24"/>
          <w:szCs w:val="24"/>
          <w:lang w:val="en-US"/>
        </w:rPr>
        <w:t>ogy services to be accredited.</w:t>
      </w:r>
      <w:r w:rsidRPr="00A40ACC">
        <w:rPr>
          <w:rFonts w:ascii="Times New Roman" w:hAnsi="Times New Roman" w:cs="Times New Roman"/>
          <w:sz w:val="24"/>
          <w:szCs w:val="24"/>
          <w:lang w:val="en-US"/>
        </w:rPr>
        <w:t xml:space="preserve"> It is complemented by the New Zealand Standard</w:t>
      </w:r>
      <w:r w:rsidR="00C4465C">
        <w:rPr>
          <w:rFonts w:ascii="Times New Roman" w:hAnsi="Times New Roman" w:cs="Times New Roman"/>
          <w:sz w:val="24"/>
          <w:szCs w:val="24"/>
          <w:lang w:val="en-US"/>
        </w:rPr>
        <w:t xml:space="preserve"> –</w:t>
      </w:r>
      <w:r w:rsidR="00450C2B">
        <w:rPr>
          <w:rFonts w:ascii="Times New Roman" w:hAnsi="Times New Roman" w:cs="Times New Roman"/>
          <w:sz w:val="24"/>
          <w:szCs w:val="24"/>
          <w:lang w:val="en-US"/>
        </w:rPr>
        <w:t xml:space="preserve"> </w:t>
      </w:r>
      <w:r w:rsidRPr="00A40ACC">
        <w:rPr>
          <w:rFonts w:ascii="Times New Roman" w:hAnsi="Times New Roman" w:cs="Times New Roman"/>
          <w:sz w:val="24"/>
          <w:szCs w:val="24"/>
          <w:lang w:val="en-US"/>
        </w:rPr>
        <w:t>Fertility Services (NZS 8181:2007) which defines the quality and safety requirements for the provision of fertility services in New Zealand.</w:t>
      </w:r>
    </w:p>
    <w:p w:rsidR="00EE6138" w:rsidRDefault="00EE6138" w:rsidP="00235461">
      <w:pPr>
        <w:spacing w:after="0" w:line="264" w:lineRule="auto"/>
        <w:jc w:val="both"/>
        <w:rPr>
          <w:rFonts w:ascii="Times New Roman" w:hAnsi="Times New Roman" w:cs="Times New Roman"/>
          <w:sz w:val="24"/>
          <w:szCs w:val="24"/>
          <w:lang w:val="en-US"/>
        </w:rPr>
      </w:pPr>
      <w:r w:rsidRPr="00A40ACC">
        <w:rPr>
          <w:rFonts w:ascii="Times New Roman" w:hAnsi="Times New Roman" w:cs="Times New Roman"/>
          <w:sz w:val="24"/>
          <w:szCs w:val="24"/>
          <w:lang w:val="en-US"/>
        </w:rPr>
        <w:lastRenderedPageBreak/>
        <w:t xml:space="preserve">All health practitioners involved in providing assisted reproductive technology services are also subject to the requirements of their relevant regulatory authority pursuant to the Health Practitioners Competence Assurance Act 2003. This may include an assessment of a </w:t>
      </w:r>
      <w:r w:rsidR="00A039D7" w:rsidRPr="00A40ACC">
        <w:rPr>
          <w:rFonts w:ascii="Times New Roman" w:hAnsi="Times New Roman" w:cs="Times New Roman"/>
          <w:sz w:val="24"/>
          <w:szCs w:val="24"/>
          <w:lang w:val="en-US"/>
        </w:rPr>
        <w:t>practitioner’s</w:t>
      </w:r>
      <w:r w:rsidRPr="00A40ACC">
        <w:rPr>
          <w:rFonts w:ascii="Times New Roman" w:hAnsi="Times New Roman" w:cs="Times New Roman"/>
          <w:sz w:val="24"/>
          <w:szCs w:val="24"/>
          <w:lang w:val="en-US"/>
        </w:rPr>
        <w:t xml:space="preserve"> competence, conduct</w:t>
      </w:r>
      <w:r w:rsidR="00450C2B">
        <w:rPr>
          <w:rFonts w:ascii="Times New Roman" w:hAnsi="Times New Roman" w:cs="Times New Roman"/>
          <w:sz w:val="24"/>
          <w:szCs w:val="24"/>
          <w:lang w:val="en-US"/>
        </w:rPr>
        <w:t>,</w:t>
      </w:r>
      <w:r w:rsidRPr="00A40ACC">
        <w:rPr>
          <w:rFonts w:ascii="Times New Roman" w:hAnsi="Times New Roman" w:cs="Times New Roman"/>
          <w:sz w:val="24"/>
          <w:szCs w:val="24"/>
          <w:lang w:val="en-US"/>
        </w:rPr>
        <w:t xml:space="preserve"> or fitness to </w:t>
      </w:r>
      <w:proofErr w:type="spellStart"/>
      <w:r w:rsidR="00213583" w:rsidRPr="00A40ACC">
        <w:rPr>
          <w:rFonts w:ascii="Times New Roman" w:hAnsi="Times New Roman" w:cs="Times New Roman"/>
          <w:sz w:val="24"/>
          <w:szCs w:val="24"/>
          <w:lang w:val="en-US"/>
        </w:rPr>
        <w:t>practise</w:t>
      </w:r>
      <w:proofErr w:type="spellEnd"/>
      <w:r w:rsidRPr="00A40ACC">
        <w:rPr>
          <w:rFonts w:ascii="Times New Roman" w:hAnsi="Times New Roman" w:cs="Times New Roman"/>
          <w:sz w:val="24"/>
          <w:szCs w:val="24"/>
          <w:lang w:val="en-US"/>
        </w:rPr>
        <w:t>, and the imposition of various restrictions, as required.</w:t>
      </w:r>
    </w:p>
    <w:p w:rsidR="00891758" w:rsidRPr="00A40ACC" w:rsidRDefault="00891758" w:rsidP="00235461">
      <w:pPr>
        <w:spacing w:after="0" w:line="264" w:lineRule="auto"/>
        <w:jc w:val="both"/>
        <w:rPr>
          <w:rFonts w:ascii="Times New Roman" w:hAnsi="Times New Roman" w:cs="Times New Roman"/>
          <w:sz w:val="24"/>
          <w:szCs w:val="24"/>
          <w:lang w:val="en-US"/>
        </w:rPr>
      </w:pPr>
    </w:p>
    <w:p w:rsidR="008B466D" w:rsidRPr="00A40ACC" w:rsidRDefault="00EE6138" w:rsidP="00235461">
      <w:pPr>
        <w:pStyle w:val="NoSpacing"/>
        <w:spacing w:line="264" w:lineRule="auto"/>
        <w:jc w:val="both"/>
        <w:rPr>
          <w:rFonts w:ascii="Times New Roman" w:hAnsi="Times New Roman" w:cs="Times New Roman"/>
          <w:sz w:val="24"/>
          <w:szCs w:val="24"/>
          <w:lang w:val="en-US"/>
        </w:rPr>
      </w:pPr>
      <w:r w:rsidRPr="00A40ACC">
        <w:rPr>
          <w:rFonts w:ascii="Times New Roman" w:hAnsi="Times New Roman" w:cs="Times New Roman"/>
          <w:sz w:val="24"/>
          <w:szCs w:val="24"/>
          <w:lang w:val="en-US"/>
        </w:rPr>
        <w:t xml:space="preserve">In addition, and as acknowledged in ACART’s submission, there are common law remedies available to users of assisted reproduction services. While those processes and remedies may differ from those applicable in HDC’s jurisdiction, </w:t>
      </w:r>
      <w:r w:rsidR="00F34395" w:rsidRPr="00A40ACC">
        <w:rPr>
          <w:rFonts w:ascii="Times New Roman" w:hAnsi="Times New Roman" w:cs="Times New Roman"/>
          <w:sz w:val="24"/>
          <w:szCs w:val="24"/>
          <w:lang w:val="en-US"/>
        </w:rPr>
        <w:t>I do not consider th</w:t>
      </w:r>
      <w:r w:rsidR="00CB2898" w:rsidRPr="00A40ACC">
        <w:rPr>
          <w:rFonts w:ascii="Times New Roman" w:hAnsi="Times New Roman" w:cs="Times New Roman"/>
          <w:sz w:val="24"/>
          <w:szCs w:val="24"/>
          <w:lang w:val="en-US"/>
        </w:rPr>
        <w:t>e common law remedies</w:t>
      </w:r>
      <w:r w:rsidR="00F34395" w:rsidRPr="00A40ACC">
        <w:rPr>
          <w:rFonts w:ascii="Times New Roman" w:hAnsi="Times New Roman" w:cs="Times New Roman"/>
          <w:sz w:val="24"/>
          <w:szCs w:val="24"/>
          <w:lang w:val="en-US"/>
        </w:rPr>
        <w:t xml:space="preserve"> to be inappropriate. This is partly because of the specific contractual basis for the provision of many of the services </w:t>
      </w:r>
      <w:r w:rsidR="005401DF" w:rsidRPr="00A40ACC">
        <w:rPr>
          <w:rFonts w:ascii="Times New Roman" w:hAnsi="Times New Roman" w:cs="Times New Roman"/>
          <w:sz w:val="24"/>
          <w:szCs w:val="24"/>
          <w:lang w:val="en-US"/>
        </w:rPr>
        <w:t xml:space="preserve">that fall </w:t>
      </w:r>
      <w:r w:rsidR="00F34395" w:rsidRPr="00A40ACC">
        <w:rPr>
          <w:rFonts w:ascii="Times New Roman" w:hAnsi="Times New Roman" w:cs="Times New Roman"/>
          <w:sz w:val="24"/>
          <w:szCs w:val="24"/>
          <w:lang w:val="en-US"/>
        </w:rPr>
        <w:t>outside of the coverage of the Code (such as embryo storage).</w:t>
      </w:r>
    </w:p>
    <w:p w:rsidR="005C78F5" w:rsidRDefault="005C78F5" w:rsidP="00235461">
      <w:pPr>
        <w:pStyle w:val="NoSpacing"/>
        <w:spacing w:line="264" w:lineRule="auto"/>
        <w:jc w:val="both"/>
        <w:outlineLvl w:val="0"/>
        <w:rPr>
          <w:rFonts w:ascii="Times New Roman" w:hAnsi="Times New Roman" w:cs="Times New Roman"/>
          <w:b/>
          <w:sz w:val="28"/>
          <w:szCs w:val="28"/>
        </w:rPr>
      </w:pPr>
      <w:bookmarkStart w:id="23" w:name="_Toc390269614"/>
    </w:p>
    <w:p w:rsidR="0021096B" w:rsidRPr="00A40ACC" w:rsidRDefault="009D3E49" w:rsidP="00235461">
      <w:pPr>
        <w:pStyle w:val="NoSpacing"/>
        <w:spacing w:line="264" w:lineRule="auto"/>
        <w:jc w:val="both"/>
        <w:outlineLvl w:val="0"/>
        <w:rPr>
          <w:rFonts w:ascii="Times New Roman" w:hAnsi="Times New Roman" w:cs="Times New Roman"/>
          <w:b/>
          <w:sz w:val="28"/>
          <w:szCs w:val="28"/>
        </w:rPr>
      </w:pPr>
      <w:r w:rsidRPr="00A40ACC">
        <w:rPr>
          <w:rFonts w:ascii="Times New Roman" w:hAnsi="Times New Roman" w:cs="Times New Roman"/>
          <w:b/>
          <w:sz w:val="28"/>
          <w:szCs w:val="28"/>
        </w:rPr>
        <w:t xml:space="preserve">General operation of </w:t>
      </w:r>
      <w:r w:rsidR="00932369" w:rsidRPr="00A40ACC">
        <w:rPr>
          <w:rFonts w:ascii="Times New Roman" w:hAnsi="Times New Roman" w:cs="Times New Roman"/>
          <w:b/>
          <w:sz w:val="28"/>
          <w:szCs w:val="28"/>
        </w:rPr>
        <w:t xml:space="preserve">the </w:t>
      </w:r>
      <w:r w:rsidRPr="00A40ACC">
        <w:rPr>
          <w:rFonts w:ascii="Times New Roman" w:hAnsi="Times New Roman" w:cs="Times New Roman"/>
          <w:b/>
          <w:sz w:val="28"/>
          <w:szCs w:val="28"/>
        </w:rPr>
        <w:t xml:space="preserve">Act and </w:t>
      </w:r>
      <w:r w:rsidR="00932369" w:rsidRPr="00A40ACC">
        <w:rPr>
          <w:rFonts w:ascii="Times New Roman" w:hAnsi="Times New Roman" w:cs="Times New Roman"/>
          <w:b/>
          <w:sz w:val="28"/>
          <w:szCs w:val="28"/>
        </w:rPr>
        <w:t xml:space="preserve">the </w:t>
      </w:r>
      <w:r w:rsidRPr="00A40ACC">
        <w:rPr>
          <w:rFonts w:ascii="Times New Roman" w:hAnsi="Times New Roman" w:cs="Times New Roman"/>
          <w:b/>
          <w:sz w:val="28"/>
          <w:szCs w:val="28"/>
        </w:rPr>
        <w:t>Code</w:t>
      </w:r>
      <w:bookmarkEnd w:id="23"/>
    </w:p>
    <w:p w:rsidR="0021096B" w:rsidRPr="00A40ACC" w:rsidRDefault="0021096B" w:rsidP="00235461">
      <w:pPr>
        <w:pStyle w:val="NoSpacing"/>
        <w:spacing w:line="264" w:lineRule="auto"/>
        <w:jc w:val="both"/>
        <w:outlineLvl w:val="0"/>
        <w:rPr>
          <w:rFonts w:ascii="Times New Roman" w:hAnsi="Times New Roman" w:cs="Times New Roman"/>
          <w:b/>
          <w:sz w:val="28"/>
          <w:szCs w:val="28"/>
        </w:rPr>
      </w:pPr>
    </w:p>
    <w:p w:rsidR="009D3E49" w:rsidRPr="00A40ACC" w:rsidRDefault="009D3E49"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Most submitters considered that the Act and </w:t>
      </w:r>
      <w:r w:rsidR="00932369" w:rsidRPr="00A40ACC">
        <w:rPr>
          <w:rFonts w:ascii="Times New Roman" w:hAnsi="Times New Roman" w:cs="Times New Roman"/>
          <w:sz w:val="24"/>
          <w:szCs w:val="24"/>
        </w:rPr>
        <w:t xml:space="preserve">the </w:t>
      </w:r>
      <w:r w:rsidRPr="00A40ACC">
        <w:rPr>
          <w:rFonts w:ascii="Times New Roman" w:hAnsi="Times New Roman" w:cs="Times New Roman"/>
          <w:sz w:val="24"/>
          <w:szCs w:val="24"/>
        </w:rPr>
        <w:t>Code are operating well. However, there were a number of general comments on the operation of the Act and</w:t>
      </w:r>
      <w:r w:rsidR="00650939" w:rsidRPr="00A40ACC">
        <w:rPr>
          <w:rFonts w:ascii="Times New Roman" w:hAnsi="Times New Roman" w:cs="Times New Roman"/>
          <w:sz w:val="24"/>
          <w:szCs w:val="24"/>
        </w:rPr>
        <w:t xml:space="preserve"> the</w:t>
      </w:r>
      <w:r w:rsidRPr="00A40ACC">
        <w:rPr>
          <w:rFonts w:ascii="Times New Roman" w:hAnsi="Times New Roman" w:cs="Times New Roman"/>
          <w:sz w:val="24"/>
          <w:szCs w:val="24"/>
        </w:rPr>
        <w:t xml:space="preserve"> Code, </w:t>
      </w:r>
      <w:r w:rsidR="008A6292" w:rsidRPr="00A40ACC">
        <w:rPr>
          <w:rFonts w:ascii="Times New Roman" w:hAnsi="Times New Roman" w:cs="Times New Roman"/>
          <w:sz w:val="24"/>
          <w:szCs w:val="24"/>
        </w:rPr>
        <w:t xml:space="preserve">some of which </w:t>
      </w:r>
      <w:r w:rsidRPr="00A40ACC">
        <w:rPr>
          <w:rFonts w:ascii="Times New Roman" w:hAnsi="Times New Roman" w:cs="Times New Roman"/>
          <w:sz w:val="24"/>
          <w:szCs w:val="24"/>
        </w:rPr>
        <w:t xml:space="preserve">I comment on </w:t>
      </w:r>
      <w:r w:rsidR="008A6292" w:rsidRPr="00A40ACC">
        <w:rPr>
          <w:rFonts w:ascii="Times New Roman" w:hAnsi="Times New Roman" w:cs="Times New Roman"/>
          <w:sz w:val="24"/>
          <w:szCs w:val="24"/>
        </w:rPr>
        <w:t>below</w:t>
      </w:r>
      <w:r w:rsidRPr="00A40ACC">
        <w:rPr>
          <w:rFonts w:ascii="Times New Roman" w:hAnsi="Times New Roman" w:cs="Times New Roman"/>
          <w:sz w:val="24"/>
          <w:szCs w:val="24"/>
        </w:rPr>
        <w:t xml:space="preserve">. </w:t>
      </w:r>
      <w:r w:rsidR="008A6292" w:rsidRPr="00A40ACC">
        <w:rPr>
          <w:rFonts w:ascii="Times New Roman" w:hAnsi="Times New Roman" w:cs="Times New Roman"/>
          <w:sz w:val="24"/>
          <w:szCs w:val="24"/>
        </w:rPr>
        <w:t>Other</w:t>
      </w:r>
      <w:r w:rsidRPr="00A40ACC">
        <w:rPr>
          <w:rFonts w:ascii="Times New Roman" w:hAnsi="Times New Roman" w:cs="Times New Roman"/>
          <w:sz w:val="24"/>
          <w:szCs w:val="24"/>
        </w:rPr>
        <w:t xml:space="preserve"> comments are noted in Appendix B</w:t>
      </w:r>
      <w:r w:rsidR="00C4465C">
        <w:rPr>
          <w:rFonts w:ascii="Times New Roman" w:hAnsi="Times New Roman" w:cs="Times New Roman"/>
          <w:sz w:val="24"/>
          <w:szCs w:val="24"/>
        </w:rPr>
        <w:t xml:space="preserve"> –</w:t>
      </w:r>
      <w:r w:rsidR="008B466D" w:rsidRPr="00A40ACC">
        <w:rPr>
          <w:rFonts w:ascii="Times New Roman" w:hAnsi="Times New Roman" w:cs="Times New Roman"/>
          <w:sz w:val="24"/>
          <w:szCs w:val="24"/>
        </w:rPr>
        <w:t>“</w:t>
      </w:r>
      <w:r w:rsidRPr="00A40ACC">
        <w:rPr>
          <w:rFonts w:ascii="Times New Roman" w:hAnsi="Times New Roman" w:cs="Times New Roman"/>
          <w:sz w:val="24"/>
          <w:szCs w:val="24"/>
        </w:rPr>
        <w:t>Analysis of Submissions”.</w:t>
      </w:r>
    </w:p>
    <w:p w:rsidR="009D3E49" w:rsidRPr="00A40ACC" w:rsidRDefault="009D3E49" w:rsidP="00235461">
      <w:pPr>
        <w:pStyle w:val="NoSpacing"/>
        <w:spacing w:line="264" w:lineRule="auto"/>
        <w:jc w:val="both"/>
        <w:rPr>
          <w:rFonts w:ascii="Times New Roman" w:hAnsi="Times New Roman" w:cs="Times New Roman"/>
          <w:sz w:val="24"/>
          <w:szCs w:val="24"/>
        </w:rPr>
      </w:pPr>
    </w:p>
    <w:p w:rsidR="0021096B" w:rsidRPr="00A40ACC" w:rsidRDefault="00944D2A" w:rsidP="00235461">
      <w:pPr>
        <w:pStyle w:val="NoSpacing"/>
        <w:spacing w:line="264" w:lineRule="auto"/>
        <w:jc w:val="both"/>
        <w:outlineLvl w:val="1"/>
        <w:rPr>
          <w:rFonts w:ascii="Tms Rmn" w:hAnsi="Tms Rmn"/>
          <w:i/>
          <w:sz w:val="24"/>
          <w:szCs w:val="24"/>
        </w:rPr>
      </w:pPr>
      <w:bookmarkStart w:id="24" w:name="_Toc390269615"/>
      <w:r w:rsidRPr="00A40ACC">
        <w:rPr>
          <w:rFonts w:ascii="Tms Rmn" w:hAnsi="Tms Rmn"/>
          <w:i/>
          <w:sz w:val="24"/>
          <w:szCs w:val="24"/>
        </w:rPr>
        <w:t>Jurisdiction</w:t>
      </w:r>
      <w:bookmarkEnd w:id="24"/>
    </w:p>
    <w:p w:rsidR="009D3E49" w:rsidRPr="00A40ACC" w:rsidRDefault="00CE3153"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Submissions were made about groups of consumers that submitters consider fall outside the jurisdiction of the Act and </w:t>
      </w:r>
      <w:r w:rsidR="00932369" w:rsidRPr="00A40ACC">
        <w:rPr>
          <w:rFonts w:ascii="Times New Roman" w:hAnsi="Times New Roman" w:cs="Times New Roman"/>
          <w:sz w:val="24"/>
          <w:szCs w:val="24"/>
        </w:rPr>
        <w:t xml:space="preserve">the </w:t>
      </w:r>
      <w:r w:rsidRPr="00A40ACC">
        <w:rPr>
          <w:rFonts w:ascii="Times New Roman" w:hAnsi="Times New Roman" w:cs="Times New Roman"/>
          <w:sz w:val="24"/>
          <w:szCs w:val="24"/>
        </w:rPr>
        <w:t>Code, in particular, consumers accessing assisted reproductive treatments, consumers being examined by an ACC contracted health professional, and consumers who have not yet received a service.</w:t>
      </w:r>
    </w:p>
    <w:p w:rsidR="00CE3153" w:rsidRPr="00A40ACC" w:rsidRDefault="00CE3153" w:rsidP="00235461">
      <w:pPr>
        <w:pStyle w:val="NoSpacing"/>
        <w:spacing w:line="264" w:lineRule="auto"/>
        <w:jc w:val="both"/>
        <w:rPr>
          <w:rFonts w:ascii="Times New Roman" w:hAnsi="Times New Roman" w:cs="Times New Roman"/>
          <w:sz w:val="24"/>
          <w:szCs w:val="24"/>
        </w:rPr>
      </w:pPr>
    </w:p>
    <w:p w:rsidR="0011220A" w:rsidRPr="00A40ACC" w:rsidRDefault="00CE3153"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Each complaint received by </w:t>
      </w:r>
      <w:r w:rsidR="008A6292" w:rsidRPr="00A40ACC">
        <w:rPr>
          <w:rFonts w:ascii="Times New Roman" w:hAnsi="Times New Roman" w:cs="Times New Roman"/>
          <w:sz w:val="24"/>
          <w:szCs w:val="24"/>
        </w:rPr>
        <w:t>HDC</w:t>
      </w:r>
      <w:r w:rsidRPr="00A40ACC">
        <w:rPr>
          <w:rFonts w:ascii="Times New Roman" w:hAnsi="Times New Roman" w:cs="Times New Roman"/>
          <w:sz w:val="24"/>
          <w:szCs w:val="24"/>
        </w:rPr>
        <w:t xml:space="preserve"> is considered individual</w:t>
      </w:r>
      <w:r w:rsidR="008A6292" w:rsidRPr="00A40ACC">
        <w:rPr>
          <w:rFonts w:ascii="Times New Roman" w:hAnsi="Times New Roman" w:cs="Times New Roman"/>
          <w:sz w:val="24"/>
          <w:szCs w:val="24"/>
        </w:rPr>
        <w:t>ly</w:t>
      </w:r>
      <w:r w:rsidRPr="00A40ACC">
        <w:rPr>
          <w:rFonts w:ascii="Times New Roman" w:hAnsi="Times New Roman" w:cs="Times New Roman"/>
          <w:sz w:val="24"/>
          <w:szCs w:val="24"/>
        </w:rPr>
        <w:t>,</w:t>
      </w:r>
      <w:r w:rsidR="008A6292" w:rsidRPr="00A40ACC">
        <w:rPr>
          <w:rFonts w:ascii="Times New Roman" w:hAnsi="Times New Roman" w:cs="Times New Roman"/>
          <w:sz w:val="24"/>
          <w:szCs w:val="24"/>
        </w:rPr>
        <w:t xml:space="preserve"> including as to</w:t>
      </w:r>
      <w:r w:rsidRPr="00A40ACC">
        <w:rPr>
          <w:rFonts w:ascii="Times New Roman" w:hAnsi="Times New Roman" w:cs="Times New Roman"/>
          <w:sz w:val="24"/>
          <w:szCs w:val="24"/>
        </w:rPr>
        <w:t xml:space="preserve"> the issue of jurisdiction. I consider that my jurisdiction is </w:t>
      </w:r>
      <w:r w:rsidR="008A6292" w:rsidRPr="00A40ACC">
        <w:rPr>
          <w:rFonts w:ascii="Times New Roman" w:hAnsi="Times New Roman" w:cs="Times New Roman"/>
          <w:sz w:val="24"/>
          <w:szCs w:val="24"/>
        </w:rPr>
        <w:t xml:space="preserve">already </w:t>
      </w:r>
      <w:r w:rsidRPr="00A40ACC">
        <w:rPr>
          <w:rFonts w:ascii="Times New Roman" w:hAnsi="Times New Roman" w:cs="Times New Roman"/>
          <w:sz w:val="24"/>
          <w:szCs w:val="24"/>
        </w:rPr>
        <w:t>sufficiently broad, and I am not persuaded that there are groups who fall outside my jurisdiction</w:t>
      </w:r>
      <w:r w:rsidR="008A6292" w:rsidRPr="00A40ACC">
        <w:rPr>
          <w:rFonts w:ascii="Times New Roman" w:hAnsi="Times New Roman" w:cs="Times New Roman"/>
          <w:sz w:val="24"/>
          <w:szCs w:val="24"/>
        </w:rPr>
        <w:t xml:space="preserve"> who should be offered the protections of the Code</w:t>
      </w:r>
      <w:r w:rsidRPr="00A40ACC">
        <w:rPr>
          <w:rFonts w:ascii="Times New Roman" w:hAnsi="Times New Roman" w:cs="Times New Roman"/>
          <w:sz w:val="24"/>
          <w:szCs w:val="24"/>
        </w:rPr>
        <w:t>. Accordingly, I</w:t>
      </w:r>
      <w:r w:rsidR="003B4BF1" w:rsidRPr="00A40ACC">
        <w:rPr>
          <w:rFonts w:ascii="Times New Roman" w:hAnsi="Times New Roman" w:cs="Times New Roman"/>
          <w:sz w:val="24"/>
          <w:szCs w:val="24"/>
        </w:rPr>
        <w:t xml:space="preserve"> do not</w:t>
      </w:r>
      <w:r w:rsidRPr="00A40ACC">
        <w:rPr>
          <w:rFonts w:ascii="Times New Roman" w:hAnsi="Times New Roman" w:cs="Times New Roman"/>
          <w:sz w:val="24"/>
          <w:szCs w:val="24"/>
        </w:rPr>
        <w:t xml:space="preserve"> consider that there is a strong argument for any </w:t>
      </w:r>
      <w:r w:rsidR="0011220A" w:rsidRPr="00A40ACC">
        <w:rPr>
          <w:rFonts w:ascii="Times New Roman" w:hAnsi="Times New Roman" w:cs="Times New Roman"/>
          <w:sz w:val="24"/>
          <w:szCs w:val="24"/>
        </w:rPr>
        <w:t>widening of</w:t>
      </w:r>
      <w:r w:rsidRPr="00A40ACC">
        <w:rPr>
          <w:rFonts w:ascii="Times New Roman" w:hAnsi="Times New Roman" w:cs="Times New Roman"/>
          <w:sz w:val="24"/>
          <w:szCs w:val="24"/>
        </w:rPr>
        <w:t xml:space="preserve"> my jurisdiction.</w:t>
      </w:r>
    </w:p>
    <w:p w:rsidR="0011220A" w:rsidRPr="00A40ACC" w:rsidRDefault="0011220A" w:rsidP="00235461">
      <w:pPr>
        <w:pStyle w:val="NoSpacing"/>
        <w:spacing w:line="264" w:lineRule="auto"/>
        <w:jc w:val="both"/>
        <w:rPr>
          <w:rFonts w:ascii="Times New Roman" w:hAnsi="Times New Roman" w:cs="Times New Roman"/>
          <w:sz w:val="24"/>
          <w:szCs w:val="24"/>
        </w:rPr>
      </w:pPr>
    </w:p>
    <w:p w:rsidR="003E0F62" w:rsidRPr="00A40ACC" w:rsidRDefault="0011220A"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For completeness, I note that it is not correct to say that</w:t>
      </w:r>
      <w:r w:rsidR="00CE3153" w:rsidRPr="00A40ACC">
        <w:rPr>
          <w:rFonts w:ascii="Times New Roman" w:hAnsi="Times New Roman" w:cs="Times New Roman"/>
          <w:sz w:val="24"/>
          <w:szCs w:val="24"/>
        </w:rPr>
        <w:t xml:space="preserve"> </w:t>
      </w:r>
      <w:r w:rsidR="00896BE9" w:rsidRPr="00A40ACC">
        <w:rPr>
          <w:rFonts w:ascii="Times New Roman" w:hAnsi="Times New Roman" w:cs="Times New Roman"/>
          <w:sz w:val="24"/>
          <w:szCs w:val="24"/>
        </w:rPr>
        <w:t xml:space="preserve">all </w:t>
      </w:r>
      <w:r w:rsidR="00CE3153" w:rsidRPr="00A40ACC">
        <w:rPr>
          <w:rFonts w:ascii="Times New Roman" w:hAnsi="Times New Roman" w:cs="Times New Roman"/>
          <w:sz w:val="24"/>
          <w:szCs w:val="24"/>
        </w:rPr>
        <w:t>complaints concerning</w:t>
      </w:r>
      <w:r w:rsidRPr="00A40ACC">
        <w:rPr>
          <w:rFonts w:ascii="Times New Roman" w:hAnsi="Times New Roman" w:cs="Times New Roman"/>
          <w:sz w:val="24"/>
          <w:szCs w:val="24"/>
        </w:rPr>
        <w:t xml:space="preserve"> examination services provided by</w:t>
      </w:r>
      <w:r w:rsidR="00CE3153" w:rsidRPr="00A40ACC">
        <w:rPr>
          <w:rFonts w:ascii="Times New Roman" w:hAnsi="Times New Roman" w:cs="Times New Roman"/>
          <w:sz w:val="24"/>
          <w:szCs w:val="24"/>
        </w:rPr>
        <w:t xml:space="preserve"> ACC contracted </w:t>
      </w:r>
      <w:r w:rsidRPr="00A40ACC">
        <w:rPr>
          <w:rFonts w:ascii="Times New Roman" w:hAnsi="Times New Roman" w:cs="Times New Roman"/>
          <w:sz w:val="24"/>
          <w:szCs w:val="24"/>
        </w:rPr>
        <w:t>health professionals fall outside of HDC’s jurisdiction.</w:t>
      </w:r>
      <w:r w:rsidR="00CE3153" w:rsidRPr="00A40ACC">
        <w:rPr>
          <w:rFonts w:ascii="Times New Roman" w:hAnsi="Times New Roman" w:cs="Times New Roman"/>
          <w:sz w:val="24"/>
          <w:szCs w:val="24"/>
        </w:rPr>
        <w:t xml:space="preserve"> </w:t>
      </w:r>
      <w:r w:rsidR="00C4465C">
        <w:rPr>
          <w:rFonts w:ascii="Times New Roman" w:hAnsi="Times New Roman" w:cs="Times New Roman"/>
          <w:sz w:val="24"/>
          <w:szCs w:val="24"/>
        </w:rPr>
        <w:t xml:space="preserve">For example, </w:t>
      </w:r>
      <w:r w:rsidR="00896BE9" w:rsidRPr="00A40ACC">
        <w:rPr>
          <w:rFonts w:ascii="Times New Roman" w:hAnsi="Times New Roman" w:cs="Times New Roman"/>
          <w:sz w:val="24"/>
          <w:szCs w:val="24"/>
        </w:rPr>
        <w:t xml:space="preserve">HDC has considered, and will continue to consider, where appropriate, issues relating to the manner, examination or diagnoses made by such providers. </w:t>
      </w:r>
      <w:r w:rsidRPr="00A40ACC">
        <w:rPr>
          <w:rFonts w:ascii="Times New Roman" w:hAnsi="Times New Roman" w:cs="Times New Roman"/>
          <w:sz w:val="24"/>
          <w:szCs w:val="24"/>
        </w:rPr>
        <w:t xml:space="preserve">However, the </w:t>
      </w:r>
      <w:r w:rsidR="003E0F62" w:rsidRPr="00A40ACC">
        <w:rPr>
          <w:rFonts w:ascii="Times New Roman" w:hAnsi="Times New Roman" w:cs="Times New Roman"/>
          <w:sz w:val="24"/>
          <w:szCs w:val="24"/>
        </w:rPr>
        <w:t>reality</w:t>
      </w:r>
      <w:r w:rsidRPr="00A40ACC">
        <w:rPr>
          <w:rFonts w:ascii="Times New Roman" w:hAnsi="Times New Roman" w:cs="Times New Roman"/>
          <w:sz w:val="24"/>
          <w:szCs w:val="24"/>
        </w:rPr>
        <w:t xml:space="preserve"> is that, in many of those cases, the outcome that the complainant is seeking can more appropriately be achieved through the ACC review process. Section 38(2)(e) of the Act specifically allows me to take other such processes into account in making the decision to take no further action on a complaint</w:t>
      </w:r>
      <w:r w:rsidR="003E0F62" w:rsidRPr="00A40ACC">
        <w:rPr>
          <w:rFonts w:ascii="Times New Roman" w:hAnsi="Times New Roman" w:cs="Times New Roman"/>
          <w:sz w:val="24"/>
          <w:szCs w:val="24"/>
        </w:rPr>
        <w:t>.</w:t>
      </w:r>
    </w:p>
    <w:p w:rsidR="003E0F62" w:rsidRPr="00A40ACC" w:rsidRDefault="003E0F62" w:rsidP="00235461">
      <w:pPr>
        <w:pStyle w:val="NoSpacing"/>
        <w:spacing w:line="264" w:lineRule="auto"/>
        <w:jc w:val="both"/>
        <w:rPr>
          <w:rFonts w:ascii="Times New Roman" w:hAnsi="Times New Roman" w:cs="Times New Roman"/>
          <w:sz w:val="24"/>
          <w:szCs w:val="24"/>
        </w:rPr>
      </w:pPr>
    </w:p>
    <w:p w:rsidR="005F1C77" w:rsidRDefault="00B11F91" w:rsidP="00235461">
      <w:pPr>
        <w:pStyle w:val="NoSpacing"/>
        <w:spacing w:line="264" w:lineRule="auto"/>
        <w:jc w:val="both"/>
        <w:outlineLvl w:val="1"/>
        <w:rPr>
          <w:rFonts w:ascii="Times New Roman" w:hAnsi="Times New Roman" w:cs="Times New Roman"/>
          <w:sz w:val="24"/>
          <w:szCs w:val="24"/>
        </w:rPr>
      </w:pPr>
      <w:r w:rsidRPr="00A40ACC">
        <w:rPr>
          <w:rFonts w:ascii="Times New Roman" w:hAnsi="Times New Roman" w:cs="Times New Roman"/>
          <w:sz w:val="24"/>
          <w:szCs w:val="24"/>
        </w:rPr>
        <w:t>I am currently in discussions with ACC with a view to developing a</w:t>
      </w:r>
      <w:r w:rsidR="00450C2B">
        <w:rPr>
          <w:rFonts w:ascii="Times New Roman" w:hAnsi="Times New Roman" w:cs="Times New Roman"/>
          <w:sz w:val="24"/>
          <w:szCs w:val="24"/>
        </w:rPr>
        <w:t>n</w:t>
      </w:r>
      <w:r w:rsidRPr="00A40ACC">
        <w:rPr>
          <w:rFonts w:ascii="Times New Roman" w:hAnsi="Times New Roman" w:cs="Times New Roman"/>
          <w:sz w:val="24"/>
          <w:szCs w:val="24"/>
        </w:rPr>
        <w:t xml:space="preserve"> </w:t>
      </w:r>
      <w:r w:rsidR="00275C34" w:rsidRPr="00A40ACC">
        <w:rPr>
          <w:rFonts w:ascii="Times New Roman" w:hAnsi="Times New Roman" w:cs="Times New Roman"/>
          <w:sz w:val="24"/>
          <w:szCs w:val="24"/>
        </w:rPr>
        <w:t>MOU as to our agencies’ respective roles.</w:t>
      </w:r>
      <w:bookmarkStart w:id="25" w:name="_Toc390269616"/>
    </w:p>
    <w:p w:rsidR="00F418C4" w:rsidRDefault="00F418C4" w:rsidP="00235461">
      <w:pPr>
        <w:pStyle w:val="NoSpacing"/>
        <w:spacing w:line="264" w:lineRule="auto"/>
        <w:jc w:val="both"/>
        <w:outlineLvl w:val="1"/>
        <w:rPr>
          <w:rFonts w:ascii="Tms Rmn" w:hAnsi="Tms Rmn"/>
          <w:i/>
          <w:sz w:val="24"/>
          <w:szCs w:val="24"/>
        </w:rPr>
      </w:pPr>
    </w:p>
    <w:p w:rsidR="00A92857" w:rsidRDefault="00A92857" w:rsidP="00235461">
      <w:pPr>
        <w:pStyle w:val="NoSpacing"/>
        <w:spacing w:line="264" w:lineRule="auto"/>
        <w:jc w:val="both"/>
        <w:outlineLvl w:val="1"/>
        <w:rPr>
          <w:rFonts w:ascii="Tms Rmn" w:hAnsi="Tms Rmn"/>
          <w:i/>
          <w:sz w:val="24"/>
          <w:szCs w:val="24"/>
        </w:rPr>
      </w:pPr>
    </w:p>
    <w:p w:rsidR="00A92857" w:rsidRDefault="00A92857" w:rsidP="00235461">
      <w:pPr>
        <w:pStyle w:val="NoSpacing"/>
        <w:spacing w:line="264" w:lineRule="auto"/>
        <w:jc w:val="both"/>
        <w:outlineLvl w:val="1"/>
        <w:rPr>
          <w:rFonts w:ascii="Tms Rmn" w:hAnsi="Tms Rmn"/>
          <w:i/>
          <w:sz w:val="24"/>
          <w:szCs w:val="24"/>
        </w:rPr>
      </w:pPr>
    </w:p>
    <w:p w:rsidR="0021096B" w:rsidRPr="00A40ACC" w:rsidRDefault="00944D2A" w:rsidP="00235461">
      <w:pPr>
        <w:pStyle w:val="NoSpacing"/>
        <w:spacing w:line="264" w:lineRule="auto"/>
        <w:jc w:val="both"/>
        <w:outlineLvl w:val="1"/>
        <w:rPr>
          <w:rFonts w:ascii="Times New Roman" w:hAnsi="Times New Roman" w:cs="Times New Roman"/>
          <w:i/>
          <w:sz w:val="24"/>
          <w:szCs w:val="24"/>
        </w:rPr>
      </w:pPr>
      <w:r w:rsidRPr="00A40ACC">
        <w:rPr>
          <w:rFonts w:ascii="Tms Rmn" w:hAnsi="Tms Rmn"/>
          <w:i/>
          <w:sz w:val="24"/>
          <w:szCs w:val="24"/>
        </w:rPr>
        <w:lastRenderedPageBreak/>
        <w:t>Collaboration between agencies</w:t>
      </w:r>
      <w:bookmarkEnd w:id="25"/>
    </w:p>
    <w:p w:rsidR="004E4051" w:rsidRDefault="00FB5A24"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Three submissions </w:t>
      </w:r>
      <w:r w:rsidR="00C0583F" w:rsidRPr="00A40ACC">
        <w:rPr>
          <w:rFonts w:ascii="Times New Roman" w:hAnsi="Times New Roman" w:cs="Times New Roman"/>
          <w:sz w:val="24"/>
          <w:szCs w:val="24"/>
        </w:rPr>
        <w:t xml:space="preserve">commented </w:t>
      </w:r>
      <w:r w:rsidRPr="00A40ACC">
        <w:rPr>
          <w:rFonts w:ascii="Times New Roman" w:hAnsi="Times New Roman" w:cs="Times New Roman"/>
          <w:sz w:val="24"/>
          <w:szCs w:val="24"/>
        </w:rPr>
        <w:t>on the issue of cross-agency collaboration</w:t>
      </w:r>
      <w:r w:rsidR="004E4051" w:rsidRPr="00A40ACC">
        <w:rPr>
          <w:rFonts w:ascii="Times New Roman" w:hAnsi="Times New Roman" w:cs="Times New Roman"/>
          <w:sz w:val="24"/>
          <w:szCs w:val="24"/>
        </w:rPr>
        <w:t>, suggesting that better collaboration could occur.</w:t>
      </w:r>
    </w:p>
    <w:p w:rsidR="00A92857" w:rsidRPr="00A40ACC" w:rsidRDefault="00A92857" w:rsidP="00235461">
      <w:pPr>
        <w:pStyle w:val="NoSpacing"/>
        <w:spacing w:line="264" w:lineRule="auto"/>
        <w:jc w:val="both"/>
        <w:rPr>
          <w:rFonts w:ascii="Times New Roman" w:hAnsi="Times New Roman" w:cs="Times New Roman"/>
          <w:sz w:val="24"/>
          <w:szCs w:val="24"/>
        </w:rPr>
      </w:pPr>
    </w:p>
    <w:p w:rsidR="00971962" w:rsidRPr="00A40ACC" w:rsidRDefault="0084467A" w:rsidP="00235461">
      <w:pPr>
        <w:pStyle w:val="NoSpacing"/>
        <w:spacing w:line="264" w:lineRule="auto"/>
        <w:jc w:val="both"/>
        <w:rPr>
          <w:rFonts w:ascii="Times New Roman" w:hAnsi="Times New Roman" w:cs="Times New Roman"/>
          <w:sz w:val="24"/>
          <w:szCs w:val="24"/>
          <w:lang w:val="en-US"/>
        </w:rPr>
      </w:pPr>
      <w:r w:rsidRPr="00A40ACC">
        <w:rPr>
          <w:rFonts w:ascii="Times New Roman" w:hAnsi="Times New Roman" w:cs="Times New Roman"/>
          <w:sz w:val="24"/>
          <w:szCs w:val="24"/>
          <w:lang w:val="en-US"/>
        </w:rPr>
        <w:t>HDC already works closely with a number of other agencies with responsibilities for quality and safety including: professional bodies, the Human Rights Commission, the Mental Health Foundation, the Office of Disability Issues, the Office of the Chief Coroner, the Ministry of Health, the Health Quality and Safety Commission</w:t>
      </w:r>
      <w:r w:rsidR="004F75EB">
        <w:rPr>
          <w:rFonts w:ascii="Times New Roman" w:hAnsi="Times New Roman" w:cs="Times New Roman"/>
          <w:sz w:val="24"/>
          <w:szCs w:val="24"/>
          <w:lang w:val="en-US"/>
        </w:rPr>
        <w:t xml:space="preserve"> New Zealand</w:t>
      </w:r>
      <w:r w:rsidRPr="00A40ACC">
        <w:rPr>
          <w:rFonts w:ascii="Times New Roman" w:hAnsi="Times New Roman" w:cs="Times New Roman"/>
          <w:sz w:val="24"/>
          <w:szCs w:val="24"/>
          <w:lang w:val="en-US"/>
        </w:rPr>
        <w:t xml:space="preserve"> (HQSC), and ACC.</w:t>
      </w:r>
    </w:p>
    <w:p w:rsidR="00971962" w:rsidRPr="00A40ACC" w:rsidRDefault="00971962" w:rsidP="00235461">
      <w:pPr>
        <w:pStyle w:val="NoSpacing"/>
        <w:spacing w:line="264" w:lineRule="auto"/>
        <w:jc w:val="both"/>
        <w:rPr>
          <w:rFonts w:ascii="Times New Roman" w:hAnsi="Times New Roman" w:cs="Times New Roman"/>
          <w:sz w:val="24"/>
          <w:szCs w:val="24"/>
          <w:lang w:val="en-US"/>
        </w:rPr>
      </w:pPr>
    </w:p>
    <w:p w:rsidR="00971962" w:rsidRPr="00A40ACC" w:rsidRDefault="0084467A" w:rsidP="00235461">
      <w:pPr>
        <w:pStyle w:val="NoSpacing"/>
        <w:spacing w:line="264" w:lineRule="auto"/>
        <w:jc w:val="both"/>
        <w:rPr>
          <w:rFonts w:ascii="Times New Roman" w:hAnsi="Times New Roman" w:cs="Times New Roman"/>
          <w:sz w:val="24"/>
          <w:szCs w:val="24"/>
          <w:lang w:val="en-US"/>
        </w:rPr>
      </w:pPr>
      <w:r w:rsidRPr="00A40ACC">
        <w:rPr>
          <w:rFonts w:ascii="Times New Roman" w:hAnsi="Times New Roman" w:cs="Times New Roman"/>
          <w:sz w:val="24"/>
          <w:szCs w:val="24"/>
          <w:lang w:val="en-US"/>
        </w:rPr>
        <w:t xml:space="preserve">HDC </w:t>
      </w:r>
      <w:r w:rsidR="00C74A13" w:rsidRPr="00A40ACC">
        <w:rPr>
          <w:rFonts w:ascii="Times New Roman" w:hAnsi="Times New Roman" w:cs="Times New Roman"/>
          <w:sz w:val="24"/>
          <w:szCs w:val="24"/>
          <w:lang w:val="en-US"/>
        </w:rPr>
        <w:t>is part of a quality forum and an informati</w:t>
      </w:r>
      <w:r w:rsidR="009F5B36" w:rsidRPr="00A40ACC">
        <w:rPr>
          <w:rFonts w:ascii="Times New Roman" w:hAnsi="Times New Roman" w:cs="Times New Roman"/>
          <w:sz w:val="24"/>
          <w:szCs w:val="24"/>
          <w:lang w:val="en-US"/>
        </w:rPr>
        <w:t>on sharing forum also involving</w:t>
      </w:r>
      <w:r w:rsidRPr="00A40ACC">
        <w:rPr>
          <w:rFonts w:ascii="Times New Roman" w:hAnsi="Times New Roman" w:cs="Times New Roman"/>
          <w:sz w:val="24"/>
          <w:szCs w:val="24"/>
          <w:lang w:val="en-US"/>
        </w:rPr>
        <w:t xml:space="preserve"> HQSC, ACC and the Ministry of Health</w:t>
      </w:r>
      <w:r w:rsidR="00C74A13" w:rsidRPr="00A40ACC">
        <w:rPr>
          <w:rFonts w:ascii="Times New Roman" w:hAnsi="Times New Roman" w:cs="Times New Roman"/>
          <w:sz w:val="24"/>
          <w:szCs w:val="24"/>
          <w:lang w:val="en-US"/>
        </w:rPr>
        <w:t>.</w:t>
      </w:r>
      <w:r w:rsidRPr="00A40ACC">
        <w:rPr>
          <w:rFonts w:ascii="Times New Roman" w:hAnsi="Times New Roman" w:cs="Times New Roman"/>
          <w:sz w:val="24"/>
          <w:szCs w:val="24"/>
          <w:lang w:val="en-US"/>
        </w:rPr>
        <w:t xml:space="preserve"> </w:t>
      </w:r>
      <w:r w:rsidR="00C74A13" w:rsidRPr="00A40ACC">
        <w:rPr>
          <w:rFonts w:ascii="Times New Roman" w:hAnsi="Times New Roman" w:cs="Times New Roman"/>
          <w:sz w:val="24"/>
          <w:szCs w:val="24"/>
          <w:lang w:val="en-US"/>
        </w:rPr>
        <w:t>Together, iss</w:t>
      </w:r>
      <w:r w:rsidR="006B39A6" w:rsidRPr="00A40ACC">
        <w:rPr>
          <w:rFonts w:ascii="Times New Roman" w:hAnsi="Times New Roman" w:cs="Times New Roman"/>
          <w:sz w:val="24"/>
          <w:szCs w:val="24"/>
          <w:lang w:val="en-US"/>
        </w:rPr>
        <w:t xml:space="preserve">ues of common interest are discussed and progressed. Recently, the four agencies have signed an MOU that </w:t>
      </w:r>
      <w:proofErr w:type="spellStart"/>
      <w:r w:rsidR="006B39A6" w:rsidRPr="00A40ACC">
        <w:rPr>
          <w:rFonts w:ascii="Times New Roman" w:hAnsi="Times New Roman" w:cs="Times New Roman"/>
          <w:sz w:val="24"/>
          <w:szCs w:val="24"/>
          <w:lang w:val="en-US"/>
        </w:rPr>
        <w:t>formalises</w:t>
      </w:r>
      <w:proofErr w:type="spellEnd"/>
      <w:r w:rsidR="006B39A6" w:rsidRPr="00A40ACC">
        <w:rPr>
          <w:rFonts w:ascii="Times New Roman" w:hAnsi="Times New Roman" w:cs="Times New Roman"/>
          <w:sz w:val="24"/>
          <w:szCs w:val="24"/>
          <w:lang w:val="en-US"/>
        </w:rPr>
        <w:t xml:space="preserve"> this relationship. In addition, HDC has developed close working relationships with other agencies whose jurisdictions may see them investigating similar issues to HDC. In many cases, HDC has implemented MOUs to </w:t>
      </w:r>
      <w:proofErr w:type="spellStart"/>
      <w:r w:rsidR="006B39A6" w:rsidRPr="00A40ACC">
        <w:rPr>
          <w:rFonts w:ascii="Times New Roman" w:hAnsi="Times New Roman" w:cs="Times New Roman"/>
          <w:sz w:val="24"/>
          <w:szCs w:val="24"/>
          <w:lang w:val="en-US"/>
        </w:rPr>
        <w:t>formali</w:t>
      </w:r>
      <w:r w:rsidR="007F55D2">
        <w:rPr>
          <w:rFonts w:ascii="Times New Roman" w:hAnsi="Times New Roman" w:cs="Times New Roman"/>
          <w:sz w:val="24"/>
          <w:szCs w:val="24"/>
          <w:lang w:val="en-US"/>
        </w:rPr>
        <w:t>s</w:t>
      </w:r>
      <w:r w:rsidR="006B39A6" w:rsidRPr="00A40ACC">
        <w:rPr>
          <w:rFonts w:ascii="Times New Roman" w:hAnsi="Times New Roman" w:cs="Times New Roman"/>
          <w:sz w:val="24"/>
          <w:szCs w:val="24"/>
          <w:lang w:val="en-US"/>
        </w:rPr>
        <w:t>e</w:t>
      </w:r>
      <w:proofErr w:type="spellEnd"/>
      <w:r w:rsidR="006B39A6" w:rsidRPr="00A40ACC">
        <w:rPr>
          <w:rFonts w:ascii="Times New Roman" w:hAnsi="Times New Roman" w:cs="Times New Roman"/>
          <w:sz w:val="24"/>
          <w:szCs w:val="24"/>
          <w:lang w:val="en-US"/>
        </w:rPr>
        <w:t xml:space="preserve"> these interactions in order to ensure appropriate collaboration and information sharing, and to decrease any unnecessary duplication between agencies.</w:t>
      </w:r>
    </w:p>
    <w:p w:rsidR="00971962" w:rsidRPr="00A40ACC" w:rsidRDefault="00971962" w:rsidP="00235461">
      <w:pPr>
        <w:pStyle w:val="NoSpacing"/>
        <w:spacing w:line="264" w:lineRule="auto"/>
        <w:jc w:val="both"/>
        <w:rPr>
          <w:rFonts w:ascii="Times New Roman" w:hAnsi="Times New Roman" w:cs="Times New Roman"/>
          <w:sz w:val="24"/>
          <w:szCs w:val="24"/>
          <w:lang w:val="en-US"/>
        </w:rPr>
      </w:pPr>
    </w:p>
    <w:p w:rsidR="00971962" w:rsidRPr="00A40ACC" w:rsidRDefault="0084467A" w:rsidP="00235461">
      <w:pPr>
        <w:pStyle w:val="NoSpacing"/>
        <w:spacing w:line="264" w:lineRule="auto"/>
        <w:jc w:val="both"/>
        <w:rPr>
          <w:rFonts w:ascii="Times New Roman" w:hAnsi="Times New Roman" w:cs="Times New Roman"/>
          <w:sz w:val="24"/>
          <w:szCs w:val="24"/>
          <w:lang w:val="en-US"/>
        </w:rPr>
      </w:pPr>
      <w:r w:rsidRPr="00A40ACC">
        <w:rPr>
          <w:rFonts w:ascii="Times New Roman" w:hAnsi="Times New Roman" w:cs="Times New Roman"/>
          <w:sz w:val="24"/>
          <w:szCs w:val="24"/>
          <w:lang w:val="en-US"/>
        </w:rPr>
        <w:t>I do not consider that any amendment to the Act is necessary on this issue.</w:t>
      </w:r>
    </w:p>
    <w:p w:rsidR="002E536B" w:rsidRPr="00A40ACC" w:rsidRDefault="002E536B" w:rsidP="00235461">
      <w:pPr>
        <w:autoSpaceDE w:val="0"/>
        <w:autoSpaceDN w:val="0"/>
        <w:adjustRightInd w:val="0"/>
        <w:spacing w:after="0" w:line="264" w:lineRule="auto"/>
        <w:jc w:val="both"/>
        <w:rPr>
          <w:rFonts w:ascii="Tms Rmn" w:hAnsi="Tms Rmn"/>
          <w:i/>
          <w:sz w:val="24"/>
          <w:szCs w:val="24"/>
        </w:rPr>
      </w:pPr>
    </w:p>
    <w:p w:rsidR="0021096B" w:rsidRPr="00A40ACC" w:rsidRDefault="002E536B" w:rsidP="00235461">
      <w:pPr>
        <w:pStyle w:val="NoSpacing"/>
        <w:spacing w:line="264" w:lineRule="auto"/>
        <w:jc w:val="both"/>
        <w:outlineLvl w:val="1"/>
        <w:rPr>
          <w:rFonts w:ascii="Tms Rmn" w:hAnsi="Tms Rmn"/>
          <w:i/>
          <w:sz w:val="24"/>
          <w:szCs w:val="24"/>
        </w:rPr>
      </w:pPr>
      <w:bookmarkStart w:id="26" w:name="_Toc390269617"/>
      <w:r w:rsidRPr="00A40ACC">
        <w:rPr>
          <w:rFonts w:ascii="Tms Rmn" w:hAnsi="Tms Rmn"/>
          <w:i/>
          <w:sz w:val="24"/>
          <w:szCs w:val="24"/>
        </w:rPr>
        <w:t>Naming</w:t>
      </w:r>
      <w:bookmarkEnd w:id="26"/>
    </w:p>
    <w:p w:rsidR="002E536B" w:rsidRPr="00A40ACC" w:rsidRDefault="002E536B" w:rsidP="00235461">
      <w:pPr>
        <w:pStyle w:val="NoSpacing"/>
        <w:spacing w:line="264" w:lineRule="auto"/>
        <w:jc w:val="both"/>
        <w:rPr>
          <w:rFonts w:ascii="Times New Roman" w:hAnsi="Times New Roman" w:cs="Times New Roman"/>
          <w:sz w:val="24"/>
          <w:szCs w:val="24"/>
          <w:lang w:val="en-US"/>
        </w:rPr>
      </w:pPr>
      <w:r w:rsidRPr="00A40ACC">
        <w:rPr>
          <w:rFonts w:ascii="Times New Roman" w:hAnsi="Times New Roman" w:cs="Times New Roman"/>
          <w:sz w:val="24"/>
          <w:szCs w:val="24"/>
          <w:lang w:val="en-US"/>
        </w:rPr>
        <w:t>Two submissions were received recommending that all providers found in breach of the Code should be named. I acknowledge that this issue has been the subject of some public debate over the last few years.</w:t>
      </w:r>
    </w:p>
    <w:p w:rsidR="002E536B" w:rsidRPr="00A40ACC" w:rsidRDefault="002E536B" w:rsidP="00235461">
      <w:pPr>
        <w:pStyle w:val="NoSpacing"/>
        <w:spacing w:line="264" w:lineRule="auto"/>
        <w:jc w:val="both"/>
        <w:rPr>
          <w:rFonts w:ascii="Times New Roman" w:hAnsi="Times New Roman" w:cs="Times New Roman"/>
          <w:sz w:val="24"/>
          <w:szCs w:val="24"/>
          <w:lang w:val="en-US"/>
        </w:rPr>
      </w:pPr>
    </w:p>
    <w:p w:rsidR="002E536B" w:rsidRPr="00A40ACC" w:rsidRDefault="002E536B" w:rsidP="00235461">
      <w:pPr>
        <w:pStyle w:val="NoSpacing"/>
        <w:spacing w:line="264" w:lineRule="auto"/>
        <w:jc w:val="both"/>
        <w:rPr>
          <w:rFonts w:ascii="Times New Roman" w:hAnsi="Times New Roman" w:cs="Times New Roman"/>
          <w:sz w:val="24"/>
          <w:szCs w:val="24"/>
          <w:lang w:val="en-US"/>
        </w:rPr>
      </w:pPr>
      <w:r w:rsidRPr="00A40ACC">
        <w:rPr>
          <w:rFonts w:ascii="Times New Roman" w:hAnsi="Times New Roman" w:cs="Times New Roman"/>
          <w:sz w:val="24"/>
          <w:szCs w:val="24"/>
          <w:lang w:val="en-US"/>
        </w:rPr>
        <w:t>HDC’s naming policy sets out the factors that are taken into account when deciding whether an individual provider should be named. As articulated in that policy, there are circumstances in which naming of individual providers is appropriate, and even necessary. On occasion, public safety requires that the public be put on notice of the risk posed by a particular provider. However, those situations are few and far between. In the vast majority of cases, public safety is better achieved through other means, such as imposing targeted recommendations for change</w:t>
      </w:r>
      <w:r w:rsidR="00030854">
        <w:rPr>
          <w:rFonts w:ascii="Times New Roman" w:hAnsi="Times New Roman" w:cs="Times New Roman"/>
          <w:sz w:val="24"/>
          <w:szCs w:val="24"/>
          <w:lang w:val="en-US"/>
        </w:rPr>
        <w:t>,</w:t>
      </w:r>
      <w:r w:rsidRPr="00A40ACC">
        <w:rPr>
          <w:rFonts w:ascii="Times New Roman" w:hAnsi="Times New Roman" w:cs="Times New Roman"/>
          <w:sz w:val="24"/>
          <w:szCs w:val="24"/>
          <w:lang w:val="en-US"/>
        </w:rPr>
        <w:t xml:space="preserve"> and following up compliance with those recommendations. Sometimes accountability, independent of public safety considerations, may mean serious consideration should be given to naming an individual provider. However, as for naming for public safety reasons, this will usually only be appropri</w:t>
      </w:r>
      <w:r w:rsidR="006E6511">
        <w:rPr>
          <w:rFonts w:ascii="Times New Roman" w:hAnsi="Times New Roman" w:cs="Times New Roman"/>
          <w:sz w:val="24"/>
          <w:szCs w:val="24"/>
          <w:lang w:val="en-US"/>
        </w:rPr>
        <w:t>ate following a proper, measured</w:t>
      </w:r>
      <w:r w:rsidRPr="00A40ACC">
        <w:rPr>
          <w:rFonts w:ascii="Times New Roman" w:hAnsi="Times New Roman" w:cs="Times New Roman"/>
          <w:sz w:val="24"/>
          <w:szCs w:val="24"/>
          <w:lang w:val="en-US"/>
        </w:rPr>
        <w:t>, and robust process involving rigorous analysis of the facts and competing interests at issue.</w:t>
      </w:r>
    </w:p>
    <w:p w:rsidR="002E536B" w:rsidRPr="00A40ACC" w:rsidRDefault="002E536B" w:rsidP="00235461">
      <w:pPr>
        <w:pStyle w:val="NoSpacing"/>
        <w:spacing w:line="264" w:lineRule="auto"/>
        <w:jc w:val="both"/>
        <w:rPr>
          <w:rFonts w:ascii="Times New Roman" w:hAnsi="Times New Roman" w:cs="Times New Roman"/>
          <w:sz w:val="24"/>
          <w:szCs w:val="24"/>
          <w:lang w:val="en-US"/>
        </w:rPr>
      </w:pPr>
    </w:p>
    <w:p w:rsidR="002E536B" w:rsidRPr="00A40ACC" w:rsidRDefault="002E536B" w:rsidP="00235461">
      <w:pPr>
        <w:pStyle w:val="NoSpacing"/>
        <w:spacing w:line="264" w:lineRule="auto"/>
        <w:jc w:val="both"/>
        <w:rPr>
          <w:rFonts w:ascii="Times New Roman" w:hAnsi="Times New Roman" w:cs="Times New Roman"/>
          <w:sz w:val="24"/>
          <w:szCs w:val="24"/>
          <w:lang w:val="en-US"/>
        </w:rPr>
      </w:pPr>
      <w:r w:rsidRPr="00A40ACC">
        <w:rPr>
          <w:rFonts w:ascii="Times New Roman" w:hAnsi="Times New Roman" w:cs="Times New Roman"/>
          <w:sz w:val="24"/>
          <w:szCs w:val="24"/>
          <w:lang w:val="en-US"/>
        </w:rPr>
        <w:t>I believe that the naming policy balances the interests well and do not consider that routine naming of providers found in breach of the Code would be appropriate at this time.</w:t>
      </w:r>
    </w:p>
    <w:p w:rsidR="002E536B" w:rsidRPr="00A40ACC" w:rsidRDefault="002E536B" w:rsidP="00235461">
      <w:pPr>
        <w:pStyle w:val="NoSpacing"/>
        <w:spacing w:line="264" w:lineRule="auto"/>
        <w:jc w:val="both"/>
        <w:rPr>
          <w:rFonts w:ascii="Times New Roman" w:hAnsi="Times New Roman" w:cs="Times New Roman"/>
          <w:sz w:val="24"/>
          <w:szCs w:val="24"/>
        </w:rPr>
      </w:pPr>
    </w:p>
    <w:p w:rsidR="0021096B" w:rsidRPr="00A40ACC" w:rsidRDefault="00944D2A" w:rsidP="00235461">
      <w:pPr>
        <w:pStyle w:val="NoSpacing"/>
        <w:spacing w:line="264" w:lineRule="auto"/>
        <w:jc w:val="both"/>
        <w:outlineLvl w:val="1"/>
        <w:rPr>
          <w:rFonts w:ascii="Tms Rmn" w:hAnsi="Tms Rmn"/>
          <w:i/>
          <w:sz w:val="24"/>
          <w:szCs w:val="24"/>
        </w:rPr>
      </w:pPr>
      <w:bookmarkStart w:id="27" w:name="_Toc390269618"/>
      <w:r w:rsidRPr="00A40ACC">
        <w:rPr>
          <w:rFonts w:ascii="Tms Rmn" w:hAnsi="Tms Rmn"/>
          <w:i/>
          <w:sz w:val="24"/>
          <w:szCs w:val="24"/>
        </w:rPr>
        <w:t>Privacy</w:t>
      </w:r>
      <w:bookmarkEnd w:id="27"/>
    </w:p>
    <w:p w:rsidR="00936E27" w:rsidRPr="00A40ACC" w:rsidRDefault="00936E27"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Only a handful of submissions commented on health information privacy and those submissions were divided on whether privacy should be dealt with by HDC. One of the recommendations in the 2009 review was to amend the Act and </w:t>
      </w:r>
      <w:r w:rsidR="003E0F62" w:rsidRPr="00A40ACC">
        <w:rPr>
          <w:rFonts w:ascii="Times New Roman" w:hAnsi="Times New Roman" w:cs="Times New Roman"/>
          <w:sz w:val="24"/>
          <w:szCs w:val="24"/>
        </w:rPr>
        <w:t xml:space="preserve">the </w:t>
      </w:r>
      <w:r w:rsidRPr="00A40ACC">
        <w:rPr>
          <w:rFonts w:ascii="Times New Roman" w:hAnsi="Times New Roman" w:cs="Times New Roman"/>
          <w:sz w:val="24"/>
          <w:szCs w:val="24"/>
        </w:rPr>
        <w:t>Code to include the right to privacy in relation to health informatio</w:t>
      </w:r>
      <w:r w:rsidR="003E0F62" w:rsidRPr="00A40ACC">
        <w:rPr>
          <w:rFonts w:ascii="Times New Roman" w:hAnsi="Times New Roman" w:cs="Times New Roman"/>
          <w:sz w:val="24"/>
          <w:szCs w:val="24"/>
        </w:rPr>
        <w:t xml:space="preserve">n. </w:t>
      </w:r>
      <w:r w:rsidR="00CD3FCC" w:rsidRPr="00A40ACC">
        <w:rPr>
          <w:rFonts w:ascii="Times New Roman" w:hAnsi="Times New Roman" w:cs="Times New Roman"/>
          <w:sz w:val="24"/>
          <w:szCs w:val="24"/>
        </w:rPr>
        <w:t>T</w:t>
      </w:r>
      <w:r w:rsidR="003E0F62" w:rsidRPr="00A40ACC">
        <w:rPr>
          <w:rFonts w:ascii="Times New Roman" w:hAnsi="Times New Roman" w:cs="Times New Roman"/>
          <w:sz w:val="24"/>
          <w:szCs w:val="24"/>
        </w:rPr>
        <w:t xml:space="preserve">his was not accepted </w:t>
      </w:r>
      <w:r w:rsidRPr="00A40ACC">
        <w:rPr>
          <w:rFonts w:ascii="Times New Roman" w:hAnsi="Times New Roman" w:cs="Times New Roman"/>
          <w:sz w:val="24"/>
          <w:szCs w:val="24"/>
        </w:rPr>
        <w:t xml:space="preserve">by the </w:t>
      </w:r>
      <w:r w:rsidR="009152F7" w:rsidRPr="00A40ACC">
        <w:rPr>
          <w:rFonts w:ascii="Times New Roman" w:hAnsi="Times New Roman" w:cs="Times New Roman"/>
          <w:sz w:val="24"/>
          <w:szCs w:val="24"/>
        </w:rPr>
        <w:t>Minister</w:t>
      </w:r>
      <w:r w:rsidR="00430AD2" w:rsidRPr="00A40ACC">
        <w:rPr>
          <w:rFonts w:ascii="Times New Roman" w:hAnsi="Times New Roman" w:cs="Times New Roman"/>
          <w:sz w:val="24"/>
          <w:szCs w:val="24"/>
        </w:rPr>
        <w:t>. The Ministry</w:t>
      </w:r>
      <w:r w:rsidR="00630AFA" w:rsidRPr="00A40ACC">
        <w:rPr>
          <w:rFonts w:ascii="Times New Roman" w:hAnsi="Times New Roman" w:cs="Times New Roman"/>
          <w:sz w:val="24"/>
          <w:szCs w:val="24"/>
        </w:rPr>
        <w:t xml:space="preserve"> noted that </w:t>
      </w:r>
      <w:r w:rsidR="00046D06" w:rsidRPr="00A40ACC">
        <w:rPr>
          <w:rFonts w:ascii="Times New Roman" w:hAnsi="Times New Roman" w:cs="Times New Roman"/>
          <w:sz w:val="24"/>
          <w:szCs w:val="24"/>
        </w:rPr>
        <w:t xml:space="preserve">creating an overlapping jurisdiction between HDC and the Privacy </w:t>
      </w:r>
      <w:r w:rsidR="00046D06" w:rsidRPr="00A40ACC">
        <w:rPr>
          <w:rFonts w:ascii="Times New Roman" w:hAnsi="Times New Roman" w:cs="Times New Roman"/>
          <w:sz w:val="24"/>
          <w:szCs w:val="24"/>
        </w:rPr>
        <w:lastRenderedPageBreak/>
        <w:t>Commissioner could lead to inconsistency in the application of the law, and confusion for the public about the two roles</w:t>
      </w:r>
      <w:r w:rsidRPr="00A40ACC">
        <w:rPr>
          <w:rFonts w:ascii="Times New Roman" w:hAnsi="Times New Roman" w:cs="Times New Roman"/>
          <w:sz w:val="24"/>
          <w:szCs w:val="24"/>
        </w:rPr>
        <w:t xml:space="preserve">. I consider that the current system with the Privacy Commissioner considering matters relating to privacy and access of health information works well, and I am not persuaded that the Act </w:t>
      </w:r>
      <w:r w:rsidR="003E0F62" w:rsidRPr="00A40ACC">
        <w:rPr>
          <w:rFonts w:ascii="Times New Roman" w:hAnsi="Times New Roman" w:cs="Times New Roman"/>
          <w:sz w:val="24"/>
          <w:szCs w:val="24"/>
        </w:rPr>
        <w:t>or the</w:t>
      </w:r>
      <w:r w:rsidRPr="00A40ACC">
        <w:rPr>
          <w:rFonts w:ascii="Times New Roman" w:hAnsi="Times New Roman" w:cs="Times New Roman"/>
          <w:sz w:val="24"/>
          <w:szCs w:val="24"/>
        </w:rPr>
        <w:t xml:space="preserve"> Code require amendment in this area.</w:t>
      </w:r>
    </w:p>
    <w:p w:rsidR="00A92857" w:rsidRDefault="00A92857" w:rsidP="00235461">
      <w:pPr>
        <w:pStyle w:val="NoSpacing"/>
        <w:spacing w:line="264" w:lineRule="auto"/>
        <w:jc w:val="both"/>
        <w:outlineLvl w:val="1"/>
        <w:rPr>
          <w:rFonts w:ascii="Tms Rmn" w:hAnsi="Tms Rmn"/>
          <w:i/>
          <w:sz w:val="24"/>
          <w:szCs w:val="24"/>
        </w:rPr>
      </w:pPr>
      <w:bookmarkStart w:id="28" w:name="_Toc390269619"/>
    </w:p>
    <w:p w:rsidR="0021096B" w:rsidRPr="00A40ACC" w:rsidRDefault="00944D2A" w:rsidP="00235461">
      <w:pPr>
        <w:pStyle w:val="NoSpacing"/>
        <w:spacing w:line="264" w:lineRule="auto"/>
        <w:jc w:val="both"/>
        <w:outlineLvl w:val="1"/>
        <w:rPr>
          <w:rFonts w:ascii="Tms Rmn" w:hAnsi="Tms Rmn"/>
          <w:i/>
          <w:sz w:val="24"/>
          <w:szCs w:val="24"/>
        </w:rPr>
      </w:pPr>
      <w:r w:rsidRPr="00A40ACC">
        <w:rPr>
          <w:rFonts w:ascii="Tms Rmn" w:hAnsi="Tms Rmn"/>
          <w:i/>
          <w:sz w:val="24"/>
          <w:szCs w:val="24"/>
        </w:rPr>
        <w:t>Advocacy</w:t>
      </w:r>
      <w:bookmarkEnd w:id="28"/>
    </w:p>
    <w:p w:rsidR="003125E8" w:rsidRPr="00A40ACC" w:rsidRDefault="00914108"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The 2009 review recommended amending th</w:t>
      </w:r>
      <w:r w:rsidR="003E0F62" w:rsidRPr="00A40ACC">
        <w:rPr>
          <w:rFonts w:ascii="Times New Roman" w:hAnsi="Times New Roman" w:cs="Times New Roman"/>
          <w:sz w:val="24"/>
          <w:szCs w:val="24"/>
        </w:rPr>
        <w:t>e</w:t>
      </w:r>
      <w:r w:rsidRPr="00A40ACC">
        <w:rPr>
          <w:rFonts w:ascii="Times New Roman" w:hAnsi="Times New Roman" w:cs="Times New Roman"/>
          <w:sz w:val="24"/>
          <w:szCs w:val="24"/>
        </w:rPr>
        <w:t xml:space="preserve"> Act so that advocates become employees</w:t>
      </w:r>
      <w:r w:rsidR="002573FB" w:rsidRPr="00A40ACC">
        <w:rPr>
          <w:rFonts w:ascii="Times New Roman" w:hAnsi="Times New Roman" w:cs="Times New Roman"/>
          <w:sz w:val="24"/>
          <w:szCs w:val="24"/>
        </w:rPr>
        <w:t xml:space="preserve"> of HDC</w:t>
      </w:r>
      <w:r w:rsidRPr="00A40ACC">
        <w:rPr>
          <w:rFonts w:ascii="Times New Roman" w:hAnsi="Times New Roman" w:cs="Times New Roman"/>
          <w:sz w:val="24"/>
          <w:szCs w:val="24"/>
        </w:rPr>
        <w:t>, while retaining the independent function of advocacy services.</w:t>
      </w:r>
    </w:p>
    <w:p w:rsidR="00914108" w:rsidRPr="00A40ACC" w:rsidRDefault="00914108" w:rsidP="00235461">
      <w:pPr>
        <w:pStyle w:val="NoSpacing"/>
        <w:spacing w:line="264" w:lineRule="auto"/>
        <w:jc w:val="both"/>
        <w:rPr>
          <w:rFonts w:ascii="Times New Roman" w:hAnsi="Times New Roman" w:cs="Times New Roman"/>
          <w:sz w:val="24"/>
          <w:szCs w:val="24"/>
        </w:rPr>
      </w:pPr>
    </w:p>
    <w:p w:rsidR="005401DF" w:rsidRPr="00A40ACC" w:rsidRDefault="00914108" w:rsidP="00235461">
      <w:pPr>
        <w:pStyle w:val="CommentText"/>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While I received some </w:t>
      </w:r>
      <w:r w:rsidR="007F11BC" w:rsidRPr="00A40ACC">
        <w:rPr>
          <w:rFonts w:ascii="Times New Roman" w:hAnsi="Times New Roman" w:cs="Times New Roman"/>
          <w:sz w:val="24"/>
          <w:szCs w:val="24"/>
        </w:rPr>
        <w:t xml:space="preserve">submissions on this issue, I consider that </w:t>
      </w:r>
      <w:r w:rsidR="00CD3FCC" w:rsidRPr="00A40ACC">
        <w:rPr>
          <w:rFonts w:ascii="Times New Roman" w:hAnsi="Times New Roman" w:cs="Times New Roman"/>
          <w:sz w:val="24"/>
          <w:szCs w:val="24"/>
        </w:rPr>
        <w:t>the current model is working well</w:t>
      </w:r>
      <w:r w:rsidR="00F57545" w:rsidRPr="00A40ACC">
        <w:rPr>
          <w:rFonts w:ascii="Times New Roman" w:hAnsi="Times New Roman" w:cs="Times New Roman"/>
          <w:sz w:val="24"/>
          <w:szCs w:val="24"/>
        </w:rPr>
        <w:t xml:space="preserve"> and preserves the independence of the National Advocacy Trust as a service provider. The issues relating to quality assurance and consistency of service standards</w:t>
      </w:r>
      <w:r w:rsidR="00853991" w:rsidRPr="00A40ACC">
        <w:rPr>
          <w:rFonts w:ascii="Times New Roman" w:hAnsi="Times New Roman" w:cs="Times New Roman"/>
          <w:sz w:val="24"/>
          <w:szCs w:val="24"/>
        </w:rPr>
        <w:t xml:space="preserve"> </w:t>
      </w:r>
      <w:r w:rsidR="00B60069" w:rsidRPr="00A40ACC">
        <w:rPr>
          <w:rFonts w:ascii="Times New Roman" w:hAnsi="Times New Roman" w:cs="Times New Roman"/>
          <w:sz w:val="24"/>
          <w:szCs w:val="24"/>
        </w:rPr>
        <w:t>that were raised in the 2009 review</w:t>
      </w:r>
      <w:r w:rsidR="00206400" w:rsidRPr="00A40ACC">
        <w:rPr>
          <w:rFonts w:ascii="Times New Roman" w:hAnsi="Times New Roman" w:cs="Times New Roman"/>
          <w:sz w:val="24"/>
          <w:szCs w:val="24"/>
        </w:rPr>
        <w:t xml:space="preserve"> report</w:t>
      </w:r>
      <w:r w:rsidR="00B60069" w:rsidRPr="00A40ACC">
        <w:rPr>
          <w:rFonts w:ascii="Times New Roman" w:hAnsi="Times New Roman" w:cs="Times New Roman"/>
          <w:sz w:val="24"/>
          <w:szCs w:val="24"/>
        </w:rPr>
        <w:t xml:space="preserve"> </w:t>
      </w:r>
      <w:r w:rsidR="001375C1" w:rsidRPr="00A40ACC">
        <w:rPr>
          <w:rFonts w:ascii="Times New Roman" w:hAnsi="Times New Roman" w:cs="Times New Roman"/>
          <w:sz w:val="24"/>
          <w:szCs w:val="24"/>
        </w:rPr>
        <w:t>are, in my view, appropriately</w:t>
      </w:r>
      <w:r w:rsidR="00853991" w:rsidRPr="00A40ACC">
        <w:rPr>
          <w:rFonts w:ascii="Times New Roman" w:hAnsi="Times New Roman" w:cs="Times New Roman"/>
          <w:sz w:val="24"/>
          <w:szCs w:val="24"/>
        </w:rPr>
        <w:t xml:space="preserve"> addressed through standard contract </w:t>
      </w:r>
      <w:r w:rsidR="00B60069" w:rsidRPr="00A40ACC">
        <w:rPr>
          <w:rFonts w:ascii="Times New Roman" w:hAnsi="Times New Roman" w:cs="Times New Roman"/>
          <w:sz w:val="24"/>
          <w:szCs w:val="24"/>
        </w:rPr>
        <w:t xml:space="preserve">management </w:t>
      </w:r>
      <w:r w:rsidR="00853991" w:rsidRPr="00A40ACC">
        <w:rPr>
          <w:rFonts w:ascii="Times New Roman" w:hAnsi="Times New Roman" w:cs="Times New Roman"/>
          <w:sz w:val="24"/>
          <w:szCs w:val="24"/>
        </w:rPr>
        <w:t>mechanisms. Accordingly</w:t>
      </w:r>
      <w:r w:rsidR="003E0F62" w:rsidRPr="00A40ACC">
        <w:rPr>
          <w:rFonts w:ascii="Times New Roman" w:hAnsi="Times New Roman" w:cs="Times New Roman"/>
          <w:sz w:val="24"/>
          <w:szCs w:val="24"/>
        </w:rPr>
        <w:t xml:space="preserve">, </w:t>
      </w:r>
      <w:r w:rsidR="00853991" w:rsidRPr="00A40ACC">
        <w:rPr>
          <w:rFonts w:ascii="Times New Roman" w:hAnsi="Times New Roman" w:cs="Times New Roman"/>
          <w:sz w:val="24"/>
          <w:szCs w:val="24"/>
        </w:rPr>
        <w:t xml:space="preserve">I </w:t>
      </w:r>
      <w:r w:rsidR="003E0F62" w:rsidRPr="00A40ACC">
        <w:rPr>
          <w:rFonts w:ascii="Times New Roman" w:hAnsi="Times New Roman" w:cs="Times New Roman"/>
          <w:sz w:val="24"/>
          <w:szCs w:val="24"/>
        </w:rPr>
        <w:t>do not recommend an</w:t>
      </w:r>
      <w:r w:rsidR="00B60069" w:rsidRPr="00A40ACC">
        <w:rPr>
          <w:rFonts w:ascii="Times New Roman" w:hAnsi="Times New Roman" w:cs="Times New Roman"/>
          <w:sz w:val="24"/>
          <w:szCs w:val="24"/>
        </w:rPr>
        <w:t>y</w:t>
      </w:r>
      <w:r w:rsidR="003E0F62" w:rsidRPr="00A40ACC">
        <w:rPr>
          <w:rFonts w:ascii="Times New Roman" w:hAnsi="Times New Roman" w:cs="Times New Roman"/>
          <w:sz w:val="24"/>
          <w:szCs w:val="24"/>
        </w:rPr>
        <w:t xml:space="preserve"> amendment be made.</w:t>
      </w:r>
      <w:r w:rsidR="00ED5F7F" w:rsidRPr="00A40ACC">
        <w:rPr>
          <w:rFonts w:ascii="Times New Roman" w:hAnsi="Times New Roman" w:cs="Times New Roman"/>
          <w:sz w:val="24"/>
          <w:szCs w:val="24"/>
        </w:rPr>
        <w:t xml:space="preserve"> </w:t>
      </w:r>
    </w:p>
    <w:p w:rsidR="007F11BC" w:rsidRPr="00A40ACC" w:rsidRDefault="007F11BC" w:rsidP="00235461">
      <w:pPr>
        <w:pStyle w:val="NoSpacing"/>
        <w:spacing w:line="264" w:lineRule="auto"/>
        <w:jc w:val="both"/>
        <w:rPr>
          <w:rFonts w:ascii="Times New Roman" w:hAnsi="Times New Roman" w:cs="Times New Roman"/>
          <w:sz w:val="24"/>
          <w:szCs w:val="24"/>
        </w:rPr>
      </w:pPr>
    </w:p>
    <w:p w:rsidR="0021096B" w:rsidRPr="00A40ACC" w:rsidRDefault="00944D2A" w:rsidP="00235461">
      <w:pPr>
        <w:pStyle w:val="NoSpacing"/>
        <w:spacing w:line="264" w:lineRule="auto"/>
        <w:jc w:val="both"/>
        <w:outlineLvl w:val="1"/>
        <w:rPr>
          <w:rFonts w:ascii="Tms Rmn" w:hAnsi="Tms Rmn"/>
          <w:i/>
          <w:sz w:val="24"/>
          <w:szCs w:val="24"/>
        </w:rPr>
      </w:pPr>
      <w:bookmarkStart w:id="29" w:name="_Toc390269620"/>
      <w:r w:rsidRPr="00A40ACC">
        <w:rPr>
          <w:rFonts w:ascii="Tms Rmn" w:hAnsi="Tms Rmn"/>
          <w:i/>
          <w:sz w:val="24"/>
          <w:szCs w:val="24"/>
        </w:rPr>
        <w:t>Ethics Committees</w:t>
      </w:r>
      <w:bookmarkEnd w:id="29"/>
    </w:p>
    <w:p w:rsidR="00432472" w:rsidRPr="00A40ACC" w:rsidRDefault="00A36EA4"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Two </w:t>
      </w:r>
      <w:r w:rsidR="00432472" w:rsidRPr="00A40ACC">
        <w:rPr>
          <w:rFonts w:ascii="Times New Roman" w:hAnsi="Times New Roman" w:cs="Times New Roman"/>
          <w:sz w:val="24"/>
          <w:szCs w:val="24"/>
        </w:rPr>
        <w:t xml:space="preserve">submissions suggested that ethics committees should come under the oversight of </w:t>
      </w:r>
      <w:r w:rsidR="00427CFC" w:rsidRPr="00A40ACC">
        <w:rPr>
          <w:rFonts w:ascii="Times New Roman" w:hAnsi="Times New Roman" w:cs="Times New Roman"/>
          <w:sz w:val="24"/>
          <w:szCs w:val="24"/>
        </w:rPr>
        <w:t>HDC</w:t>
      </w:r>
      <w:r w:rsidR="00432472" w:rsidRPr="00A40ACC">
        <w:rPr>
          <w:rFonts w:ascii="Times New Roman" w:hAnsi="Times New Roman" w:cs="Times New Roman"/>
          <w:sz w:val="24"/>
          <w:szCs w:val="24"/>
        </w:rPr>
        <w:t>.</w:t>
      </w:r>
      <w:r w:rsidR="00905435" w:rsidRPr="00A40ACC">
        <w:rPr>
          <w:rFonts w:ascii="Times New Roman" w:hAnsi="Times New Roman" w:cs="Times New Roman"/>
          <w:sz w:val="24"/>
          <w:szCs w:val="24"/>
        </w:rPr>
        <w:t xml:space="preserve"> I do not consider that this would be appropriate given the independence of HDC and the need to consider complaints regarding research which may have been approved by an ethics committee.</w:t>
      </w:r>
      <w:r w:rsidR="00432472" w:rsidRPr="00A40ACC">
        <w:rPr>
          <w:rFonts w:ascii="Times New Roman" w:hAnsi="Times New Roman" w:cs="Times New Roman"/>
          <w:sz w:val="24"/>
          <w:szCs w:val="24"/>
        </w:rPr>
        <w:t xml:space="preserve"> </w:t>
      </w:r>
      <w:r w:rsidR="00905435" w:rsidRPr="00A40ACC">
        <w:rPr>
          <w:rFonts w:ascii="Times New Roman" w:hAnsi="Times New Roman" w:cs="Times New Roman"/>
          <w:sz w:val="24"/>
          <w:szCs w:val="24"/>
        </w:rPr>
        <w:t>I also note that s</w:t>
      </w:r>
      <w:r w:rsidR="00432472" w:rsidRPr="00A40ACC">
        <w:rPr>
          <w:rFonts w:ascii="Times New Roman" w:hAnsi="Times New Roman" w:cs="Times New Roman"/>
          <w:sz w:val="24"/>
          <w:szCs w:val="24"/>
        </w:rPr>
        <w:t xml:space="preserve">ince the 2009 review, </w:t>
      </w:r>
      <w:r w:rsidR="00905435" w:rsidRPr="00A40ACC">
        <w:rPr>
          <w:rFonts w:ascii="Times New Roman" w:hAnsi="Times New Roman" w:cs="Times New Roman"/>
          <w:sz w:val="24"/>
          <w:szCs w:val="24"/>
        </w:rPr>
        <w:t xml:space="preserve">the operation of </w:t>
      </w:r>
      <w:r w:rsidR="00432472" w:rsidRPr="00A40ACC">
        <w:rPr>
          <w:rFonts w:ascii="Times New Roman" w:hAnsi="Times New Roman" w:cs="Times New Roman"/>
          <w:sz w:val="24"/>
          <w:szCs w:val="24"/>
        </w:rPr>
        <w:t>ethics committees</w:t>
      </w:r>
      <w:r w:rsidR="00905435" w:rsidRPr="00A40ACC">
        <w:rPr>
          <w:rFonts w:ascii="Times New Roman" w:hAnsi="Times New Roman" w:cs="Times New Roman"/>
          <w:sz w:val="24"/>
          <w:szCs w:val="24"/>
        </w:rPr>
        <w:t xml:space="preserve"> in New Zealand</w:t>
      </w:r>
      <w:r w:rsidR="00432472" w:rsidRPr="00A40ACC">
        <w:rPr>
          <w:rFonts w:ascii="Times New Roman" w:hAnsi="Times New Roman" w:cs="Times New Roman"/>
          <w:sz w:val="24"/>
          <w:szCs w:val="24"/>
        </w:rPr>
        <w:t xml:space="preserve"> ha</w:t>
      </w:r>
      <w:r w:rsidR="00905435" w:rsidRPr="00A40ACC">
        <w:rPr>
          <w:rFonts w:ascii="Times New Roman" w:hAnsi="Times New Roman" w:cs="Times New Roman"/>
          <w:sz w:val="24"/>
          <w:szCs w:val="24"/>
        </w:rPr>
        <w:t>s</w:t>
      </w:r>
      <w:r w:rsidR="00432472" w:rsidRPr="00A40ACC">
        <w:rPr>
          <w:rFonts w:ascii="Times New Roman" w:hAnsi="Times New Roman" w:cs="Times New Roman"/>
          <w:sz w:val="24"/>
          <w:szCs w:val="24"/>
        </w:rPr>
        <w:t xml:space="preserve"> been reviewed and </w:t>
      </w:r>
      <w:r w:rsidR="00905435" w:rsidRPr="00A40ACC">
        <w:rPr>
          <w:rFonts w:ascii="Times New Roman" w:hAnsi="Times New Roman" w:cs="Times New Roman"/>
          <w:sz w:val="24"/>
          <w:szCs w:val="24"/>
        </w:rPr>
        <w:t>substantially amended, and greater involvement of HDC</w:t>
      </w:r>
      <w:r w:rsidR="00432472" w:rsidRPr="00A40ACC">
        <w:rPr>
          <w:rFonts w:ascii="Times New Roman" w:hAnsi="Times New Roman" w:cs="Times New Roman"/>
          <w:sz w:val="24"/>
          <w:szCs w:val="24"/>
        </w:rPr>
        <w:t xml:space="preserve"> was not the direction chosen. I do not recommend that any amendment be made in relation to the oversight of e</w:t>
      </w:r>
      <w:r w:rsidR="00654F58" w:rsidRPr="00A40ACC">
        <w:rPr>
          <w:rFonts w:ascii="Times New Roman" w:hAnsi="Times New Roman" w:cs="Times New Roman"/>
          <w:sz w:val="24"/>
          <w:szCs w:val="24"/>
        </w:rPr>
        <w:t>thics committees.</w:t>
      </w:r>
    </w:p>
    <w:p w:rsidR="00976FF2" w:rsidRPr="00A40ACC" w:rsidRDefault="00976FF2" w:rsidP="00235461">
      <w:pPr>
        <w:pStyle w:val="NoSpacing"/>
        <w:spacing w:line="264" w:lineRule="auto"/>
        <w:jc w:val="both"/>
        <w:rPr>
          <w:rFonts w:ascii="Times New Roman" w:hAnsi="Times New Roman" w:cs="Times New Roman"/>
          <w:sz w:val="24"/>
          <w:szCs w:val="24"/>
        </w:rPr>
      </w:pPr>
    </w:p>
    <w:p w:rsidR="0021096B" w:rsidRPr="00A40ACC" w:rsidRDefault="00944D2A" w:rsidP="00235461">
      <w:pPr>
        <w:pStyle w:val="NoSpacing"/>
        <w:spacing w:line="264" w:lineRule="auto"/>
        <w:jc w:val="both"/>
        <w:outlineLvl w:val="1"/>
        <w:rPr>
          <w:rFonts w:ascii="Tms Rmn" w:hAnsi="Tms Rmn"/>
          <w:i/>
          <w:sz w:val="24"/>
          <w:szCs w:val="24"/>
        </w:rPr>
      </w:pPr>
      <w:bookmarkStart w:id="30" w:name="_Toc390269621"/>
      <w:r w:rsidRPr="00A40ACC">
        <w:rPr>
          <w:rFonts w:ascii="Tms Rmn" w:hAnsi="Tms Rmn"/>
          <w:i/>
          <w:sz w:val="24"/>
          <w:szCs w:val="24"/>
        </w:rPr>
        <w:t>Appeals</w:t>
      </w:r>
      <w:bookmarkEnd w:id="30"/>
    </w:p>
    <w:p w:rsidR="0043005A" w:rsidRPr="00A40ACC" w:rsidRDefault="0043005A"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The issue of including a right of appeal in the Act was raised by </w:t>
      </w:r>
      <w:r w:rsidR="00FD490E" w:rsidRPr="00A40ACC">
        <w:rPr>
          <w:rFonts w:ascii="Times New Roman" w:hAnsi="Times New Roman" w:cs="Times New Roman"/>
          <w:sz w:val="24"/>
          <w:szCs w:val="24"/>
        </w:rPr>
        <w:t xml:space="preserve">a few </w:t>
      </w:r>
      <w:r w:rsidRPr="00A40ACC">
        <w:rPr>
          <w:rFonts w:ascii="Times New Roman" w:hAnsi="Times New Roman" w:cs="Times New Roman"/>
          <w:sz w:val="24"/>
          <w:szCs w:val="24"/>
        </w:rPr>
        <w:t xml:space="preserve">submitters </w:t>
      </w:r>
      <w:r w:rsidR="00FD490E" w:rsidRPr="00A40ACC">
        <w:rPr>
          <w:rFonts w:ascii="Times New Roman" w:hAnsi="Times New Roman" w:cs="Times New Roman"/>
          <w:sz w:val="24"/>
          <w:szCs w:val="24"/>
        </w:rPr>
        <w:t>pursuant to the current</w:t>
      </w:r>
      <w:r w:rsidRPr="00A40ACC">
        <w:rPr>
          <w:rFonts w:ascii="Times New Roman" w:hAnsi="Times New Roman" w:cs="Times New Roman"/>
          <w:sz w:val="24"/>
          <w:szCs w:val="24"/>
        </w:rPr>
        <w:t xml:space="preserve"> review. </w:t>
      </w:r>
      <w:r w:rsidR="00FD490E" w:rsidRPr="00A40ACC">
        <w:rPr>
          <w:rFonts w:ascii="Times New Roman" w:hAnsi="Times New Roman" w:cs="Times New Roman"/>
          <w:sz w:val="24"/>
          <w:szCs w:val="24"/>
        </w:rPr>
        <w:t>At present</w:t>
      </w:r>
      <w:r w:rsidRPr="00A40ACC">
        <w:rPr>
          <w:rFonts w:ascii="Times New Roman" w:hAnsi="Times New Roman" w:cs="Times New Roman"/>
          <w:sz w:val="24"/>
          <w:szCs w:val="24"/>
        </w:rPr>
        <w:t xml:space="preserve">, parties </w:t>
      </w:r>
      <w:r w:rsidR="00905435" w:rsidRPr="00A40ACC">
        <w:rPr>
          <w:rFonts w:ascii="Times New Roman" w:hAnsi="Times New Roman" w:cs="Times New Roman"/>
          <w:sz w:val="24"/>
          <w:szCs w:val="24"/>
        </w:rPr>
        <w:t xml:space="preserve">may </w:t>
      </w:r>
      <w:r w:rsidRPr="00A40ACC">
        <w:rPr>
          <w:rFonts w:ascii="Times New Roman" w:hAnsi="Times New Roman" w:cs="Times New Roman"/>
          <w:sz w:val="24"/>
          <w:szCs w:val="24"/>
        </w:rPr>
        <w:t xml:space="preserve">seek a review of </w:t>
      </w:r>
      <w:r w:rsidR="002573FB" w:rsidRPr="00A40ACC">
        <w:rPr>
          <w:rFonts w:ascii="Times New Roman" w:hAnsi="Times New Roman" w:cs="Times New Roman"/>
          <w:sz w:val="24"/>
          <w:szCs w:val="24"/>
        </w:rPr>
        <w:t>my</w:t>
      </w:r>
      <w:r w:rsidRPr="00A40ACC">
        <w:rPr>
          <w:rFonts w:ascii="Times New Roman" w:hAnsi="Times New Roman" w:cs="Times New Roman"/>
          <w:sz w:val="24"/>
          <w:szCs w:val="24"/>
        </w:rPr>
        <w:t xml:space="preserve"> decisions </w:t>
      </w:r>
      <w:r w:rsidR="00905435" w:rsidRPr="00A40ACC">
        <w:rPr>
          <w:rFonts w:ascii="Times New Roman" w:hAnsi="Times New Roman" w:cs="Times New Roman"/>
          <w:sz w:val="24"/>
          <w:szCs w:val="24"/>
        </w:rPr>
        <w:t xml:space="preserve">by </w:t>
      </w:r>
      <w:r w:rsidRPr="00A40ACC">
        <w:rPr>
          <w:rFonts w:ascii="Times New Roman" w:hAnsi="Times New Roman" w:cs="Times New Roman"/>
          <w:sz w:val="24"/>
          <w:szCs w:val="24"/>
        </w:rPr>
        <w:t xml:space="preserve">the Ombudsman </w:t>
      </w:r>
      <w:r w:rsidR="00905435" w:rsidRPr="00A40ACC">
        <w:rPr>
          <w:rFonts w:ascii="Times New Roman" w:hAnsi="Times New Roman" w:cs="Times New Roman"/>
          <w:sz w:val="24"/>
          <w:szCs w:val="24"/>
        </w:rPr>
        <w:t xml:space="preserve">and may </w:t>
      </w:r>
      <w:r w:rsidRPr="00A40ACC">
        <w:rPr>
          <w:rFonts w:ascii="Times New Roman" w:hAnsi="Times New Roman" w:cs="Times New Roman"/>
          <w:sz w:val="24"/>
          <w:szCs w:val="24"/>
        </w:rPr>
        <w:t>bring judicial review proceedings in the High Court. I</w:t>
      </w:r>
      <w:r w:rsidR="00905435" w:rsidRPr="00A40ACC">
        <w:rPr>
          <w:rFonts w:ascii="Times New Roman" w:hAnsi="Times New Roman" w:cs="Times New Roman"/>
          <w:sz w:val="24"/>
          <w:szCs w:val="24"/>
        </w:rPr>
        <w:t>n the context of those reviews, I</w:t>
      </w:r>
      <w:r w:rsidRPr="00A40ACC">
        <w:rPr>
          <w:rFonts w:ascii="Times New Roman" w:hAnsi="Times New Roman" w:cs="Times New Roman"/>
          <w:sz w:val="24"/>
          <w:szCs w:val="24"/>
        </w:rPr>
        <w:t xml:space="preserve"> am not convinced </w:t>
      </w:r>
      <w:r w:rsidR="00FD490E" w:rsidRPr="00A40ACC">
        <w:rPr>
          <w:rFonts w:ascii="Times New Roman" w:hAnsi="Times New Roman" w:cs="Times New Roman"/>
          <w:sz w:val="24"/>
          <w:szCs w:val="24"/>
        </w:rPr>
        <w:t>that a statutory right of appeal is necessary</w:t>
      </w:r>
      <w:r w:rsidR="00905435" w:rsidRPr="00A40ACC">
        <w:rPr>
          <w:rFonts w:ascii="Times New Roman" w:hAnsi="Times New Roman" w:cs="Times New Roman"/>
          <w:sz w:val="24"/>
          <w:szCs w:val="24"/>
        </w:rPr>
        <w:t>.</w:t>
      </w:r>
    </w:p>
    <w:p w:rsidR="003125E8" w:rsidRPr="00A40ACC" w:rsidRDefault="003125E8" w:rsidP="00235461">
      <w:pPr>
        <w:pStyle w:val="NoSpacing"/>
        <w:spacing w:line="264" w:lineRule="auto"/>
        <w:jc w:val="both"/>
        <w:rPr>
          <w:rFonts w:ascii="Times New Roman" w:hAnsi="Times New Roman" w:cs="Times New Roman"/>
          <w:i/>
          <w:sz w:val="24"/>
          <w:szCs w:val="24"/>
        </w:rPr>
      </w:pPr>
    </w:p>
    <w:p w:rsidR="0021096B" w:rsidRPr="00A40ACC" w:rsidRDefault="00944D2A" w:rsidP="00235461">
      <w:pPr>
        <w:pStyle w:val="NoSpacing"/>
        <w:spacing w:line="264" w:lineRule="auto"/>
        <w:jc w:val="both"/>
        <w:outlineLvl w:val="1"/>
        <w:rPr>
          <w:rFonts w:ascii="Tms Rmn" w:hAnsi="Tms Rmn"/>
          <w:i/>
          <w:sz w:val="24"/>
          <w:szCs w:val="24"/>
        </w:rPr>
      </w:pPr>
      <w:bookmarkStart w:id="31" w:name="_Toc390269622"/>
      <w:r w:rsidRPr="00A40ACC">
        <w:rPr>
          <w:rFonts w:ascii="Tms Rmn" w:hAnsi="Tms Rmn"/>
          <w:i/>
          <w:sz w:val="24"/>
          <w:szCs w:val="24"/>
        </w:rPr>
        <w:t>Investigations processes</w:t>
      </w:r>
      <w:bookmarkEnd w:id="31"/>
    </w:p>
    <w:p w:rsidR="009D1072" w:rsidRPr="00A40ACC" w:rsidRDefault="00FD490E" w:rsidP="00235461">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S</w:t>
      </w:r>
      <w:r w:rsidR="009D1072" w:rsidRPr="00A40ACC">
        <w:rPr>
          <w:rFonts w:ascii="Times New Roman" w:hAnsi="Times New Roman" w:cs="Times New Roman"/>
          <w:sz w:val="24"/>
          <w:szCs w:val="24"/>
        </w:rPr>
        <w:t>e</w:t>
      </w:r>
      <w:r w:rsidRPr="00A40ACC">
        <w:rPr>
          <w:rFonts w:ascii="Times New Roman" w:hAnsi="Times New Roman" w:cs="Times New Roman"/>
          <w:sz w:val="24"/>
          <w:szCs w:val="24"/>
        </w:rPr>
        <w:t>veral</w:t>
      </w:r>
      <w:r w:rsidR="009D1072" w:rsidRPr="00A40ACC">
        <w:rPr>
          <w:rFonts w:ascii="Times New Roman" w:hAnsi="Times New Roman" w:cs="Times New Roman"/>
          <w:sz w:val="24"/>
          <w:szCs w:val="24"/>
        </w:rPr>
        <w:t xml:space="preserve"> submissions were made regarding the length of time taken to complete investigations</w:t>
      </w:r>
      <w:r w:rsidRPr="00A40ACC">
        <w:rPr>
          <w:rFonts w:ascii="Times New Roman" w:hAnsi="Times New Roman" w:cs="Times New Roman"/>
          <w:sz w:val="24"/>
          <w:szCs w:val="24"/>
        </w:rPr>
        <w:t>.</w:t>
      </w:r>
      <w:r w:rsidR="009D1072" w:rsidRPr="00A40ACC">
        <w:rPr>
          <w:rFonts w:ascii="Times New Roman" w:hAnsi="Times New Roman" w:cs="Times New Roman"/>
          <w:sz w:val="24"/>
          <w:szCs w:val="24"/>
        </w:rPr>
        <w:t xml:space="preserve"> </w:t>
      </w:r>
      <w:r w:rsidR="00C93A78" w:rsidRPr="00A40ACC">
        <w:rPr>
          <w:rFonts w:ascii="Times New Roman" w:hAnsi="Times New Roman" w:cs="Times New Roman"/>
          <w:sz w:val="24"/>
          <w:szCs w:val="24"/>
        </w:rPr>
        <w:t>One submission was made about the transparency of the investigation process.</w:t>
      </w:r>
    </w:p>
    <w:p w:rsidR="00971962" w:rsidRPr="00A40ACC" w:rsidRDefault="00971962" w:rsidP="00235461">
      <w:pPr>
        <w:pStyle w:val="NoSpacing"/>
        <w:spacing w:line="264" w:lineRule="auto"/>
        <w:jc w:val="both"/>
        <w:rPr>
          <w:rFonts w:ascii="Times New Roman" w:hAnsi="Times New Roman" w:cs="Times New Roman"/>
          <w:sz w:val="24"/>
          <w:szCs w:val="24"/>
        </w:rPr>
      </w:pPr>
    </w:p>
    <w:p w:rsidR="00971962" w:rsidRPr="00A40ACC" w:rsidRDefault="00432472" w:rsidP="00235461">
      <w:pPr>
        <w:pStyle w:val="NoSpacing"/>
        <w:spacing w:line="264" w:lineRule="auto"/>
        <w:jc w:val="both"/>
        <w:rPr>
          <w:rFonts w:ascii="Times New Roman" w:hAnsi="Times New Roman" w:cs="Times New Roman"/>
          <w:sz w:val="24"/>
          <w:szCs w:val="24"/>
          <w:lang w:val="en-US"/>
        </w:rPr>
      </w:pPr>
      <w:r w:rsidRPr="00A40ACC">
        <w:rPr>
          <w:rFonts w:ascii="Times New Roman" w:hAnsi="Times New Roman" w:cs="Times New Roman"/>
          <w:sz w:val="24"/>
          <w:szCs w:val="24"/>
          <w:lang w:val="en-US"/>
        </w:rPr>
        <w:t xml:space="preserve">In every case, HDC must strike the appropriate balance between speed, efficiency, simplicity, and fairness. That balance is the most difficult to achieve when conducting complex formal investigations, the outcomes of which are highly significant for all involved. I cannot, and must not, compromise the quality and fairness of an investigation simply to expedite an outcome. </w:t>
      </w:r>
    </w:p>
    <w:p w:rsidR="007B02B6" w:rsidRPr="00A40ACC" w:rsidRDefault="007B02B6" w:rsidP="00235461">
      <w:pPr>
        <w:pStyle w:val="NoSpacing"/>
        <w:spacing w:line="264" w:lineRule="auto"/>
        <w:jc w:val="both"/>
        <w:rPr>
          <w:rFonts w:ascii="Times New Roman" w:hAnsi="Times New Roman" w:cs="Times New Roman"/>
          <w:sz w:val="24"/>
          <w:szCs w:val="24"/>
          <w:lang w:val="en-US"/>
        </w:rPr>
      </w:pPr>
    </w:p>
    <w:p w:rsidR="00811C04" w:rsidRPr="00AA7349" w:rsidRDefault="00B50AF0" w:rsidP="00AA7349">
      <w:pPr>
        <w:pStyle w:val="NoSpacing"/>
        <w:spacing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I am mindful of the need to progress matters as expeditiously as possible, while ensuring high quality </w:t>
      </w:r>
      <w:r w:rsidR="00CC542A" w:rsidRPr="00A40ACC">
        <w:rPr>
          <w:rFonts w:ascii="Times New Roman" w:hAnsi="Times New Roman" w:cs="Times New Roman"/>
          <w:sz w:val="24"/>
          <w:szCs w:val="24"/>
        </w:rPr>
        <w:t xml:space="preserve">decisions and compliance with natural justice for all parties involved. Complaints have increased significantly in the last four years (27% projected to June 2014), with output also increasing during that period (37% projected to June 2014). </w:t>
      </w:r>
      <w:r w:rsidR="00560164" w:rsidRPr="00A40ACC">
        <w:rPr>
          <w:rFonts w:ascii="Times New Roman" w:hAnsi="Times New Roman" w:cs="Times New Roman"/>
          <w:sz w:val="24"/>
          <w:szCs w:val="24"/>
        </w:rPr>
        <w:t>At the same time as this significant increase in output, the organisation is materially meeting its timeliness targets.</w:t>
      </w:r>
      <w:r w:rsidR="00E447F9" w:rsidRPr="00A40ACC">
        <w:rPr>
          <w:rFonts w:ascii="Times New Roman" w:hAnsi="Times New Roman" w:cs="Times New Roman"/>
          <w:sz w:val="24"/>
          <w:szCs w:val="24"/>
        </w:rPr>
        <w:t xml:space="preserve"> </w:t>
      </w:r>
      <w:bookmarkStart w:id="32" w:name="_Toc390269623"/>
      <w:r w:rsidR="00811C04">
        <w:rPr>
          <w:rFonts w:ascii="Times New Roman" w:hAnsi="Times New Roman" w:cs="Times New Roman"/>
          <w:b/>
          <w:sz w:val="28"/>
          <w:szCs w:val="28"/>
        </w:rPr>
        <w:br w:type="page"/>
      </w:r>
    </w:p>
    <w:p w:rsidR="00F418C4" w:rsidRDefault="00F418C4">
      <w:pPr>
        <w:rPr>
          <w:rFonts w:ascii="Times New Roman" w:hAnsi="Times New Roman" w:cs="Times New Roman"/>
          <w:b/>
          <w:sz w:val="28"/>
          <w:szCs w:val="28"/>
        </w:rPr>
      </w:pPr>
      <w:r>
        <w:rPr>
          <w:rFonts w:ascii="Times New Roman" w:hAnsi="Times New Roman" w:cs="Times New Roman"/>
          <w:b/>
          <w:sz w:val="28"/>
          <w:szCs w:val="28"/>
        </w:rPr>
        <w:lastRenderedPageBreak/>
        <w:br w:type="page"/>
      </w:r>
    </w:p>
    <w:p w:rsidR="0021096B" w:rsidRPr="00A40ACC" w:rsidRDefault="00016BD2" w:rsidP="005C78F5">
      <w:pPr>
        <w:spacing w:after="0" w:line="264" w:lineRule="auto"/>
        <w:rPr>
          <w:rFonts w:ascii="Times New Roman" w:hAnsi="Times New Roman" w:cs="Times New Roman"/>
          <w:b/>
          <w:sz w:val="28"/>
          <w:szCs w:val="28"/>
        </w:rPr>
      </w:pPr>
      <w:r w:rsidRPr="00A40ACC">
        <w:rPr>
          <w:rFonts w:ascii="Times New Roman" w:hAnsi="Times New Roman" w:cs="Times New Roman"/>
          <w:b/>
          <w:sz w:val="28"/>
          <w:szCs w:val="28"/>
        </w:rPr>
        <w:lastRenderedPageBreak/>
        <w:t>APPENDIX A – LIST OF SUBMITTERS</w:t>
      </w:r>
      <w:bookmarkEnd w:id="32"/>
    </w:p>
    <w:p w:rsidR="00F73A31" w:rsidRPr="00A40ACC" w:rsidRDefault="00F73A31" w:rsidP="00235461">
      <w:pPr>
        <w:pStyle w:val="NoSpacing"/>
        <w:spacing w:line="264" w:lineRule="auto"/>
        <w:jc w:val="both"/>
        <w:rPr>
          <w:rFonts w:ascii="Times New Roman" w:hAnsi="Times New Roman" w:cs="Times New Roman"/>
          <w:b/>
          <w:sz w:val="28"/>
          <w:szCs w:val="28"/>
        </w:rPr>
      </w:pP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N</w:t>
      </w:r>
      <w:r w:rsidR="001B2CDA">
        <w:rPr>
          <w:szCs w:val="24"/>
          <w:lang w:val="en-US"/>
        </w:rPr>
        <w:t xml:space="preserve">ew </w:t>
      </w:r>
      <w:r w:rsidRPr="00A40ACC">
        <w:rPr>
          <w:szCs w:val="24"/>
          <w:lang w:val="en-US"/>
        </w:rPr>
        <w:t>Z</w:t>
      </w:r>
      <w:r w:rsidR="001B2CDA">
        <w:rPr>
          <w:szCs w:val="24"/>
          <w:lang w:val="en-US"/>
        </w:rPr>
        <w:t>ealand</w:t>
      </w:r>
      <w:r w:rsidRPr="00A40ACC">
        <w:rPr>
          <w:szCs w:val="24"/>
          <w:lang w:val="en-US"/>
        </w:rPr>
        <w:t xml:space="preserve"> </w:t>
      </w:r>
      <w:proofErr w:type="spellStart"/>
      <w:r w:rsidRPr="00A40ACC">
        <w:rPr>
          <w:szCs w:val="24"/>
          <w:lang w:val="en-US"/>
        </w:rPr>
        <w:t>Orthopaedic</w:t>
      </w:r>
      <w:proofErr w:type="spellEnd"/>
      <w:r w:rsidRPr="00A40ACC">
        <w:rPr>
          <w:szCs w:val="24"/>
          <w:lang w:val="en-US"/>
        </w:rPr>
        <w:t xml:space="preserve"> Association</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The Office of the Children</w:t>
      </w:r>
      <w:r w:rsidR="00040C97">
        <w:rPr>
          <w:szCs w:val="24"/>
          <w:lang w:val="en-US"/>
        </w:rPr>
        <w:t>’</w:t>
      </w:r>
      <w:r w:rsidRPr="00A40ACC">
        <w:rPr>
          <w:szCs w:val="24"/>
          <w:lang w:val="en-US"/>
        </w:rPr>
        <w:t>s Commissioner</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Council of Medical Colleges</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The Royal Australasian College of Physicians</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Federation of Women</w:t>
      </w:r>
      <w:r w:rsidR="00040C97">
        <w:rPr>
          <w:szCs w:val="24"/>
          <w:lang w:val="en-US"/>
        </w:rPr>
        <w:t>’</w:t>
      </w:r>
      <w:r w:rsidRPr="00A40ACC">
        <w:rPr>
          <w:szCs w:val="24"/>
          <w:lang w:val="en-US"/>
        </w:rPr>
        <w:t>s Health Councils</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Medical Protection Society</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Health Quality and Safety Commission New Zealand</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 xml:space="preserve">NZ </w:t>
      </w:r>
      <w:proofErr w:type="spellStart"/>
      <w:r w:rsidRPr="00A40ACC">
        <w:rPr>
          <w:szCs w:val="24"/>
          <w:lang w:val="en-US"/>
        </w:rPr>
        <w:t>Organisation</w:t>
      </w:r>
      <w:proofErr w:type="spellEnd"/>
      <w:r w:rsidRPr="00A40ACC">
        <w:rPr>
          <w:szCs w:val="24"/>
          <w:lang w:val="en-US"/>
        </w:rPr>
        <w:t xml:space="preserve"> for Rare Disorders</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Dental Council</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Office of Ethnic Affairs</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Human Rights Commission</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Interpreting New Zealand</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Elaine Henderson</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Medical Council of New Zealand</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Auckland Women</w:t>
      </w:r>
      <w:r w:rsidR="00040C97">
        <w:rPr>
          <w:szCs w:val="24"/>
          <w:lang w:val="en-US"/>
        </w:rPr>
        <w:t>’</w:t>
      </w:r>
      <w:r w:rsidRPr="00A40ACC">
        <w:rPr>
          <w:szCs w:val="24"/>
          <w:lang w:val="en-US"/>
        </w:rPr>
        <w:t>s Health Council</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Pharmacy Council of N</w:t>
      </w:r>
      <w:r w:rsidR="001B2CDA">
        <w:rPr>
          <w:szCs w:val="24"/>
          <w:lang w:val="en-US"/>
        </w:rPr>
        <w:t xml:space="preserve">ew </w:t>
      </w:r>
      <w:r w:rsidRPr="00A40ACC">
        <w:rPr>
          <w:szCs w:val="24"/>
          <w:lang w:val="en-US"/>
        </w:rPr>
        <w:t>Z</w:t>
      </w:r>
      <w:r w:rsidR="001B2CDA">
        <w:rPr>
          <w:szCs w:val="24"/>
          <w:lang w:val="en-US"/>
        </w:rPr>
        <w:t>ealand</w:t>
      </w:r>
    </w:p>
    <w:p w:rsidR="002F0A5F" w:rsidRPr="00A40ACC" w:rsidRDefault="002F0A5F" w:rsidP="00235461">
      <w:pPr>
        <w:pStyle w:val="ListParagraph"/>
        <w:numPr>
          <w:ilvl w:val="0"/>
          <w:numId w:val="19"/>
        </w:numPr>
        <w:spacing w:line="264" w:lineRule="auto"/>
        <w:jc w:val="both"/>
        <w:rPr>
          <w:szCs w:val="24"/>
          <w:lang w:val="en-US"/>
        </w:rPr>
      </w:pPr>
      <w:proofErr w:type="spellStart"/>
      <w:r w:rsidRPr="00A40ACC">
        <w:rPr>
          <w:szCs w:val="24"/>
          <w:lang w:val="en-US"/>
        </w:rPr>
        <w:t>ProCare</w:t>
      </w:r>
      <w:proofErr w:type="spellEnd"/>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N</w:t>
      </w:r>
      <w:r w:rsidR="001B2CDA">
        <w:rPr>
          <w:szCs w:val="24"/>
          <w:lang w:val="en-US"/>
        </w:rPr>
        <w:t xml:space="preserve">ew </w:t>
      </w:r>
      <w:r w:rsidRPr="00A40ACC">
        <w:rPr>
          <w:szCs w:val="24"/>
          <w:lang w:val="en-US"/>
        </w:rPr>
        <w:t>Z</w:t>
      </w:r>
      <w:r w:rsidR="001B2CDA">
        <w:rPr>
          <w:szCs w:val="24"/>
          <w:lang w:val="en-US"/>
        </w:rPr>
        <w:t>ealand</w:t>
      </w:r>
      <w:r w:rsidRPr="00A40ACC">
        <w:rPr>
          <w:szCs w:val="24"/>
          <w:lang w:val="en-US"/>
        </w:rPr>
        <w:t xml:space="preserve"> Society of </w:t>
      </w:r>
      <w:proofErr w:type="spellStart"/>
      <w:r w:rsidRPr="00A40ACC">
        <w:rPr>
          <w:szCs w:val="24"/>
          <w:lang w:val="en-US"/>
        </w:rPr>
        <w:t>Anaesthetists</w:t>
      </w:r>
      <w:proofErr w:type="spellEnd"/>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New Zealand Medical Association</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Women</w:t>
      </w:r>
      <w:r w:rsidR="00040C97">
        <w:rPr>
          <w:szCs w:val="24"/>
          <w:lang w:val="en-US"/>
        </w:rPr>
        <w:t>’</w:t>
      </w:r>
      <w:r w:rsidRPr="00A40ACC">
        <w:rPr>
          <w:szCs w:val="24"/>
          <w:lang w:val="en-US"/>
        </w:rPr>
        <w:t>s Health Action Trust</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National Ethics Advisory Committee</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 xml:space="preserve">Ministry of Health – submissions by staff do not </w:t>
      </w:r>
      <w:r w:rsidR="00450C2B">
        <w:rPr>
          <w:szCs w:val="24"/>
          <w:lang w:val="en-US"/>
        </w:rPr>
        <w:t xml:space="preserve">necessarily </w:t>
      </w:r>
      <w:r w:rsidRPr="00A40ACC">
        <w:rPr>
          <w:szCs w:val="24"/>
          <w:lang w:val="en-US"/>
        </w:rPr>
        <w:t>represent the Ministry’s views.</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ACC</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N</w:t>
      </w:r>
      <w:r w:rsidR="001B2CDA">
        <w:rPr>
          <w:szCs w:val="24"/>
          <w:lang w:val="en-US"/>
        </w:rPr>
        <w:t xml:space="preserve">ew </w:t>
      </w:r>
      <w:r w:rsidRPr="00A40ACC">
        <w:rPr>
          <w:szCs w:val="24"/>
          <w:lang w:val="en-US"/>
        </w:rPr>
        <w:t>Z</w:t>
      </w:r>
      <w:r w:rsidR="001B2CDA">
        <w:rPr>
          <w:szCs w:val="24"/>
          <w:lang w:val="en-US"/>
        </w:rPr>
        <w:t>ealand</w:t>
      </w:r>
      <w:r w:rsidRPr="00A40ACC">
        <w:rPr>
          <w:szCs w:val="24"/>
          <w:lang w:val="en-US"/>
        </w:rPr>
        <w:t xml:space="preserve"> Nurses </w:t>
      </w:r>
      <w:proofErr w:type="spellStart"/>
      <w:r w:rsidRPr="00A40ACC">
        <w:rPr>
          <w:szCs w:val="24"/>
          <w:lang w:val="en-US"/>
        </w:rPr>
        <w:t>Organisation</w:t>
      </w:r>
      <w:proofErr w:type="spellEnd"/>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Advisory Committee on Assisted Reproductive Technology</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Waikato D</w:t>
      </w:r>
      <w:r w:rsidR="001B2CDA">
        <w:rPr>
          <w:szCs w:val="24"/>
          <w:lang w:val="en-US"/>
        </w:rPr>
        <w:t xml:space="preserve">istrict </w:t>
      </w:r>
      <w:r w:rsidRPr="00A40ACC">
        <w:rPr>
          <w:szCs w:val="24"/>
          <w:lang w:val="en-US"/>
        </w:rPr>
        <w:t>H</w:t>
      </w:r>
      <w:r w:rsidR="001B2CDA">
        <w:rPr>
          <w:szCs w:val="24"/>
          <w:lang w:val="en-US"/>
        </w:rPr>
        <w:t xml:space="preserve">ealth </w:t>
      </w:r>
      <w:r w:rsidRPr="00A40ACC">
        <w:rPr>
          <w:szCs w:val="24"/>
          <w:lang w:val="en-US"/>
        </w:rPr>
        <w:t>B</w:t>
      </w:r>
      <w:r w:rsidR="001B2CDA">
        <w:rPr>
          <w:szCs w:val="24"/>
          <w:lang w:val="en-US"/>
        </w:rPr>
        <w:t>oard</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Nurse Executives of N</w:t>
      </w:r>
      <w:r w:rsidR="001B2CDA">
        <w:rPr>
          <w:szCs w:val="24"/>
          <w:lang w:val="en-US"/>
        </w:rPr>
        <w:t xml:space="preserve">ew </w:t>
      </w:r>
      <w:r w:rsidRPr="00A40ACC">
        <w:rPr>
          <w:szCs w:val="24"/>
          <w:lang w:val="en-US"/>
        </w:rPr>
        <w:t>Z</w:t>
      </w:r>
      <w:r w:rsidR="001B2CDA">
        <w:rPr>
          <w:szCs w:val="24"/>
          <w:lang w:val="en-US"/>
        </w:rPr>
        <w:t xml:space="preserve">ealand </w:t>
      </w:r>
      <w:proofErr w:type="spellStart"/>
      <w:r w:rsidR="001B2CDA">
        <w:rPr>
          <w:szCs w:val="24"/>
          <w:lang w:val="en-US"/>
        </w:rPr>
        <w:t>Inc</w:t>
      </w:r>
      <w:proofErr w:type="spellEnd"/>
      <w:r w:rsidRPr="00A40ACC">
        <w:rPr>
          <w:szCs w:val="24"/>
          <w:lang w:val="en-US"/>
        </w:rPr>
        <w:t xml:space="preserve"> </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Health Professional Legal Services Ltd</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 xml:space="preserve">Southern Cross Hospitals – submissions by staff do not </w:t>
      </w:r>
      <w:r w:rsidR="00450C2B">
        <w:rPr>
          <w:szCs w:val="24"/>
          <w:lang w:val="en-US"/>
        </w:rPr>
        <w:t xml:space="preserve">necessarily </w:t>
      </w:r>
      <w:r w:rsidRPr="00A40ACC">
        <w:rPr>
          <w:szCs w:val="24"/>
          <w:lang w:val="en-US"/>
        </w:rPr>
        <w:t>represent Southern Cross Hospitals</w:t>
      </w:r>
      <w:r w:rsidR="007F55D2">
        <w:rPr>
          <w:szCs w:val="24"/>
          <w:lang w:val="en-US"/>
        </w:rPr>
        <w:t>’</w:t>
      </w:r>
      <w:r w:rsidRPr="00A40ACC">
        <w:rPr>
          <w:szCs w:val="24"/>
          <w:lang w:val="en-US"/>
        </w:rPr>
        <w:t xml:space="preserve"> views.</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Association of Blind Citizens of N</w:t>
      </w:r>
      <w:r w:rsidR="001B2CDA">
        <w:rPr>
          <w:szCs w:val="24"/>
          <w:lang w:val="en-US"/>
        </w:rPr>
        <w:t xml:space="preserve">ew </w:t>
      </w:r>
      <w:r w:rsidRPr="00A40ACC">
        <w:rPr>
          <w:szCs w:val="24"/>
          <w:lang w:val="en-US"/>
        </w:rPr>
        <w:t>Z</w:t>
      </w:r>
      <w:r w:rsidR="001B2CDA">
        <w:rPr>
          <w:szCs w:val="24"/>
          <w:lang w:val="en-US"/>
        </w:rPr>
        <w:t>ealand</w:t>
      </w:r>
      <w:r w:rsidRPr="00A40ACC">
        <w:rPr>
          <w:szCs w:val="24"/>
          <w:lang w:val="en-US"/>
        </w:rPr>
        <w:t xml:space="preserve"> </w:t>
      </w:r>
      <w:proofErr w:type="spellStart"/>
      <w:r w:rsidRPr="00A40ACC">
        <w:rPr>
          <w:szCs w:val="24"/>
          <w:lang w:val="en-US"/>
        </w:rPr>
        <w:t>Inc</w:t>
      </w:r>
      <w:proofErr w:type="spellEnd"/>
    </w:p>
    <w:p w:rsidR="005F0AC4" w:rsidRPr="00A40ACC" w:rsidRDefault="005F0AC4" w:rsidP="00235461">
      <w:pPr>
        <w:pStyle w:val="ListParagraph"/>
        <w:numPr>
          <w:ilvl w:val="0"/>
          <w:numId w:val="19"/>
        </w:numPr>
        <w:spacing w:line="264" w:lineRule="auto"/>
        <w:jc w:val="both"/>
        <w:rPr>
          <w:szCs w:val="24"/>
          <w:lang w:val="en-US"/>
        </w:rPr>
      </w:pPr>
      <w:r w:rsidRPr="00A40ACC">
        <w:rPr>
          <w:szCs w:val="24"/>
          <w:lang w:val="en-US"/>
        </w:rPr>
        <w:t>Name withheld</w:t>
      </w:r>
    </w:p>
    <w:p w:rsidR="005F0AC4" w:rsidRPr="00A40ACC" w:rsidRDefault="005F0AC4" w:rsidP="00235461">
      <w:pPr>
        <w:pStyle w:val="ListParagraph"/>
        <w:numPr>
          <w:ilvl w:val="0"/>
          <w:numId w:val="19"/>
        </w:numPr>
        <w:spacing w:line="264" w:lineRule="auto"/>
        <w:jc w:val="both"/>
        <w:rPr>
          <w:szCs w:val="24"/>
          <w:lang w:val="en-US"/>
        </w:rPr>
      </w:pPr>
      <w:r w:rsidRPr="00A40ACC">
        <w:rPr>
          <w:szCs w:val="24"/>
          <w:lang w:val="en-US"/>
        </w:rPr>
        <w:t>Name withheld</w:t>
      </w:r>
    </w:p>
    <w:p w:rsidR="005F0AC4" w:rsidRPr="00A40ACC" w:rsidRDefault="005F0AC4" w:rsidP="00235461">
      <w:pPr>
        <w:pStyle w:val="ListParagraph"/>
        <w:numPr>
          <w:ilvl w:val="0"/>
          <w:numId w:val="19"/>
        </w:numPr>
        <w:spacing w:line="264" w:lineRule="auto"/>
        <w:jc w:val="both"/>
        <w:rPr>
          <w:szCs w:val="24"/>
          <w:lang w:val="en-US"/>
        </w:rPr>
      </w:pPr>
      <w:r w:rsidRPr="00A40ACC">
        <w:rPr>
          <w:szCs w:val="24"/>
          <w:lang w:val="en-US"/>
        </w:rPr>
        <w:t>Name withheld</w:t>
      </w:r>
    </w:p>
    <w:p w:rsidR="005F0AC4" w:rsidRPr="00A40ACC" w:rsidRDefault="005F0AC4" w:rsidP="00235461">
      <w:pPr>
        <w:pStyle w:val="ListParagraph"/>
        <w:numPr>
          <w:ilvl w:val="0"/>
          <w:numId w:val="19"/>
        </w:numPr>
        <w:spacing w:line="264" w:lineRule="auto"/>
        <w:jc w:val="both"/>
        <w:rPr>
          <w:szCs w:val="24"/>
          <w:lang w:val="en-US"/>
        </w:rPr>
      </w:pPr>
      <w:r w:rsidRPr="00A40ACC">
        <w:rPr>
          <w:szCs w:val="24"/>
          <w:lang w:val="en-US"/>
        </w:rPr>
        <w:t>Name withheld</w:t>
      </w:r>
    </w:p>
    <w:p w:rsidR="005F0AC4" w:rsidRPr="00A40ACC" w:rsidRDefault="005F0AC4" w:rsidP="00235461">
      <w:pPr>
        <w:pStyle w:val="ListParagraph"/>
        <w:numPr>
          <w:ilvl w:val="0"/>
          <w:numId w:val="19"/>
        </w:numPr>
        <w:spacing w:line="264" w:lineRule="auto"/>
        <w:jc w:val="both"/>
        <w:rPr>
          <w:szCs w:val="24"/>
          <w:lang w:val="en-US"/>
        </w:rPr>
      </w:pPr>
      <w:r w:rsidRPr="00A40ACC">
        <w:rPr>
          <w:szCs w:val="24"/>
          <w:lang w:val="en-US"/>
        </w:rPr>
        <w:t>Name withheld</w:t>
      </w:r>
    </w:p>
    <w:p w:rsidR="005F0AC4" w:rsidRPr="00A40ACC" w:rsidRDefault="005F0AC4" w:rsidP="00235461">
      <w:pPr>
        <w:pStyle w:val="ListParagraph"/>
        <w:numPr>
          <w:ilvl w:val="0"/>
          <w:numId w:val="19"/>
        </w:numPr>
        <w:spacing w:line="264" w:lineRule="auto"/>
        <w:jc w:val="both"/>
        <w:rPr>
          <w:szCs w:val="24"/>
          <w:lang w:val="en-US"/>
        </w:rPr>
      </w:pPr>
      <w:r w:rsidRPr="00A40ACC">
        <w:rPr>
          <w:szCs w:val="24"/>
          <w:lang w:val="en-US"/>
        </w:rPr>
        <w:t>Name withheld</w:t>
      </w:r>
    </w:p>
    <w:p w:rsidR="005F0AC4" w:rsidRPr="00A40ACC" w:rsidRDefault="005F0AC4" w:rsidP="00235461">
      <w:pPr>
        <w:pStyle w:val="ListParagraph"/>
        <w:numPr>
          <w:ilvl w:val="0"/>
          <w:numId w:val="19"/>
        </w:numPr>
        <w:spacing w:line="264" w:lineRule="auto"/>
        <w:jc w:val="both"/>
        <w:rPr>
          <w:szCs w:val="24"/>
          <w:lang w:val="en-US"/>
        </w:rPr>
      </w:pPr>
      <w:r w:rsidRPr="00A40ACC">
        <w:rPr>
          <w:szCs w:val="24"/>
          <w:lang w:val="en-US"/>
        </w:rPr>
        <w:t>Name withheld</w:t>
      </w:r>
    </w:p>
    <w:p w:rsidR="005F0AC4" w:rsidRPr="00A40ACC" w:rsidRDefault="005F0AC4" w:rsidP="00235461">
      <w:pPr>
        <w:pStyle w:val="ListParagraph"/>
        <w:numPr>
          <w:ilvl w:val="0"/>
          <w:numId w:val="19"/>
        </w:numPr>
        <w:spacing w:line="264" w:lineRule="auto"/>
        <w:jc w:val="both"/>
        <w:rPr>
          <w:szCs w:val="24"/>
          <w:lang w:val="en-US"/>
        </w:rPr>
      </w:pPr>
      <w:r w:rsidRPr="00A40ACC">
        <w:rPr>
          <w:szCs w:val="24"/>
          <w:lang w:val="en-US"/>
        </w:rPr>
        <w:t>Name withheld</w:t>
      </w:r>
    </w:p>
    <w:p w:rsidR="002F0A5F" w:rsidRPr="00A40ACC" w:rsidRDefault="002F0A5F" w:rsidP="00235461">
      <w:pPr>
        <w:pStyle w:val="ListParagraph"/>
        <w:numPr>
          <w:ilvl w:val="0"/>
          <w:numId w:val="19"/>
        </w:numPr>
        <w:spacing w:line="264" w:lineRule="auto"/>
        <w:jc w:val="both"/>
        <w:rPr>
          <w:szCs w:val="24"/>
          <w:lang w:val="en-US"/>
        </w:rPr>
      </w:pPr>
      <w:proofErr w:type="spellStart"/>
      <w:r w:rsidRPr="00A40ACC">
        <w:rPr>
          <w:szCs w:val="24"/>
          <w:lang w:val="en-US"/>
        </w:rPr>
        <w:t>Dr</w:t>
      </w:r>
      <w:proofErr w:type="spellEnd"/>
      <w:r w:rsidRPr="00A40ACC">
        <w:rPr>
          <w:szCs w:val="24"/>
          <w:lang w:val="en-US"/>
        </w:rPr>
        <w:t xml:space="preserve"> Ross Wilson, </w:t>
      </w:r>
      <w:proofErr w:type="spellStart"/>
      <w:r w:rsidRPr="00A40ACC">
        <w:rPr>
          <w:szCs w:val="24"/>
          <w:lang w:val="en-US"/>
        </w:rPr>
        <w:t>Paediatrician</w:t>
      </w:r>
      <w:proofErr w:type="spellEnd"/>
      <w:r w:rsidRPr="00A40ACC">
        <w:rPr>
          <w:szCs w:val="24"/>
          <w:lang w:val="en-US"/>
        </w:rPr>
        <w:t>, C</w:t>
      </w:r>
      <w:r w:rsidR="00450C2B">
        <w:rPr>
          <w:szCs w:val="24"/>
          <w:lang w:val="en-US"/>
        </w:rPr>
        <w:t xml:space="preserve">apital and </w:t>
      </w:r>
      <w:r w:rsidRPr="00A40ACC">
        <w:rPr>
          <w:szCs w:val="24"/>
          <w:lang w:val="en-US"/>
        </w:rPr>
        <w:t>C</w:t>
      </w:r>
      <w:r w:rsidR="00450C2B">
        <w:rPr>
          <w:szCs w:val="24"/>
          <w:lang w:val="en-US"/>
        </w:rPr>
        <w:t xml:space="preserve">oast </w:t>
      </w:r>
      <w:r w:rsidRPr="00A40ACC">
        <w:rPr>
          <w:szCs w:val="24"/>
          <w:lang w:val="en-US"/>
        </w:rPr>
        <w:t>D</w:t>
      </w:r>
      <w:r w:rsidR="001B2CDA">
        <w:rPr>
          <w:szCs w:val="24"/>
          <w:lang w:val="en-US"/>
        </w:rPr>
        <w:t xml:space="preserve">istrict </w:t>
      </w:r>
      <w:r w:rsidRPr="00A40ACC">
        <w:rPr>
          <w:szCs w:val="24"/>
          <w:lang w:val="en-US"/>
        </w:rPr>
        <w:t>H</w:t>
      </w:r>
      <w:r w:rsidR="001B2CDA">
        <w:rPr>
          <w:szCs w:val="24"/>
          <w:lang w:val="en-US"/>
        </w:rPr>
        <w:t xml:space="preserve">ealth </w:t>
      </w:r>
      <w:r w:rsidRPr="00A40ACC">
        <w:rPr>
          <w:szCs w:val="24"/>
          <w:lang w:val="en-US"/>
        </w:rPr>
        <w:t>B</w:t>
      </w:r>
      <w:r w:rsidR="001B2CDA">
        <w:rPr>
          <w:szCs w:val="24"/>
          <w:lang w:val="en-US"/>
        </w:rPr>
        <w:t>oard</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State Services Commission</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t>N</w:t>
      </w:r>
      <w:r w:rsidR="001B2CDA">
        <w:rPr>
          <w:szCs w:val="24"/>
          <w:lang w:val="en-US"/>
        </w:rPr>
        <w:t xml:space="preserve">ew </w:t>
      </w:r>
      <w:r w:rsidRPr="00A40ACC">
        <w:rPr>
          <w:szCs w:val="24"/>
          <w:lang w:val="en-US"/>
        </w:rPr>
        <w:t>Z</w:t>
      </w:r>
      <w:r w:rsidR="001B2CDA">
        <w:rPr>
          <w:szCs w:val="24"/>
          <w:lang w:val="en-US"/>
        </w:rPr>
        <w:t>ealand</w:t>
      </w:r>
      <w:r w:rsidRPr="00A40ACC">
        <w:rPr>
          <w:szCs w:val="24"/>
          <w:lang w:val="en-US"/>
        </w:rPr>
        <w:t xml:space="preserve"> Law Society</w:t>
      </w:r>
    </w:p>
    <w:p w:rsidR="002F0A5F" w:rsidRPr="00A40ACC" w:rsidRDefault="002F0A5F" w:rsidP="00235461">
      <w:pPr>
        <w:pStyle w:val="ListParagraph"/>
        <w:numPr>
          <w:ilvl w:val="0"/>
          <w:numId w:val="19"/>
        </w:numPr>
        <w:spacing w:line="264" w:lineRule="auto"/>
        <w:jc w:val="both"/>
        <w:rPr>
          <w:szCs w:val="24"/>
          <w:lang w:val="en-US"/>
        </w:rPr>
      </w:pPr>
      <w:r w:rsidRPr="00A40ACC">
        <w:rPr>
          <w:szCs w:val="24"/>
          <w:lang w:val="en-US"/>
        </w:rPr>
        <w:lastRenderedPageBreak/>
        <w:t>Office of the Ombudsman</w:t>
      </w:r>
    </w:p>
    <w:p w:rsidR="00125D48" w:rsidRPr="00A40ACC" w:rsidRDefault="00125D48" w:rsidP="00235461">
      <w:pPr>
        <w:pStyle w:val="ListParagraph"/>
        <w:numPr>
          <w:ilvl w:val="0"/>
          <w:numId w:val="19"/>
        </w:numPr>
        <w:spacing w:line="264" w:lineRule="auto"/>
        <w:jc w:val="both"/>
        <w:rPr>
          <w:szCs w:val="24"/>
          <w:lang w:val="en-US"/>
        </w:rPr>
      </w:pPr>
      <w:r w:rsidRPr="00A40ACC">
        <w:rPr>
          <w:szCs w:val="24"/>
          <w:lang w:val="en-US"/>
        </w:rPr>
        <w:t>Advocates and Representatives Group to ACC</w:t>
      </w:r>
    </w:p>
    <w:p w:rsidR="00125D48" w:rsidRPr="00A40ACC" w:rsidRDefault="00125D48" w:rsidP="00235461">
      <w:pPr>
        <w:pStyle w:val="ListParagraph"/>
        <w:numPr>
          <w:ilvl w:val="0"/>
          <w:numId w:val="19"/>
        </w:numPr>
        <w:spacing w:line="264" w:lineRule="auto"/>
        <w:jc w:val="both"/>
        <w:rPr>
          <w:szCs w:val="24"/>
          <w:lang w:val="en-US"/>
        </w:rPr>
      </w:pPr>
      <w:proofErr w:type="spellStart"/>
      <w:r w:rsidRPr="00A40ACC">
        <w:rPr>
          <w:szCs w:val="24"/>
          <w:lang w:val="en-US"/>
        </w:rPr>
        <w:t>Mr</w:t>
      </w:r>
      <w:proofErr w:type="spellEnd"/>
      <w:r w:rsidRPr="00A40ACC">
        <w:rPr>
          <w:szCs w:val="24"/>
          <w:lang w:val="en-US"/>
        </w:rPr>
        <w:t xml:space="preserve"> Bryce Whiting</w:t>
      </w:r>
    </w:p>
    <w:p w:rsidR="00125D48" w:rsidRPr="00A40ACC" w:rsidRDefault="00125D48" w:rsidP="00235461">
      <w:pPr>
        <w:spacing w:after="0" w:line="264" w:lineRule="auto"/>
        <w:jc w:val="both"/>
        <w:rPr>
          <w:szCs w:val="24"/>
          <w:lang w:val="en-US"/>
        </w:rPr>
      </w:pPr>
      <w:r w:rsidRPr="00A40ACC">
        <w:rPr>
          <w:szCs w:val="24"/>
          <w:lang w:val="en-US"/>
        </w:rPr>
        <w:br w:type="page"/>
      </w:r>
    </w:p>
    <w:p w:rsidR="0021096B" w:rsidRPr="00A40ACC" w:rsidRDefault="00016BD2" w:rsidP="00235461">
      <w:pPr>
        <w:pStyle w:val="NoSpacing"/>
        <w:spacing w:line="264" w:lineRule="auto"/>
        <w:jc w:val="both"/>
        <w:outlineLvl w:val="0"/>
        <w:rPr>
          <w:rFonts w:ascii="Times New Roman" w:hAnsi="Times New Roman" w:cs="Times New Roman"/>
          <w:b/>
          <w:sz w:val="28"/>
          <w:szCs w:val="28"/>
        </w:rPr>
      </w:pPr>
      <w:bookmarkStart w:id="33" w:name="_Toc390269624"/>
      <w:r w:rsidRPr="00A40ACC">
        <w:rPr>
          <w:rFonts w:ascii="Times New Roman" w:hAnsi="Times New Roman" w:cs="Times New Roman"/>
          <w:b/>
          <w:sz w:val="28"/>
          <w:szCs w:val="28"/>
        </w:rPr>
        <w:lastRenderedPageBreak/>
        <w:t xml:space="preserve">APPENDIX B – </w:t>
      </w:r>
      <w:r w:rsidR="003C31A2" w:rsidRPr="00A40ACC">
        <w:rPr>
          <w:rFonts w:ascii="Times New Roman" w:hAnsi="Times New Roman" w:cs="Times New Roman"/>
          <w:b/>
          <w:sz w:val="28"/>
          <w:szCs w:val="28"/>
        </w:rPr>
        <w:t>SUMMARY</w:t>
      </w:r>
      <w:r w:rsidRPr="00A40ACC">
        <w:rPr>
          <w:rFonts w:ascii="Times New Roman" w:hAnsi="Times New Roman" w:cs="Times New Roman"/>
          <w:b/>
          <w:sz w:val="28"/>
          <w:szCs w:val="28"/>
        </w:rPr>
        <w:t xml:space="preserve"> OF SUBMISSIONS</w:t>
      </w:r>
      <w:bookmarkEnd w:id="33"/>
    </w:p>
    <w:p w:rsidR="00871911" w:rsidRPr="00A40ACC" w:rsidRDefault="00871911" w:rsidP="00235461">
      <w:pPr>
        <w:spacing w:after="0" w:line="264" w:lineRule="auto"/>
        <w:jc w:val="both"/>
        <w:rPr>
          <w:rFonts w:ascii="Times New Roman" w:hAnsi="Times New Roman" w:cs="Times New Roman"/>
          <w:sz w:val="28"/>
          <w:szCs w:val="28"/>
          <w:lang w:val="en-US" w:eastAsia="en-US"/>
        </w:rPr>
      </w:pPr>
    </w:p>
    <w:p w:rsidR="00871911" w:rsidRPr="00A40ACC" w:rsidRDefault="00871911" w:rsidP="00235461">
      <w:pPr>
        <w:spacing w:after="0" w:line="264" w:lineRule="auto"/>
        <w:jc w:val="both"/>
        <w:rPr>
          <w:rFonts w:ascii="Times New Roman" w:hAnsi="Times New Roman" w:cs="Times New Roman"/>
          <w:b/>
          <w:i/>
          <w:sz w:val="28"/>
          <w:szCs w:val="28"/>
          <w:lang w:val="en-US" w:eastAsia="en-US"/>
        </w:rPr>
      </w:pPr>
      <w:r w:rsidRPr="00A40ACC">
        <w:rPr>
          <w:rFonts w:ascii="Times New Roman" w:hAnsi="Times New Roman" w:cs="Times New Roman"/>
          <w:b/>
          <w:sz w:val="28"/>
          <w:szCs w:val="28"/>
          <w:lang w:val="en-US" w:eastAsia="en-US"/>
        </w:rPr>
        <w:t xml:space="preserve">Recommendations arising out of the 2009 </w:t>
      </w:r>
      <w:r w:rsidR="007100CF" w:rsidRPr="00A40ACC">
        <w:rPr>
          <w:rFonts w:ascii="Times New Roman" w:hAnsi="Times New Roman" w:cs="Times New Roman"/>
          <w:b/>
          <w:sz w:val="28"/>
          <w:szCs w:val="28"/>
          <w:lang w:val="en-US" w:eastAsia="en-US"/>
        </w:rPr>
        <w:t>review</w:t>
      </w:r>
    </w:p>
    <w:p w:rsidR="005C78F5" w:rsidRDefault="005C78F5" w:rsidP="00235461">
      <w:pPr>
        <w:spacing w:after="0" w:line="264" w:lineRule="auto"/>
        <w:jc w:val="both"/>
        <w:rPr>
          <w:rFonts w:ascii="Times New Roman" w:hAnsi="Times New Roman" w:cs="Times New Roman"/>
          <w:sz w:val="24"/>
          <w:szCs w:val="24"/>
          <w:lang w:val="en-US" w:eastAsia="en-US"/>
        </w:rPr>
      </w:pPr>
    </w:p>
    <w:p w:rsidR="00871911" w:rsidRPr="00A40ACC"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The consultation document informed submitters that the following amendments, arising out of the 2009 review, have the continued support of the Commissioner</w:t>
      </w:r>
      <w:r w:rsidR="007669AA" w:rsidRPr="00A40ACC">
        <w:rPr>
          <w:rFonts w:ascii="Times New Roman" w:hAnsi="Times New Roman" w:cs="Times New Roman"/>
          <w:sz w:val="24"/>
          <w:szCs w:val="24"/>
          <w:lang w:val="en-US" w:eastAsia="en-US"/>
        </w:rPr>
        <w:t xml:space="preserve"> and that comments on these points was not necessary</w:t>
      </w:r>
      <w:r w:rsidRPr="00A40ACC">
        <w:rPr>
          <w:rFonts w:ascii="Times New Roman" w:hAnsi="Times New Roman" w:cs="Times New Roman"/>
          <w:sz w:val="24"/>
          <w:szCs w:val="24"/>
          <w:lang w:val="en-US" w:eastAsia="en-US"/>
        </w:rPr>
        <w:t xml:space="preserve">. </w:t>
      </w:r>
      <w:r w:rsidR="0095091E" w:rsidRPr="00A40ACC">
        <w:rPr>
          <w:rFonts w:ascii="Times New Roman" w:hAnsi="Times New Roman" w:cs="Times New Roman"/>
          <w:sz w:val="24"/>
          <w:szCs w:val="24"/>
          <w:lang w:val="en-US" w:eastAsia="en-US"/>
        </w:rPr>
        <w:t>Nevertheless, a</w:t>
      </w:r>
      <w:r w:rsidRPr="00A40ACC">
        <w:rPr>
          <w:rFonts w:ascii="Times New Roman" w:hAnsi="Times New Roman" w:cs="Times New Roman"/>
          <w:sz w:val="24"/>
          <w:szCs w:val="24"/>
          <w:lang w:val="en-US" w:eastAsia="en-US"/>
        </w:rPr>
        <w:t xml:space="preserve"> number of </w:t>
      </w:r>
      <w:r w:rsidR="0095091E" w:rsidRPr="00A40ACC">
        <w:rPr>
          <w:rFonts w:ascii="Times New Roman" w:hAnsi="Times New Roman" w:cs="Times New Roman"/>
          <w:sz w:val="24"/>
          <w:szCs w:val="24"/>
          <w:lang w:val="en-US" w:eastAsia="en-US"/>
        </w:rPr>
        <w:t>comments were received.</w:t>
      </w:r>
    </w:p>
    <w:p w:rsidR="00871911" w:rsidRPr="00A40ACC" w:rsidRDefault="00871911" w:rsidP="00235461">
      <w:pPr>
        <w:spacing w:after="0" w:line="264" w:lineRule="auto"/>
        <w:jc w:val="both"/>
        <w:rPr>
          <w:rFonts w:ascii="Times New Roman" w:hAnsi="Times New Roman" w:cs="Times New Roman"/>
          <w:sz w:val="24"/>
          <w:szCs w:val="24"/>
          <w:lang w:val="en-US" w:eastAsia="en-US"/>
        </w:rPr>
      </w:pPr>
    </w:p>
    <w:p w:rsidR="00871911" w:rsidRPr="00A40ACC" w:rsidRDefault="00871911" w:rsidP="00235461">
      <w:pPr>
        <w:spacing w:after="0" w:line="264" w:lineRule="auto"/>
        <w:jc w:val="both"/>
        <w:rPr>
          <w:rFonts w:ascii="Times New Roman" w:hAnsi="Times New Roman" w:cs="Times New Roman"/>
          <w:b/>
          <w:i/>
          <w:sz w:val="24"/>
          <w:szCs w:val="24"/>
          <w:lang w:val="en-US" w:eastAsia="en-US"/>
        </w:rPr>
      </w:pPr>
      <w:r w:rsidRPr="00A40ACC">
        <w:rPr>
          <w:rFonts w:ascii="Times New Roman" w:hAnsi="Times New Roman" w:cs="Times New Roman"/>
          <w:b/>
          <w:i/>
          <w:sz w:val="24"/>
          <w:szCs w:val="24"/>
          <w:lang w:val="en-US" w:eastAsia="en-US"/>
        </w:rPr>
        <w:t xml:space="preserve">Review the Act and </w:t>
      </w:r>
      <w:r w:rsidR="00932369" w:rsidRPr="00A40ACC">
        <w:rPr>
          <w:rFonts w:ascii="Times New Roman" w:hAnsi="Times New Roman" w:cs="Times New Roman"/>
          <w:b/>
          <w:i/>
          <w:sz w:val="24"/>
          <w:szCs w:val="24"/>
          <w:lang w:val="en-US" w:eastAsia="en-US"/>
        </w:rPr>
        <w:t xml:space="preserve">the </w:t>
      </w:r>
      <w:r w:rsidRPr="00A40ACC">
        <w:rPr>
          <w:rFonts w:ascii="Times New Roman" w:hAnsi="Times New Roman" w:cs="Times New Roman"/>
          <w:b/>
          <w:i/>
          <w:sz w:val="24"/>
          <w:szCs w:val="24"/>
          <w:lang w:val="en-US" w:eastAsia="en-US"/>
        </w:rPr>
        <w:t>Code only every ten years with the option of an earlier review if desirable</w:t>
      </w:r>
    </w:p>
    <w:p w:rsidR="00871911" w:rsidRPr="00A40ACC"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Of those submitters that commented upon this amendment, opinion was divided</w:t>
      </w:r>
      <w:r w:rsidR="0095091E" w:rsidRPr="00A40ACC">
        <w:rPr>
          <w:rFonts w:ascii="Times New Roman" w:hAnsi="Times New Roman" w:cs="Times New Roman"/>
          <w:sz w:val="24"/>
          <w:szCs w:val="24"/>
          <w:lang w:val="en-US" w:eastAsia="en-US"/>
        </w:rPr>
        <w:t>.</w:t>
      </w:r>
      <w:r w:rsidRPr="00A40ACC">
        <w:rPr>
          <w:rStyle w:val="FootnoteReference"/>
          <w:rFonts w:ascii="Times New Roman" w:hAnsi="Times New Roman" w:cs="Times New Roman"/>
          <w:sz w:val="24"/>
          <w:szCs w:val="24"/>
          <w:lang w:val="en-US" w:eastAsia="en-US"/>
        </w:rPr>
        <w:footnoteReference w:id="1"/>
      </w:r>
      <w:r w:rsidRPr="00A40ACC">
        <w:rPr>
          <w:rFonts w:ascii="Times New Roman" w:hAnsi="Times New Roman" w:cs="Times New Roman"/>
          <w:sz w:val="24"/>
          <w:szCs w:val="24"/>
          <w:lang w:val="en-US" w:eastAsia="en-US"/>
        </w:rPr>
        <w:t xml:space="preserve"> </w:t>
      </w:r>
    </w:p>
    <w:p w:rsidR="007F55D2" w:rsidRDefault="007F55D2" w:rsidP="00235461">
      <w:pPr>
        <w:spacing w:after="0" w:line="264" w:lineRule="auto"/>
        <w:jc w:val="both"/>
        <w:rPr>
          <w:rFonts w:ascii="Times New Roman" w:hAnsi="Times New Roman" w:cs="Times New Roman"/>
          <w:sz w:val="24"/>
          <w:szCs w:val="24"/>
          <w:lang w:val="en-US" w:eastAsia="en-US"/>
        </w:rPr>
      </w:pPr>
    </w:p>
    <w:p w:rsidR="00871911" w:rsidRPr="00A40ACC"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Those that disagreed with the proposed amendment provided a range of reasons as to why they disagreed. One submitter raised concern that consumer groups do not have the same influence in getting changes introduced outside of the review process as health care professionals do, and therefore should not be required to wait for ten years before being provided with an opportunity to have their concerns addressed.</w:t>
      </w:r>
      <w:r w:rsidRPr="00A40ACC">
        <w:rPr>
          <w:rStyle w:val="FootnoteReference"/>
          <w:rFonts w:ascii="Times New Roman" w:hAnsi="Times New Roman" w:cs="Times New Roman"/>
          <w:sz w:val="24"/>
          <w:szCs w:val="24"/>
          <w:lang w:val="en-US" w:eastAsia="en-US"/>
        </w:rPr>
        <w:footnoteReference w:id="2"/>
      </w:r>
      <w:r w:rsidRPr="00A40ACC">
        <w:rPr>
          <w:rFonts w:ascii="Times New Roman" w:hAnsi="Times New Roman" w:cs="Times New Roman"/>
          <w:sz w:val="24"/>
          <w:szCs w:val="24"/>
          <w:lang w:val="en-US" w:eastAsia="en-US"/>
        </w:rPr>
        <w:t xml:space="preserve"> Two submitters commented that, in conjunction with this review’s more general format, a ten-yearly process will decrease public interaction and understanding of the Act and </w:t>
      </w:r>
      <w:r w:rsidR="00932369" w:rsidRPr="00A40ACC">
        <w:rPr>
          <w:rFonts w:ascii="Times New Roman" w:hAnsi="Times New Roman" w:cs="Times New Roman"/>
          <w:sz w:val="24"/>
          <w:szCs w:val="24"/>
          <w:lang w:val="en-US" w:eastAsia="en-US"/>
        </w:rPr>
        <w:t xml:space="preserve">the </w:t>
      </w:r>
      <w:r w:rsidRPr="00A40ACC">
        <w:rPr>
          <w:rFonts w:ascii="Times New Roman" w:hAnsi="Times New Roman" w:cs="Times New Roman"/>
          <w:sz w:val="24"/>
          <w:szCs w:val="24"/>
          <w:lang w:val="en-US" w:eastAsia="en-US"/>
        </w:rPr>
        <w:t>Code.</w:t>
      </w:r>
      <w:r w:rsidRPr="00A40ACC">
        <w:rPr>
          <w:rStyle w:val="FootnoteReference"/>
          <w:rFonts w:ascii="Times New Roman" w:hAnsi="Times New Roman" w:cs="Times New Roman"/>
          <w:sz w:val="24"/>
          <w:szCs w:val="24"/>
          <w:lang w:val="en-US" w:eastAsia="en-US"/>
        </w:rPr>
        <w:footnoteReference w:id="3"/>
      </w:r>
      <w:r w:rsidRPr="00A40ACC">
        <w:rPr>
          <w:rFonts w:ascii="Times New Roman" w:hAnsi="Times New Roman" w:cs="Times New Roman"/>
          <w:sz w:val="24"/>
          <w:szCs w:val="24"/>
          <w:lang w:val="en-US" w:eastAsia="en-US"/>
        </w:rPr>
        <w:t xml:space="preserve"> </w:t>
      </w:r>
      <w:r w:rsidR="0095091E" w:rsidRPr="00A40ACC">
        <w:rPr>
          <w:rFonts w:ascii="Times New Roman" w:hAnsi="Times New Roman" w:cs="Times New Roman"/>
          <w:sz w:val="24"/>
          <w:szCs w:val="24"/>
          <w:lang w:val="en-US" w:eastAsia="en-US"/>
        </w:rPr>
        <w:t>One</w:t>
      </w:r>
      <w:r w:rsidRPr="00A40ACC">
        <w:rPr>
          <w:rFonts w:ascii="Times New Roman" w:hAnsi="Times New Roman" w:cs="Times New Roman"/>
          <w:sz w:val="24"/>
          <w:szCs w:val="24"/>
          <w:lang w:val="en-US" w:eastAsia="en-US"/>
        </w:rPr>
        <w:t xml:space="preserve"> also commented that the current period reflects the statutory intent of protecting and promoting the rights of consumers by allowing the Code to develop a flexible and relevant framework.</w:t>
      </w:r>
      <w:r w:rsidRPr="00A40ACC">
        <w:rPr>
          <w:rStyle w:val="FootnoteReference"/>
          <w:rFonts w:ascii="Times New Roman" w:hAnsi="Times New Roman" w:cs="Times New Roman"/>
          <w:sz w:val="24"/>
          <w:szCs w:val="24"/>
          <w:lang w:val="en-US" w:eastAsia="en-US"/>
        </w:rPr>
        <w:footnoteReference w:id="4"/>
      </w:r>
      <w:r w:rsidRPr="00A40ACC">
        <w:rPr>
          <w:rFonts w:ascii="Times New Roman" w:hAnsi="Times New Roman" w:cs="Times New Roman"/>
          <w:sz w:val="24"/>
          <w:szCs w:val="24"/>
          <w:lang w:val="en-US" w:eastAsia="en-US"/>
        </w:rPr>
        <w:t xml:space="preserve"> Two submitters commented that New Zealand’s health sector can change significantly over time, with one noting changes to information technology, and that as a result there is a need for regular review of the Act and </w:t>
      </w:r>
      <w:r w:rsidR="00650939" w:rsidRPr="00A40ACC">
        <w:rPr>
          <w:rFonts w:ascii="Times New Roman" w:hAnsi="Times New Roman" w:cs="Times New Roman"/>
          <w:sz w:val="24"/>
          <w:szCs w:val="24"/>
          <w:lang w:val="en-US" w:eastAsia="en-US"/>
        </w:rPr>
        <w:t xml:space="preserve">the </w:t>
      </w:r>
      <w:r w:rsidRPr="00A40ACC">
        <w:rPr>
          <w:rFonts w:ascii="Times New Roman" w:hAnsi="Times New Roman" w:cs="Times New Roman"/>
          <w:sz w:val="24"/>
          <w:szCs w:val="24"/>
          <w:lang w:val="en-US" w:eastAsia="en-US"/>
        </w:rPr>
        <w:t>Code.</w:t>
      </w:r>
      <w:r w:rsidRPr="00A40ACC">
        <w:rPr>
          <w:rStyle w:val="FootnoteReference"/>
          <w:rFonts w:ascii="Times New Roman" w:hAnsi="Times New Roman" w:cs="Times New Roman"/>
          <w:sz w:val="24"/>
          <w:szCs w:val="24"/>
          <w:lang w:val="en-US" w:eastAsia="en-US"/>
        </w:rPr>
        <w:footnoteReference w:id="5"/>
      </w:r>
    </w:p>
    <w:p w:rsidR="00817974" w:rsidRDefault="00817974" w:rsidP="00235461">
      <w:pPr>
        <w:spacing w:after="0" w:line="264" w:lineRule="auto"/>
        <w:jc w:val="both"/>
        <w:rPr>
          <w:rFonts w:ascii="Times New Roman" w:hAnsi="Times New Roman" w:cs="Times New Roman"/>
          <w:sz w:val="24"/>
          <w:szCs w:val="24"/>
          <w:lang w:val="en-US" w:eastAsia="en-US"/>
        </w:rPr>
      </w:pPr>
    </w:p>
    <w:p w:rsidR="00871911"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Submitters who agreed with the amendment generally made no further comments. However, it was noted that change takes time to occur and be evaluated, and a ten-yearly review would enable the Act to stay current while allowing longitudinal review of decision making.</w:t>
      </w:r>
      <w:r w:rsidRPr="00A40ACC">
        <w:rPr>
          <w:rStyle w:val="FootnoteReference"/>
          <w:rFonts w:ascii="Times New Roman" w:hAnsi="Times New Roman" w:cs="Times New Roman"/>
          <w:sz w:val="24"/>
          <w:szCs w:val="24"/>
          <w:lang w:val="en-US" w:eastAsia="en-US"/>
        </w:rPr>
        <w:footnoteReference w:id="6"/>
      </w:r>
      <w:r w:rsidRPr="00A40ACC">
        <w:rPr>
          <w:rFonts w:ascii="Times New Roman" w:hAnsi="Times New Roman" w:cs="Times New Roman"/>
          <w:sz w:val="24"/>
          <w:szCs w:val="24"/>
          <w:lang w:val="en-US" w:eastAsia="en-US"/>
        </w:rPr>
        <w:t xml:space="preserve"> Another submitter also noted that</w:t>
      </w:r>
      <w:r w:rsidR="006F2EF3">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 xml:space="preserve"> given it takes roughly five years to implement any review recommendations through legislation, a ten-yearly review is appropriate.</w:t>
      </w:r>
      <w:r w:rsidRPr="00A40ACC">
        <w:rPr>
          <w:rStyle w:val="FootnoteReference"/>
          <w:rFonts w:ascii="Times New Roman" w:hAnsi="Times New Roman" w:cs="Times New Roman"/>
          <w:sz w:val="24"/>
          <w:szCs w:val="24"/>
          <w:lang w:val="en-US" w:eastAsia="en-US"/>
        </w:rPr>
        <w:footnoteReference w:id="7"/>
      </w:r>
      <w:r w:rsidRPr="00A40ACC">
        <w:rPr>
          <w:rFonts w:ascii="Times New Roman" w:hAnsi="Times New Roman" w:cs="Times New Roman"/>
          <w:sz w:val="24"/>
          <w:szCs w:val="24"/>
          <w:lang w:val="en-US" w:eastAsia="en-US"/>
        </w:rPr>
        <w:t xml:space="preserve"> Both of these submitters also noted that an interim review, if required, is sensible. </w:t>
      </w:r>
    </w:p>
    <w:p w:rsidR="00450C2B" w:rsidRPr="00A40ACC" w:rsidRDefault="00450C2B" w:rsidP="00235461">
      <w:pPr>
        <w:spacing w:after="0" w:line="264" w:lineRule="auto"/>
        <w:jc w:val="both"/>
        <w:rPr>
          <w:rFonts w:ascii="Times New Roman" w:hAnsi="Times New Roman" w:cs="Times New Roman"/>
          <w:sz w:val="24"/>
          <w:szCs w:val="24"/>
          <w:lang w:val="en-US" w:eastAsia="en-US"/>
        </w:rPr>
      </w:pPr>
    </w:p>
    <w:p w:rsidR="00871911" w:rsidRPr="00A40ACC"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 xml:space="preserve">In the 2009 review, most submitters agreed with the Commissioner that </w:t>
      </w:r>
      <w:r w:rsidR="0095091E" w:rsidRPr="00A40ACC">
        <w:rPr>
          <w:rFonts w:ascii="Times New Roman" w:hAnsi="Times New Roman" w:cs="Times New Roman"/>
          <w:sz w:val="24"/>
          <w:szCs w:val="24"/>
          <w:lang w:val="en-US" w:eastAsia="en-US"/>
        </w:rPr>
        <w:t xml:space="preserve">a review </w:t>
      </w:r>
      <w:r w:rsidRPr="00A40ACC">
        <w:rPr>
          <w:rFonts w:ascii="Times New Roman" w:hAnsi="Times New Roman" w:cs="Times New Roman"/>
          <w:sz w:val="24"/>
          <w:szCs w:val="24"/>
          <w:lang w:val="en-US" w:eastAsia="en-US"/>
        </w:rPr>
        <w:t xml:space="preserve">every </w:t>
      </w:r>
      <w:r w:rsidR="00817974">
        <w:rPr>
          <w:rFonts w:ascii="Times New Roman" w:hAnsi="Times New Roman" w:cs="Times New Roman"/>
          <w:sz w:val="24"/>
          <w:szCs w:val="24"/>
          <w:lang w:val="en-US" w:eastAsia="en-US"/>
        </w:rPr>
        <w:t>ten</w:t>
      </w:r>
      <w:r w:rsidRPr="00A40ACC">
        <w:rPr>
          <w:rFonts w:ascii="Times New Roman" w:hAnsi="Times New Roman" w:cs="Times New Roman"/>
          <w:sz w:val="24"/>
          <w:szCs w:val="24"/>
          <w:lang w:val="en-US" w:eastAsia="en-US"/>
        </w:rPr>
        <w:t xml:space="preserve"> years would be sufficient.</w:t>
      </w:r>
    </w:p>
    <w:p w:rsidR="00A92857" w:rsidRDefault="00A92857" w:rsidP="00235461">
      <w:pPr>
        <w:spacing w:after="0" w:line="264" w:lineRule="auto"/>
        <w:jc w:val="both"/>
        <w:rPr>
          <w:rFonts w:ascii="Times New Roman" w:hAnsi="Times New Roman" w:cs="Times New Roman"/>
          <w:b/>
          <w:i/>
          <w:sz w:val="24"/>
          <w:szCs w:val="24"/>
          <w:lang w:val="en-US" w:eastAsia="en-US"/>
        </w:rPr>
      </w:pPr>
    </w:p>
    <w:p w:rsidR="00A92857" w:rsidRDefault="00A92857" w:rsidP="00235461">
      <w:pPr>
        <w:spacing w:after="0" w:line="264" w:lineRule="auto"/>
        <w:jc w:val="both"/>
        <w:rPr>
          <w:rFonts w:ascii="Times New Roman" w:hAnsi="Times New Roman" w:cs="Times New Roman"/>
          <w:b/>
          <w:i/>
          <w:sz w:val="24"/>
          <w:szCs w:val="24"/>
          <w:lang w:val="en-US" w:eastAsia="en-US"/>
        </w:rPr>
      </w:pPr>
    </w:p>
    <w:p w:rsidR="009B4ED5" w:rsidRDefault="009B4ED5" w:rsidP="00235461">
      <w:pPr>
        <w:spacing w:after="0" w:line="264" w:lineRule="auto"/>
        <w:jc w:val="both"/>
        <w:rPr>
          <w:rFonts w:ascii="Times New Roman" w:hAnsi="Times New Roman" w:cs="Times New Roman"/>
          <w:b/>
          <w:i/>
          <w:sz w:val="24"/>
          <w:szCs w:val="24"/>
          <w:lang w:val="en-US" w:eastAsia="en-US"/>
        </w:rPr>
      </w:pPr>
    </w:p>
    <w:p w:rsidR="0071272F" w:rsidRDefault="0071272F" w:rsidP="00235461">
      <w:pPr>
        <w:spacing w:after="0" w:line="264" w:lineRule="auto"/>
        <w:jc w:val="both"/>
        <w:rPr>
          <w:rFonts w:ascii="Times New Roman" w:hAnsi="Times New Roman" w:cs="Times New Roman"/>
          <w:b/>
          <w:i/>
          <w:sz w:val="24"/>
          <w:szCs w:val="24"/>
          <w:lang w:val="en-US" w:eastAsia="en-US"/>
        </w:rPr>
      </w:pPr>
    </w:p>
    <w:p w:rsidR="00871911" w:rsidRPr="00A40ACC" w:rsidRDefault="00871911" w:rsidP="00235461">
      <w:pPr>
        <w:spacing w:after="0" w:line="264" w:lineRule="auto"/>
        <w:jc w:val="both"/>
        <w:rPr>
          <w:rFonts w:ascii="Times New Roman" w:hAnsi="Times New Roman" w:cs="Times New Roman"/>
          <w:b/>
          <w:i/>
          <w:sz w:val="24"/>
          <w:szCs w:val="24"/>
          <w:lang w:val="en-US" w:eastAsia="en-US"/>
        </w:rPr>
      </w:pPr>
      <w:r w:rsidRPr="00A40ACC">
        <w:rPr>
          <w:rFonts w:ascii="Times New Roman" w:hAnsi="Times New Roman" w:cs="Times New Roman"/>
          <w:b/>
          <w:i/>
          <w:sz w:val="24"/>
          <w:szCs w:val="24"/>
          <w:lang w:val="en-US" w:eastAsia="en-US"/>
        </w:rPr>
        <w:t>Increase the maximum fine for an offence under the Act from $3,000 to $10,000</w:t>
      </w:r>
    </w:p>
    <w:p w:rsidR="00871911" w:rsidRPr="00A40ACC"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All but one</w:t>
      </w:r>
      <w:r w:rsidRPr="00A40ACC">
        <w:rPr>
          <w:rStyle w:val="FootnoteReference"/>
          <w:rFonts w:ascii="Times New Roman" w:hAnsi="Times New Roman" w:cs="Times New Roman"/>
          <w:sz w:val="24"/>
          <w:szCs w:val="24"/>
          <w:lang w:val="en-US" w:eastAsia="en-US"/>
        </w:rPr>
        <w:footnoteReference w:id="8"/>
      </w:r>
      <w:r w:rsidRPr="00A40ACC">
        <w:rPr>
          <w:rFonts w:ascii="Times New Roman" w:hAnsi="Times New Roman" w:cs="Times New Roman"/>
          <w:sz w:val="24"/>
          <w:szCs w:val="24"/>
          <w:lang w:val="en-US" w:eastAsia="en-US"/>
        </w:rPr>
        <w:t xml:space="preserve"> who commented on this amendment agreed with the proposed change. The submitter who disagreed considered that such occasions where alleged offences under the Act have been raised are rare, and that an alleged offence is itself a sufficient deterrent.</w:t>
      </w:r>
      <w:r w:rsidRPr="00A40ACC">
        <w:rPr>
          <w:rStyle w:val="FootnoteReference"/>
          <w:rFonts w:ascii="Times New Roman" w:hAnsi="Times New Roman" w:cs="Times New Roman"/>
          <w:sz w:val="24"/>
          <w:szCs w:val="24"/>
          <w:lang w:val="en-US" w:eastAsia="en-US"/>
        </w:rPr>
        <w:footnoteReference w:id="9"/>
      </w:r>
      <w:r w:rsidRPr="00A40ACC">
        <w:rPr>
          <w:rFonts w:ascii="Times New Roman" w:hAnsi="Times New Roman" w:cs="Times New Roman"/>
          <w:sz w:val="24"/>
          <w:szCs w:val="24"/>
          <w:lang w:val="en-US" w:eastAsia="en-US"/>
        </w:rPr>
        <w:t xml:space="preserve"> Of those that agreed</w:t>
      </w:r>
      <w:r w:rsidR="00817974">
        <w:rPr>
          <w:rFonts w:ascii="Times New Roman" w:hAnsi="Times New Roman" w:cs="Times New Roman"/>
          <w:sz w:val="24"/>
          <w:szCs w:val="24"/>
          <w:lang w:val="en-US" w:eastAsia="en-US"/>
        </w:rPr>
        <w:t>,</w:t>
      </w:r>
      <w:r w:rsidRPr="00A40ACC">
        <w:rPr>
          <w:rStyle w:val="FootnoteReference"/>
          <w:rFonts w:ascii="Times New Roman" w:hAnsi="Times New Roman" w:cs="Times New Roman"/>
          <w:sz w:val="24"/>
          <w:szCs w:val="24"/>
          <w:lang w:val="en-US" w:eastAsia="en-US"/>
        </w:rPr>
        <w:footnoteReference w:id="10"/>
      </w:r>
      <w:r w:rsidRPr="00A40ACC">
        <w:rPr>
          <w:rFonts w:ascii="Times New Roman" w:hAnsi="Times New Roman" w:cs="Times New Roman"/>
          <w:sz w:val="24"/>
          <w:szCs w:val="24"/>
          <w:lang w:val="en-US" w:eastAsia="en-US"/>
        </w:rPr>
        <w:t>one considered that $3,000 is a negligible amount for the potential extent of offences that may occur under the Act, and that increasing the fine to align with offences under the Health Practitioners Competence Assurance Act would send a stronger message to providers.</w:t>
      </w:r>
      <w:r w:rsidRPr="00A40ACC">
        <w:rPr>
          <w:rStyle w:val="FootnoteReference"/>
          <w:rFonts w:ascii="Times New Roman" w:hAnsi="Times New Roman" w:cs="Times New Roman"/>
          <w:sz w:val="24"/>
          <w:szCs w:val="24"/>
          <w:lang w:val="en-US" w:eastAsia="en-US"/>
        </w:rPr>
        <w:footnoteReference w:id="11"/>
      </w:r>
      <w:r w:rsidRPr="00A40ACC">
        <w:rPr>
          <w:rFonts w:ascii="Times New Roman" w:hAnsi="Times New Roman" w:cs="Times New Roman"/>
          <w:sz w:val="24"/>
          <w:szCs w:val="24"/>
          <w:lang w:val="en-US" w:eastAsia="en-US"/>
        </w:rPr>
        <w:t xml:space="preserve"> Another agreed that bringing the fine in line with maximum fines for other registered practitioner groups allowed for delineation between the gravity of any decision, which is especially important for public confidence in decisions.</w:t>
      </w:r>
      <w:r w:rsidRPr="00A40ACC">
        <w:rPr>
          <w:rStyle w:val="FootnoteReference"/>
          <w:rFonts w:ascii="Times New Roman" w:hAnsi="Times New Roman" w:cs="Times New Roman"/>
          <w:sz w:val="24"/>
          <w:szCs w:val="24"/>
          <w:lang w:val="en-US" w:eastAsia="en-US"/>
        </w:rPr>
        <w:footnoteReference w:id="12"/>
      </w:r>
      <w:r w:rsidRPr="00A40ACC">
        <w:rPr>
          <w:rFonts w:ascii="Times New Roman" w:hAnsi="Times New Roman" w:cs="Times New Roman"/>
          <w:sz w:val="24"/>
          <w:szCs w:val="24"/>
          <w:lang w:val="en-US" w:eastAsia="en-US"/>
        </w:rPr>
        <w:t xml:space="preserve"> </w:t>
      </w:r>
    </w:p>
    <w:p w:rsidR="00871911" w:rsidRPr="00A40ACC" w:rsidRDefault="00871911" w:rsidP="00235461">
      <w:pPr>
        <w:spacing w:after="0" w:line="264" w:lineRule="auto"/>
        <w:jc w:val="both"/>
        <w:rPr>
          <w:rFonts w:ascii="Times New Roman" w:hAnsi="Times New Roman" w:cs="Times New Roman"/>
          <w:sz w:val="24"/>
          <w:szCs w:val="24"/>
          <w:lang w:val="en-US" w:eastAsia="en-US"/>
        </w:rPr>
      </w:pPr>
    </w:p>
    <w:p w:rsidR="00871911" w:rsidRPr="00A40ACC"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b/>
          <w:i/>
          <w:sz w:val="24"/>
          <w:szCs w:val="24"/>
          <w:lang w:val="en-US" w:eastAsia="en-US"/>
        </w:rPr>
        <w:t xml:space="preserve">Substitute the phrase “aggrieved person” </w:t>
      </w:r>
      <w:r w:rsidR="00450C2B">
        <w:rPr>
          <w:rFonts w:ascii="Times New Roman" w:hAnsi="Times New Roman" w:cs="Times New Roman"/>
          <w:b/>
          <w:i/>
          <w:sz w:val="24"/>
          <w:szCs w:val="24"/>
          <w:lang w:val="en-US" w:eastAsia="en-US"/>
        </w:rPr>
        <w:t>with</w:t>
      </w:r>
      <w:r w:rsidRPr="00A40ACC">
        <w:rPr>
          <w:rFonts w:ascii="Times New Roman" w:hAnsi="Times New Roman" w:cs="Times New Roman"/>
          <w:b/>
          <w:i/>
          <w:sz w:val="24"/>
          <w:szCs w:val="24"/>
          <w:lang w:val="en-US" w:eastAsia="en-US"/>
        </w:rPr>
        <w:t xml:space="preserve"> the phrase “the complainant (if any) or the aggrieved person(s) (if not the complainant)”</w:t>
      </w:r>
      <w:r w:rsidRPr="00A40ACC">
        <w:rPr>
          <w:rFonts w:ascii="Times New Roman" w:hAnsi="Times New Roman" w:cs="Times New Roman"/>
          <w:sz w:val="24"/>
          <w:szCs w:val="24"/>
          <w:lang w:val="en-US" w:eastAsia="en-US"/>
        </w:rPr>
        <w:t xml:space="preserve"> </w:t>
      </w:r>
    </w:p>
    <w:p w:rsidR="00871911" w:rsidRPr="00A40ACC"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The majority</w:t>
      </w:r>
      <w:r w:rsidRPr="00817974">
        <w:rPr>
          <w:rStyle w:val="FootnoteReference"/>
          <w:rFonts w:ascii="Times New Roman" w:hAnsi="Times New Roman" w:cs="Times New Roman"/>
          <w:sz w:val="24"/>
          <w:szCs w:val="24"/>
          <w:lang w:val="en-US" w:eastAsia="en-US"/>
        </w:rPr>
        <w:footnoteReference w:id="13"/>
      </w:r>
      <w:r w:rsidRPr="00A40ACC">
        <w:rPr>
          <w:rFonts w:ascii="Times New Roman" w:hAnsi="Times New Roman" w:cs="Times New Roman"/>
          <w:sz w:val="24"/>
          <w:szCs w:val="24"/>
          <w:lang w:val="en-US" w:eastAsia="en-US"/>
        </w:rPr>
        <w:t xml:space="preserve"> of those </w:t>
      </w:r>
      <w:r w:rsidR="0095091E" w:rsidRPr="00A40ACC">
        <w:rPr>
          <w:rFonts w:ascii="Times New Roman" w:hAnsi="Times New Roman" w:cs="Times New Roman"/>
          <w:sz w:val="24"/>
          <w:szCs w:val="24"/>
          <w:lang w:val="en-US" w:eastAsia="en-US"/>
        </w:rPr>
        <w:t xml:space="preserve">who </w:t>
      </w:r>
      <w:r w:rsidRPr="00A40ACC">
        <w:rPr>
          <w:rFonts w:ascii="Times New Roman" w:hAnsi="Times New Roman" w:cs="Times New Roman"/>
          <w:sz w:val="24"/>
          <w:szCs w:val="24"/>
          <w:lang w:val="en-US" w:eastAsia="en-US"/>
        </w:rPr>
        <w:t>submitted on this proposed amendment agreed with the change. Two submissions</w:t>
      </w:r>
      <w:r w:rsidRPr="001B17D4">
        <w:rPr>
          <w:rFonts w:ascii="Times New Roman" w:hAnsi="Times New Roman" w:cs="Times New Roman"/>
          <w:sz w:val="24"/>
          <w:szCs w:val="24"/>
          <w:vertAlign w:val="superscript"/>
        </w:rPr>
        <w:footnoteReference w:id="14"/>
      </w:r>
      <w:r w:rsidRPr="00817974">
        <w:rPr>
          <w:rFonts w:ascii="Times New Roman" w:hAnsi="Times New Roman" w:cs="Times New Roman"/>
          <w:sz w:val="24"/>
          <w:szCs w:val="24"/>
          <w:lang w:val="en-US" w:eastAsia="en-US"/>
        </w:rPr>
        <w:t xml:space="preserve"> </w:t>
      </w:r>
      <w:r w:rsidRPr="00A40ACC">
        <w:rPr>
          <w:rFonts w:ascii="Times New Roman" w:hAnsi="Times New Roman" w:cs="Times New Roman"/>
          <w:sz w:val="24"/>
          <w:szCs w:val="24"/>
          <w:lang w:val="en-US" w:eastAsia="en-US"/>
        </w:rPr>
        <w:t xml:space="preserve">noted that the restrictive interpretation of “aggrieved person” by the Court of Appeal in the </w:t>
      </w:r>
      <w:r w:rsidRPr="00A40ACC">
        <w:rPr>
          <w:rFonts w:ascii="Times New Roman" w:hAnsi="Times New Roman" w:cs="Times New Roman"/>
          <w:i/>
          <w:sz w:val="24"/>
          <w:szCs w:val="24"/>
          <w:lang w:val="en-US" w:eastAsia="en-US"/>
        </w:rPr>
        <w:t>Marks v Director of Health and Disability Proceedings</w:t>
      </w:r>
      <w:r w:rsidRPr="00A40ACC">
        <w:rPr>
          <w:rFonts w:ascii="Times New Roman" w:hAnsi="Times New Roman" w:cs="Times New Roman"/>
          <w:sz w:val="24"/>
          <w:szCs w:val="24"/>
          <w:lang w:val="en-US" w:eastAsia="en-US"/>
        </w:rPr>
        <w:t xml:space="preserve"> [2009] NZCA 151 decision has limited the rights of complainants to be awarded damages by the Human Rights Review Tribunal, and to bring their own proceedings before the Tribunal if the Director of Proceedings (DP) declines to do so, or if the Commissioner does not refer a provider to the DP following an investigation and breach finding. For reasons of access to justice and accountability, they support the proposed amended definition.</w:t>
      </w:r>
    </w:p>
    <w:p w:rsidR="007231E1" w:rsidRDefault="007231E1" w:rsidP="00235461">
      <w:pPr>
        <w:spacing w:after="0" w:line="264" w:lineRule="auto"/>
        <w:jc w:val="both"/>
        <w:rPr>
          <w:rFonts w:ascii="Times New Roman" w:hAnsi="Times New Roman" w:cs="Times New Roman"/>
          <w:sz w:val="24"/>
          <w:szCs w:val="24"/>
          <w:lang w:val="en-US" w:eastAsia="en-US"/>
        </w:rPr>
      </w:pPr>
    </w:p>
    <w:p w:rsidR="00871911" w:rsidRPr="00A40ACC"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The Medical Protection Society,</w:t>
      </w:r>
      <w:r w:rsidRPr="00A40ACC">
        <w:rPr>
          <w:rStyle w:val="FootnoteReference"/>
          <w:rFonts w:ascii="Times New Roman" w:hAnsi="Times New Roman" w:cs="Times New Roman"/>
          <w:sz w:val="24"/>
          <w:szCs w:val="24"/>
          <w:lang w:val="en-US" w:eastAsia="en-US"/>
        </w:rPr>
        <w:footnoteReference w:id="15"/>
      </w:r>
      <w:r w:rsidRPr="00A40ACC">
        <w:rPr>
          <w:rFonts w:ascii="Times New Roman" w:hAnsi="Times New Roman" w:cs="Times New Roman"/>
          <w:sz w:val="24"/>
          <w:szCs w:val="24"/>
          <w:lang w:val="en-US" w:eastAsia="en-US"/>
        </w:rPr>
        <w:t xml:space="preserve"> who also referred to the </w:t>
      </w:r>
      <w:r w:rsidRPr="00A40ACC">
        <w:rPr>
          <w:rFonts w:ascii="Times New Roman" w:hAnsi="Times New Roman" w:cs="Times New Roman"/>
          <w:i/>
          <w:sz w:val="24"/>
          <w:szCs w:val="24"/>
          <w:lang w:val="en-US" w:eastAsia="en-US"/>
        </w:rPr>
        <w:t xml:space="preserve">Marks </w:t>
      </w:r>
      <w:r w:rsidRPr="00A40ACC">
        <w:rPr>
          <w:rFonts w:ascii="Times New Roman" w:hAnsi="Times New Roman" w:cs="Times New Roman"/>
          <w:sz w:val="24"/>
          <w:szCs w:val="24"/>
          <w:lang w:val="en-US" w:eastAsia="en-US"/>
        </w:rPr>
        <w:t>decision, disagreed. They noted that the proposed wording is already used in section 50(4) of the Act, and there is no need to widen the definition in sections 51</w:t>
      </w:r>
      <w:r w:rsidR="003C5774">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54 and 57. They stated that the C</w:t>
      </w:r>
      <w:r w:rsidR="0095091E" w:rsidRPr="00A40ACC">
        <w:rPr>
          <w:rFonts w:ascii="Times New Roman" w:hAnsi="Times New Roman" w:cs="Times New Roman"/>
          <w:sz w:val="24"/>
          <w:szCs w:val="24"/>
          <w:lang w:val="en-US" w:eastAsia="en-US"/>
        </w:rPr>
        <w:t xml:space="preserve">ourt of </w:t>
      </w:r>
      <w:r w:rsidRPr="00A40ACC">
        <w:rPr>
          <w:rFonts w:ascii="Times New Roman" w:hAnsi="Times New Roman" w:cs="Times New Roman"/>
          <w:sz w:val="24"/>
          <w:szCs w:val="24"/>
          <w:lang w:val="en-US" w:eastAsia="en-US"/>
        </w:rPr>
        <w:t>A</w:t>
      </w:r>
      <w:r w:rsidR="0095091E" w:rsidRPr="00A40ACC">
        <w:rPr>
          <w:rFonts w:ascii="Times New Roman" w:hAnsi="Times New Roman" w:cs="Times New Roman"/>
          <w:sz w:val="24"/>
          <w:szCs w:val="24"/>
          <w:lang w:val="en-US" w:eastAsia="en-US"/>
        </w:rPr>
        <w:t>ppeal</w:t>
      </w:r>
      <w:r w:rsidRPr="00A40ACC">
        <w:rPr>
          <w:rFonts w:ascii="Times New Roman" w:hAnsi="Times New Roman" w:cs="Times New Roman"/>
          <w:sz w:val="24"/>
          <w:szCs w:val="24"/>
          <w:lang w:val="en-US" w:eastAsia="en-US"/>
        </w:rPr>
        <w:t xml:space="preserve"> ruled upon this point in </w:t>
      </w:r>
      <w:r w:rsidRPr="00A40ACC">
        <w:rPr>
          <w:rFonts w:ascii="Times New Roman" w:hAnsi="Times New Roman" w:cs="Times New Roman"/>
          <w:i/>
          <w:sz w:val="24"/>
          <w:szCs w:val="24"/>
          <w:lang w:val="en-US" w:eastAsia="en-US"/>
        </w:rPr>
        <w:t>Marks</w:t>
      </w:r>
      <w:r w:rsidRPr="00A40ACC">
        <w:rPr>
          <w:rFonts w:ascii="Times New Roman" w:hAnsi="Times New Roman" w:cs="Times New Roman"/>
          <w:sz w:val="24"/>
          <w:szCs w:val="24"/>
          <w:lang w:val="en-US" w:eastAsia="en-US"/>
        </w:rPr>
        <w:t xml:space="preserve"> to cover only consumers under the Code except in limited circumstances. They also noted that section 51 has the words “whether personally or by any person </w:t>
      </w:r>
      <w:proofErr w:type="spellStart"/>
      <w:r w:rsidRPr="00A40ACC">
        <w:rPr>
          <w:rFonts w:ascii="Times New Roman" w:hAnsi="Times New Roman" w:cs="Times New Roman"/>
          <w:sz w:val="24"/>
          <w:szCs w:val="24"/>
          <w:lang w:val="en-US" w:eastAsia="en-US"/>
        </w:rPr>
        <w:t>authorised</w:t>
      </w:r>
      <w:proofErr w:type="spellEnd"/>
      <w:r w:rsidRPr="00A40ACC">
        <w:rPr>
          <w:rFonts w:ascii="Times New Roman" w:hAnsi="Times New Roman" w:cs="Times New Roman"/>
          <w:sz w:val="24"/>
          <w:szCs w:val="24"/>
          <w:lang w:val="en-US" w:eastAsia="en-US"/>
        </w:rPr>
        <w:t xml:space="preserve"> to act on his or her behalf”, and that considering the wording already used in the Act and the C</w:t>
      </w:r>
      <w:r w:rsidR="0095091E" w:rsidRPr="00A40ACC">
        <w:rPr>
          <w:rFonts w:ascii="Times New Roman" w:hAnsi="Times New Roman" w:cs="Times New Roman"/>
          <w:sz w:val="24"/>
          <w:szCs w:val="24"/>
          <w:lang w:val="en-US" w:eastAsia="en-US"/>
        </w:rPr>
        <w:t xml:space="preserve">ourt of </w:t>
      </w:r>
      <w:r w:rsidRPr="00A40ACC">
        <w:rPr>
          <w:rFonts w:ascii="Times New Roman" w:hAnsi="Times New Roman" w:cs="Times New Roman"/>
          <w:sz w:val="24"/>
          <w:szCs w:val="24"/>
          <w:lang w:val="en-US" w:eastAsia="en-US"/>
        </w:rPr>
        <w:t>A</w:t>
      </w:r>
      <w:r w:rsidR="0095091E" w:rsidRPr="00A40ACC">
        <w:rPr>
          <w:rFonts w:ascii="Times New Roman" w:hAnsi="Times New Roman" w:cs="Times New Roman"/>
          <w:sz w:val="24"/>
          <w:szCs w:val="24"/>
          <w:lang w:val="en-US" w:eastAsia="en-US"/>
        </w:rPr>
        <w:t>ppeal</w:t>
      </w:r>
      <w:r w:rsidRPr="00A40ACC">
        <w:rPr>
          <w:rFonts w:ascii="Times New Roman" w:hAnsi="Times New Roman" w:cs="Times New Roman"/>
          <w:sz w:val="24"/>
          <w:szCs w:val="24"/>
          <w:lang w:val="en-US" w:eastAsia="en-US"/>
        </w:rPr>
        <w:t xml:space="preserve">’s commentary in </w:t>
      </w:r>
      <w:r w:rsidRPr="00A40ACC">
        <w:rPr>
          <w:rFonts w:ascii="Times New Roman" w:hAnsi="Times New Roman" w:cs="Times New Roman"/>
          <w:i/>
          <w:sz w:val="24"/>
          <w:szCs w:val="24"/>
          <w:lang w:val="en-US" w:eastAsia="en-US"/>
        </w:rPr>
        <w:t>Marks</w:t>
      </w:r>
      <w:r w:rsidRPr="00A40ACC">
        <w:rPr>
          <w:rFonts w:ascii="Times New Roman" w:hAnsi="Times New Roman" w:cs="Times New Roman"/>
          <w:sz w:val="24"/>
          <w:szCs w:val="24"/>
          <w:lang w:val="en-US" w:eastAsia="en-US"/>
        </w:rPr>
        <w:t xml:space="preserve">, the definition of “aggrieved person” is unambiguous as well as sufficiently wide in its coverage. </w:t>
      </w:r>
    </w:p>
    <w:p w:rsidR="00294D9A" w:rsidRPr="00A40ACC" w:rsidRDefault="00294D9A" w:rsidP="00235461">
      <w:pPr>
        <w:spacing w:after="0" w:line="264" w:lineRule="auto"/>
        <w:jc w:val="both"/>
        <w:rPr>
          <w:rFonts w:ascii="Times New Roman" w:hAnsi="Times New Roman" w:cs="Times New Roman"/>
          <w:sz w:val="24"/>
          <w:szCs w:val="24"/>
          <w:lang w:val="en-US" w:eastAsia="en-US"/>
        </w:rPr>
      </w:pPr>
    </w:p>
    <w:p w:rsidR="00871911" w:rsidRPr="00A40ACC"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b/>
          <w:i/>
          <w:sz w:val="24"/>
          <w:szCs w:val="24"/>
          <w:lang w:val="en-US" w:eastAsia="en-US"/>
        </w:rPr>
        <w:t>Enable the Director of Proceedings to require any person to provide information relating to a matter under consideration, until a decision has been made to issue proceedings, subject to section 63 of the Act</w:t>
      </w:r>
    </w:p>
    <w:p w:rsidR="00871911" w:rsidRPr="00A40ACC"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All but one</w:t>
      </w:r>
      <w:r w:rsidRPr="00A40ACC">
        <w:rPr>
          <w:rFonts w:ascii="Times New Roman" w:hAnsi="Times New Roman" w:cs="Times New Roman"/>
          <w:sz w:val="24"/>
          <w:szCs w:val="24"/>
          <w:vertAlign w:val="superscript"/>
          <w:lang w:val="en-US" w:eastAsia="en-US"/>
        </w:rPr>
        <w:footnoteReference w:id="16"/>
      </w:r>
      <w:r w:rsidRPr="00A40ACC">
        <w:rPr>
          <w:rFonts w:ascii="Times New Roman" w:hAnsi="Times New Roman" w:cs="Times New Roman"/>
          <w:sz w:val="24"/>
          <w:szCs w:val="24"/>
          <w:lang w:val="en-US" w:eastAsia="en-US"/>
        </w:rPr>
        <w:t xml:space="preserve"> submission on this issue agreed with the proposed amendment.</w:t>
      </w:r>
      <w:r w:rsidRPr="00A40ACC">
        <w:rPr>
          <w:rStyle w:val="FootnoteReference"/>
          <w:rFonts w:ascii="Times New Roman" w:hAnsi="Times New Roman" w:cs="Times New Roman"/>
          <w:sz w:val="24"/>
          <w:szCs w:val="24"/>
          <w:lang w:val="en-US" w:eastAsia="en-US"/>
        </w:rPr>
        <w:footnoteReference w:id="17"/>
      </w:r>
      <w:r w:rsidRPr="00A40ACC">
        <w:rPr>
          <w:rFonts w:ascii="Times New Roman" w:hAnsi="Times New Roman" w:cs="Times New Roman"/>
          <w:sz w:val="24"/>
          <w:szCs w:val="24"/>
          <w:lang w:val="en-US" w:eastAsia="en-US"/>
        </w:rPr>
        <w:t xml:space="preserve">  The Royal Australasian College of Physicians commented that in order for the </w:t>
      </w:r>
      <w:r w:rsidR="00450C2B">
        <w:rPr>
          <w:rFonts w:ascii="Times New Roman" w:hAnsi="Times New Roman" w:cs="Times New Roman"/>
          <w:sz w:val="24"/>
          <w:szCs w:val="24"/>
          <w:lang w:val="en-US" w:eastAsia="en-US"/>
        </w:rPr>
        <w:t>Director</w:t>
      </w:r>
      <w:r w:rsidRPr="00A40ACC">
        <w:rPr>
          <w:rFonts w:ascii="Times New Roman" w:hAnsi="Times New Roman" w:cs="Times New Roman"/>
          <w:sz w:val="24"/>
          <w:szCs w:val="24"/>
          <w:lang w:val="en-US" w:eastAsia="en-US"/>
        </w:rPr>
        <w:t xml:space="preserve"> to make an </w:t>
      </w:r>
      <w:r w:rsidRPr="00A40ACC">
        <w:rPr>
          <w:rFonts w:ascii="Times New Roman" w:hAnsi="Times New Roman" w:cs="Times New Roman"/>
          <w:sz w:val="24"/>
          <w:szCs w:val="24"/>
          <w:lang w:val="en-US" w:eastAsia="en-US"/>
        </w:rPr>
        <w:lastRenderedPageBreak/>
        <w:t>informed, apposite and objective decision more information may be required on a specific aspect of an investigation. They did however suggest that during this process, employees of the provider should be supported to comply with all information requests, and should be protected from undue scrutiny. They also suggested that the amendment have a provision that requires the anonymity of informants to be upheld in all reasonable circumstances.</w:t>
      </w:r>
      <w:r w:rsidRPr="00A40ACC">
        <w:rPr>
          <w:rFonts w:ascii="Times New Roman" w:hAnsi="Times New Roman" w:cs="Times New Roman"/>
          <w:sz w:val="24"/>
          <w:szCs w:val="24"/>
          <w:vertAlign w:val="superscript"/>
          <w:lang w:val="en-US" w:eastAsia="en-US"/>
        </w:rPr>
        <w:footnoteReference w:id="18"/>
      </w:r>
      <w:r w:rsidRPr="00A40ACC">
        <w:rPr>
          <w:rFonts w:ascii="Times New Roman" w:hAnsi="Times New Roman" w:cs="Times New Roman"/>
          <w:sz w:val="24"/>
          <w:szCs w:val="24"/>
          <w:lang w:val="en-US" w:eastAsia="en-US"/>
        </w:rPr>
        <w:t xml:space="preserve"> </w:t>
      </w:r>
    </w:p>
    <w:p w:rsidR="007231E1" w:rsidRDefault="007231E1" w:rsidP="00235461">
      <w:pPr>
        <w:spacing w:after="0" w:line="264" w:lineRule="auto"/>
        <w:jc w:val="both"/>
        <w:rPr>
          <w:rFonts w:ascii="Times New Roman" w:hAnsi="Times New Roman" w:cs="Times New Roman"/>
          <w:sz w:val="24"/>
          <w:szCs w:val="24"/>
          <w:lang w:val="en-US" w:eastAsia="en-US"/>
        </w:rPr>
      </w:pPr>
    </w:p>
    <w:p w:rsidR="00871911" w:rsidRPr="00A40ACC" w:rsidRDefault="00871911" w:rsidP="00235461">
      <w:pPr>
        <w:spacing w:after="0" w:line="264" w:lineRule="auto"/>
        <w:jc w:val="both"/>
        <w:rPr>
          <w:rFonts w:ascii="Times New Roman" w:hAnsi="Times New Roman" w:cs="Times New Roman"/>
          <w:i/>
          <w:sz w:val="24"/>
          <w:szCs w:val="24"/>
          <w:lang w:val="en-US" w:eastAsia="en-US"/>
        </w:rPr>
      </w:pPr>
      <w:r w:rsidRPr="00A40ACC">
        <w:rPr>
          <w:rFonts w:ascii="Times New Roman" w:hAnsi="Times New Roman" w:cs="Times New Roman"/>
          <w:sz w:val="24"/>
          <w:szCs w:val="24"/>
          <w:lang w:val="en-US" w:eastAsia="en-US"/>
        </w:rPr>
        <w:t>The Medical Protection Society disagreed,</w:t>
      </w:r>
      <w:r w:rsidRPr="00A40ACC">
        <w:rPr>
          <w:rFonts w:ascii="Times New Roman" w:hAnsi="Times New Roman" w:cs="Times New Roman"/>
          <w:sz w:val="24"/>
          <w:szCs w:val="24"/>
          <w:vertAlign w:val="superscript"/>
          <w:lang w:val="en-US" w:eastAsia="en-US"/>
        </w:rPr>
        <w:footnoteReference w:id="19"/>
      </w:r>
      <w:r w:rsidRPr="00A40ACC">
        <w:rPr>
          <w:rFonts w:ascii="Times New Roman" w:hAnsi="Times New Roman" w:cs="Times New Roman"/>
          <w:sz w:val="24"/>
          <w:szCs w:val="24"/>
          <w:lang w:val="en-US" w:eastAsia="en-US"/>
        </w:rPr>
        <w:t xml:space="preserve"> and was of the opinion that by the time the </w:t>
      </w:r>
      <w:r w:rsidR="00450C2B">
        <w:rPr>
          <w:rFonts w:ascii="Times New Roman" w:hAnsi="Times New Roman" w:cs="Times New Roman"/>
          <w:sz w:val="24"/>
          <w:szCs w:val="24"/>
          <w:lang w:val="en-US" w:eastAsia="en-US"/>
        </w:rPr>
        <w:t>Director</w:t>
      </w:r>
      <w:r w:rsidRPr="00A40ACC">
        <w:rPr>
          <w:rFonts w:ascii="Times New Roman" w:hAnsi="Times New Roman" w:cs="Times New Roman"/>
          <w:sz w:val="24"/>
          <w:szCs w:val="24"/>
          <w:lang w:val="en-US" w:eastAsia="en-US"/>
        </w:rPr>
        <w:t xml:space="preserve"> comes to consider a matter it already will have been fully investigated by HDC, and that by this point an adverse opinion has already been formed regarding the conduct or matter in question. At this point the provider should have the right to remain silent or not provide a statement or information, applying the laws and procedure of criminal law to disciplinary proceedings, as set out in </w:t>
      </w:r>
      <w:proofErr w:type="spellStart"/>
      <w:r w:rsidRPr="00A40ACC">
        <w:rPr>
          <w:rFonts w:ascii="Times New Roman" w:hAnsi="Times New Roman" w:cs="Times New Roman"/>
          <w:i/>
          <w:sz w:val="24"/>
          <w:szCs w:val="24"/>
          <w:lang w:val="en-US" w:eastAsia="en-US"/>
        </w:rPr>
        <w:t>Gurusinghe</w:t>
      </w:r>
      <w:proofErr w:type="spellEnd"/>
      <w:r w:rsidRPr="00A40ACC">
        <w:rPr>
          <w:rFonts w:ascii="Times New Roman" w:hAnsi="Times New Roman" w:cs="Times New Roman"/>
          <w:i/>
          <w:sz w:val="24"/>
          <w:szCs w:val="24"/>
          <w:lang w:val="en-US" w:eastAsia="en-US"/>
        </w:rPr>
        <w:t xml:space="preserve"> v Preliminary Proceedings Committee of the Medical Council of New Zealand </w:t>
      </w:r>
      <w:r w:rsidRPr="00A40ACC">
        <w:rPr>
          <w:rFonts w:ascii="Times New Roman" w:hAnsi="Times New Roman" w:cs="Times New Roman"/>
          <w:sz w:val="24"/>
          <w:szCs w:val="24"/>
          <w:lang w:val="en-US" w:eastAsia="en-US"/>
        </w:rPr>
        <w:t xml:space="preserve">[1989] 1 NZLR 139.  </w:t>
      </w:r>
      <w:r w:rsidR="0095091E" w:rsidRPr="00A40ACC">
        <w:rPr>
          <w:rFonts w:ascii="Times New Roman" w:hAnsi="Times New Roman" w:cs="Times New Roman"/>
          <w:sz w:val="24"/>
          <w:szCs w:val="24"/>
          <w:lang w:val="en-US" w:eastAsia="en-US"/>
        </w:rPr>
        <w:t>T</w:t>
      </w:r>
      <w:r w:rsidRPr="00A40ACC">
        <w:rPr>
          <w:rFonts w:ascii="Times New Roman" w:hAnsi="Times New Roman" w:cs="Times New Roman"/>
          <w:sz w:val="24"/>
          <w:szCs w:val="24"/>
          <w:lang w:val="en-US" w:eastAsia="en-US"/>
        </w:rPr>
        <w:t xml:space="preserve">hey stated that common law rights are significantly undermined if </w:t>
      </w:r>
      <w:r w:rsidR="00450C2B">
        <w:rPr>
          <w:rFonts w:ascii="Times New Roman" w:hAnsi="Times New Roman" w:cs="Times New Roman"/>
          <w:sz w:val="24"/>
          <w:szCs w:val="24"/>
          <w:lang w:val="en-US" w:eastAsia="en-US"/>
        </w:rPr>
        <w:t xml:space="preserve">providers are </w:t>
      </w:r>
      <w:r w:rsidRPr="00A40ACC">
        <w:rPr>
          <w:rFonts w:ascii="Times New Roman" w:hAnsi="Times New Roman" w:cs="Times New Roman"/>
          <w:sz w:val="24"/>
          <w:szCs w:val="24"/>
          <w:lang w:val="en-US" w:eastAsia="en-US"/>
        </w:rPr>
        <w:t>not given a right to decline to provide further information.</w:t>
      </w:r>
    </w:p>
    <w:p w:rsidR="00871911" w:rsidRPr="00A40ACC" w:rsidRDefault="00871911" w:rsidP="00235461">
      <w:pPr>
        <w:spacing w:after="0" w:line="264" w:lineRule="auto"/>
        <w:jc w:val="both"/>
        <w:rPr>
          <w:rFonts w:ascii="Times New Roman" w:hAnsi="Times New Roman" w:cs="Times New Roman"/>
          <w:b/>
          <w:sz w:val="28"/>
          <w:szCs w:val="28"/>
          <w:lang w:val="en-US" w:eastAsia="en-US"/>
        </w:rPr>
      </w:pPr>
    </w:p>
    <w:p w:rsidR="00871911" w:rsidRPr="00A40ACC" w:rsidRDefault="00871911" w:rsidP="00235461">
      <w:pPr>
        <w:spacing w:after="0" w:line="264" w:lineRule="auto"/>
        <w:jc w:val="both"/>
        <w:rPr>
          <w:rFonts w:ascii="Times New Roman" w:hAnsi="Times New Roman" w:cs="Times New Roman"/>
          <w:b/>
          <w:sz w:val="28"/>
          <w:szCs w:val="28"/>
          <w:lang w:val="en-US" w:eastAsia="en-US"/>
        </w:rPr>
      </w:pPr>
      <w:r w:rsidRPr="00A40ACC">
        <w:rPr>
          <w:rFonts w:ascii="Times New Roman" w:hAnsi="Times New Roman" w:cs="Times New Roman"/>
          <w:b/>
          <w:sz w:val="28"/>
          <w:szCs w:val="28"/>
          <w:lang w:val="en-US" w:eastAsia="en-US"/>
        </w:rPr>
        <w:t>Changes to the Code</w:t>
      </w:r>
    </w:p>
    <w:p w:rsidR="00871911" w:rsidRPr="00A40ACC" w:rsidRDefault="00871911" w:rsidP="00235461">
      <w:pPr>
        <w:spacing w:after="0" w:line="264" w:lineRule="auto"/>
        <w:jc w:val="both"/>
        <w:rPr>
          <w:rFonts w:ascii="Times New Roman" w:hAnsi="Times New Roman" w:cs="Times New Roman"/>
          <w:b/>
          <w:sz w:val="24"/>
          <w:szCs w:val="24"/>
          <w:u w:val="single"/>
          <w:lang w:val="en-US" w:eastAsia="en-US"/>
        </w:rPr>
      </w:pPr>
    </w:p>
    <w:p w:rsidR="00871911" w:rsidRPr="00A40ACC" w:rsidRDefault="00871911" w:rsidP="00235461">
      <w:pPr>
        <w:spacing w:after="0" w:line="264" w:lineRule="auto"/>
        <w:jc w:val="both"/>
        <w:rPr>
          <w:rFonts w:ascii="Times New Roman" w:hAnsi="Times New Roman" w:cs="Times New Roman"/>
          <w:b/>
          <w:i/>
          <w:sz w:val="24"/>
          <w:szCs w:val="24"/>
          <w:lang w:val="en-US" w:eastAsia="en-US"/>
        </w:rPr>
      </w:pPr>
      <w:r w:rsidRPr="00A40ACC">
        <w:rPr>
          <w:rFonts w:ascii="Times New Roman" w:hAnsi="Times New Roman" w:cs="Times New Roman"/>
          <w:b/>
          <w:i/>
          <w:sz w:val="24"/>
          <w:szCs w:val="24"/>
        </w:rPr>
        <w:t>Right 1</w:t>
      </w:r>
    </w:p>
    <w:p w:rsidR="00871911" w:rsidRPr="00A40ACC" w:rsidRDefault="00871911" w:rsidP="00235461">
      <w:pPr>
        <w:spacing w:after="0" w:line="264" w:lineRule="auto"/>
        <w:jc w:val="both"/>
        <w:rPr>
          <w:rFonts w:ascii="Times New Roman" w:hAnsi="Times New Roman" w:cs="Times New Roman"/>
          <w:i/>
          <w:sz w:val="24"/>
          <w:szCs w:val="24"/>
          <w:lang w:val="en-US" w:eastAsia="en-US"/>
        </w:rPr>
      </w:pPr>
      <w:r w:rsidRPr="00A40ACC">
        <w:rPr>
          <w:rFonts w:ascii="Times New Roman" w:hAnsi="Times New Roman" w:cs="Times New Roman"/>
          <w:i/>
          <w:sz w:val="24"/>
          <w:szCs w:val="24"/>
          <w:lang w:val="en-US" w:eastAsia="en-US"/>
        </w:rPr>
        <w:t>Right to compassion</w:t>
      </w:r>
    </w:p>
    <w:p w:rsidR="00082CF4" w:rsidRPr="00A40ACC"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Auckland Women’s Health Council</w:t>
      </w:r>
      <w:r w:rsidRPr="00A40ACC">
        <w:rPr>
          <w:rFonts w:ascii="Times New Roman" w:hAnsi="Times New Roman" w:cs="Times New Roman"/>
          <w:sz w:val="24"/>
          <w:szCs w:val="24"/>
          <w:vertAlign w:val="superscript"/>
          <w:lang w:val="en-US" w:eastAsia="en-US"/>
        </w:rPr>
        <w:footnoteReference w:id="20"/>
      </w:r>
      <w:r w:rsidRPr="00A40ACC">
        <w:rPr>
          <w:rFonts w:ascii="Times New Roman" w:hAnsi="Times New Roman" w:cs="Times New Roman"/>
          <w:sz w:val="24"/>
          <w:szCs w:val="24"/>
          <w:lang w:val="en-US" w:eastAsia="en-US"/>
        </w:rPr>
        <w:t xml:space="preserve"> considered that, as the Code currently stands, Rights 1 and 3 do not cover the right to be treated </w:t>
      </w:r>
      <w:r w:rsidR="007231E1">
        <w:rPr>
          <w:rFonts w:ascii="Times New Roman" w:hAnsi="Times New Roman" w:cs="Times New Roman"/>
          <w:sz w:val="24"/>
          <w:szCs w:val="24"/>
          <w:lang w:val="en-US" w:eastAsia="en-US"/>
        </w:rPr>
        <w:t>with</w:t>
      </w:r>
      <w:r w:rsidRPr="00A40ACC">
        <w:rPr>
          <w:rFonts w:ascii="Times New Roman" w:hAnsi="Times New Roman" w:cs="Times New Roman"/>
          <w:sz w:val="24"/>
          <w:szCs w:val="24"/>
          <w:lang w:val="en-US" w:eastAsia="en-US"/>
        </w:rPr>
        <w:t xml:space="preserve"> compassion. Thus, they suggested that Right 1 should include a right to compassion, with an additional Right 1(4) added, stating “every consumer has the right to services provided with compassion, including a prompt and humane response to distress, pain and suffering”</w:t>
      </w:r>
      <w:r w:rsidR="003845B7">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 xml:space="preserve"> The right to compassion was consulted </w:t>
      </w:r>
      <w:r w:rsidR="00D62E38" w:rsidRPr="00A40ACC">
        <w:rPr>
          <w:rFonts w:ascii="Times New Roman" w:hAnsi="Times New Roman" w:cs="Times New Roman"/>
          <w:sz w:val="24"/>
          <w:szCs w:val="24"/>
          <w:lang w:val="en-US" w:eastAsia="en-US"/>
        </w:rPr>
        <w:t xml:space="preserve">on as part of the </w:t>
      </w:r>
      <w:r w:rsidRPr="00A40ACC">
        <w:rPr>
          <w:rFonts w:ascii="Times New Roman" w:hAnsi="Times New Roman" w:cs="Times New Roman"/>
          <w:sz w:val="24"/>
          <w:szCs w:val="24"/>
          <w:lang w:val="en-US" w:eastAsia="en-US"/>
        </w:rPr>
        <w:t>2009</w:t>
      </w:r>
      <w:r w:rsidR="00D62E38" w:rsidRPr="00A40ACC">
        <w:rPr>
          <w:rFonts w:ascii="Times New Roman" w:hAnsi="Times New Roman" w:cs="Times New Roman"/>
          <w:sz w:val="24"/>
          <w:szCs w:val="24"/>
          <w:lang w:val="en-US" w:eastAsia="en-US"/>
        </w:rPr>
        <w:t xml:space="preserve"> review</w:t>
      </w:r>
      <w:r w:rsidRPr="00A40ACC">
        <w:rPr>
          <w:rFonts w:ascii="Times New Roman" w:hAnsi="Times New Roman" w:cs="Times New Roman"/>
          <w:sz w:val="24"/>
          <w:szCs w:val="24"/>
          <w:lang w:val="en-US" w:eastAsia="en-US"/>
        </w:rPr>
        <w:t xml:space="preserve">, </w:t>
      </w:r>
      <w:r w:rsidR="00D62E38" w:rsidRPr="00A40ACC">
        <w:rPr>
          <w:rFonts w:ascii="Times New Roman" w:hAnsi="Times New Roman" w:cs="Times New Roman"/>
          <w:sz w:val="24"/>
          <w:szCs w:val="24"/>
          <w:lang w:val="en-US" w:eastAsia="en-US"/>
        </w:rPr>
        <w:t>and</w:t>
      </w:r>
      <w:r w:rsidRPr="00A40ACC">
        <w:rPr>
          <w:rFonts w:ascii="Times New Roman" w:hAnsi="Times New Roman" w:cs="Times New Roman"/>
          <w:sz w:val="24"/>
          <w:szCs w:val="24"/>
          <w:lang w:val="en-US" w:eastAsia="en-US"/>
        </w:rPr>
        <w:t xml:space="preserve"> the majority of submitters who commented on it were in </w:t>
      </w:r>
      <w:proofErr w:type="spellStart"/>
      <w:r w:rsidRPr="00A40ACC">
        <w:rPr>
          <w:rFonts w:ascii="Times New Roman" w:hAnsi="Times New Roman" w:cs="Times New Roman"/>
          <w:sz w:val="24"/>
          <w:szCs w:val="24"/>
          <w:lang w:val="en-US" w:eastAsia="en-US"/>
        </w:rPr>
        <w:t>favour</w:t>
      </w:r>
      <w:proofErr w:type="spellEnd"/>
      <w:r w:rsidRPr="00A40ACC">
        <w:rPr>
          <w:rFonts w:ascii="Times New Roman" w:hAnsi="Times New Roman" w:cs="Times New Roman"/>
          <w:sz w:val="24"/>
          <w:szCs w:val="24"/>
          <w:lang w:val="en-US" w:eastAsia="en-US"/>
        </w:rPr>
        <w:t xml:space="preserve"> of an amendment adding this right</w:t>
      </w:r>
      <w:r w:rsidR="00450C2B">
        <w:rPr>
          <w:rFonts w:ascii="Times New Roman" w:hAnsi="Times New Roman" w:cs="Times New Roman"/>
          <w:sz w:val="24"/>
          <w:szCs w:val="24"/>
          <w:lang w:val="en-US" w:eastAsia="en-US"/>
        </w:rPr>
        <w:t>, however, amendment was not recommended</w:t>
      </w:r>
      <w:r w:rsidRPr="00A40ACC">
        <w:rPr>
          <w:rFonts w:ascii="Times New Roman" w:hAnsi="Times New Roman" w:cs="Times New Roman"/>
          <w:sz w:val="24"/>
          <w:szCs w:val="24"/>
          <w:lang w:val="en-US" w:eastAsia="en-US"/>
        </w:rPr>
        <w:t xml:space="preserve">. </w:t>
      </w:r>
    </w:p>
    <w:p w:rsidR="00082CF4" w:rsidRPr="00A40ACC" w:rsidRDefault="00082CF4" w:rsidP="00235461">
      <w:pPr>
        <w:spacing w:after="0" w:line="264" w:lineRule="auto"/>
        <w:jc w:val="both"/>
        <w:rPr>
          <w:rFonts w:ascii="Times New Roman" w:hAnsi="Times New Roman" w:cs="Times New Roman"/>
          <w:sz w:val="24"/>
          <w:szCs w:val="24"/>
          <w:lang w:val="en-US" w:eastAsia="en-US"/>
        </w:rPr>
      </w:pPr>
    </w:p>
    <w:p w:rsidR="00871911" w:rsidRPr="00A40ACC" w:rsidRDefault="00871911" w:rsidP="00235461">
      <w:pPr>
        <w:spacing w:after="0" w:line="264" w:lineRule="auto"/>
        <w:jc w:val="both"/>
        <w:rPr>
          <w:rFonts w:ascii="Times New Roman" w:hAnsi="Times New Roman" w:cs="Times New Roman"/>
          <w:i/>
          <w:sz w:val="24"/>
          <w:szCs w:val="24"/>
          <w:lang w:val="en-US" w:eastAsia="en-US"/>
        </w:rPr>
      </w:pPr>
      <w:r w:rsidRPr="00A40ACC">
        <w:rPr>
          <w:rFonts w:ascii="Times New Roman" w:hAnsi="Times New Roman" w:cs="Times New Roman"/>
          <w:i/>
          <w:sz w:val="24"/>
          <w:szCs w:val="24"/>
          <w:lang w:val="en-US" w:eastAsia="en-US"/>
        </w:rPr>
        <w:t>Inclusion of health information privacy</w:t>
      </w:r>
    </w:p>
    <w:p w:rsidR="00871911"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lang w:val="en-US" w:eastAsia="en-US"/>
        </w:rPr>
        <w:t>One submitter</w:t>
      </w:r>
      <w:r w:rsidRPr="00A40ACC">
        <w:rPr>
          <w:rFonts w:ascii="Times New Roman" w:hAnsi="Times New Roman" w:cs="Times New Roman"/>
          <w:sz w:val="24"/>
          <w:szCs w:val="24"/>
          <w:vertAlign w:val="superscript"/>
          <w:lang w:val="en-US" w:eastAsia="en-US"/>
        </w:rPr>
        <w:footnoteReference w:id="21"/>
      </w:r>
      <w:r w:rsidRPr="00A40ACC">
        <w:rPr>
          <w:rFonts w:ascii="Times New Roman" w:hAnsi="Times New Roman" w:cs="Times New Roman"/>
          <w:sz w:val="24"/>
          <w:szCs w:val="24"/>
          <w:lang w:val="en-US" w:eastAsia="en-US"/>
        </w:rPr>
        <w:t xml:space="preserve"> noted that Right 1(2) should include health information privacy (with an equivalent Act amendment at section 20(1)(c)(</w:t>
      </w:r>
      <w:proofErr w:type="spellStart"/>
      <w:r w:rsidRPr="00A40ACC">
        <w:rPr>
          <w:rFonts w:ascii="Times New Roman" w:hAnsi="Times New Roman" w:cs="Times New Roman"/>
          <w:sz w:val="24"/>
          <w:szCs w:val="24"/>
          <w:lang w:val="en-US" w:eastAsia="en-US"/>
        </w:rPr>
        <w:t>i</w:t>
      </w:r>
      <w:proofErr w:type="spellEnd"/>
      <w:r w:rsidRPr="00A40ACC">
        <w:rPr>
          <w:rFonts w:ascii="Times New Roman" w:hAnsi="Times New Roman" w:cs="Times New Roman"/>
          <w:sz w:val="24"/>
          <w:szCs w:val="24"/>
          <w:lang w:val="en-US" w:eastAsia="en-US"/>
        </w:rPr>
        <w:t xml:space="preserve">)). They considered that complaints about a breach of health information privacy would be more appropriately dealt with by HDC than by referral to the Privacy Commissioner. </w:t>
      </w:r>
    </w:p>
    <w:p w:rsidR="00891758" w:rsidRDefault="00891758" w:rsidP="00235461">
      <w:pPr>
        <w:spacing w:after="0" w:line="264" w:lineRule="auto"/>
        <w:jc w:val="both"/>
        <w:rPr>
          <w:rFonts w:ascii="Times New Roman" w:hAnsi="Times New Roman" w:cs="Times New Roman"/>
          <w:b/>
          <w:i/>
          <w:sz w:val="24"/>
          <w:szCs w:val="24"/>
        </w:rPr>
      </w:pPr>
    </w:p>
    <w:p w:rsidR="00871911"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b/>
          <w:i/>
          <w:sz w:val="24"/>
          <w:szCs w:val="24"/>
        </w:rPr>
        <w:t>Right 4</w:t>
      </w:r>
    </w:p>
    <w:p w:rsidR="00871911"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 xml:space="preserve">A number of submissions commented on </w:t>
      </w:r>
      <w:r w:rsidR="00D62E38" w:rsidRPr="00A40ACC">
        <w:rPr>
          <w:rFonts w:ascii="Times New Roman" w:hAnsi="Times New Roman" w:cs="Times New Roman"/>
          <w:sz w:val="24"/>
          <w:szCs w:val="24"/>
          <w:lang w:val="en-US" w:eastAsia="en-US"/>
        </w:rPr>
        <w:t>amending</w:t>
      </w:r>
      <w:r w:rsidRPr="00A40ACC">
        <w:rPr>
          <w:rFonts w:ascii="Times New Roman" w:hAnsi="Times New Roman" w:cs="Times New Roman"/>
          <w:sz w:val="24"/>
          <w:szCs w:val="24"/>
          <w:lang w:val="en-US" w:eastAsia="en-US"/>
        </w:rPr>
        <w:t xml:space="preserve"> Right 4 to include access to services. While one was more general in its approach, suggesting that an overall right to treatment would be appropriate</w:t>
      </w:r>
      <w:r w:rsidR="007231E1">
        <w:rPr>
          <w:rFonts w:ascii="Times New Roman" w:hAnsi="Times New Roman" w:cs="Times New Roman"/>
          <w:sz w:val="24"/>
          <w:szCs w:val="24"/>
          <w:lang w:val="en-US" w:eastAsia="en-US"/>
        </w:rPr>
        <w:t>,</w:t>
      </w:r>
      <w:r w:rsidRPr="00A40ACC">
        <w:rPr>
          <w:rStyle w:val="FootnoteReference"/>
          <w:rFonts w:ascii="Times New Roman" w:hAnsi="Times New Roman" w:cs="Times New Roman"/>
          <w:sz w:val="24"/>
          <w:szCs w:val="24"/>
          <w:lang w:val="en-US" w:eastAsia="en-US"/>
        </w:rPr>
        <w:footnoteReference w:id="22"/>
      </w:r>
      <w:r w:rsidR="00450C2B">
        <w:rPr>
          <w:rFonts w:ascii="Times New Roman" w:hAnsi="Times New Roman" w:cs="Times New Roman"/>
          <w:sz w:val="24"/>
          <w:szCs w:val="24"/>
          <w:lang w:val="en-US" w:eastAsia="en-US"/>
        </w:rPr>
        <w:t xml:space="preserve"> </w:t>
      </w:r>
      <w:r w:rsidRPr="00A40ACC">
        <w:rPr>
          <w:rFonts w:ascii="Times New Roman" w:hAnsi="Times New Roman" w:cs="Times New Roman"/>
          <w:sz w:val="24"/>
          <w:szCs w:val="24"/>
          <w:lang w:val="en-US" w:eastAsia="en-US"/>
        </w:rPr>
        <w:t>the majority of these submissions focused on extending Right 4 to includ</w:t>
      </w:r>
      <w:r w:rsidR="006F2EF3">
        <w:rPr>
          <w:rFonts w:ascii="Times New Roman" w:hAnsi="Times New Roman" w:cs="Times New Roman"/>
          <w:sz w:val="24"/>
          <w:szCs w:val="24"/>
          <w:lang w:val="en-US" w:eastAsia="en-US"/>
        </w:rPr>
        <w:t>e</w:t>
      </w:r>
      <w:r w:rsidRPr="00A40ACC">
        <w:rPr>
          <w:rFonts w:ascii="Times New Roman" w:hAnsi="Times New Roman" w:cs="Times New Roman"/>
          <w:sz w:val="24"/>
          <w:szCs w:val="24"/>
          <w:lang w:val="en-US" w:eastAsia="en-US"/>
        </w:rPr>
        <w:t xml:space="preserve"> a right to access for certain disability services, as</w:t>
      </w:r>
      <w:r w:rsidR="00E707B9">
        <w:rPr>
          <w:rFonts w:ascii="Times New Roman" w:hAnsi="Times New Roman" w:cs="Times New Roman"/>
          <w:sz w:val="24"/>
          <w:szCs w:val="24"/>
          <w:lang w:val="en-US" w:eastAsia="en-US"/>
        </w:rPr>
        <w:t xml:space="preserve"> proposed</w:t>
      </w:r>
      <w:r w:rsidRPr="00A40ACC">
        <w:rPr>
          <w:rFonts w:ascii="Times New Roman" w:hAnsi="Times New Roman" w:cs="Times New Roman"/>
          <w:sz w:val="24"/>
          <w:szCs w:val="24"/>
          <w:lang w:val="en-US" w:eastAsia="en-US"/>
        </w:rPr>
        <w:t xml:space="preserve"> in the </w:t>
      </w:r>
      <w:r w:rsidR="00D62E38" w:rsidRPr="00A40ACC">
        <w:rPr>
          <w:rFonts w:ascii="Times New Roman" w:hAnsi="Times New Roman" w:cs="Times New Roman"/>
          <w:sz w:val="24"/>
          <w:szCs w:val="24"/>
          <w:lang w:val="en-US" w:eastAsia="en-US"/>
        </w:rPr>
        <w:t>2009</w:t>
      </w:r>
      <w:r w:rsidRPr="00A40ACC">
        <w:rPr>
          <w:rFonts w:ascii="Times New Roman" w:hAnsi="Times New Roman" w:cs="Times New Roman"/>
          <w:sz w:val="24"/>
          <w:szCs w:val="24"/>
          <w:lang w:val="en-US" w:eastAsia="en-US"/>
        </w:rPr>
        <w:t xml:space="preserve"> review.</w:t>
      </w:r>
    </w:p>
    <w:p w:rsidR="009B4ED5" w:rsidRDefault="009B4ED5" w:rsidP="00235461">
      <w:pPr>
        <w:spacing w:after="0" w:line="264" w:lineRule="auto"/>
        <w:jc w:val="both"/>
        <w:rPr>
          <w:rFonts w:ascii="Times New Roman" w:hAnsi="Times New Roman" w:cs="Times New Roman"/>
          <w:sz w:val="24"/>
          <w:szCs w:val="24"/>
          <w:lang w:val="en-US" w:eastAsia="en-US"/>
        </w:rPr>
      </w:pPr>
    </w:p>
    <w:p w:rsidR="00871911"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lastRenderedPageBreak/>
        <w:t>The submission from the Office of the Ombudsman</w:t>
      </w:r>
      <w:r w:rsidRPr="00A40ACC">
        <w:rPr>
          <w:rStyle w:val="FootnoteReference"/>
          <w:rFonts w:ascii="Times New Roman" w:hAnsi="Times New Roman" w:cs="Times New Roman"/>
          <w:sz w:val="24"/>
          <w:szCs w:val="24"/>
          <w:lang w:val="en-US" w:eastAsia="en-US"/>
        </w:rPr>
        <w:footnoteReference w:id="23"/>
      </w:r>
      <w:r w:rsidRPr="00A40ACC">
        <w:rPr>
          <w:rFonts w:ascii="Times New Roman" w:hAnsi="Times New Roman" w:cs="Times New Roman"/>
          <w:sz w:val="24"/>
          <w:szCs w:val="24"/>
          <w:lang w:val="en-US" w:eastAsia="en-US"/>
        </w:rPr>
        <w:t xml:space="preserve"> in particular was supportive of this amendment. They noted that section 20(2)(a) of the Act </w:t>
      </w:r>
      <w:proofErr w:type="spellStart"/>
      <w:r w:rsidRPr="00A40ACC">
        <w:rPr>
          <w:rFonts w:ascii="Times New Roman" w:hAnsi="Times New Roman" w:cs="Times New Roman"/>
          <w:sz w:val="24"/>
          <w:szCs w:val="24"/>
          <w:lang w:val="en-US" w:eastAsia="en-US"/>
        </w:rPr>
        <w:t>authorises</w:t>
      </w:r>
      <w:proofErr w:type="spellEnd"/>
      <w:r w:rsidRPr="00A40ACC">
        <w:rPr>
          <w:rFonts w:ascii="Times New Roman" w:hAnsi="Times New Roman" w:cs="Times New Roman"/>
          <w:sz w:val="24"/>
          <w:szCs w:val="24"/>
          <w:lang w:val="en-US" w:eastAsia="en-US"/>
        </w:rPr>
        <w:t xml:space="preserve"> the Code to cover matters of </w:t>
      </w:r>
      <w:r w:rsidR="000C12A2">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particular importance</w:t>
      </w:r>
      <w:r w:rsidR="000C12A2">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 xml:space="preserve"> to disability services consumers and that timely access to services a disability services consumer needs is an issue of particular importance to disability services consumers. They stated that, as Ombudsmen, their role is as an independent monitoring mechanism (IMM) under Article 33 of the U</w:t>
      </w:r>
      <w:r w:rsidR="000C12A2">
        <w:rPr>
          <w:rFonts w:ascii="Times New Roman" w:hAnsi="Times New Roman" w:cs="Times New Roman"/>
          <w:sz w:val="24"/>
          <w:szCs w:val="24"/>
          <w:lang w:val="en-US" w:eastAsia="en-US"/>
        </w:rPr>
        <w:t xml:space="preserve">nited </w:t>
      </w:r>
      <w:r w:rsidRPr="00A40ACC">
        <w:rPr>
          <w:rFonts w:ascii="Times New Roman" w:hAnsi="Times New Roman" w:cs="Times New Roman"/>
          <w:sz w:val="24"/>
          <w:szCs w:val="24"/>
          <w:lang w:val="en-US" w:eastAsia="en-US"/>
        </w:rPr>
        <w:t>N</w:t>
      </w:r>
      <w:r w:rsidR="000C12A2">
        <w:rPr>
          <w:rFonts w:ascii="Times New Roman" w:hAnsi="Times New Roman" w:cs="Times New Roman"/>
          <w:sz w:val="24"/>
          <w:szCs w:val="24"/>
          <w:lang w:val="en-US" w:eastAsia="en-US"/>
        </w:rPr>
        <w:t>ations</w:t>
      </w:r>
      <w:r w:rsidRPr="00A40ACC">
        <w:rPr>
          <w:rFonts w:ascii="Times New Roman" w:hAnsi="Times New Roman" w:cs="Times New Roman"/>
          <w:sz w:val="24"/>
          <w:szCs w:val="24"/>
          <w:lang w:val="en-US" w:eastAsia="en-US"/>
        </w:rPr>
        <w:t xml:space="preserve"> Convention on the Rights of Persons with Disabilities. Signatories to the Disabilities Convention are to promote, protect and ensure the full and equal engagement of all human rights and fundamental freedoms by all persons with disabilities. </w:t>
      </w:r>
      <w:r w:rsidR="00D62E38" w:rsidRPr="00A40ACC">
        <w:rPr>
          <w:rFonts w:ascii="Times New Roman" w:hAnsi="Times New Roman" w:cs="Times New Roman"/>
          <w:sz w:val="24"/>
          <w:szCs w:val="24"/>
          <w:lang w:val="en-US" w:eastAsia="en-US"/>
        </w:rPr>
        <w:t>T</w:t>
      </w:r>
      <w:r w:rsidRPr="00A40ACC">
        <w:rPr>
          <w:rFonts w:ascii="Times New Roman" w:hAnsi="Times New Roman" w:cs="Times New Roman"/>
          <w:sz w:val="24"/>
          <w:szCs w:val="24"/>
          <w:lang w:val="en-US" w:eastAsia="en-US"/>
        </w:rPr>
        <w:t>hey noted an appreciation for the nervousness about making any changes to the Code which could have the unintended consequence of extending complaints to cover resource allocation decisions</w:t>
      </w:r>
      <w:r w:rsidR="00D62E38" w:rsidRPr="00A40ACC">
        <w:rPr>
          <w:rFonts w:ascii="Times New Roman" w:hAnsi="Times New Roman" w:cs="Times New Roman"/>
          <w:sz w:val="24"/>
          <w:szCs w:val="24"/>
          <w:lang w:val="en-US" w:eastAsia="en-US"/>
        </w:rPr>
        <w:t>.</w:t>
      </w:r>
      <w:r w:rsidR="00393E47" w:rsidRPr="00A40ACC">
        <w:rPr>
          <w:rFonts w:ascii="Times New Roman" w:hAnsi="Times New Roman" w:cs="Times New Roman"/>
          <w:sz w:val="24"/>
          <w:szCs w:val="24"/>
          <w:lang w:val="en-US" w:eastAsia="en-US"/>
        </w:rPr>
        <w:t xml:space="preserve"> </w:t>
      </w:r>
      <w:r w:rsidR="00D62E38" w:rsidRPr="00A40ACC">
        <w:rPr>
          <w:rFonts w:ascii="Times New Roman" w:hAnsi="Times New Roman" w:cs="Times New Roman"/>
          <w:sz w:val="24"/>
          <w:szCs w:val="24"/>
          <w:lang w:val="en-US" w:eastAsia="en-US"/>
        </w:rPr>
        <w:t>However,</w:t>
      </w:r>
      <w:r w:rsidRPr="00A40ACC">
        <w:rPr>
          <w:rFonts w:ascii="Times New Roman" w:hAnsi="Times New Roman" w:cs="Times New Roman"/>
          <w:sz w:val="24"/>
          <w:szCs w:val="24"/>
          <w:lang w:val="en-US" w:eastAsia="en-US"/>
        </w:rPr>
        <w:t xml:space="preserve"> they</w:t>
      </w:r>
      <w:r w:rsidR="00D62E38" w:rsidRPr="00A40ACC">
        <w:rPr>
          <w:rFonts w:ascii="Times New Roman" w:hAnsi="Times New Roman" w:cs="Times New Roman"/>
          <w:sz w:val="24"/>
          <w:szCs w:val="24"/>
          <w:lang w:val="en-US" w:eastAsia="en-US"/>
        </w:rPr>
        <w:t xml:space="preserve"> also</w:t>
      </w:r>
      <w:r w:rsidRPr="00A40ACC">
        <w:rPr>
          <w:rFonts w:ascii="Times New Roman" w:hAnsi="Times New Roman" w:cs="Times New Roman"/>
          <w:sz w:val="24"/>
          <w:szCs w:val="24"/>
          <w:lang w:val="en-US" w:eastAsia="en-US"/>
        </w:rPr>
        <w:t xml:space="preserve"> consider that the proposed amendment is carefully constrained, relating only to timely access to services a disability services consumer has been assessed as needing. In their view the change would be consistent with the human rights approach underpinning the Code and the Disabilities Convention, and would be a significant step towards the vision set out in </w:t>
      </w:r>
      <w:r w:rsidR="000C12A2">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Making Disability Rights Real</w:t>
      </w:r>
      <w:r w:rsidR="000C12A2">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 the 2012 report of the IMM in N</w:t>
      </w:r>
      <w:r w:rsidR="008D1D8F">
        <w:rPr>
          <w:rFonts w:ascii="Times New Roman" w:hAnsi="Times New Roman" w:cs="Times New Roman"/>
          <w:sz w:val="24"/>
          <w:szCs w:val="24"/>
          <w:lang w:val="en-US" w:eastAsia="en-US"/>
        </w:rPr>
        <w:t xml:space="preserve">ew </w:t>
      </w:r>
      <w:r w:rsidRPr="00A40ACC">
        <w:rPr>
          <w:rFonts w:ascii="Times New Roman" w:hAnsi="Times New Roman" w:cs="Times New Roman"/>
          <w:sz w:val="24"/>
          <w:szCs w:val="24"/>
          <w:lang w:val="en-US" w:eastAsia="en-US"/>
        </w:rPr>
        <w:t>Z</w:t>
      </w:r>
      <w:r w:rsidR="008D1D8F">
        <w:rPr>
          <w:rFonts w:ascii="Times New Roman" w:hAnsi="Times New Roman" w:cs="Times New Roman"/>
          <w:sz w:val="24"/>
          <w:szCs w:val="24"/>
          <w:lang w:val="en-US" w:eastAsia="en-US"/>
        </w:rPr>
        <w:t>ealand</w:t>
      </w:r>
      <w:r w:rsidRPr="00A40ACC">
        <w:rPr>
          <w:rFonts w:ascii="Times New Roman" w:hAnsi="Times New Roman" w:cs="Times New Roman"/>
          <w:sz w:val="24"/>
          <w:szCs w:val="24"/>
          <w:lang w:val="en-US" w:eastAsia="en-US"/>
        </w:rPr>
        <w:t>, of which their Office is part.</w:t>
      </w:r>
    </w:p>
    <w:p w:rsidR="00891758" w:rsidRPr="00A40ACC" w:rsidRDefault="00891758" w:rsidP="00235461">
      <w:pPr>
        <w:spacing w:after="0" w:line="264" w:lineRule="auto"/>
        <w:jc w:val="both"/>
        <w:rPr>
          <w:rFonts w:ascii="Times New Roman" w:hAnsi="Times New Roman" w:cs="Times New Roman"/>
          <w:sz w:val="24"/>
          <w:szCs w:val="24"/>
          <w:lang w:val="en-US" w:eastAsia="en-US"/>
        </w:rPr>
      </w:pPr>
    </w:p>
    <w:p w:rsidR="00871911"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Similarly, the Human Rights Commission</w:t>
      </w:r>
      <w:r w:rsidRPr="00A40ACC">
        <w:rPr>
          <w:rStyle w:val="FootnoteReference"/>
          <w:rFonts w:ascii="Times New Roman" w:hAnsi="Times New Roman" w:cs="Times New Roman"/>
          <w:sz w:val="24"/>
          <w:szCs w:val="24"/>
          <w:lang w:val="en-US" w:eastAsia="en-US"/>
        </w:rPr>
        <w:footnoteReference w:id="24"/>
      </w:r>
      <w:r w:rsidRPr="00A40ACC">
        <w:rPr>
          <w:rFonts w:ascii="Times New Roman" w:hAnsi="Times New Roman" w:cs="Times New Roman"/>
          <w:sz w:val="24"/>
          <w:szCs w:val="24"/>
          <w:lang w:val="en-US" w:eastAsia="en-US"/>
        </w:rPr>
        <w:t xml:space="preserve"> also considered that while they accept that problems may arise if an unqualified right to access services were to be introduced, some of the difficulties might be resolved if the right was qualified by a reference which reflects a hu</w:t>
      </w:r>
      <w:r w:rsidR="006F2EF3">
        <w:rPr>
          <w:rFonts w:ascii="Times New Roman" w:hAnsi="Times New Roman" w:cs="Times New Roman"/>
          <w:sz w:val="24"/>
          <w:szCs w:val="24"/>
          <w:lang w:val="en-US" w:eastAsia="en-US"/>
        </w:rPr>
        <w:t>man rights approach and involves</w:t>
      </w:r>
      <w:r w:rsidRPr="00A40ACC">
        <w:rPr>
          <w:rFonts w:ascii="Times New Roman" w:hAnsi="Times New Roman" w:cs="Times New Roman"/>
          <w:sz w:val="24"/>
          <w:szCs w:val="24"/>
          <w:lang w:val="en-US" w:eastAsia="en-US"/>
        </w:rPr>
        <w:t xml:space="preserve"> an oblig</w:t>
      </w:r>
      <w:r w:rsidR="00E707B9">
        <w:rPr>
          <w:rFonts w:ascii="Times New Roman" w:hAnsi="Times New Roman" w:cs="Times New Roman"/>
          <w:sz w:val="24"/>
          <w:szCs w:val="24"/>
          <w:lang w:val="en-US" w:eastAsia="en-US"/>
        </w:rPr>
        <w:t>ation to balance the individual’</w:t>
      </w:r>
      <w:r w:rsidRPr="00A40ACC">
        <w:rPr>
          <w:rFonts w:ascii="Times New Roman" w:hAnsi="Times New Roman" w:cs="Times New Roman"/>
          <w:sz w:val="24"/>
          <w:szCs w:val="24"/>
          <w:lang w:val="en-US" w:eastAsia="en-US"/>
        </w:rPr>
        <w:t>s right to a particular service, giving priority needs to those who are most vulnerable.</w:t>
      </w:r>
    </w:p>
    <w:p w:rsidR="00891758" w:rsidRPr="00A40ACC" w:rsidRDefault="00891758" w:rsidP="00235461">
      <w:pPr>
        <w:spacing w:after="0" w:line="264" w:lineRule="auto"/>
        <w:jc w:val="both"/>
        <w:rPr>
          <w:rFonts w:ascii="Times New Roman" w:hAnsi="Times New Roman" w:cs="Times New Roman"/>
          <w:sz w:val="24"/>
          <w:szCs w:val="24"/>
          <w:lang w:val="en-US" w:eastAsia="en-US"/>
        </w:rPr>
      </w:pPr>
    </w:p>
    <w:p w:rsidR="00871911" w:rsidRPr="00A40ACC"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Another submission</w:t>
      </w:r>
      <w:r w:rsidRPr="001B17D4">
        <w:rPr>
          <w:rFonts w:ascii="Times New Roman" w:hAnsi="Times New Roman" w:cs="Times New Roman"/>
          <w:sz w:val="24"/>
          <w:szCs w:val="24"/>
          <w:vertAlign w:val="superscript"/>
          <w:lang w:val="en-US" w:eastAsia="en-US"/>
        </w:rPr>
        <w:footnoteReference w:id="25"/>
      </w:r>
      <w:r w:rsidRPr="00A40ACC">
        <w:rPr>
          <w:rFonts w:ascii="Times New Roman" w:hAnsi="Times New Roman" w:cs="Times New Roman"/>
          <w:sz w:val="24"/>
          <w:szCs w:val="24"/>
          <w:lang w:val="en-US" w:eastAsia="en-US"/>
        </w:rPr>
        <w:t xml:space="preserve"> also supported a change to Right 4(3) that would give disability services consumers the right to timely access to disability services that they have been assessed as needing following a needs assessment. </w:t>
      </w:r>
    </w:p>
    <w:p w:rsidR="00891758" w:rsidRDefault="00891758" w:rsidP="00235461">
      <w:pPr>
        <w:spacing w:after="0" w:line="264" w:lineRule="auto"/>
        <w:jc w:val="both"/>
        <w:rPr>
          <w:rFonts w:ascii="Times New Roman" w:hAnsi="Times New Roman" w:cs="Times New Roman"/>
          <w:sz w:val="24"/>
          <w:szCs w:val="24"/>
          <w:lang w:val="en-US" w:eastAsia="en-US"/>
        </w:rPr>
      </w:pPr>
    </w:p>
    <w:p w:rsidR="0021096B" w:rsidRPr="00A40ACC" w:rsidRDefault="00EE5596"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lang w:val="en-US" w:eastAsia="en-US"/>
        </w:rPr>
        <w:t xml:space="preserve">Access to </w:t>
      </w:r>
      <w:r w:rsidR="0038518A" w:rsidRPr="00A40ACC">
        <w:rPr>
          <w:rFonts w:ascii="Times New Roman" w:hAnsi="Times New Roman" w:cs="Times New Roman"/>
          <w:sz w:val="24"/>
          <w:szCs w:val="24"/>
          <w:lang w:val="en-US" w:eastAsia="en-US"/>
        </w:rPr>
        <w:t xml:space="preserve">disability </w:t>
      </w:r>
      <w:r w:rsidRPr="00A40ACC">
        <w:rPr>
          <w:rFonts w:ascii="Times New Roman" w:hAnsi="Times New Roman" w:cs="Times New Roman"/>
          <w:sz w:val="24"/>
          <w:szCs w:val="24"/>
          <w:lang w:val="en-US" w:eastAsia="en-US"/>
        </w:rPr>
        <w:t>services was consulted on in the 2009 review</w:t>
      </w:r>
      <w:r w:rsidR="0038518A" w:rsidRPr="00A40ACC">
        <w:rPr>
          <w:rFonts w:ascii="Times New Roman" w:hAnsi="Times New Roman" w:cs="Times New Roman"/>
          <w:sz w:val="24"/>
          <w:szCs w:val="24"/>
          <w:lang w:val="en-US" w:eastAsia="en-US"/>
        </w:rPr>
        <w:t>.</w:t>
      </w:r>
      <w:r w:rsidR="00871911" w:rsidRPr="00A40ACC">
        <w:rPr>
          <w:rFonts w:ascii="Times New Roman" w:hAnsi="Times New Roman" w:cs="Times New Roman"/>
          <w:sz w:val="24"/>
          <w:szCs w:val="24"/>
        </w:rPr>
        <w:t xml:space="preserve"> </w:t>
      </w:r>
    </w:p>
    <w:p w:rsidR="00871911" w:rsidRPr="00A40ACC" w:rsidRDefault="00871911" w:rsidP="00235461">
      <w:pPr>
        <w:spacing w:after="0" w:line="264" w:lineRule="auto"/>
        <w:jc w:val="both"/>
        <w:rPr>
          <w:rFonts w:ascii="Times New Roman" w:hAnsi="Times New Roman" w:cs="Times New Roman"/>
          <w:sz w:val="24"/>
          <w:szCs w:val="24"/>
        </w:rPr>
      </w:pPr>
    </w:p>
    <w:p w:rsidR="00871911"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b/>
          <w:i/>
          <w:sz w:val="24"/>
          <w:szCs w:val="24"/>
        </w:rPr>
        <w:t>Right 5</w:t>
      </w:r>
    </w:p>
    <w:p w:rsidR="00871911" w:rsidRPr="00A40ACC" w:rsidRDefault="00D6558F"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Ten</w:t>
      </w:r>
      <w:r w:rsidR="00871911" w:rsidRPr="00A40ACC">
        <w:rPr>
          <w:rFonts w:ascii="Times New Roman" w:hAnsi="Times New Roman" w:cs="Times New Roman"/>
          <w:sz w:val="24"/>
          <w:szCs w:val="24"/>
          <w:lang w:val="en-US" w:eastAsia="en-US"/>
        </w:rPr>
        <w:t xml:space="preserve"> submissions commented on Right 5, which gives consumers the right to a competent interpreter where necessary and reasonably practicable. The general theme of these submissions was that the qualification of being “reasonably practicable” should be removed.</w:t>
      </w:r>
    </w:p>
    <w:p w:rsidR="00871911"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Three submissions</w:t>
      </w:r>
      <w:r w:rsidRPr="00A40ACC">
        <w:rPr>
          <w:rFonts w:ascii="Times New Roman" w:hAnsi="Times New Roman" w:cs="Times New Roman"/>
          <w:sz w:val="24"/>
          <w:szCs w:val="24"/>
          <w:vertAlign w:val="superscript"/>
          <w:lang w:val="en-US" w:eastAsia="en-US"/>
        </w:rPr>
        <w:footnoteReference w:id="26"/>
      </w:r>
      <w:r w:rsidRPr="00A40ACC">
        <w:rPr>
          <w:rFonts w:ascii="Times New Roman" w:hAnsi="Times New Roman" w:cs="Times New Roman"/>
          <w:sz w:val="24"/>
          <w:szCs w:val="24"/>
          <w:lang w:val="en-US" w:eastAsia="en-US"/>
        </w:rPr>
        <w:t xml:space="preserve"> noted that the Code is already qualified by Clause 3 which refers to “reasonable actions in the circumstances”. One submitter</w:t>
      </w:r>
      <w:r w:rsidRPr="001B17D4">
        <w:rPr>
          <w:rFonts w:ascii="Times New Roman" w:hAnsi="Times New Roman" w:cs="Times New Roman"/>
          <w:sz w:val="24"/>
          <w:szCs w:val="24"/>
          <w:vertAlign w:val="superscript"/>
          <w:lang w:val="en-US" w:eastAsia="en-US"/>
        </w:rPr>
        <w:footnoteReference w:id="27"/>
      </w:r>
      <w:r w:rsidRPr="00A40ACC">
        <w:rPr>
          <w:rFonts w:ascii="Times New Roman" w:hAnsi="Times New Roman" w:cs="Times New Roman"/>
          <w:sz w:val="24"/>
          <w:szCs w:val="24"/>
          <w:lang w:val="en-US" w:eastAsia="en-US"/>
        </w:rPr>
        <w:t xml:space="preserve"> considered that the effect of the qualification in Right 5 therefore is to imply that it is more acceptable to not comply with the right to a competent interpreter than any of the other rights, while another</w:t>
      </w:r>
      <w:r w:rsidRPr="00A40ACC">
        <w:rPr>
          <w:rFonts w:ascii="Times New Roman" w:hAnsi="Times New Roman" w:cs="Times New Roman"/>
          <w:sz w:val="24"/>
          <w:szCs w:val="24"/>
          <w:vertAlign w:val="superscript"/>
          <w:lang w:val="en-US" w:eastAsia="en-US"/>
        </w:rPr>
        <w:footnoteReference w:id="28"/>
      </w:r>
      <w:r w:rsidRPr="00A40ACC">
        <w:rPr>
          <w:rFonts w:ascii="Times New Roman" w:hAnsi="Times New Roman" w:cs="Times New Roman"/>
          <w:sz w:val="24"/>
          <w:szCs w:val="24"/>
          <w:lang w:val="en-US" w:eastAsia="en-US"/>
        </w:rPr>
        <w:t xml:space="preserve"> thought that the effect of both qualifications was to make “reasonably practicable” redundant.</w:t>
      </w:r>
    </w:p>
    <w:p w:rsidR="00891758" w:rsidRPr="00A40ACC" w:rsidRDefault="00891758" w:rsidP="00235461">
      <w:pPr>
        <w:spacing w:after="0" w:line="264" w:lineRule="auto"/>
        <w:jc w:val="both"/>
        <w:rPr>
          <w:rFonts w:ascii="Times New Roman" w:hAnsi="Times New Roman" w:cs="Times New Roman"/>
          <w:sz w:val="24"/>
          <w:szCs w:val="24"/>
          <w:lang w:val="en-US" w:eastAsia="en-US"/>
        </w:rPr>
      </w:pPr>
    </w:p>
    <w:p w:rsidR="00871911"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These submissions also stated that there are a number of interpretation services now</w:t>
      </w:r>
      <w:r w:rsidRPr="00A40ACC">
        <w:rPr>
          <w:rFonts w:ascii="Times New Roman" w:hAnsi="Times New Roman" w:cs="Times New Roman"/>
          <w:sz w:val="24"/>
          <w:szCs w:val="24"/>
        </w:rPr>
        <w:t xml:space="preserve"> available, and </w:t>
      </w:r>
      <w:r w:rsidRPr="00A40ACC">
        <w:rPr>
          <w:rFonts w:ascii="Times New Roman" w:hAnsi="Times New Roman" w:cs="Times New Roman"/>
          <w:sz w:val="24"/>
          <w:szCs w:val="24"/>
          <w:lang w:val="en-US" w:eastAsia="en-US"/>
        </w:rPr>
        <w:t xml:space="preserve">that since the inception of the Code the availability of interpreters has changed </w:t>
      </w:r>
      <w:r w:rsidRPr="00A40ACC">
        <w:rPr>
          <w:rFonts w:ascii="Times New Roman" w:hAnsi="Times New Roman" w:cs="Times New Roman"/>
          <w:sz w:val="24"/>
          <w:szCs w:val="24"/>
          <w:lang w:val="en-US" w:eastAsia="en-US"/>
        </w:rPr>
        <w:lastRenderedPageBreak/>
        <w:t>dramatically. Three submitters</w:t>
      </w:r>
      <w:r w:rsidRPr="00A40ACC">
        <w:rPr>
          <w:rStyle w:val="FootnoteReference"/>
          <w:rFonts w:ascii="Times New Roman" w:hAnsi="Times New Roman" w:cs="Times New Roman"/>
          <w:sz w:val="24"/>
          <w:szCs w:val="24"/>
          <w:lang w:val="en-US" w:eastAsia="en-US"/>
        </w:rPr>
        <w:footnoteReference w:id="29"/>
      </w:r>
      <w:r w:rsidRPr="00A40ACC">
        <w:rPr>
          <w:rFonts w:ascii="Times New Roman" w:hAnsi="Times New Roman" w:cs="Times New Roman"/>
          <w:sz w:val="24"/>
          <w:szCs w:val="24"/>
          <w:lang w:val="en-US" w:eastAsia="en-US"/>
        </w:rPr>
        <w:t xml:space="preserve"> noted that the Office of Ethnic Affairs offers a Language Line, a professional telephone interpreting service in 44 languages, with one noting that most D</w:t>
      </w:r>
      <w:r w:rsidR="00E707B9">
        <w:rPr>
          <w:rFonts w:ascii="Times New Roman" w:hAnsi="Times New Roman" w:cs="Times New Roman"/>
          <w:sz w:val="24"/>
          <w:szCs w:val="24"/>
          <w:lang w:val="en-US" w:eastAsia="en-US"/>
        </w:rPr>
        <w:t xml:space="preserve">istrict </w:t>
      </w:r>
      <w:r w:rsidRPr="00A40ACC">
        <w:rPr>
          <w:rFonts w:ascii="Times New Roman" w:hAnsi="Times New Roman" w:cs="Times New Roman"/>
          <w:sz w:val="24"/>
          <w:szCs w:val="24"/>
          <w:lang w:val="en-US" w:eastAsia="en-US"/>
        </w:rPr>
        <w:t>H</w:t>
      </w:r>
      <w:r w:rsidR="00E707B9">
        <w:rPr>
          <w:rFonts w:ascii="Times New Roman" w:hAnsi="Times New Roman" w:cs="Times New Roman"/>
          <w:sz w:val="24"/>
          <w:szCs w:val="24"/>
          <w:lang w:val="en-US" w:eastAsia="en-US"/>
        </w:rPr>
        <w:t xml:space="preserve">ealth </w:t>
      </w:r>
      <w:r w:rsidRPr="00A40ACC">
        <w:rPr>
          <w:rFonts w:ascii="Times New Roman" w:hAnsi="Times New Roman" w:cs="Times New Roman"/>
          <w:sz w:val="24"/>
          <w:szCs w:val="24"/>
          <w:lang w:val="en-US" w:eastAsia="en-US"/>
        </w:rPr>
        <w:t>B</w:t>
      </w:r>
      <w:r w:rsidR="00E707B9">
        <w:rPr>
          <w:rFonts w:ascii="Times New Roman" w:hAnsi="Times New Roman" w:cs="Times New Roman"/>
          <w:sz w:val="24"/>
          <w:szCs w:val="24"/>
          <w:lang w:val="en-US" w:eastAsia="en-US"/>
        </w:rPr>
        <w:t>oard</w:t>
      </w:r>
      <w:r w:rsidRPr="00A40ACC">
        <w:rPr>
          <w:rFonts w:ascii="Times New Roman" w:hAnsi="Times New Roman" w:cs="Times New Roman"/>
          <w:sz w:val="24"/>
          <w:szCs w:val="24"/>
          <w:lang w:val="en-US" w:eastAsia="en-US"/>
        </w:rPr>
        <w:t>s around the country are already signed up to this service. They also commented that most health service providers are also offering face to face interpreting where available. It was suggested that wording that reflects this reality should be used in the Code, as they consider that it is now entirely reasonable for a consumer with English as a second language to be offered professional interpreting. The Pharmacy Council noted that they would support the introduction of a national interpreting and translation service to further enhance and ensure effective communication.</w:t>
      </w:r>
      <w:r w:rsidRPr="00A40ACC">
        <w:rPr>
          <w:rStyle w:val="FootnoteReference"/>
          <w:rFonts w:ascii="Times New Roman" w:hAnsi="Times New Roman" w:cs="Times New Roman"/>
          <w:sz w:val="24"/>
          <w:szCs w:val="24"/>
          <w:lang w:val="en-US" w:eastAsia="en-US"/>
        </w:rPr>
        <w:footnoteReference w:id="30"/>
      </w:r>
    </w:p>
    <w:p w:rsidR="00891758" w:rsidRPr="00A40ACC" w:rsidRDefault="00891758" w:rsidP="00235461">
      <w:pPr>
        <w:spacing w:after="0" w:line="264" w:lineRule="auto"/>
        <w:jc w:val="both"/>
        <w:rPr>
          <w:rFonts w:ascii="Times New Roman" w:hAnsi="Times New Roman" w:cs="Times New Roman"/>
          <w:sz w:val="24"/>
          <w:szCs w:val="24"/>
          <w:lang w:val="en-US" w:eastAsia="en-US"/>
        </w:rPr>
      </w:pPr>
    </w:p>
    <w:p w:rsidR="00871911"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One submission</w:t>
      </w:r>
      <w:r w:rsidRPr="00A40ACC">
        <w:rPr>
          <w:rStyle w:val="FootnoteReference"/>
          <w:rFonts w:ascii="Times New Roman" w:hAnsi="Times New Roman" w:cs="Times New Roman"/>
          <w:sz w:val="24"/>
          <w:szCs w:val="24"/>
          <w:lang w:val="en-US" w:eastAsia="en-US"/>
        </w:rPr>
        <w:footnoteReference w:id="31"/>
      </w:r>
      <w:r w:rsidRPr="00A40ACC">
        <w:rPr>
          <w:rFonts w:ascii="Times New Roman" w:hAnsi="Times New Roman" w:cs="Times New Roman"/>
          <w:sz w:val="24"/>
          <w:szCs w:val="24"/>
          <w:lang w:val="en-US" w:eastAsia="en-US"/>
        </w:rPr>
        <w:t xml:space="preserve"> also considered that for consumers with limited or no English, Rights 6 and 7 are impossible to adhere to effectively without an interpreter. Similarly, another</w:t>
      </w:r>
      <w:r w:rsidRPr="00A40ACC">
        <w:rPr>
          <w:rStyle w:val="FootnoteReference"/>
          <w:rFonts w:ascii="Times New Roman" w:hAnsi="Times New Roman" w:cs="Times New Roman"/>
          <w:sz w:val="24"/>
          <w:szCs w:val="24"/>
          <w:lang w:val="en-US" w:eastAsia="en-US"/>
        </w:rPr>
        <w:footnoteReference w:id="32"/>
      </w:r>
      <w:r w:rsidRPr="00A40ACC">
        <w:rPr>
          <w:rFonts w:ascii="Times New Roman" w:hAnsi="Times New Roman" w:cs="Times New Roman"/>
          <w:sz w:val="24"/>
          <w:szCs w:val="24"/>
          <w:lang w:val="en-US" w:eastAsia="en-US"/>
        </w:rPr>
        <w:t xml:space="preserve"> noted that informed choice and consent are key components of the Code and considered that it is unacceptable to exclude those who do not understand or speak much English. They also noted that the use of family members or friends to assist with communication is very unsatisfactory and can be particularly inappropriate for women. </w:t>
      </w:r>
      <w:r w:rsidR="00D6558F" w:rsidRPr="00A40ACC">
        <w:rPr>
          <w:rFonts w:ascii="Times New Roman" w:hAnsi="Times New Roman" w:cs="Times New Roman"/>
          <w:sz w:val="24"/>
          <w:szCs w:val="24"/>
          <w:lang w:val="en-US" w:eastAsia="en-US"/>
        </w:rPr>
        <w:t>A</w:t>
      </w:r>
      <w:r w:rsidRPr="00A40ACC">
        <w:rPr>
          <w:rFonts w:ascii="Times New Roman" w:hAnsi="Times New Roman" w:cs="Times New Roman"/>
          <w:sz w:val="24"/>
          <w:szCs w:val="24"/>
          <w:lang w:val="en-US" w:eastAsia="en-US"/>
        </w:rPr>
        <w:t>nother two submissions</w:t>
      </w:r>
      <w:r w:rsidRPr="00A40ACC">
        <w:rPr>
          <w:rStyle w:val="FootnoteReference"/>
          <w:rFonts w:ascii="Times New Roman" w:hAnsi="Times New Roman" w:cs="Times New Roman"/>
          <w:sz w:val="24"/>
          <w:szCs w:val="24"/>
          <w:lang w:val="en-US" w:eastAsia="en-US"/>
        </w:rPr>
        <w:footnoteReference w:id="33"/>
      </w:r>
      <w:r w:rsidRPr="00A40ACC">
        <w:rPr>
          <w:rFonts w:ascii="Times New Roman" w:hAnsi="Times New Roman" w:cs="Times New Roman"/>
          <w:sz w:val="24"/>
          <w:szCs w:val="24"/>
          <w:lang w:val="en-US" w:eastAsia="en-US"/>
        </w:rPr>
        <w:t xml:space="preserve"> stated that it can be difficult to comply with Right 7 in the absence of a professional interpreter.</w:t>
      </w:r>
    </w:p>
    <w:p w:rsidR="00891758" w:rsidRPr="00A40ACC" w:rsidRDefault="00891758" w:rsidP="00235461">
      <w:pPr>
        <w:spacing w:after="0" w:line="264" w:lineRule="auto"/>
        <w:jc w:val="both"/>
        <w:rPr>
          <w:rFonts w:ascii="Times New Roman" w:hAnsi="Times New Roman" w:cs="Times New Roman"/>
          <w:sz w:val="24"/>
          <w:szCs w:val="24"/>
          <w:lang w:val="en-US" w:eastAsia="en-US"/>
        </w:rPr>
      </w:pPr>
    </w:p>
    <w:p w:rsidR="00871911"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 xml:space="preserve">On a separate note, the Association of Blind Citizens of New Zealand considered that Right 5(1) should </w:t>
      </w:r>
      <w:proofErr w:type="spellStart"/>
      <w:r w:rsidRPr="00A40ACC">
        <w:rPr>
          <w:rFonts w:ascii="Times New Roman" w:hAnsi="Times New Roman" w:cs="Times New Roman"/>
          <w:sz w:val="24"/>
          <w:szCs w:val="24"/>
          <w:lang w:val="en-US" w:eastAsia="en-US"/>
        </w:rPr>
        <w:t>recognise</w:t>
      </w:r>
      <w:proofErr w:type="spellEnd"/>
      <w:r w:rsidRPr="00A40ACC">
        <w:rPr>
          <w:rFonts w:ascii="Times New Roman" w:hAnsi="Times New Roman" w:cs="Times New Roman"/>
          <w:sz w:val="24"/>
          <w:szCs w:val="24"/>
          <w:lang w:val="en-US" w:eastAsia="en-US"/>
        </w:rPr>
        <w:t xml:space="preserve"> the right and need for consumers (if they so choose), to independently read and/or access information communicated to them. While they considered that this may be intended by </w:t>
      </w:r>
      <w:r w:rsidR="002367F1">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…effective communication in a form, language and manner that enables the consumer to understand the information provided...</w:t>
      </w:r>
      <w:r w:rsidR="002367F1">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 xml:space="preserve">, they considered that it should be expanded to specifically </w:t>
      </w:r>
      <w:proofErr w:type="spellStart"/>
      <w:r w:rsidRPr="00A40ACC">
        <w:rPr>
          <w:rFonts w:ascii="Times New Roman" w:hAnsi="Times New Roman" w:cs="Times New Roman"/>
          <w:sz w:val="24"/>
          <w:szCs w:val="24"/>
          <w:lang w:val="en-US" w:eastAsia="en-US"/>
        </w:rPr>
        <w:t>recognise</w:t>
      </w:r>
      <w:proofErr w:type="spellEnd"/>
      <w:r w:rsidRPr="00A40ACC">
        <w:rPr>
          <w:rFonts w:ascii="Times New Roman" w:hAnsi="Times New Roman" w:cs="Times New Roman"/>
          <w:sz w:val="24"/>
          <w:szCs w:val="24"/>
          <w:lang w:val="en-US" w:eastAsia="en-US"/>
        </w:rPr>
        <w:t xml:space="preserve"> the diversity of communication needs, for example by adding the words </w:t>
      </w:r>
      <w:r w:rsidR="002367F1">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alternate format including but not limited to large print, audio, Braille, easy read and sign language...</w:t>
      </w:r>
      <w:r w:rsidR="002367F1">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w:t>
      </w:r>
      <w:r w:rsidRPr="00A40ACC">
        <w:rPr>
          <w:rStyle w:val="FootnoteReference"/>
          <w:rFonts w:ascii="Times New Roman" w:hAnsi="Times New Roman" w:cs="Times New Roman"/>
          <w:sz w:val="24"/>
          <w:szCs w:val="24"/>
          <w:lang w:val="en-US" w:eastAsia="en-US"/>
        </w:rPr>
        <w:footnoteReference w:id="34"/>
      </w:r>
      <w:r w:rsidRPr="00A40ACC">
        <w:rPr>
          <w:rFonts w:ascii="Times New Roman" w:hAnsi="Times New Roman" w:cs="Times New Roman"/>
          <w:sz w:val="24"/>
          <w:szCs w:val="24"/>
          <w:lang w:val="en-US" w:eastAsia="en-US"/>
        </w:rPr>
        <w:t xml:space="preserve"> Similarly, another submitter</w:t>
      </w:r>
      <w:r w:rsidRPr="00A40ACC">
        <w:rPr>
          <w:rStyle w:val="FootnoteReference"/>
          <w:rFonts w:ascii="Times New Roman" w:hAnsi="Times New Roman" w:cs="Times New Roman"/>
          <w:sz w:val="24"/>
          <w:szCs w:val="24"/>
          <w:lang w:val="en-US" w:eastAsia="en-US"/>
        </w:rPr>
        <w:footnoteReference w:id="35"/>
      </w:r>
      <w:r w:rsidRPr="00A40ACC">
        <w:rPr>
          <w:rFonts w:ascii="Times New Roman" w:hAnsi="Times New Roman" w:cs="Times New Roman"/>
          <w:sz w:val="24"/>
          <w:szCs w:val="24"/>
          <w:lang w:val="en-US" w:eastAsia="en-US"/>
        </w:rPr>
        <w:t xml:space="preserve"> considered that there will be a significant number of consumers for whom delivery of information verbally is only partially effective, and that the right should be re-worded to refer to the use of visuals, or communication experts.</w:t>
      </w:r>
    </w:p>
    <w:p w:rsidR="00891758" w:rsidRPr="00A40ACC" w:rsidRDefault="00891758" w:rsidP="00235461">
      <w:pPr>
        <w:spacing w:after="0" w:line="264" w:lineRule="auto"/>
        <w:jc w:val="both"/>
        <w:rPr>
          <w:rFonts w:ascii="Times New Roman" w:hAnsi="Times New Roman" w:cs="Times New Roman"/>
          <w:sz w:val="24"/>
          <w:szCs w:val="24"/>
          <w:lang w:val="en-US" w:eastAsia="en-US"/>
        </w:rPr>
      </w:pPr>
    </w:p>
    <w:p w:rsidR="00871911" w:rsidRPr="00A40ACC"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Finally, one submitter</w:t>
      </w:r>
      <w:r w:rsidRPr="00A40ACC">
        <w:rPr>
          <w:rStyle w:val="FootnoteReference"/>
          <w:rFonts w:ascii="Times New Roman" w:hAnsi="Times New Roman" w:cs="Times New Roman"/>
          <w:sz w:val="24"/>
          <w:szCs w:val="24"/>
          <w:lang w:val="en-US" w:eastAsia="en-US"/>
        </w:rPr>
        <w:footnoteReference w:id="36"/>
      </w:r>
      <w:r w:rsidRPr="00A40ACC">
        <w:rPr>
          <w:rFonts w:ascii="Times New Roman" w:hAnsi="Times New Roman" w:cs="Times New Roman"/>
          <w:sz w:val="24"/>
          <w:szCs w:val="24"/>
          <w:lang w:val="en-US" w:eastAsia="en-US"/>
        </w:rPr>
        <w:t xml:space="preserve"> considered that, with reference to Right 5, the Code should specifically state that health professionals are responsible for ensuring they communicate clearly and check</w:t>
      </w:r>
      <w:r w:rsidR="00D6558F" w:rsidRPr="00A40ACC">
        <w:rPr>
          <w:rFonts w:ascii="Times New Roman" w:hAnsi="Times New Roman" w:cs="Times New Roman"/>
          <w:sz w:val="24"/>
          <w:szCs w:val="24"/>
          <w:lang w:val="en-US" w:eastAsia="en-US"/>
        </w:rPr>
        <w:t>ing</w:t>
      </w:r>
      <w:r w:rsidRPr="00A40ACC">
        <w:rPr>
          <w:rFonts w:ascii="Times New Roman" w:hAnsi="Times New Roman" w:cs="Times New Roman"/>
          <w:sz w:val="24"/>
          <w:szCs w:val="24"/>
          <w:lang w:val="en-US" w:eastAsia="en-US"/>
        </w:rPr>
        <w:t xml:space="preserve"> that consumers have understood the information given.</w:t>
      </w:r>
    </w:p>
    <w:p w:rsidR="00871911" w:rsidRPr="00A40ACC" w:rsidRDefault="00871911" w:rsidP="00235461">
      <w:pPr>
        <w:spacing w:after="0" w:line="264" w:lineRule="auto"/>
        <w:jc w:val="both"/>
        <w:rPr>
          <w:rFonts w:ascii="Times New Roman" w:hAnsi="Times New Roman" w:cs="Times New Roman"/>
          <w:b/>
          <w:i/>
          <w:sz w:val="24"/>
          <w:szCs w:val="24"/>
        </w:rPr>
      </w:pPr>
    </w:p>
    <w:p w:rsidR="00871911"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b/>
          <w:i/>
          <w:sz w:val="24"/>
          <w:szCs w:val="24"/>
        </w:rPr>
        <w:t>Right 6</w:t>
      </w:r>
    </w:p>
    <w:p w:rsidR="00871911"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rPr>
        <w:t>The Medical Council of New Zealand</w:t>
      </w:r>
      <w:r w:rsidRPr="00A40ACC">
        <w:rPr>
          <w:rStyle w:val="FootnoteReference"/>
          <w:rFonts w:ascii="Times New Roman" w:hAnsi="Times New Roman" w:cs="Times New Roman"/>
          <w:sz w:val="24"/>
          <w:szCs w:val="24"/>
        </w:rPr>
        <w:footnoteReference w:id="37"/>
      </w:r>
      <w:r w:rsidRPr="00A40ACC">
        <w:rPr>
          <w:rFonts w:ascii="Times New Roman" w:hAnsi="Times New Roman" w:cs="Times New Roman"/>
          <w:sz w:val="24"/>
          <w:szCs w:val="24"/>
        </w:rPr>
        <w:t xml:space="preserve"> made an extensive submission on Right 6. They noted that the Right separates information that patients should always receive (</w:t>
      </w:r>
      <w:r w:rsidR="00E707B9">
        <w:rPr>
          <w:rFonts w:ascii="Times New Roman" w:hAnsi="Times New Roman" w:cs="Times New Roman"/>
          <w:sz w:val="24"/>
          <w:szCs w:val="24"/>
        </w:rPr>
        <w:t xml:space="preserve">Right </w:t>
      </w:r>
      <w:r w:rsidRPr="00A40ACC">
        <w:rPr>
          <w:rFonts w:ascii="Times New Roman" w:hAnsi="Times New Roman" w:cs="Times New Roman"/>
          <w:sz w:val="24"/>
          <w:szCs w:val="24"/>
        </w:rPr>
        <w:t xml:space="preserve">6(1)) </w:t>
      </w:r>
      <w:r w:rsidR="00D6558F" w:rsidRPr="00A40ACC">
        <w:rPr>
          <w:rFonts w:ascii="Times New Roman" w:hAnsi="Times New Roman" w:cs="Times New Roman"/>
          <w:sz w:val="24"/>
          <w:szCs w:val="24"/>
        </w:rPr>
        <w:t xml:space="preserve">from </w:t>
      </w:r>
      <w:r w:rsidRPr="00A40ACC">
        <w:rPr>
          <w:rFonts w:ascii="Times New Roman" w:hAnsi="Times New Roman" w:cs="Times New Roman"/>
          <w:sz w:val="24"/>
          <w:szCs w:val="24"/>
        </w:rPr>
        <w:t>information they should receive if they request it (</w:t>
      </w:r>
      <w:r w:rsidR="00E707B9">
        <w:rPr>
          <w:rFonts w:ascii="Times New Roman" w:hAnsi="Times New Roman" w:cs="Times New Roman"/>
          <w:sz w:val="24"/>
          <w:szCs w:val="24"/>
        </w:rPr>
        <w:t xml:space="preserve">Right </w:t>
      </w:r>
      <w:r w:rsidRPr="00A40ACC">
        <w:rPr>
          <w:rFonts w:ascii="Times New Roman" w:hAnsi="Times New Roman" w:cs="Times New Roman"/>
          <w:sz w:val="24"/>
          <w:szCs w:val="24"/>
        </w:rPr>
        <w:t xml:space="preserve">6(3)), and they considered that </w:t>
      </w:r>
      <w:r w:rsidRPr="00A40ACC">
        <w:rPr>
          <w:rFonts w:ascii="Times New Roman" w:hAnsi="Times New Roman" w:cs="Times New Roman"/>
          <w:sz w:val="24"/>
          <w:szCs w:val="24"/>
        </w:rPr>
        <w:lastRenderedPageBreak/>
        <w:t xml:space="preserve">it seems unusual that information about the </w:t>
      </w:r>
      <w:r w:rsidR="002367F1">
        <w:rPr>
          <w:rFonts w:ascii="Times New Roman" w:hAnsi="Times New Roman" w:cs="Times New Roman"/>
          <w:sz w:val="24"/>
          <w:szCs w:val="24"/>
        </w:rPr>
        <w:t>“</w:t>
      </w:r>
      <w:r w:rsidRPr="00A40ACC">
        <w:rPr>
          <w:rFonts w:ascii="Times New Roman" w:hAnsi="Times New Roman" w:cs="Times New Roman"/>
          <w:sz w:val="24"/>
          <w:szCs w:val="24"/>
        </w:rPr>
        <w:t>identity and qualifications</w:t>
      </w:r>
      <w:r w:rsidR="002367F1">
        <w:rPr>
          <w:rFonts w:ascii="Times New Roman" w:hAnsi="Times New Roman" w:cs="Times New Roman"/>
          <w:sz w:val="24"/>
          <w:szCs w:val="24"/>
        </w:rPr>
        <w:t>”</w:t>
      </w:r>
      <w:r w:rsidRPr="00A40ACC">
        <w:rPr>
          <w:rFonts w:ascii="Times New Roman" w:hAnsi="Times New Roman" w:cs="Times New Roman"/>
          <w:sz w:val="24"/>
          <w:szCs w:val="24"/>
        </w:rPr>
        <w:t xml:space="preserve"> of the provider are under </w:t>
      </w:r>
      <w:r w:rsidR="00E707B9">
        <w:rPr>
          <w:rFonts w:ascii="Times New Roman" w:hAnsi="Times New Roman" w:cs="Times New Roman"/>
          <w:sz w:val="24"/>
          <w:szCs w:val="24"/>
        </w:rPr>
        <w:t xml:space="preserve">Right </w:t>
      </w:r>
      <w:r w:rsidRPr="00A40ACC">
        <w:rPr>
          <w:rFonts w:ascii="Times New Roman" w:hAnsi="Times New Roman" w:cs="Times New Roman"/>
          <w:sz w:val="24"/>
          <w:szCs w:val="24"/>
        </w:rPr>
        <w:t xml:space="preserve">6(3). The submission made reference to a number of parties who have raised concerns about whether students, house surgeons, and the new physician assistant profession should be informing patients about their level of training, prior to being asked. While they noted the requirements of </w:t>
      </w:r>
      <w:r w:rsidR="00E707B9">
        <w:rPr>
          <w:rFonts w:ascii="Times New Roman" w:hAnsi="Times New Roman" w:cs="Times New Roman"/>
          <w:sz w:val="24"/>
          <w:szCs w:val="24"/>
        </w:rPr>
        <w:t xml:space="preserve">Right </w:t>
      </w:r>
      <w:r w:rsidRPr="00A40ACC">
        <w:rPr>
          <w:rFonts w:ascii="Times New Roman" w:hAnsi="Times New Roman" w:cs="Times New Roman"/>
          <w:sz w:val="24"/>
          <w:szCs w:val="24"/>
        </w:rPr>
        <w:t xml:space="preserve">6(1)(d) and </w:t>
      </w:r>
      <w:r w:rsidR="00E707B9">
        <w:rPr>
          <w:rFonts w:ascii="Times New Roman" w:hAnsi="Times New Roman" w:cs="Times New Roman"/>
          <w:sz w:val="24"/>
          <w:szCs w:val="24"/>
        </w:rPr>
        <w:t xml:space="preserve">Right </w:t>
      </w:r>
      <w:r w:rsidRPr="00A40ACC">
        <w:rPr>
          <w:rFonts w:ascii="Times New Roman" w:hAnsi="Times New Roman" w:cs="Times New Roman"/>
          <w:sz w:val="24"/>
          <w:szCs w:val="24"/>
        </w:rPr>
        <w:t xml:space="preserve">6(2), they considered that there is still a lack of direction to health care providers about what information to provide to patients about themselves and their role in providing the patient with </w:t>
      </w:r>
      <w:r w:rsidRPr="00A40ACC">
        <w:rPr>
          <w:rFonts w:ascii="Times New Roman" w:hAnsi="Times New Roman" w:cs="Times New Roman"/>
          <w:sz w:val="24"/>
          <w:szCs w:val="24"/>
          <w:lang w:val="en-US" w:eastAsia="en-US"/>
        </w:rPr>
        <w:t xml:space="preserve">care. </w:t>
      </w:r>
    </w:p>
    <w:p w:rsidR="003F11C6" w:rsidRPr="00A40ACC" w:rsidRDefault="003F11C6" w:rsidP="00235461">
      <w:pPr>
        <w:spacing w:after="0" w:line="264" w:lineRule="auto"/>
        <w:jc w:val="both"/>
        <w:rPr>
          <w:rFonts w:ascii="Times New Roman" w:hAnsi="Times New Roman" w:cs="Times New Roman"/>
          <w:sz w:val="24"/>
          <w:szCs w:val="24"/>
          <w:lang w:val="en-US" w:eastAsia="en-US"/>
        </w:rPr>
      </w:pPr>
    </w:p>
    <w:p w:rsidR="00871911"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The Medical Council also raised concerns about nurse and pharmacist prescribing, in particular who holds overall responsibility for consumer care, how information</w:t>
      </w:r>
      <w:r w:rsidRPr="00A40ACC">
        <w:rPr>
          <w:rFonts w:ascii="Times New Roman" w:hAnsi="Times New Roman" w:cs="Times New Roman"/>
          <w:sz w:val="24"/>
          <w:szCs w:val="24"/>
        </w:rPr>
        <w:t xml:space="preserve"> about care is being shared, and who to contact if a consumer has concerns or questions. They considered that Right 4(5) and Right 6(2) might deal with some, but not all, aspects of the concerns raised. They suggested that Right 6(1) could be amended to make it clear that patients should always receive information about: who has overall responsibility for their care; what the various roles of the team in providing care may be</w:t>
      </w:r>
      <w:r w:rsidRPr="00A40ACC">
        <w:rPr>
          <w:rFonts w:ascii="Times New Roman" w:hAnsi="Times New Roman" w:cs="Times New Roman"/>
          <w:sz w:val="24"/>
          <w:szCs w:val="24"/>
          <w:lang w:val="en-US" w:eastAsia="en-US"/>
        </w:rPr>
        <w:t xml:space="preserve">; and how those involved in their treatment will work as a team to ensure continuity of care. </w:t>
      </w:r>
    </w:p>
    <w:p w:rsidR="00891758" w:rsidRPr="00A40ACC" w:rsidRDefault="00891758" w:rsidP="00235461">
      <w:pPr>
        <w:spacing w:after="0" w:line="264" w:lineRule="auto"/>
        <w:jc w:val="both"/>
        <w:rPr>
          <w:rFonts w:ascii="Times New Roman" w:hAnsi="Times New Roman" w:cs="Times New Roman"/>
          <w:sz w:val="24"/>
          <w:szCs w:val="24"/>
          <w:lang w:val="en-US" w:eastAsia="en-US"/>
        </w:rPr>
      </w:pPr>
    </w:p>
    <w:p w:rsidR="00871911"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lang w:val="en-US" w:eastAsia="en-US"/>
        </w:rPr>
        <w:t>Other comments made around</w:t>
      </w:r>
      <w:r w:rsidRPr="00A40ACC">
        <w:rPr>
          <w:rFonts w:ascii="Times New Roman" w:hAnsi="Times New Roman" w:cs="Times New Roman"/>
          <w:sz w:val="24"/>
          <w:szCs w:val="24"/>
        </w:rPr>
        <w:t xml:space="preserve"> Right 6 included: whether there is a need to consider how technology may impact consumers receiving information, for example through the ‘n</w:t>
      </w:r>
      <w:r w:rsidR="00E707B9">
        <w:rPr>
          <w:rFonts w:ascii="Times New Roman" w:hAnsi="Times New Roman" w:cs="Times New Roman"/>
          <w:sz w:val="24"/>
          <w:szCs w:val="24"/>
        </w:rPr>
        <w:t>ew and evolving’ patient portals</w:t>
      </w:r>
      <w:r w:rsidR="00E568DC">
        <w:rPr>
          <w:rStyle w:val="FootnoteReference"/>
          <w:rFonts w:ascii="Times New Roman" w:hAnsi="Times New Roman" w:cs="Times New Roman"/>
          <w:sz w:val="24"/>
          <w:szCs w:val="24"/>
        </w:rPr>
        <w:footnoteReference w:id="38"/>
      </w:r>
      <w:r w:rsidR="00E707B9">
        <w:rPr>
          <w:rFonts w:ascii="Times New Roman" w:hAnsi="Times New Roman" w:cs="Times New Roman"/>
          <w:sz w:val="24"/>
          <w:szCs w:val="24"/>
        </w:rPr>
        <w:t xml:space="preserve"> </w:t>
      </w:r>
      <w:r w:rsidRPr="00A40ACC">
        <w:rPr>
          <w:rFonts w:ascii="Times New Roman" w:hAnsi="Times New Roman" w:cs="Times New Roman"/>
          <w:sz w:val="24"/>
          <w:szCs w:val="24"/>
        </w:rPr>
        <w:t>whether consumers should receive</w:t>
      </w:r>
      <w:r w:rsidR="00E707B9">
        <w:rPr>
          <w:rFonts w:ascii="Times New Roman" w:hAnsi="Times New Roman" w:cs="Times New Roman"/>
          <w:sz w:val="24"/>
          <w:szCs w:val="24"/>
        </w:rPr>
        <w:t xml:space="preserve"> written materials on procedure</w:t>
      </w:r>
      <w:r w:rsidRPr="00A40ACC">
        <w:rPr>
          <w:rStyle w:val="FootnoteReference"/>
          <w:rFonts w:ascii="Times New Roman" w:hAnsi="Times New Roman" w:cs="Times New Roman"/>
          <w:sz w:val="24"/>
          <w:szCs w:val="24"/>
        </w:rPr>
        <w:footnoteReference w:id="39"/>
      </w:r>
      <w:r w:rsidR="00E707B9">
        <w:rPr>
          <w:rFonts w:ascii="Times New Roman" w:hAnsi="Times New Roman" w:cs="Times New Roman"/>
          <w:sz w:val="24"/>
          <w:szCs w:val="24"/>
        </w:rPr>
        <w:t xml:space="preserve"> </w:t>
      </w:r>
      <w:r w:rsidRPr="00A40ACC">
        <w:rPr>
          <w:rFonts w:ascii="Times New Roman" w:hAnsi="Times New Roman" w:cs="Times New Roman"/>
          <w:sz w:val="24"/>
          <w:szCs w:val="24"/>
        </w:rPr>
        <w:t>and whether information provided by pharmacies should be more comprehensive, specifically, whether the original information leaflet, that is often left out when dispensing bulk medication, should be provided to consumers.</w:t>
      </w:r>
      <w:r w:rsidRPr="00A40ACC">
        <w:rPr>
          <w:rStyle w:val="FootnoteReference"/>
          <w:rFonts w:ascii="Times New Roman" w:hAnsi="Times New Roman" w:cs="Times New Roman"/>
          <w:sz w:val="24"/>
          <w:szCs w:val="24"/>
        </w:rPr>
        <w:footnoteReference w:id="40"/>
      </w:r>
    </w:p>
    <w:p w:rsidR="00891758" w:rsidRPr="00A40ACC" w:rsidRDefault="00891758" w:rsidP="00235461">
      <w:pPr>
        <w:spacing w:after="0" w:line="264" w:lineRule="auto"/>
        <w:jc w:val="both"/>
        <w:rPr>
          <w:rFonts w:ascii="Times New Roman" w:hAnsi="Times New Roman" w:cs="Times New Roman"/>
          <w:sz w:val="24"/>
          <w:szCs w:val="24"/>
        </w:rPr>
      </w:pPr>
    </w:p>
    <w:p w:rsidR="00393E47"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Finally, one submission</w:t>
      </w:r>
      <w:r w:rsidRPr="00A40ACC">
        <w:rPr>
          <w:rStyle w:val="FootnoteReference"/>
          <w:rFonts w:ascii="Times New Roman" w:hAnsi="Times New Roman" w:cs="Times New Roman"/>
          <w:sz w:val="24"/>
          <w:szCs w:val="24"/>
        </w:rPr>
        <w:footnoteReference w:id="41"/>
      </w:r>
      <w:r w:rsidRPr="00A40ACC">
        <w:rPr>
          <w:rFonts w:ascii="Times New Roman" w:hAnsi="Times New Roman" w:cs="Times New Roman"/>
          <w:sz w:val="24"/>
          <w:szCs w:val="24"/>
        </w:rPr>
        <w:t xml:space="preserve"> considered that Right 6(3) should be amended to read “the identity, registration and qualifications of the provider…”, and that Right 6(4) should be reworded so that the consumer is entitled to act</w:t>
      </w:r>
      <w:r w:rsidR="00D6558F" w:rsidRPr="00A40ACC">
        <w:rPr>
          <w:rFonts w:ascii="Times New Roman" w:hAnsi="Times New Roman" w:cs="Times New Roman"/>
          <w:sz w:val="24"/>
          <w:szCs w:val="24"/>
        </w:rPr>
        <w:t>ual</w:t>
      </w:r>
      <w:r w:rsidRPr="00A40ACC">
        <w:rPr>
          <w:rFonts w:ascii="Times New Roman" w:hAnsi="Times New Roman" w:cs="Times New Roman"/>
          <w:sz w:val="24"/>
          <w:szCs w:val="24"/>
        </w:rPr>
        <w:t xml:space="preserve"> copies of the documents, not just a written summary.</w:t>
      </w:r>
    </w:p>
    <w:p w:rsidR="0038518A" w:rsidRPr="00A40ACC" w:rsidRDefault="0038518A" w:rsidP="00235461">
      <w:pPr>
        <w:spacing w:after="0" w:line="264" w:lineRule="auto"/>
        <w:jc w:val="both"/>
        <w:rPr>
          <w:rFonts w:ascii="Times New Roman" w:hAnsi="Times New Roman" w:cs="Times New Roman"/>
          <w:sz w:val="24"/>
          <w:szCs w:val="24"/>
        </w:rPr>
      </w:pPr>
    </w:p>
    <w:p w:rsidR="00871911"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b/>
          <w:i/>
          <w:sz w:val="24"/>
          <w:szCs w:val="24"/>
        </w:rPr>
        <w:t>Right 7</w:t>
      </w:r>
    </w:p>
    <w:p w:rsidR="00871911" w:rsidRPr="00A40ACC" w:rsidRDefault="00871911" w:rsidP="00235461">
      <w:pPr>
        <w:spacing w:after="0" w:line="264" w:lineRule="auto"/>
        <w:jc w:val="both"/>
        <w:rPr>
          <w:rFonts w:ascii="Times New Roman" w:hAnsi="Times New Roman" w:cs="Times New Roman"/>
          <w:i/>
          <w:sz w:val="24"/>
          <w:szCs w:val="24"/>
        </w:rPr>
      </w:pPr>
      <w:r w:rsidRPr="00A40ACC">
        <w:rPr>
          <w:rFonts w:ascii="Times New Roman" w:hAnsi="Times New Roman" w:cs="Times New Roman"/>
          <w:i/>
          <w:sz w:val="24"/>
          <w:szCs w:val="24"/>
        </w:rPr>
        <w:t>Interpreters</w:t>
      </w:r>
    </w:p>
    <w:p w:rsidR="00871911"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Three submissions</w:t>
      </w:r>
      <w:r w:rsidRPr="00A40ACC">
        <w:rPr>
          <w:rStyle w:val="FootnoteReference"/>
          <w:rFonts w:ascii="Times New Roman" w:hAnsi="Times New Roman" w:cs="Times New Roman"/>
          <w:sz w:val="24"/>
          <w:szCs w:val="24"/>
        </w:rPr>
        <w:footnoteReference w:id="42"/>
      </w:r>
      <w:r w:rsidRPr="00A40ACC">
        <w:rPr>
          <w:rFonts w:ascii="Times New Roman" w:hAnsi="Times New Roman" w:cs="Times New Roman"/>
          <w:sz w:val="24"/>
          <w:szCs w:val="24"/>
        </w:rPr>
        <w:t xml:space="preserve"> on Right 7 considered that where a consumer has limited English</w:t>
      </w:r>
      <w:r w:rsidR="00D6558F" w:rsidRPr="00A40ACC">
        <w:rPr>
          <w:rFonts w:ascii="Times New Roman" w:hAnsi="Times New Roman" w:cs="Times New Roman"/>
          <w:sz w:val="24"/>
          <w:szCs w:val="24"/>
        </w:rPr>
        <w:t xml:space="preserve"> language</w:t>
      </w:r>
      <w:r w:rsidRPr="00A40ACC">
        <w:rPr>
          <w:rFonts w:ascii="Times New Roman" w:hAnsi="Times New Roman" w:cs="Times New Roman"/>
          <w:sz w:val="24"/>
          <w:szCs w:val="24"/>
        </w:rPr>
        <w:t xml:space="preserve"> proficiency, a competent interpreter is likely to be required, and that the Code should be amended to reflect that. </w:t>
      </w:r>
    </w:p>
    <w:p w:rsidR="00871911" w:rsidRPr="00A40ACC" w:rsidRDefault="00871911" w:rsidP="00235461">
      <w:pPr>
        <w:spacing w:after="0" w:line="264" w:lineRule="auto"/>
        <w:jc w:val="both"/>
        <w:rPr>
          <w:rFonts w:ascii="Times New Roman" w:hAnsi="Times New Roman" w:cs="Times New Roman"/>
          <w:sz w:val="24"/>
          <w:szCs w:val="24"/>
        </w:rPr>
      </w:pPr>
    </w:p>
    <w:p w:rsidR="00871911" w:rsidRPr="00A40ACC" w:rsidRDefault="00871911" w:rsidP="00235461">
      <w:pPr>
        <w:spacing w:after="0" w:line="264" w:lineRule="auto"/>
        <w:jc w:val="both"/>
        <w:rPr>
          <w:rFonts w:ascii="Times New Roman" w:hAnsi="Times New Roman" w:cs="Times New Roman"/>
          <w:i/>
          <w:sz w:val="24"/>
          <w:szCs w:val="24"/>
        </w:rPr>
      </w:pPr>
      <w:r w:rsidRPr="00A40ACC">
        <w:rPr>
          <w:rFonts w:ascii="Times New Roman" w:hAnsi="Times New Roman" w:cs="Times New Roman"/>
          <w:i/>
          <w:sz w:val="24"/>
          <w:szCs w:val="24"/>
        </w:rPr>
        <w:t>Preference of provider</w:t>
      </w:r>
    </w:p>
    <w:p w:rsidR="00871911"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The Medical Council</w:t>
      </w:r>
      <w:r w:rsidRPr="00A40ACC">
        <w:rPr>
          <w:rStyle w:val="FootnoteReference"/>
          <w:rFonts w:ascii="Times New Roman" w:hAnsi="Times New Roman" w:cs="Times New Roman"/>
          <w:sz w:val="24"/>
          <w:szCs w:val="24"/>
        </w:rPr>
        <w:footnoteReference w:id="43"/>
      </w:r>
      <w:r w:rsidRPr="00A40ACC">
        <w:rPr>
          <w:rFonts w:ascii="Times New Roman" w:hAnsi="Times New Roman" w:cs="Times New Roman"/>
          <w:sz w:val="24"/>
          <w:szCs w:val="24"/>
        </w:rPr>
        <w:t xml:space="preserve"> was concerned that Right 7(8) provides patients with a tool to see a certain provider, and there is no </w:t>
      </w:r>
      <w:r w:rsidR="00D6558F" w:rsidRPr="00A40ACC">
        <w:rPr>
          <w:rFonts w:ascii="Times New Roman" w:hAnsi="Times New Roman" w:cs="Times New Roman"/>
          <w:sz w:val="24"/>
          <w:szCs w:val="24"/>
        </w:rPr>
        <w:t xml:space="preserve">ability of a doctor </w:t>
      </w:r>
      <w:r w:rsidRPr="00A40ACC">
        <w:rPr>
          <w:rFonts w:ascii="Times New Roman" w:hAnsi="Times New Roman" w:cs="Times New Roman"/>
          <w:sz w:val="24"/>
          <w:szCs w:val="24"/>
        </w:rPr>
        <w:t>to resist except where impracticality prevents it</w:t>
      </w:r>
      <w:r w:rsidR="00D6558F" w:rsidRPr="00A40ACC">
        <w:rPr>
          <w:rFonts w:ascii="Times New Roman" w:hAnsi="Times New Roman" w:cs="Times New Roman"/>
          <w:sz w:val="24"/>
          <w:szCs w:val="24"/>
        </w:rPr>
        <w:t>,</w:t>
      </w:r>
      <w:r w:rsidRPr="00A40ACC">
        <w:rPr>
          <w:rFonts w:ascii="Times New Roman" w:hAnsi="Times New Roman" w:cs="Times New Roman"/>
          <w:sz w:val="24"/>
          <w:szCs w:val="24"/>
        </w:rPr>
        <w:t xml:space="preserve"> even where </w:t>
      </w:r>
      <w:r w:rsidR="00D6558F" w:rsidRPr="00A40ACC">
        <w:rPr>
          <w:rFonts w:ascii="Times New Roman" w:hAnsi="Times New Roman" w:cs="Times New Roman"/>
          <w:sz w:val="24"/>
          <w:szCs w:val="24"/>
        </w:rPr>
        <w:t xml:space="preserve">that </w:t>
      </w:r>
      <w:r w:rsidRPr="00A40ACC">
        <w:rPr>
          <w:rFonts w:ascii="Times New Roman" w:hAnsi="Times New Roman" w:cs="Times New Roman"/>
          <w:sz w:val="24"/>
          <w:szCs w:val="24"/>
        </w:rPr>
        <w:t xml:space="preserve">preference may be undesirable because of an inappropriate emotional attachment, discrimination on basis of race, sexuality or sex, or where another provider could provide the same service more cheaply and effectively. They noted their concern that patients may use the clause to insist that a highly qualified practitioner provide </w:t>
      </w:r>
      <w:r w:rsidRPr="00A40ACC">
        <w:rPr>
          <w:rFonts w:ascii="Times New Roman" w:hAnsi="Times New Roman" w:cs="Times New Roman"/>
          <w:sz w:val="24"/>
          <w:szCs w:val="24"/>
        </w:rPr>
        <w:lastRenderedPageBreak/>
        <w:t xml:space="preserve">them with services, where it may be practicable but highly inefficient </w:t>
      </w:r>
      <w:r w:rsidR="00D6558F" w:rsidRPr="00A40ACC">
        <w:rPr>
          <w:rFonts w:ascii="Times New Roman" w:hAnsi="Times New Roman" w:cs="Times New Roman"/>
          <w:sz w:val="24"/>
          <w:szCs w:val="24"/>
        </w:rPr>
        <w:t>as</w:t>
      </w:r>
      <w:r w:rsidRPr="00A40ACC">
        <w:rPr>
          <w:rFonts w:ascii="Times New Roman" w:hAnsi="Times New Roman" w:cs="Times New Roman"/>
          <w:sz w:val="24"/>
          <w:szCs w:val="24"/>
        </w:rPr>
        <w:t xml:space="preserve"> those services </w:t>
      </w:r>
      <w:r w:rsidR="00D6558F" w:rsidRPr="00A40ACC">
        <w:rPr>
          <w:rFonts w:ascii="Times New Roman" w:hAnsi="Times New Roman" w:cs="Times New Roman"/>
          <w:sz w:val="24"/>
          <w:szCs w:val="24"/>
        </w:rPr>
        <w:t>could</w:t>
      </w:r>
      <w:r w:rsidRPr="00A40ACC">
        <w:rPr>
          <w:rFonts w:ascii="Times New Roman" w:hAnsi="Times New Roman" w:cs="Times New Roman"/>
          <w:sz w:val="24"/>
          <w:szCs w:val="24"/>
        </w:rPr>
        <w:t xml:space="preserve"> be more cheaply and effectively provided by someone else, and that this in turn could result in a loss of training</w:t>
      </w:r>
      <w:r w:rsidR="00D6558F" w:rsidRPr="00A40ACC">
        <w:rPr>
          <w:rFonts w:ascii="Times New Roman" w:hAnsi="Times New Roman" w:cs="Times New Roman"/>
          <w:sz w:val="24"/>
          <w:szCs w:val="24"/>
        </w:rPr>
        <w:t xml:space="preserve"> opportunity</w:t>
      </w:r>
      <w:r w:rsidRPr="00A40ACC">
        <w:rPr>
          <w:rFonts w:ascii="Times New Roman" w:hAnsi="Times New Roman" w:cs="Times New Roman"/>
          <w:sz w:val="24"/>
          <w:szCs w:val="24"/>
        </w:rPr>
        <w:t>.</w:t>
      </w:r>
    </w:p>
    <w:p w:rsidR="00891758" w:rsidRPr="00A40ACC" w:rsidRDefault="00891758" w:rsidP="00235461">
      <w:pPr>
        <w:spacing w:after="0" w:line="264" w:lineRule="auto"/>
        <w:jc w:val="both"/>
        <w:rPr>
          <w:rFonts w:ascii="Times New Roman" w:hAnsi="Times New Roman" w:cs="Times New Roman"/>
          <w:sz w:val="24"/>
          <w:szCs w:val="24"/>
        </w:rPr>
      </w:pPr>
    </w:p>
    <w:p w:rsidR="00871911" w:rsidRPr="00A40ACC" w:rsidRDefault="00871911" w:rsidP="00235461">
      <w:pPr>
        <w:spacing w:after="0" w:line="264" w:lineRule="auto"/>
        <w:jc w:val="both"/>
        <w:rPr>
          <w:rFonts w:ascii="Times New Roman" w:hAnsi="Times New Roman" w:cs="Times New Roman"/>
          <w:i/>
          <w:sz w:val="24"/>
          <w:szCs w:val="24"/>
        </w:rPr>
      </w:pPr>
      <w:r w:rsidRPr="00A40ACC">
        <w:rPr>
          <w:rFonts w:ascii="Times New Roman" w:hAnsi="Times New Roman" w:cs="Times New Roman"/>
          <w:i/>
          <w:sz w:val="24"/>
          <w:szCs w:val="24"/>
        </w:rPr>
        <w:t>Sedation</w:t>
      </w:r>
    </w:p>
    <w:p w:rsidR="00871911"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Two submissions considered the use of sedation in respect to Right 7. The </w:t>
      </w:r>
      <w:r w:rsidR="009763C1">
        <w:rPr>
          <w:rFonts w:ascii="Times New Roman" w:hAnsi="Times New Roman" w:cs="Times New Roman"/>
          <w:sz w:val="24"/>
          <w:szCs w:val="24"/>
        </w:rPr>
        <w:t>N</w:t>
      </w:r>
      <w:r w:rsidR="008D1D8F">
        <w:rPr>
          <w:rFonts w:ascii="Times New Roman" w:hAnsi="Times New Roman" w:cs="Times New Roman"/>
          <w:sz w:val="24"/>
          <w:szCs w:val="24"/>
        </w:rPr>
        <w:t xml:space="preserve">ew </w:t>
      </w:r>
      <w:r w:rsidR="009763C1">
        <w:rPr>
          <w:rFonts w:ascii="Times New Roman" w:hAnsi="Times New Roman" w:cs="Times New Roman"/>
          <w:sz w:val="24"/>
          <w:szCs w:val="24"/>
        </w:rPr>
        <w:t>Z</w:t>
      </w:r>
      <w:r w:rsidR="008D1D8F">
        <w:rPr>
          <w:rFonts w:ascii="Times New Roman" w:hAnsi="Times New Roman" w:cs="Times New Roman"/>
          <w:sz w:val="24"/>
          <w:szCs w:val="24"/>
        </w:rPr>
        <w:t>ealand</w:t>
      </w:r>
      <w:r w:rsidR="009763C1">
        <w:rPr>
          <w:rFonts w:ascii="Times New Roman" w:hAnsi="Times New Roman" w:cs="Times New Roman"/>
          <w:sz w:val="24"/>
          <w:szCs w:val="24"/>
        </w:rPr>
        <w:t xml:space="preserve"> </w:t>
      </w:r>
      <w:r w:rsidRPr="00A40ACC">
        <w:rPr>
          <w:rFonts w:ascii="Times New Roman" w:hAnsi="Times New Roman" w:cs="Times New Roman"/>
          <w:sz w:val="24"/>
          <w:szCs w:val="24"/>
        </w:rPr>
        <w:t>Law Society</w:t>
      </w:r>
      <w:r w:rsidRPr="00A40ACC">
        <w:rPr>
          <w:rStyle w:val="FootnoteReference"/>
          <w:rFonts w:ascii="Times New Roman" w:hAnsi="Times New Roman" w:cs="Times New Roman"/>
          <w:sz w:val="24"/>
          <w:szCs w:val="24"/>
        </w:rPr>
        <w:footnoteReference w:id="44"/>
      </w:r>
      <w:r w:rsidRPr="00A40ACC">
        <w:rPr>
          <w:rFonts w:ascii="Times New Roman" w:hAnsi="Times New Roman" w:cs="Times New Roman"/>
          <w:sz w:val="24"/>
          <w:szCs w:val="24"/>
        </w:rPr>
        <w:t xml:space="preserve"> submitted that Right 7(4) </w:t>
      </w:r>
      <w:r w:rsidR="00B3484B" w:rsidRPr="00A40ACC">
        <w:rPr>
          <w:rFonts w:ascii="Times New Roman" w:hAnsi="Times New Roman" w:cs="Times New Roman"/>
          <w:sz w:val="24"/>
          <w:szCs w:val="24"/>
        </w:rPr>
        <w:t xml:space="preserve">and Right 7(6)(c) </w:t>
      </w:r>
      <w:r w:rsidRPr="00A40ACC">
        <w:rPr>
          <w:rFonts w:ascii="Times New Roman" w:hAnsi="Times New Roman" w:cs="Times New Roman"/>
          <w:sz w:val="24"/>
          <w:szCs w:val="24"/>
        </w:rPr>
        <w:t>should be amended</w:t>
      </w:r>
      <w:r w:rsidR="00B3484B" w:rsidRPr="00A40ACC">
        <w:rPr>
          <w:rFonts w:ascii="Times New Roman" w:hAnsi="Times New Roman" w:cs="Times New Roman"/>
          <w:sz w:val="24"/>
          <w:szCs w:val="24"/>
        </w:rPr>
        <w:t>.</w:t>
      </w:r>
      <w:r w:rsidRPr="00A40ACC">
        <w:rPr>
          <w:rFonts w:ascii="Times New Roman" w:hAnsi="Times New Roman" w:cs="Times New Roman"/>
          <w:sz w:val="24"/>
          <w:szCs w:val="24"/>
        </w:rPr>
        <w:t xml:space="preserve"> The N</w:t>
      </w:r>
      <w:r w:rsidR="008D1D8F">
        <w:rPr>
          <w:rFonts w:ascii="Times New Roman" w:hAnsi="Times New Roman" w:cs="Times New Roman"/>
          <w:sz w:val="24"/>
          <w:szCs w:val="24"/>
        </w:rPr>
        <w:t xml:space="preserve">ew </w:t>
      </w:r>
      <w:r w:rsidRPr="00A40ACC">
        <w:rPr>
          <w:rFonts w:ascii="Times New Roman" w:hAnsi="Times New Roman" w:cs="Times New Roman"/>
          <w:sz w:val="24"/>
          <w:szCs w:val="24"/>
        </w:rPr>
        <w:t>Z</w:t>
      </w:r>
      <w:r w:rsidR="008D1D8F">
        <w:rPr>
          <w:rFonts w:ascii="Times New Roman" w:hAnsi="Times New Roman" w:cs="Times New Roman"/>
          <w:sz w:val="24"/>
          <w:szCs w:val="24"/>
        </w:rPr>
        <w:t>ealand</w:t>
      </w:r>
      <w:r w:rsidRPr="00A40ACC">
        <w:rPr>
          <w:rFonts w:ascii="Times New Roman" w:hAnsi="Times New Roman" w:cs="Times New Roman"/>
          <w:sz w:val="24"/>
          <w:szCs w:val="24"/>
        </w:rPr>
        <w:t xml:space="preserve"> Society of Anaesthetists</w:t>
      </w:r>
      <w:r w:rsidRPr="00A40ACC">
        <w:rPr>
          <w:rStyle w:val="FootnoteReference"/>
          <w:rFonts w:ascii="Times New Roman" w:hAnsi="Times New Roman" w:cs="Times New Roman"/>
          <w:sz w:val="24"/>
          <w:szCs w:val="24"/>
        </w:rPr>
        <w:footnoteReference w:id="45"/>
      </w:r>
      <w:r w:rsidRPr="00A40ACC">
        <w:rPr>
          <w:rFonts w:ascii="Times New Roman" w:hAnsi="Times New Roman" w:cs="Times New Roman"/>
          <w:sz w:val="24"/>
          <w:szCs w:val="24"/>
        </w:rPr>
        <w:t xml:space="preserve"> submitted that Right 7(6) should be expanded to include sedation, general, and regional anaesthesia, as all modalities have potential risks and benefits. They also submitted that </w:t>
      </w:r>
      <w:r w:rsidR="00B3484B" w:rsidRPr="00A40ACC">
        <w:rPr>
          <w:rFonts w:ascii="Times New Roman" w:hAnsi="Times New Roman" w:cs="Times New Roman"/>
          <w:sz w:val="24"/>
          <w:szCs w:val="24"/>
        </w:rPr>
        <w:t>t</w:t>
      </w:r>
      <w:r w:rsidRPr="00A40ACC">
        <w:rPr>
          <w:rFonts w:ascii="Times New Roman" w:hAnsi="Times New Roman" w:cs="Times New Roman"/>
          <w:sz w:val="24"/>
          <w:szCs w:val="24"/>
        </w:rPr>
        <w:t>he Code should clearly describe the responsibility that a health care facility or institution is under to support the health practitioners in the informed consent process for consumers.</w:t>
      </w:r>
    </w:p>
    <w:p w:rsidR="0021096B" w:rsidRPr="00A40ACC" w:rsidRDefault="0021096B" w:rsidP="00235461">
      <w:pPr>
        <w:spacing w:after="0" w:line="264" w:lineRule="auto"/>
        <w:jc w:val="both"/>
        <w:rPr>
          <w:rFonts w:ascii="Times New Roman" w:hAnsi="Times New Roman" w:cs="Times New Roman"/>
          <w:i/>
          <w:sz w:val="24"/>
          <w:szCs w:val="24"/>
        </w:rPr>
      </w:pPr>
    </w:p>
    <w:p w:rsidR="00871911" w:rsidRPr="00A40ACC" w:rsidRDefault="00871911" w:rsidP="00235461">
      <w:pPr>
        <w:spacing w:after="0" w:line="264" w:lineRule="auto"/>
        <w:jc w:val="both"/>
        <w:rPr>
          <w:rFonts w:ascii="Times New Roman" w:hAnsi="Times New Roman" w:cs="Times New Roman"/>
          <w:i/>
          <w:sz w:val="24"/>
          <w:szCs w:val="24"/>
        </w:rPr>
      </w:pPr>
      <w:r w:rsidRPr="00A40ACC">
        <w:rPr>
          <w:rFonts w:ascii="Times New Roman" w:hAnsi="Times New Roman" w:cs="Times New Roman"/>
          <w:i/>
          <w:sz w:val="24"/>
          <w:szCs w:val="24"/>
        </w:rPr>
        <w:t>Consent on behalf of another</w:t>
      </w:r>
    </w:p>
    <w:p w:rsidR="00871911"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rPr>
        <w:t>One submission</w:t>
      </w:r>
      <w:r w:rsidRPr="00A40ACC">
        <w:rPr>
          <w:rStyle w:val="FootnoteReference"/>
          <w:rFonts w:ascii="Times New Roman" w:hAnsi="Times New Roman" w:cs="Times New Roman"/>
          <w:sz w:val="24"/>
          <w:szCs w:val="24"/>
        </w:rPr>
        <w:footnoteReference w:id="46"/>
      </w:r>
      <w:r w:rsidRPr="00A40ACC">
        <w:rPr>
          <w:rFonts w:ascii="Times New Roman" w:hAnsi="Times New Roman" w:cs="Times New Roman"/>
          <w:sz w:val="24"/>
          <w:szCs w:val="24"/>
        </w:rPr>
        <w:t xml:space="preserve"> extensively considered Right 7, in the context of advanced care planning, and giving consent on behalf of another </w:t>
      </w:r>
      <w:r w:rsidRPr="00A40ACC">
        <w:rPr>
          <w:rFonts w:ascii="Times New Roman" w:hAnsi="Times New Roman" w:cs="Times New Roman"/>
          <w:sz w:val="24"/>
          <w:szCs w:val="24"/>
          <w:lang w:val="en-US" w:eastAsia="en-US"/>
        </w:rPr>
        <w:t xml:space="preserve">generally. </w:t>
      </w:r>
    </w:p>
    <w:p w:rsidR="00891758" w:rsidRPr="00A40ACC" w:rsidRDefault="00891758" w:rsidP="00235461">
      <w:pPr>
        <w:spacing w:after="0" w:line="264" w:lineRule="auto"/>
        <w:jc w:val="both"/>
        <w:rPr>
          <w:rFonts w:ascii="Times New Roman" w:hAnsi="Times New Roman" w:cs="Times New Roman"/>
          <w:sz w:val="24"/>
          <w:szCs w:val="24"/>
          <w:lang w:val="en-US" w:eastAsia="en-US"/>
        </w:rPr>
      </w:pPr>
    </w:p>
    <w:p w:rsidR="00871911"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lang w:val="en-US" w:eastAsia="en-US"/>
        </w:rPr>
        <w:t xml:space="preserve">The submitter suggested that </w:t>
      </w:r>
      <w:r w:rsidR="009763C1">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or person entitled</w:t>
      </w:r>
      <w:r w:rsidRPr="00A40ACC">
        <w:rPr>
          <w:rFonts w:ascii="Times New Roman" w:hAnsi="Times New Roman" w:cs="Times New Roman"/>
          <w:sz w:val="24"/>
          <w:szCs w:val="24"/>
        </w:rPr>
        <w:t xml:space="preserve"> to give consent on behalf of that consumer</w:t>
      </w:r>
      <w:r w:rsidR="009763C1">
        <w:rPr>
          <w:rFonts w:ascii="Times New Roman" w:hAnsi="Times New Roman" w:cs="Times New Roman"/>
          <w:sz w:val="24"/>
          <w:szCs w:val="24"/>
        </w:rPr>
        <w:t>”</w:t>
      </w:r>
      <w:r w:rsidRPr="00A40ACC">
        <w:rPr>
          <w:rFonts w:ascii="Times New Roman" w:hAnsi="Times New Roman" w:cs="Times New Roman"/>
          <w:sz w:val="24"/>
          <w:szCs w:val="24"/>
        </w:rPr>
        <w:t xml:space="preserve"> should be included in the text of Right 7(1) (and other relevant rights such as </w:t>
      </w:r>
      <w:r w:rsidR="00E568DC">
        <w:rPr>
          <w:rFonts w:ascii="Times New Roman" w:hAnsi="Times New Roman" w:cs="Times New Roman"/>
          <w:sz w:val="24"/>
          <w:szCs w:val="24"/>
        </w:rPr>
        <w:t xml:space="preserve">Right </w:t>
      </w:r>
      <w:r w:rsidRPr="00A40ACC">
        <w:rPr>
          <w:rFonts w:ascii="Times New Roman" w:hAnsi="Times New Roman" w:cs="Times New Roman"/>
          <w:sz w:val="24"/>
          <w:szCs w:val="24"/>
        </w:rPr>
        <w:t xml:space="preserve">7(7) and </w:t>
      </w:r>
      <w:r w:rsidR="00E568DC">
        <w:rPr>
          <w:rFonts w:ascii="Times New Roman" w:hAnsi="Times New Roman" w:cs="Times New Roman"/>
          <w:sz w:val="24"/>
          <w:szCs w:val="24"/>
        </w:rPr>
        <w:t xml:space="preserve">Right </w:t>
      </w:r>
      <w:r w:rsidRPr="00A40ACC">
        <w:rPr>
          <w:rFonts w:ascii="Times New Roman" w:hAnsi="Times New Roman" w:cs="Times New Roman"/>
          <w:sz w:val="24"/>
          <w:szCs w:val="24"/>
        </w:rPr>
        <w:t xml:space="preserve">7(10)) rather than in the definition of </w:t>
      </w:r>
      <w:r w:rsidR="009763C1">
        <w:rPr>
          <w:rFonts w:ascii="Times New Roman" w:hAnsi="Times New Roman" w:cs="Times New Roman"/>
          <w:sz w:val="24"/>
          <w:szCs w:val="24"/>
        </w:rPr>
        <w:t>“</w:t>
      </w:r>
      <w:r w:rsidRPr="00A40ACC">
        <w:rPr>
          <w:rFonts w:ascii="Times New Roman" w:hAnsi="Times New Roman" w:cs="Times New Roman"/>
          <w:sz w:val="24"/>
          <w:szCs w:val="24"/>
        </w:rPr>
        <w:t>consumer</w:t>
      </w:r>
      <w:r w:rsidR="009763C1">
        <w:rPr>
          <w:rFonts w:ascii="Times New Roman" w:hAnsi="Times New Roman" w:cs="Times New Roman"/>
          <w:sz w:val="24"/>
          <w:szCs w:val="24"/>
        </w:rPr>
        <w:t>”</w:t>
      </w:r>
      <w:r w:rsidRPr="00A40ACC">
        <w:rPr>
          <w:rFonts w:ascii="Times New Roman" w:hAnsi="Times New Roman" w:cs="Times New Roman"/>
          <w:sz w:val="24"/>
          <w:szCs w:val="24"/>
        </w:rPr>
        <w:t xml:space="preserve"> in </w:t>
      </w:r>
      <w:r w:rsidR="009763C1">
        <w:rPr>
          <w:rFonts w:ascii="Times New Roman" w:hAnsi="Times New Roman" w:cs="Times New Roman"/>
          <w:sz w:val="24"/>
          <w:szCs w:val="24"/>
        </w:rPr>
        <w:t>C</w:t>
      </w:r>
      <w:r w:rsidRPr="00A40ACC">
        <w:rPr>
          <w:rFonts w:ascii="Times New Roman" w:hAnsi="Times New Roman" w:cs="Times New Roman"/>
          <w:sz w:val="24"/>
          <w:szCs w:val="24"/>
        </w:rPr>
        <w:t xml:space="preserve">lause 4. The submitter considered that providers, unfamiliar with referring to definitions, appear to overlook the fact that 7(1) includes a </w:t>
      </w:r>
      <w:r w:rsidR="009763C1">
        <w:rPr>
          <w:rFonts w:ascii="Times New Roman" w:hAnsi="Times New Roman" w:cs="Times New Roman"/>
          <w:sz w:val="24"/>
          <w:szCs w:val="24"/>
        </w:rPr>
        <w:t>“</w:t>
      </w:r>
      <w:r w:rsidRPr="00A40ACC">
        <w:rPr>
          <w:rFonts w:ascii="Times New Roman" w:hAnsi="Times New Roman" w:cs="Times New Roman"/>
          <w:sz w:val="24"/>
          <w:szCs w:val="24"/>
        </w:rPr>
        <w:t>person entitled to give con</w:t>
      </w:r>
      <w:r w:rsidR="003845B7">
        <w:rPr>
          <w:rFonts w:ascii="Times New Roman" w:hAnsi="Times New Roman" w:cs="Times New Roman"/>
          <w:sz w:val="24"/>
          <w:szCs w:val="24"/>
        </w:rPr>
        <w:t>sent on behalf of that consumer</w:t>
      </w:r>
      <w:r w:rsidR="009763C1">
        <w:rPr>
          <w:rFonts w:ascii="Times New Roman" w:hAnsi="Times New Roman" w:cs="Times New Roman"/>
          <w:sz w:val="24"/>
          <w:szCs w:val="24"/>
        </w:rPr>
        <w:t>”</w:t>
      </w:r>
      <w:r w:rsidR="003845B7">
        <w:rPr>
          <w:rFonts w:ascii="Times New Roman" w:hAnsi="Times New Roman" w:cs="Times New Roman"/>
          <w:sz w:val="24"/>
          <w:szCs w:val="24"/>
        </w:rPr>
        <w:t>.</w:t>
      </w:r>
      <w:r w:rsidRPr="00A40ACC">
        <w:rPr>
          <w:rFonts w:ascii="Times New Roman" w:hAnsi="Times New Roman" w:cs="Times New Roman"/>
          <w:sz w:val="24"/>
          <w:szCs w:val="24"/>
        </w:rPr>
        <w:t xml:space="preserve"> </w:t>
      </w:r>
    </w:p>
    <w:p w:rsidR="00891758" w:rsidRPr="00A40ACC" w:rsidRDefault="00891758" w:rsidP="00235461">
      <w:pPr>
        <w:spacing w:after="0" w:line="264" w:lineRule="auto"/>
        <w:jc w:val="both"/>
        <w:rPr>
          <w:rFonts w:ascii="Times New Roman" w:hAnsi="Times New Roman" w:cs="Times New Roman"/>
          <w:sz w:val="24"/>
          <w:szCs w:val="24"/>
        </w:rPr>
      </w:pPr>
    </w:p>
    <w:p w:rsidR="00871911"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rPr>
        <w:t>The submitter also considered that</w:t>
      </w:r>
      <w:r w:rsidR="00B3484B" w:rsidRPr="00A40ACC">
        <w:rPr>
          <w:rFonts w:ascii="Times New Roman" w:hAnsi="Times New Roman" w:cs="Times New Roman"/>
          <w:sz w:val="24"/>
          <w:szCs w:val="24"/>
        </w:rPr>
        <w:t>,</w:t>
      </w:r>
      <w:r w:rsidRPr="00A40ACC">
        <w:rPr>
          <w:rFonts w:ascii="Times New Roman" w:hAnsi="Times New Roman" w:cs="Times New Roman"/>
          <w:sz w:val="24"/>
          <w:szCs w:val="24"/>
        </w:rPr>
        <w:t xml:space="preserve"> in Right 7(2), </w:t>
      </w:r>
      <w:r w:rsidR="006804B4">
        <w:rPr>
          <w:rFonts w:ascii="Times New Roman" w:hAnsi="Times New Roman" w:cs="Times New Roman"/>
          <w:sz w:val="24"/>
          <w:szCs w:val="24"/>
        </w:rPr>
        <w:t>“</w:t>
      </w:r>
      <w:r w:rsidRPr="00A40ACC">
        <w:rPr>
          <w:rFonts w:ascii="Times New Roman" w:hAnsi="Times New Roman" w:cs="Times New Roman"/>
          <w:sz w:val="24"/>
          <w:szCs w:val="24"/>
        </w:rPr>
        <w:t>reasonable grounds for believing that the consumer is not competent</w:t>
      </w:r>
      <w:r w:rsidR="006804B4">
        <w:rPr>
          <w:rFonts w:ascii="Times New Roman" w:hAnsi="Times New Roman" w:cs="Times New Roman"/>
          <w:sz w:val="24"/>
          <w:szCs w:val="24"/>
        </w:rPr>
        <w:t>”</w:t>
      </w:r>
      <w:r w:rsidRPr="00A40ACC">
        <w:rPr>
          <w:rFonts w:ascii="Times New Roman" w:hAnsi="Times New Roman" w:cs="Times New Roman"/>
          <w:sz w:val="24"/>
          <w:szCs w:val="24"/>
        </w:rPr>
        <w:t xml:space="preserve"> is not adequate if there is a person entitled to give consent on behalf of that consumer and that person is available. In particular, the submitter noted that with our large elderly population, the consent is likely to be a </w:t>
      </w:r>
      <w:r w:rsidR="006804B4">
        <w:rPr>
          <w:rFonts w:ascii="Times New Roman" w:hAnsi="Times New Roman" w:cs="Times New Roman"/>
          <w:sz w:val="24"/>
          <w:szCs w:val="24"/>
        </w:rPr>
        <w:t>“</w:t>
      </w:r>
      <w:r w:rsidRPr="00A40ACC">
        <w:rPr>
          <w:rFonts w:ascii="Times New Roman" w:hAnsi="Times New Roman" w:cs="Times New Roman"/>
          <w:sz w:val="24"/>
          <w:szCs w:val="24"/>
        </w:rPr>
        <w:t>significa</w:t>
      </w:r>
      <w:r w:rsidR="00E568DC">
        <w:rPr>
          <w:rFonts w:ascii="Times New Roman" w:hAnsi="Times New Roman" w:cs="Times New Roman"/>
          <w:sz w:val="24"/>
          <w:szCs w:val="24"/>
        </w:rPr>
        <w:t>nt matter relating to the donor’</w:t>
      </w:r>
      <w:r w:rsidRPr="00A40ACC">
        <w:rPr>
          <w:rFonts w:ascii="Times New Roman" w:hAnsi="Times New Roman" w:cs="Times New Roman"/>
          <w:sz w:val="24"/>
          <w:szCs w:val="24"/>
        </w:rPr>
        <w:t>s personal care and welfare</w:t>
      </w:r>
      <w:r w:rsidR="006804B4">
        <w:rPr>
          <w:rFonts w:ascii="Times New Roman" w:hAnsi="Times New Roman" w:cs="Times New Roman"/>
          <w:sz w:val="24"/>
          <w:szCs w:val="24"/>
        </w:rPr>
        <w:t>”</w:t>
      </w:r>
      <w:r w:rsidRPr="00A40ACC">
        <w:rPr>
          <w:rFonts w:ascii="Times New Roman" w:hAnsi="Times New Roman" w:cs="Times New Roman"/>
          <w:sz w:val="24"/>
          <w:szCs w:val="24"/>
        </w:rPr>
        <w:t xml:space="preserve"> (s</w:t>
      </w:r>
      <w:r w:rsidR="006804B4">
        <w:rPr>
          <w:rFonts w:ascii="Times New Roman" w:hAnsi="Times New Roman" w:cs="Times New Roman"/>
          <w:sz w:val="24"/>
          <w:szCs w:val="24"/>
        </w:rPr>
        <w:t xml:space="preserve">ection </w:t>
      </w:r>
      <w:r w:rsidRPr="00A40ACC">
        <w:rPr>
          <w:rFonts w:ascii="Times New Roman" w:hAnsi="Times New Roman" w:cs="Times New Roman"/>
          <w:sz w:val="24"/>
          <w:szCs w:val="24"/>
        </w:rPr>
        <w:t>98(6) P</w:t>
      </w:r>
      <w:r w:rsidR="003863FC">
        <w:rPr>
          <w:rFonts w:ascii="Times New Roman" w:hAnsi="Times New Roman" w:cs="Times New Roman"/>
          <w:sz w:val="24"/>
          <w:szCs w:val="24"/>
        </w:rPr>
        <w:t xml:space="preserve">rotection of </w:t>
      </w:r>
      <w:r w:rsidRPr="00A40ACC">
        <w:rPr>
          <w:rFonts w:ascii="Times New Roman" w:hAnsi="Times New Roman" w:cs="Times New Roman"/>
          <w:sz w:val="24"/>
          <w:szCs w:val="24"/>
        </w:rPr>
        <w:t>P</w:t>
      </w:r>
      <w:r w:rsidR="003863FC">
        <w:rPr>
          <w:rFonts w:ascii="Times New Roman" w:hAnsi="Times New Roman" w:cs="Times New Roman"/>
          <w:sz w:val="24"/>
          <w:szCs w:val="24"/>
        </w:rPr>
        <w:t xml:space="preserve">ersonal and </w:t>
      </w:r>
      <w:r w:rsidRPr="00A40ACC">
        <w:rPr>
          <w:rFonts w:ascii="Times New Roman" w:hAnsi="Times New Roman" w:cs="Times New Roman"/>
          <w:sz w:val="24"/>
          <w:szCs w:val="24"/>
        </w:rPr>
        <w:t>P</w:t>
      </w:r>
      <w:r w:rsidR="003863FC">
        <w:rPr>
          <w:rFonts w:ascii="Times New Roman" w:hAnsi="Times New Roman" w:cs="Times New Roman"/>
          <w:sz w:val="24"/>
          <w:szCs w:val="24"/>
        </w:rPr>
        <w:t xml:space="preserve">roperty </w:t>
      </w:r>
      <w:r w:rsidRPr="00A40ACC">
        <w:rPr>
          <w:rFonts w:ascii="Times New Roman" w:hAnsi="Times New Roman" w:cs="Times New Roman"/>
          <w:sz w:val="24"/>
          <w:szCs w:val="24"/>
        </w:rPr>
        <w:t>R</w:t>
      </w:r>
      <w:r w:rsidR="003863FC">
        <w:rPr>
          <w:rFonts w:ascii="Times New Roman" w:hAnsi="Times New Roman" w:cs="Times New Roman"/>
          <w:sz w:val="24"/>
          <w:szCs w:val="24"/>
        </w:rPr>
        <w:t>ights</w:t>
      </w:r>
      <w:r w:rsidRPr="00A40ACC">
        <w:rPr>
          <w:rFonts w:ascii="Times New Roman" w:hAnsi="Times New Roman" w:cs="Times New Roman"/>
          <w:sz w:val="24"/>
          <w:szCs w:val="24"/>
        </w:rPr>
        <w:t xml:space="preserve"> Act</w:t>
      </w:r>
      <w:r w:rsidR="003863FC">
        <w:rPr>
          <w:rFonts w:ascii="Times New Roman" w:hAnsi="Times New Roman" w:cs="Times New Roman"/>
          <w:sz w:val="24"/>
          <w:szCs w:val="24"/>
        </w:rPr>
        <w:t xml:space="preserve"> 1988 (PPPR</w:t>
      </w:r>
      <w:r w:rsidR="001B17D4">
        <w:rPr>
          <w:rFonts w:ascii="Times New Roman" w:hAnsi="Times New Roman" w:cs="Times New Roman"/>
          <w:sz w:val="24"/>
          <w:szCs w:val="24"/>
        </w:rPr>
        <w:t xml:space="preserve"> Act</w:t>
      </w:r>
      <w:r w:rsidR="003863FC">
        <w:rPr>
          <w:rFonts w:ascii="Times New Roman" w:hAnsi="Times New Roman" w:cs="Times New Roman"/>
          <w:sz w:val="24"/>
          <w:szCs w:val="24"/>
        </w:rPr>
        <w:t>))</w:t>
      </w:r>
      <w:r w:rsidRPr="00A40ACC">
        <w:rPr>
          <w:rFonts w:ascii="Times New Roman" w:hAnsi="Times New Roman" w:cs="Times New Roman"/>
          <w:sz w:val="24"/>
          <w:szCs w:val="24"/>
        </w:rPr>
        <w:t xml:space="preserve">. The submitter expressed concern that many practitioners </w:t>
      </w:r>
      <w:r w:rsidR="003F11C6">
        <w:rPr>
          <w:rFonts w:ascii="Times New Roman" w:hAnsi="Times New Roman" w:cs="Times New Roman"/>
          <w:sz w:val="24"/>
          <w:szCs w:val="24"/>
        </w:rPr>
        <w:t>do</w:t>
      </w:r>
      <w:r w:rsidRPr="00A40ACC">
        <w:rPr>
          <w:rFonts w:ascii="Times New Roman" w:hAnsi="Times New Roman" w:cs="Times New Roman"/>
          <w:sz w:val="24"/>
          <w:szCs w:val="24"/>
        </w:rPr>
        <w:t xml:space="preserve"> not seem to be aware of the PPPR (E</w:t>
      </w:r>
      <w:r w:rsidR="003863FC">
        <w:rPr>
          <w:rFonts w:ascii="Times New Roman" w:hAnsi="Times New Roman" w:cs="Times New Roman"/>
          <w:sz w:val="24"/>
          <w:szCs w:val="24"/>
        </w:rPr>
        <w:t xml:space="preserve">nduring Power of </w:t>
      </w:r>
      <w:r w:rsidRPr="00A40ACC">
        <w:rPr>
          <w:rFonts w:ascii="Times New Roman" w:hAnsi="Times New Roman" w:cs="Times New Roman"/>
          <w:sz w:val="24"/>
          <w:szCs w:val="24"/>
        </w:rPr>
        <w:t>A</w:t>
      </w:r>
      <w:r w:rsidR="003863FC">
        <w:rPr>
          <w:rFonts w:ascii="Times New Roman" w:hAnsi="Times New Roman" w:cs="Times New Roman"/>
          <w:sz w:val="24"/>
          <w:szCs w:val="24"/>
        </w:rPr>
        <w:t>ttorney</w:t>
      </w:r>
      <w:r w:rsidRPr="00A40ACC">
        <w:rPr>
          <w:rFonts w:ascii="Times New Roman" w:hAnsi="Times New Roman" w:cs="Times New Roman"/>
          <w:sz w:val="24"/>
          <w:szCs w:val="24"/>
        </w:rPr>
        <w:t xml:space="preserve"> Forms) Regulations 2008</w:t>
      </w:r>
      <w:r w:rsidR="00E568DC">
        <w:rPr>
          <w:rFonts w:ascii="Times New Roman" w:hAnsi="Times New Roman" w:cs="Times New Roman"/>
          <w:sz w:val="24"/>
          <w:szCs w:val="24"/>
        </w:rPr>
        <w:t>,</w:t>
      </w:r>
      <w:r w:rsidRPr="00A40ACC">
        <w:rPr>
          <w:rFonts w:ascii="Times New Roman" w:hAnsi="Times New Roman" w:cs="Times New Roman"/>
          <w:sz w:val="24"/>
          <w:szCs w:val="24"/>
        </w:rPr>
        <w:t xml:space="preserve"> </w:t>
      </w:r>
      <w:r w:rsidR="006804B4">
        <w:rPr>
          <w:rFonts w:ascii="Times New Roman" w:hAnsi="Times New Roman" w:cs="Times New Roman"/>
          <w:sz w:val="24"/>
          <w:szCs w:val="24"/>
        </w:rPr>
        <w:t>for example</w:t>
      </w:r>
      <w:r w:rsidR="00E568DC">
        <w:rPr>
          <w:rFonts w:ascii="Times New Roman" w:hAnsi="Times New Roman" w:cs="Times New Roman"/>
          <w:sz w:val="24"/>
          <w:szCs w:val="24"/>
        </w:rPr>
        <w:t>,</w:t>
      </w:r>
      <w:r w:rsidRPr="00A40ACC">
        <w:rPr>
          <w:rFonts w:ascii="Times New Roman" w:hAnsi="Times New Roman" w:cs="Times New Roman"/>
          <w:sz w:val="24"/>
          <w:szCs w:val="24"/>
        </w:rPr>
        <w:t xml:space="preserve"> Form 5: health practitioner</w:t>
      </w:r>
      <w:r w:rsidR="006804B4">
        <w:rPr>
          <w:rFonts w:ascii="Times New Roman" w:hAnsi="Times New Roman" w:cs="Times New Roman"/>
          <w:sz w:val="24"/>
          <w:szCs w:val="24"/>
        </w:rPr>
        <w:t>’</w:t>
      </w:r>
      <w:r w:rsidRPr="00A40ACC">
        <w:rPr>
          <w:rFonts w:ascii="Times New Roman" w:hAnsi="Times New Roman" w:cs="Times New Roman"/>
          <w:sz w:val="24"/>
          <w:szCs w:val="24"/>
        </w:rPr>
        <w:t xml:space="preserve">s certificate of mental incapacity for enduring power of attorney in relation to personal care and </w:t>
      </w:r>
      <w:r w:rsidRPr="00A40ACC">
        <w:rPr>
          <w:rFonts w:ascii="Times New Roman" w:hAnsi="Times New Roman" w:cs="Times New Roman"/>
          <w:sz w:val="24"/>
          <w:szCs w:val="24"/>
          <w:lang w:val="en-US" w:eastAsia="en-US"/>
        </w:rPr>
        <w:t xml:space="preserve">welfare. </w:t>
      </w:r>
    </w:p>
    <w:p w:rsidR="00891758" w:rsidRPr="00A40ACC" w:rsidRDefault="00891758" w:rsidP="00235461">
      <w:pPr>
        <w:spacing w:after="0" w:line="264" w:lineRule="auto"/>
        <w:jc w:val="both"/>
        <w:rPr>
          <w:rFonts w:ascii="Times New Roman" w:hAnsi="Times New Roman" w:cs="Times New Roman"/>
          <w:sz w:val="24"/>
          <w:szCs w:val="24"/>
          <w:lang w:val="en-US" w:eastAsia="en-US"/>
        </w:rPr>
      </w:pPr>
    </w:p>
    <w:p w:rsidR="00871911"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The submitter was also concerned t</w:t>
      </w:r>
      <w:r w:rsidRPr="00A40ACC">
        <w:rPr>
          <w:rFonts w:ascii="Times New Roman" w:hAnsi="Times New Roman" w:cs="Times New Roman"/>
          <w:sz w:val="24"/>
          <w:szCs w:val="24"/>
        </w:rPr>
        <w:t>hat the lack of decision</w:t>
      </w:r>
      <w:r w:rsidR="006804B4">
        <w:rPr>
          <w:rFonts w:ascii="Times New Roman" w:hAnsi="Times New Roman" w:cs="Times New Roman"/>
          <w:sz w:val="24"/>
          <w:szCs w:val="24"/>
        </w:rPr>
        <w:t xml:space="preserve"> </w:t>
      </w:r>
      <w:r w:rsidRPr="00A40ACC">
        <w:rPr>
          <w:rFonts w:ascii="Times New Roman" w:hAnsi="Times New Roman" w:cs="Times New Roman"/>
          <w:sz w:val="24"/>
          <w:szCs w:val="24"/>
        </w:rPr>
        <w:t xml:space="preserve">making capacity for the purpose of Right 7(3) is often assumed too </w:t>
      </w:r>
      <w:r w:rsidRPr="00A40ACC">
        <w:rPr>
          <w:rFonts w:ascii="Times New Roman" w:hAnsi="Times New Roman" w:cs="Times New Roman"/>
          <w:sz w:val="24"/>
          <w:szCs w:val="24"/>
          <w:lang w:val="en-US" w:eastAsia="en-US"/>
        </w:rPr>
        <w:t xml:space="preserve">early. </w:t>
      </w:r>
    </w:p>
    <w:p w:rsidR="00891758" w:rsidRPr="00A40ACC" w:rsidRDefault="00891758" w:rsidP="00235461">
      <w:pPr>
        <w:spacing w:after="0" w:line="264" w:lineRule="auto"/>
        <w:jc w:val="both"/>
        <w:rPr>
          <w:rFonts w:ascii="Times New Roman" w:hAnsi="Times New Roman" w:cs="Times New Roman"/>
          <w:sz w:val="24"/>
          <w:szCs w:val="24"/>
          <w:lang w:val="en-US" w:eastAsia="en-US"/>
        </w:rPr>
      </w:pPr>
    </w:p>
    <w:p w:rsidR="00871911" w:rsidRDefault="00871911" w:rsidP="00235461">
      <w:pPr>
        <w:spacing w:after="0" w:line="264" w:lineRule="auto"/>
        <w:jc w:val="both"/>
        <w:rPr>
          <w:rFonts w:ascii="Arial" w:eastAsia="Times New Roman" w:hAnsi="Arial" w:cs="Arial"/>
          <w:sz w:val="20"/>
          <w:szCs w:val="20"/>
        </w:rPr>
      </w:pPr>
      <w:r w:rsidRPr="00A40ACC">
        <w:rPr>
          <w:rFonts w:ascii="Times New Roman" w:hAnsi="Times New Roman" w:cs="Times New Roman"/>
          <w:sz w:val="24"/>
          <w:szCs w:val="24"/>
          <w:lang w:val="en-US" w:eastAsia="en-US"/>
        </w:rPr>
        <w:t xml:space="preserve">With regard </w:t>
      </w:r>
      <w:r w:rsidRPr="00A40ACC">
        <w:rPr>
          <w:rFonts w:ascii="Times New Roman" w:hAnsi="Times New Roman" w:cs="Times New Roman"/>
          <w:sz w:val="24"/>
          <w:szCs w:val="24"/>
        </w:rPr>
        <w:t xml:space="preserve">to Right 7(5), the submitter considered that the definition of </w:t>
      </w:r>
      <w:r w:rsidR="006804B4">
        <w:rPr>
          <w:rFonts w:ascii="Times New Roman" w:hAnsi="Times New Roman" w:cs="Times New Roman"/>
          <w:sz w:val="24"/>
          <w:szCs w:val="24"/>
        </w:rPr>
        <w:t>“</w:t>
      </w:r>
      <w:r w:rsidRPr="00A40ACC">
        <w:rPr>
          <w:rFonts w:ascii="Times New Roman" w:hAnsi="Times New Roman" w:cs="Times New Roman"/>
          <w:sz w:val="24"/>
          <w:szCs w:val="24"/>
        </w:rPr>
        <w:t>advance directive</w:t>
      </w:r>
      <w:r w:rsidR="006804B4">
        <w:rPr>
          <w:rFonts w:ascii="Times New Roman" w:hAnsi="Times New Roman" w:cs="Times New Roman"/>
          <w:sz w:val="24"/>
          <w:szCs w:val="24"/>
        </w:rPr>
        <w:t>”</w:t>
      </w:r>
      <w:r w:rsidRPr="00A40ACC">
        <w:rPr>
          <w:rFonts w:ascii="Times New Roman" w:hAnsi="Times New Roman" w:cs="Times New Roman"/>
          <w:sz w:val="24"/>
          <w:szCs w:val="24"/>
        </w:rPr>
        <w:t xml:space="preserve"> in </w:t>
      </w:r>
      <w:r w:rsidR="00B3484B" w:rsidRPr="00A40ACC">
        <w:rPr>
          <w:rFonts w:ascii="Times New Roman" w:hAnsi="Times New Roman" w:cs="Times New Roman"/>
          <w:sz w:val="24"/>
          <w:szCs w:val="24"/>
        </w:rPr>
        <w:t>C</w:t>
      </w:r>
      <w:r w:rsidRPr="00A40ACC">
        <w:rPr>
          <w:rFonts w:ascii="Times New Roman" w:hAnsi="Times New Roman" w:cs="Times New Roman"/>
          <w:sz w:val="24"/>
          <w:szCs w:val="24"/>
        </w:rPr>
        <w:t>lause 4</w:t>
      </w:r>
      <w:r w:rsidR="00B3484B" w:rsidRPr="00A40ACC">
        <w:rPr>
          <w:rFonts w:ascii="Times New Roman" w:hAnsi="Times New Roman" w:cs="Times New Roman"/>
          <w:sz w:val="24"/>
          <w:szCs w:val="24"/>
        </w:rPr>
        <w:t xml:space="preserve"> of the Code</w:t>
      </w:r>
      <w:r w:rsidRPr="00A40ACC">
        <w:rPr>
          <w:rFonts w:ascii="Times New Roman" w:hAnsi="Times New Roman" w:cs="Times New Roman"/>
          <w:sz w:val="24"/>
          <w:szCs w:val="24"/>
        </w:rPr>
        <w:t xml:space="preserve"> is very broad. It was suggested that the definition of </w:t>
      </w:r>
      <w:r w:rsidR="006804B4">
        <w:rPr>
          <w:rFonts w:ascii="Times New Roman" w:hAnsi="Times New Roman" w:cs="Times New Roman"/>
          <w:sz w:val="24"/>
          <w:szCs w:val="24"/>
        </w:rPr>
        <w:t>“</w:t>
      </w:r>
      <w:r w:rsidRPr="00A40ACC">
        <w:rPr>
          <w:rFonts w:ascii="Times New Roman" w:hAnsi="Times New Roman" w:cs="Times New Roman"/>
          <w:sz w:val="24"/>
          <w:szCs w:val="24"/>
        </w:rPr>
        <w:t>advance directive</w:t>
      </w:r>
      <w:r w:rsidR="006804B4">
        <w:rPr>
          <w:rFonts w:ascii="Times New Roman" w:hAnsi="Times New Roman" w:cs="Times New Roman"/>
          <w:sz w:val="24"/>
          <w:szCs w:val="24"/>
        </w:rPr>
        <w:t>”</w:t>
      </w:r>
      <w:r w:rsidRPr="00A40ACC">
        <w:rPr>
          <w:rFonts w:ascii="Times New Roman" w:hAnsi="Times New Roman" w:cs="Times New Roman"/>
          <w:sz w:val="24"/>
          <w:szCs w:val="24"/>
        </w:rPr>
        <w:t xml:space="preserve"> and Right 7(5) should be carefully reviewed and possibly amended. She noted that the category of advance directive that is of most concern is an anticipatory refusal of consent to services. She was concerned that generally, consumers (and providers) do not know what </w:t>
      </w:r>
      <w:r w:rsidR="006804B4">
        <w:rPr>
          <w:rFonts w:ascii="Times New Roman" w:hAnsi="Times New Roman" w:cs="Times New Roman"/>
          <w:sz w:val="24"/>
          <w:szCs w:val="24"/>
        </w:rPr>
        <w:t>“</w:t>
      </w:r>
      <w:r w:rsidRPr="00A40ACC">
        <w:rPr>
          <w:rFonts w:ascii="Times New Roman" w:hAnsi="Times New Roman" w:cs="Times New Roman"/>
          <w:sz w:val="24"/>
          <w:szCs w:val="24"/>
        </w:rPr>
        <w:t>in accordance with common law</w:t>
      </w:r>
      <w:r w:rsidR="006804B4">
        <w:rPr>
          <w:rFonts w:ascii="Times New Roman" w:hAnsi="Times New Roman" w:cs="Times New Roman"/>
          <w:sz w:val="24"/>
          <w:szCs w:val="24"/>
        </w:rPr>
        <w:t>”</w:t>
      </w:r>
      <w:r w:rsidRPr="00A40ACC">
        <w:rPr>
          <w:rFonts w:ascii="Times New Roman" w:hAnsi="Times New Roman" w:cs="Times New Roman"/>
          <w:sz w:val="24"/>
          <w:szCs w:val="24"/>
        </w:rPr>
        <w:t xml:space="preserve"> means, and that they are also not aware of the requirement for validity of an advance directive which determines its legal status.</w:t>
      </w:r>
      <w:r w:rsidRPr="00A40ACC">
        <w:rPr>
          <w:rFonts w:ascii="Arial" w:eastAsia="Times New Roman" w:hAnsi="Arial" w:cs="Arial"/>
          <w:sz w:val="20"/>
          <w:szCs w:val="20"/>
        </w:rPr>
        <w:t xml:space="preserve"> </w:t>
      </w:r>
    </w:p>
    <w:p w:rsidR="00871911"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lastRenderedPageBreak/>
        <w:t xml:space="preserve">Finally, regarding Right 7(7), the submission noted that </w:t>
      </w:r>
      <w:r w:rsidR="00243346">
        <w:rPr>
          <w:rFonts w:ascii="Times New Roman" w:hAnsi="Times New Roman" w:cs="Times New Roman"/>
          <w:sz w:val="24"/>
          <w:szCs w:val="24"/>
        </w:rPr>
        <w:t>“</w:t>
      </w:r>
      <w:r w:rsidRPr="00A40ACC">
        <w:rPr>
          <w:rFonts w:ascii="Times New Roman" w:hAnsi="Times New Roman" w:cs="Times New Roman"/>
          <w:sz w:val="24"/>
          <w:szCs w:val="24"/>
        </w:rPr>
        <w:t>consumer</w:t>
      </w:r>
      <w:r w:rsidR="00243346">
        <w:rPr>
          <w:rFonts w:ascii="Times New Roman" w:hAnsi="Times New Roman" w:cs="Times New Roman"/>
          <w:sz w:val="24"/>
          <w:szCs w:val="24"/>
        </w:rPr>
        <w:t>”</w:t>
      </w:r>
      <w:r w:rsidRPr="00A40ACC">
        <w:rPr>
          <w:rFonts w:ascii="Times New Roman" w:hAnsi="Times New Roman" w:cs="Times New Roman"/>
          <w:sz w:val="24"/>
          <w:szCs w:val="24"/>
        </w:rPr>
        <w:t xml:space="preserve"> includes a person entitled to give consent on behalf of that consumer, a consumer has the right to refuse services and to withdraw consent to services but there are certain matters that an attorney or welfare guardian cannot decide on (s</w:t>
      </w:r>
      <w:r w:rsidR="002530C0">
        <w:rPr>
          <w:rFonts w:ascii="Times New Roman" w:hAnsi="Times New Roman" w:cs="Times New Roman"/>
          <w:sz w:val="24"/>
          <w:szCs w:val="24"/>
        </w:rPr>
        <w:t>ections</w:t>
      </w:r>
      <w:r w:rsidR="00E568DC">
        <w:rPr>
          <w:rFonts w:ascii="Times New Roman" w:hAnsi="Times New Roman" w:cs="Times New Roman"/>
          <w:sz w:val="24"/>
          <w:szCs w:val="24"/>
        </w:rPr>
        <w:t xml:space="preserve"> </w:t>
      </w:r>
      <w:r w:rsidRPr="00A40ACC">
        <w:rPr>
          <w:rFonts w:ascii="Times New Roman" w:hAnsi="Times New Roman" w:cs="Times New Roman"/>
          <w:sz w:val="24"/>
          <w:szCs w:val="24"/>
        </w:rPr>
        <w:t>18 and 98(4) PPPR</w:t>
      </w:r>
      <w:r w:rsidR="003863FC">
        <w:rPr>
          <w:rFonts w:ascii="Times New Roman" w:hAnsi="Times New Roman" w:cs="Times New Roman"/>
          <w:sz w:val="24"/>
          <w:szCs w:val="24"/>
        </w:rPr>
        <w:t xml:space="preserve"> </w:t>
      </w:r>
      <w:r w:rsidRPr="00A40ACC">
        <w:rPr>
          <w:rFonts w:ascii="Times New Roman" w:hAnsi="Times New Roman" w:cs="Times New Roman"/>
          <w:sz w:val="24"/>
          <w:szCs w:val="24"/>
        </w:rPr>
        <w:t>A</w:t>
      </w:r>
      <w:r w:rsidR="003863FC">
        <w:rPr>
          <w:rFonts w:ascii="Times New Roman" w:hAnsi="Times New Roman" w:cs="Times New Roman"/>
          <w:sz w:val="24"/>
          <w:szCs w:val="24"/>
        </w:rPr>
        <w:t>ct</w:t>
      </w:r>
      <w:r w:rsidRPr="00A40ACC">
        <w:rPr>
          <w:rFonts w:ascii="Times New Roman" w:hAnsi="Times New Roman" w:cs="Times New Roman"/>
          <w:sz w:val="24"/>
          <w:szCs w:val="24"/>
        </w:rPr>
        <w:t>)</w:t>
      </w:r>
      <w:r w:rsidR="006F7866">
        <w:rPr>
          <w:rFonts w:ascii="Times New Roman" w:hAnsi="Times New Roman" w:cs="Times New Roman"/>
          <w:sz w:val="24"/>
          <w:szCs w:val="24"/>
        </w:rPr>
        <w:t>.</w:t>
      </w:r>
      <w:r w:rsidRPr="00A40ACC">
        <w:rPr>
          <w:rFonts w:ascii="Times New Roman" w:hAnsi="Times New Roman" w:cs="Times New Roman"/>
          <w:sz w:val="24"/>
          <w:szCs w:val="24"/>
        </w:rPr>
        <w:t xml:space="preserve"> In addition, it was noted that there may be other limitations imposed by the donor in an </w:t>
      </w:r>
      <w:r w:rsidR="00E568DC">
        <w:rPr>
          <w:rFonts w:ascii="Times New Roman" w:hAnsi="Times New Roman" w:cs="Times New Roman"/>
          <w:sz w:val="24"/>
          <w:szCs w:val="24"/>
        </w:rPr>
        <w:t>enduring power of attorney</w:t>
      </w:r>
      <w:r w:rsidRPr="00A40ACC">
        <w:rPr>
          <w:rFonts w:ascii="Times New Roman" w:hAnsi="Times New Roman" w:cs="Times New Roman"/>
          <w:sz w:val="24"/>
          <w:szCs w:val="24"/>
        </w:rPr>
        <w:t xml:space="preserve"> in relation to personal care and welfare. </w:t>
      </w:r>
    </w:p>
    <w:p w:rsidR="00871911" w:rsidRPr="00A40ACC" w:rsidRDefault="00871911" w:rsidP="00235461">
      <w:pPr>
        <w:spacing w:after="0" w:line="264" w:lineRule="auto"/>
        <w:jc w:val="both"/>
        <w:rPr>
          <w:rFonts w:ascii="Times New Roman" w:hAnsi="Times New Roman" w:cs="Times New Roman"/>
          <w:i/>
          <w:sz w:val="24"/>
          <w:szCs w:val="24"/>
        </w:rPr>
      </w:pPr>
    </w:p>
    <w:p w:rsidR="00871911" w:rsidRPr="00A40ACC" w:rsidRDefault="00871911" w:rsidP="00235461">
      <w:pPr>
        <w:spacing w:after="0" w:line="264" w:lineRule="auto"/>
        <w:jc w:val="both"/>
        <w:rPr>
          <w:rFonts w:ascii="Times New Roman" w:hAnsi="Times New Roman" w:cs="Times New Roman"/>
          <w:i/>
          <w:sz w:val="24"/>
          <w:szCs w:val="24"/>
        </w:rPr>
      </w:pPr>
      <w:r w:rsidRPr="00A40ACC">
        <w:rPr>
          <w:rFonts w:ascii="Times New Roman" w:hAnsi="Times New Roman" w:cs="Times New Roman"/>
          <w:i/>
          <w:sz w:val="24"/>
          <w:szCs w:val="24"/>
        </w:rPr>
        <w:t>Prior amendments</w:t>
      </w:r>
    </w:p>
    <w:p w:rsidR="00871911" w:rsidRPr="001B17D4"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The Auckland Women’s Health Council</w:t>
      </w:r>
      <w:r w:rsidRPr="00A40ACC">
        <w:rPr>
          <w:rStyle w:val="FootnoteReference"/>
          <w:rFonts w:ascii="Times New Roman" w:hAnsi="Times New Roman" w:cs="Times New Roman"/>
          <w:sz w:val="24"/>
          <w:szCs w:val="24"/>
        </w:rPr>
        <w:footnoteReference w:id="47"/>
      </w:r>
      <w:r w:rsidRPr="00A40ACC">
        <w:rPr>
          <w:rFonts w:ascii="Times New Roman" w:hAnsi="Times New Roman" w:cs="Times New Roman"/>
          <w:sz w:val="24"/>
          <w:szCs w:val="24"/>
        </w:rPr>
        <w:t xml:space="preserve"> submitted that the change made to Right 7(10) should be reversed, so that it reads </w:t>
      </w:r>
      <w:r w:rsidR="008A1E6D">
        <w:rPr>
          <w:rFonts w:ascii="Times New Roman" w:hAnsi="Times New Roman" w:cs="Times New Roman"/>
          <w:sz w:val="24"/>
          <w:szCs w:val="24"/>
        </w:rPr>
        <w:t>“</w:t>
      </w:r>
      <w:r w:rsidRPr="00A40ACC">
        <w:rPr>
          <w:rFonts w:ascii="Times New Roman" w:hAnsi="Times New Roman" w:cs="Times New Roman"/>
          <w:sz w:val="24"/>
          <w:szCs w:val="24"/>
        </w:rPr>
        <w:t>no body part or bodily substance removed or obtained in the course of a health care procedure may be stored, preserved, accessed for research purposes, or used otherwise without the informed consen</w:t>
      </w:r>
      <w:r w:rsidR="003845B7">
        <w:rPr>
          <w:rFonts w:ascii="Times New Roman" w:hAnsi="Times New Roman" w:cs="Times New Roman"/>
          <w:sz w:val="24"/>
          <w:szCs w:val="24"/>
        </w:rPr>
        <w:t>t of the consumer</w:t>
      </w:r>
      <w:r w:rsidR="008A1E6D">
        <w:rPr>
          <w:rFonts w:ascii="Times New Roman" w:hAnsi="Times New Roman" w:cs="Times New Roman"/>
          <w:sz w:val="24"/>
          <w:szCs w:val="24"/>
        </w:rPr>
        <w:t>”</w:t>
      </w:r>
      <w:r w:rsidR="003845B7">
        <w:rPr>
          <w:rFonts w:ascii="Times New Roman" w:hAnsi="Times New Roman" w:cs="Times New Roman"/>
          <w:sz w:val="24"/>
          <w:szCs w:val="24"/>
        </w:rPr>
        <w:t>.</w:t>
      </w:r>
      <w:r w:rsidRPr="00A40ACC">
        <w:rPr>
          <w:rFonts w:ascii="Times New Roman" w:hAnsi="Times New Roman" w:cs="Times New Roman"/>
          <w:sz w:val="24"/>
          <w:szCs w:val="24"/>
        </w:rPr>
        <w:t xml:space="preserve"> They stated that the need for this is due to</w:t>
      </w:r>
      <w:r w:rsidR="006F7866">
        <w:rPr>
          <w:rFonts w:ascii="Times New Roman" w:hAnsi="Times New Roman" w:cs="Times New Roman"/>
          <w:sz w:val="24"/>
          <w:szCs w:val="24"/>
        </w:rPr>
        <w:t xml:space="preserve"> an</w:t>
      </w:r>
      <w:r w:rsidRPr="00A40ACC">
        <w:rPr>
          <w:rFonts w:ascii="Times New Roman" w:hAnsi="Times New Roman" w:cs="Times New Roman"/>
          <w:sz w:val="24"/>
          <w:szCs w:val="24"/>
        </w:rPr>
        <w:t xml:space="preserve"> increasing amount of research and </w:t>
      </w:r>
      <w:r w:rsidR="00B3484B" w:rsidRPr="00A40ACC">
        <w:rPr>
          <w:rFonts w:ascii="Times New Roman" w:hAnsi="Times New Roman" w:cs="Times New Roman"/>
          <w:sz w:val="24"/>
          <w:szCs w:val="24"/>
        </w:rPr>
        <w:t xml:space="preserve">number of </w:t>
      </w:r>
      <w:r w:rsidRPr="00A40ACC">
        <w:rPr>
          <w:rFonts w:ascii="Times New Roman" w:hAnsi="Times New Roman" w:cs="Times New Roman"/>
          <w:sz w:val="24"/>
          <w:szCs w:val="24"/>
        </w:rPr>
        <w:t xml:space="preserve">clinical trials that are now being undertaken on body parts and tissue samples without the knowledge or consent of the consumer. The Council consider that environment has changed dramatically in the last </w:t>
      </w:r>
      <w:r w:rsidR="00E568DC">
        <w:rPr>
          <w:rFonts w:ascii="Times New Roman" w:hAnsi="Times New Roman" w:cs="Times New Roman"/>
          <w:sz w:val="24"/>
          <w:szCs w:val="24"/>
        </w:rPr>
        <w:t>five to ten</w:t>
      </w:r>
      <w:r w:rsidRPr="00A40ACC">
        <w:rPr>
          <w:rFonts w:ascii="Times New Roman" w:hAnsi="Times New Roman" w:cs="Times New Roman"/>
          <w:sz w:val="24"/>
          <w:szCs w:val="24"/>
        </w:rPr>
        <w:t xml:space="preserve"> years to the extent that those in the clinical trials and pharmaceutical industry are now able to make large amounts of money from research </w:t>
      </w:r>
      <w:r w:rsidRPr="00A40ACC">
        <w:rPr>
          <w:rFonts w:ascii="Times New Roman" w:hAnsi="Times New Roman" w:cs="Times New Roman"/>
          <w:sz w:val="24"/>
          <w:szCs w:val="24"/>
          <w:lang w:val="en-US" w:eastAsia="en-US"/>
        </w:rPr>
        <w:t xml:space="preserve">on tissue samples that are being accessed and used without the knowledge or consent of patients. </w:t>
      </w:r>
    </w:p>
    <w:p w:rsidR="00A039D7" w:rsidRPr="00A40ACC" w:rsidRDefault="00A039D7" w:rsidP="00235461">
      <w:pPr>
        <w:spacing w:after="0" w:line="264" w:lineRule="auto"/>
        <w:jc w:val="both"/>
        <w:rPr>
          <w:rFonts w:ascii="Times New Roman" w:hAnsi="Times New Roman" w:cs="Times New Roman"/>
          <w:sz w:val="24"/>
          <w:szCs w:val="24"/>
          <w:lang w:val="en-US" w:eastAsia="en-US"/>
        </w:rPr>
      </w:pPr>
    </w:p>
    <w:p w:rsidR="0021096B"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lang w:val="en-US" w:eastAsia="en-US"/>
        </w:rPr>
        <w:t>The submi</w:t>
      </w:r>
      <w:r w:rsidR="00E568DC">
        <w:rPr>
          <w:rFonts w:ascii="Times New Roman" w:hAnsi="Times New Roman" w:cs="Times New Roman"/>
          <w:sz w:val="24"/>
          <w:szCs w:val="24"/>
          <w:lang w:val="en-US" w:eastAsia="en-US"/>
        </w:rPr>
        <w:t>tter</w:t>
      </w:r>
      <w:r w:rsidRPr="00A40ACC">
        <w:rPr>
          <w:rFonts w:ascii="Times New Roman" w:hAnsi="Times New Roman" w:cs="Times New Roman"/>
          <w:sz w:val="24"/>
          <w:szCs w:val="24"/>
          <w:lang w:val="en-US" w:eastAsia="en-US"/>
        </w:rPr>
        <w:t xml:space="preserve"> also considered Right 7(4), </w:t>
      </w:r>
      <w:r w:rsidR="0038518A" w:rsidRPr="00A40ACC">
        <w:rPr>
          <w:rFonts w:ascii="Times New Roman" w:hAnsi="Times New Roman" w:cs="Times New Roman"/>
          <w:sz w:val="24"/>
          <w:szCs w:val="24"/>
          <w:lang w:val="en-US" w:eastAsia="en-US"/>
        </w:rPr>
        <w:t>and noted</w:t>
      </w:r>
      <w:r w:rsidR="00AB0F21" w:rsidRPr="00A40ACC">
        <w:rPr>
          <w:rFonts w:ascii="Times New Roman" w:hAnsi="Times New Roman" w:cs="Times New Roman"/>
          <w:sz w:val="24"/>
          <w:szCs w:val="24"/>
          <w:lang w:val="en-US" w:eastAsia="en-US"/>
        </w:rPr>
        <w:t xml:space="preserve"> they</w:t>
      </w:r>
      <w:r w:rsidRPr="00A40ACC">
        <w:rPr>
          <w:rFonts w:ascii="Times New Roman" w:hAnsi="Times New Roman" w:cs="Times New Roman"/>
          <w:sz w:val="24"/>
          <w:szCs w:val="24"/>
          <w:lang w:val="en-US" w:eastAsia="en-US"/>
        </w:rPr>
        <w:t xml:space="preserve"> did not support </w:t>
      </w:r>
      <w:r w:rsidR="00AB0F21" w:rsidRPr="00A40ACC">
        <w:rPr>
          <w:rFonts w:ascii="Times New Roman" w:hAnsi="Times New Roman" w:cs="Times New Roman"/>
          <w:sz w:val="24"/>
          <w:szCs w:val="24"/>
          <w:lang w:val="en-US" w:eastAsia="en-US"/>
        </w:rPr>
        <w:t>the</w:t>
      </w:r>
      <w:r w:rsidRPr="00A40ACC">
        <w:rPr>
          <w:rFonts w:ascii="Times New Roman" w:hAnsi="Times New Roman" w:cs="Times New Roman"/>
          <w:sz w:val="24"/>
          <w:szCs w:val="24"/>
          <w:lang w:val="en-US" w:eastAsia="en-US"/>
        </w:rPr>
        <w:t xml:space="preserve"> amendment </w:t>
      </w:r>
      <w:r w:rsidR="00AB0F21" w:rsidRPr="00A40ACC">
        <w:rPr>
          <w:rFonts w:ascii="Times New Roman" w:hAnsi="Times New Roman" w:cs="Times New Roman"/>
          <w:sz w:val="24"/>
          <w:szCs w:val="24"/>
          <w:lang w:val="en-US" w:eastAsia="en-US"/>
        </w:rPr>
        <w:t>recommended in the 2009 review. T</w:t>
      </w:r>
      <w:r w:rsidRPr="00A40ACC">
        <w:rPr>
          <w:rFonts w:ascii="Times New Roman" w:hAnsi="Times New Roman" w:cs="Times New Roman"/>
          <w:sz w:val="24"/>
          <w:szCs w:val="24"/>
          <w:lang w:val="en-US" w:eastAsia="en-US"/>
        </w:rPr>
        <w:t xml:space="preserve">hey </w:t>
      </w:r>
      <w:r w:rsidR="00AB0F21" w:rsidRPr="00A40ACC">
        <w:rPr>
          <w:rFonts w:ascii="Times New Roman" w:hAnsi="Times New Roman" w:cs="Times New Roman"/>
          <w:sz w:val="24"/>
          <w:szCs w:val="24"/>
          <w:lang w:val="en-US" w:eastAsia="en-US"/>
        </w:rPr>
        <w:t xml:space="preserve">also </w:t>
      </w:r>
      <w:r w:rsidRPr="00A40ACC">
        <w:rPr>
          <w:rFonts w:ascii="Times New Roman" w:hAnsi="Times New Roman" w:cs="Times New Roman"/>
          <w:sz w:val="24"/>
          <w:szCs w:val="24"/>
          <w:lang w:val="en-US" w:eastAsia="en-US"/>
        </w:rPr>
        <w:t xml:space="preserve">considered that Right 7(6) </w:t>
      </w:r>
      <w:r w:rsidR="006F7866">
        <w:rPr>
          <w:rFonts w:ascii="Times New Roman" w:hAnsi="Times New Roman" w:cs="Times New Roman"/>
          <w:sz w:val="24"/>
          <w:szCs w:val="24"/>
          <w:lang w:val="en-US" w:eastAsia="en-US"/>
        </w:rPr>
        <w:t>should</w:t>
      </w:r>
      <w:r w:rsidR="006F7866" w:rsidRPr="00A40ACC">
        <w:rPr>
          <w:rFonts w:ascii="Times New Roman" w:hAnsi="Times New Roman" w:cs="Times New Roman"/>
          <w:sz w:val="24"/>
          <w:szCs w:val="24"/>
          <w:lang w:val="en-US" w:eastAsia="en-US"/>
        </w:rPr>
        <w:t xml:space="preserve"> </w:t>
      </w:r>
      <w:r w:rsidRPr="00A40ACC">
        <w:rPr>
          <w:rFonts w:ascii="Times New Roman" w:hAnsi="Times New Roman" w:cs="Times New Roman"/>
          <w:sz w:val="24"/>
          <w:szCs w:val="24"/>
          <w:lang w:val="en-US" w:eastAsia="en-US"/>
        </w:rPr>
        <w:t xml:space="preserve">remain as it is, and </w:t>
      </w:r>
      <w:r w:rsidR="00AB0F21" w:rsidRPr="00A40ACC">
        <w:rPr>
          <w:rFonts w:ascii="Times New Roman" w:hAnsi="Times New Roman" w:cs="Times New Roman"/>
          <w:sz w:val="24"/>
          <w:szCs w:val="24"/>
          <w:lang w:val="en-US" w:eastAsia="en-US"/>
        </w:rPr>
        <w:t xml:space="preserve">noted </w:t>
      </w:r>
      <w:r w:rsidRPr="00A40ACC">
        <w:rPr>
          <w:rFonts w:ascii="Times New Roman" w:hAnsi="Times New Roman" w:cs="Times New Roman"/>
          <w:sz w:val="24"/>
          <w:szCs w:val="24"/>
          <w:lang w:val="en-US" w:eastAsia="en-US"/>
        </w:rPr>
        <w:t>they would not support any attempt to reduce the need for written consent.</w:t>
      </w:r>
      <w:r w:rsidRPr="00A40ACC">
        <w:rPr>
          <w:rFonts w:ascii="Arial" w:eastAsia="Times New Roman" w:hAnsi="Arial" w:cs="Arial"/>
          <w:b/>
          <w:bCs/>
          <w:sz w:val="20"/>
          <w:szCs w:val="20"/>
        </w:rPr>
        <w:t xml:space="preserve"> </w:t>
      </w:r>
    </w:p>
    <w:p w:rsidR="0038518A" w:rsidRPr="00A40ACC" w:rsidRDefault="0038518A" w:rsidP="00235461">
      <w:pPr>
        <w:spacing w:after="0" w:line="264" w:lineRule="auto"/>
        <w:jc w:val="both"/>
        <w:rPr>
          <w:rFonts w:ascii="Times New Roman" w:hAnsi="Times New Roman" w:cs="Times New Roman"/>
          <w:sz w:val="24"/>
          <w:szCs w:val="24"/>
        </w:rPr>
      </w:pPr>
    </w:p>
    <w:p w:rsidR="00871911"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b/>
          <w:i/>
          <w:sz w:val="24"/>
          <w:szCs w:val="24"/>
        </w:rPr>
        <w:t>Right 9</w:t>
      </w:r>
    </w:p>
    <w:p w:rsidR="00871911"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The </w:t>
      </w:r>
      <w:r w:rsidR="00262067">
        <w:rPr>
          <w:rFonts w:ascii="Times New Roman" w:hAnsi="Times New Roman" w:cs="Times New Roman"/>
          <w:sz w:val="24"/>
          <w:szCs w:val="24"/>
        </w:rPr>
        <w:t>N</w:t>
      </w:r>
      <w:r w:rsidR="008D1D8F">
        <w:rPr>
          <w:rFonts w:ascii="Times New Roman" w:hAnsi="Times New Roman" w:cs="Times New Roman"/>
          <w:sz w:val="24"/>
          <w:szCs w:val="24"/>
        </w:rPr>
        <w:t xml:space="preserve">ew </w:t>
      </w:r>
      <w:r w:rsidR="00262067">
        <w:rPr>
          <w:rFonts w:ascii="Times New Roman" w:hAnsi="Times New Roman" w:cs="Times New Roman"/>
          <w:sz w:val="24"/>
          <w:szCs w:val="24"/>
        </w:rPr>
        <w:t>Z</w:t>
      </w:r>
      <w:r w:rsidR="008D1D8F">
        <w:rPr>
          <w:rFonts w:ascii="Times New Roman" w:hAnsi="Times New Roman" w:cs="Times New Roman"/>
          <w:sz w:val="24"/>
          <w:szCs w:val="24"/>
        </w:rPr>
        <w:t>ealand</w:t>
      </w:r>
      <w:r w:rsidRPr="00A40ACC">
        <w:rPr>
          <w:rFonts w:ascii="Times New Roman" w:hAnsi="Times New Roman" w:cs="Times New Roman"/>
          <w:sz w:val="24"/>
          <w:szCs w:val="24"/>
        </w:rPr>
        <w:t xml:space="preserve"> Law Society</w:t>
      </w:r>
      <w:r w:rsidRPr="00A40ACC">
        <w:rPr>
          <w:rStyle w:val="FootnoteReference"/>
          <w:rFonts w:ascii="Times New Roman" w:hAnsi="Times New Roman" w:cs="Times New Roman"/>
          <w:sz w:val="24"/>
          <w:szCs w:val="24"/>
        </w:rPr>
        <w:footnoteReference w:id="48"/>
      </w:r>
      <w:r w:rsidRPr="00A40ACC">
        <w:rPr>
          <w:rFonts w:ascii="Times New Roman" w:hAnsi="Times New Roman" w:cs="Times New Roman"/>
          <w:sz w:val="24"/>
          <w:szCs w:val="24"/>
        </w:rPr>
        <w:t xml:space="preserve"> considered that the extent to which the Code protects the interests of research participants is unclear because “health research” and “disability research” are not defined in the Code or</w:t>
      </w:r>
      <w:r w:rsidR="00262067">
        <w:rPr>
          <w:rFonts w:ascii="Times New Roman" w:hAnsi="Times New Roman" w:cs="Times New Roman"/>
          <w:sz w:val="24"/>
          <w:szCs w:val="24"/>
        </w:rPr>
        <w:t xml:space="preserve"> the</w:t>
      </w:r>
      <w:r w:rsidRPr="00A40ACC">
        <w:rPr>
          <w:rFonts w:ascii="Times New Roman" w:hAnsi="Times New Roman" w:cs="Times New Roman"/>
          <w:sz w:val="24"/>
          <w:szCs w:val="24"/>
        </w:rPr>
        <w:t xml:space="preserve"> Act. The Code does not apply to all health and disability research, such as observational research, or non-therapeutic health and disability research carried out by people other than healthcare practitioners. They submitted that an expanded definition of “health and disability research” should include research regardless of whether or not it has been reviewed by an ethics committee.</w:t>
      </w:r>
    </w:p>
    <w:p w:rsidR="00871911" w:rsidRPr="00A40ACC" w:rsidRDefault="00871911" w:rsidP="00235461">
      <w:pPr>
        <w:spacing w:after="0" w:line="264" w:lineRule="auto"/>
        <w:jc w:val="both"/>
        <w:rPr>
          <w:rFonts w:ascii="Times New Roman" w:hAnsi="Times New Roman" w:cs="Times New Roman"/>
          <w:sz w:val="24"/>
          <w:szCs w:val="24"/>
          <w:lang w:val="en-US" w:eastAsia="en-US"/>
        </w:rPr>
      </w:pPr>
    </w:p>
    <w:p w:rsidR="00871911"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b/>
          <w:i/>
          <w:sz w:val="24"/>
          <w:szCs w:val="24"/>
        </w:rPr>
        <w:t>Right 10</w:t>
      </w:r>
    </w:p>
    <w:p w:rsidR="00871911"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One submission</w:t>
      </w:r>
      <w:r w:rsidRPr="00A40ACC">
        <w:rPr>
          <w:rStyle w:val="FootnoteReference"/>
          <w:rFonts w:ascii="Times New Roman" w:hAnsi="Times New Roman" w:cs="Times New Roman"/>
          <w:sz w:val="24"/>
          <w:szCs w:val="24"/>
        </w:rPr>
        <w:footnoteReference w:id="49"/>
      </w:r>
      <w:r w:rsidRPr="00A40ACC">
        <w:rPr>
          <w:rFonts w:ascii="Times New Roman" w:hAnsi="Times New Roman" w:cs="Times New Roman"/>
          <w:sz w:val="24"/>
          <w:szCs w:val="24"/>
        </w:rPr>
        <w:t xml:space="preserve"> was received about Right 10, which noted that the complaints process can be very stressful to providers. The</w:t>
      </w:r>
      <w:r w:rsidR="006F7866">
        <w:rPr>
          <w:rFonts w:ascii="Times New Roman" w:hAnsi="Times New Roman" w:cs="Times New Roman"/>
          <w:sz w:val="24"/>
          <w:szCs w:val="24"/>
        </w:rPr>
        <w:t xml:space="preserve"> submitter</w:t>
      </w:r>
      <w:r w:rsidRPr="00A40ACC">
        <w:rPr>
          <w:rFonts w:ascii="Times New Roman" w:hAnsi="Times New Roman" w:cs="Times New Roman"/>
          <w:sz w:val="24"/>
          <w:szCs w:val="24"/>
        </w:rPr>
        <w:t xml:space="preserve"> considered that the right to complain should continue to reflect an ability to raise concerns, but that it should also be grounded in a quality improvement process, where all the steps adopt a constructive approach which supports both parties.</w:t>
      </w:r>
    </w:p>
    <w:p w:rsidR="00871911" w:rsidRDefault="00871911" w:rsidP="00235461">
      <w:pPr>
        <w:spacing w:after="0" w:line="264" w:lineRule="auto"/>
        <w:jc w:val="both"/>
        <w:rPr>
          <w:rFonts w:ascii="Times New Roman" w:hAnsi="Times New Roman" w:cs="Times New Roman"/>
          <w:b/>
          <w:i/>
          <w:sz w:val="24"/>
          <w:szCs w:val="24"/>
          <w:lang w:val="en-US" w:eastAsia="en-US"/>
        </w:rPr>
      </w:pPr>
    </w:p>
    <w:p w:rsidR="005F1C77" w:rsidRDefault="005F1C77" w:rsidP="00235461">
      <w:pPr>
        <w:spacing w:after="0" w:line="264" w:lineRule="auto"/>
        <w:jc w:val="both"/>
        <w:rPr>
          <w:rFonts w:ascii="Times New Roman" w:hAnsi="Times New Roman" w:cs="Times New Roman"/>
          <w:b/>
          <w:i/>
          <w:sz w:val="24"/>
          <w:szCs w:val="24"/>
          <w:lang w:val="en-US" w:eastAsia="en-US"/>
        </w:rPr>
      </w:pPr>
    </w:p>
    <w:p w:rsidR="005F1C77" w:rsidRDefault="005F1C77" w:rsidP="00235461">
      <w:pPr>
        <w:spacing w:after="0" w:line="264" w:lineRule="auto"/>
        <w:jc w:val="both"/>
        <w:rPr>
          <w:rFonts w:ascii="Times New Roman" w:hAnsi="Times New Roman" w:cs="Times New Roman"/>
          <w:b/>
          <w:i/>
          <w:sz w:val="24"/>
          <w:szCs w:val="24"/>
          <w:lang w:val="en-US" w:eastAsia="en-US"/>
        </w:rPr>
      </w:pPr>
    </w:p>
    <w:p w:rsidR="005F1C77" w:rsidRDefault="005F1C77" w:rsidP="00235461">
      <w:pPr>
        <w:spacing w:after="0" w:line="264" w:lineRule="auto"/>
        <w:jc w:val="both"/>
        <w:rPr>
          <w:rFonts w:ascii="Times New Roman" w:hAnsi="Times New Roman" w:cs="Times New Roman"/>
          <w:b/>
          <w:i/>
          <w:sz w:val="24"/>
          <w:szCs w:val="24"/>
          <w:lang w:val="en-US" w:eastAsia="en-US"/>
        </w:rPr>
      </w:pPr>
    </w:p>
    <w:p w:rsidR="005F1C77" w:rsidRPr="00A40ACC" w:rsidRDefault="005F1C77" w:rsidP="00235461">
      <w:pPr>
        <w:spacing w:after="0" w:line="264" w:lineRule="auto"/>
        <w:jc w:val="both"/>
        <w:rPr>
          <w:rFonts w:ascii="Times New Roman" w:hAnsi="Times New Roman" w:cs="Times New Roman"/>
          <w:b/>
          <w:i/>
          <w:sz w:val="24"/>
          <w:szCs w:val="24"/>
          <w:lang w:val="en-US" w:eastAsia="en-US"/>
        </w:rPr>
      </w:pPr>
    </w:p>
    <w:p w:rsidR="00871911" w:rsidRPr="00A40ACC" w:rsidRDefault="00871911" w:rsidP="00235461">
      <w:pPr>
        <w:spacing w:after="0" w:line="264" w:lineRule="auto"/>
        <w:jc w:val="both"/>
        <w:rPr>
          <w:rFonts w:ascii="Times New Roman" w:hAnsi="Times New Roman" w:cs="Times New Roman"/>
          <w:b/>
          <w:i/>
          <w:sz w:val="24"/>
          <w:szCs w:val="24"/>
          <w:lang w:val="en-US" w:eastAsia="en-US"/>
        </w:rPr>
      </w:pPr>
      <w:r w:rsidRPr="00A40ACC">
        <w:rPr>
          <w:rFonts w:ascii="Times New Roman" w:hAnsi="Times New Roman" w:cs="Times New Roman"/>
          <w:b/>
          <w:i/>
          <w:sz w:val="24"/>
          <w:szCs w:val="24"/>
          <w:lang w:val="en-US" w:eastAsia="en-US"/>
        </w:rPr>
        <w:lastRenderedPageBreak/>
        <w:t>Clause 3</w:t>
      </w:r>
    </w:p>
    <w:p w:rsidR="00871911"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 xml:space="preserve">Three submissions were received on Clause 3. </w:t>
      </w:r>
    </w:p>
    <w:p w:rsidR="00891758" w:rsidRPr="00A40ACC" w:rsidRDefault="00891758" w:rsidP="00235461">
      <w:pPr>
        <w:spacing w:after="0" w:line="264" w:lineRule="auto"/>
        <w:jc w:val="both"/>
        <w:rPr>
          <w:rFonts w:ascii="Times New Roman" w:hAnsi="Times New Roman" w:cs="Times New Roman"/>
          <w:sz w:val="24"/>
          <w:szCs w:val="24"/>
          <w:lang w:val="en-US" w:eastAsia="en-US"/>
        </w:rPr>
      </w:pPr>
    </w:p>
    <w:p w:rsidR="00871911"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lang w:val="en-US" w:eastAsia="en-US"/>
        </w:rPr>
        <w:t>The Association of Blind Citizens of New Zealand</w:t>
      </w:r>
      <w:r w:rsidRPr="00A40ACC">
        <w:rPr>
          <w:rStyle w:val="FootnoteReference"/>
          <w:rFonts w:ascii="Times New Roman" w:hAnsi="Times New Roman" w:cs="Times New Roman"/>
          <w:sz w:val="24"/>
          <w:szCs w:val="24"/>
          <w:lang w:val="en-US" w:eastAsia="en-US"/>
        </w:rPr>
        <w:footnoteReference w:id="50"/>
      </w:r>
      <w:r w:rsidRPr="00A40ACC">
        <w:rPr>
          <w:rFonts w:ascii="Times New Roman" w:hAnsi="Times New Roman" w:cs="Times New Roman"/>
          <w:sz w:val="24"/>
          <w:szCs w:val="24"/>
          <w:lang w:val="en-US" w:eastAsia="en-US"/>
        </w:rPr>
        <w:t xml:space="preserve"> considered that resource constraints are </w:t>
      </w:r>
      <w:r w:rsidRPr="00A40ACC">
        <w:rPr>
          <w:rFonts w:ascii="Times New Roman" w:hAnsi="Times New Roman" w:cs="Times New Roman"/>
          <w:sz w:val="24"/>
          <w:szCs w:val="24"/>
        </w:rPr>
        <w:t>used too often as a reason for not meeting needs, for example, the information needs of consumers. They considered that this means that while the onus is on the provider to prove that it took reasonable actions, consumers and blind people specifically, may be disadvantaged while that process runs its course.</w:t>
      </w:r>
    </w:p>
    <w:p w:rsidR="00891758" w:rsidRPr="00A40ACC" w:rsidRDefault="00891758" w:rsidP="00235461">
      <w:pPr>
        <w:spacing w:after="0" w:line="264" w:lineRule="auto"/>
        <w:jc w:val="both"/>
        <w:rPr>
          <w:rFonts w:ascii="Times New Roman" w:hAnsi="Times New Roman" w:cs="Times New Roman"/>
          <w:sz w:val="24"/>
          <w:szCs w:val="24"/>
        </w:rPr>
      </w:pPr>
    </w:p>
    <w:p w:rsidR="00871911"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The Medical Council</w:t>
      </w:r>
      <w:r w:rsidRPr="00A40ACC">
        <w:rPr>
          <w:rStyle w:val="FootnoteReference"/>
          <w:rFonts w:ascii="Times New Roman" w:hAnsi="Times New Roman" w:cs="Times New Roman"/>
          <w:sz w:val="24"/>
          <w:szCs w:val="24"/>
          <w:lang w:val="en-US" w:eastAsia="en-US"/>
        </w:rPr>
        <w:footnoteReference w:id="51"/>
      </w:r>
      <w:r w:rsidRPr="00A40ACC">
        <w:rPr>
          <w:rFonts w:ascii="Times New Roman" w:hAnsi="Times New Roman" w:cs="Times New Roman"/>
          <w:sz w:val="24"/>
          <w:szCs w:val="24"/>
          <w:lang w:val="en-US" w:eastAsia="en-US"/>
        </w:rPr>
        <w:t xml:space="preserve"> noted that Clause 3 allows the Commissioner to find that a doctor did not breach the Code if they took reasonable actions in the circumstances. They considered that this could be expanded to also include </w:t>
      </w:r>
      <w:r w:rsidR="007B19B3">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the consumer’s choices</w:t>
      </w:r>
      <w:r w:rsidR="007B19B3">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 xml:space="preserve">, </w:t>
      </w:r>
      <w:r w:rsidR="007B19B3">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system errors</w:t>
      </w:r>
      <w:r w:rsidR="007B19B3">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 xml:space="preserve"> and </w:t>
      </w:r>
      <w:r w:rsidR="007B19B3">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the actions of other providers</w:t>
      </w:r>
      <w:r w:rsidR="007B19B3">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w:t>
      </w:r>
    </w:p>
    <w:p w:rsidR="00891758" w:rsidRPr="00A40ACC" w:rsidRDefault="00891758" w:rsidP="00235461">
      <w:pPr>
        <w:spacing w:after="0" w:line="264" w:lineRule="auto"/>
        <w:jc w:val="both"/>
        <w:rPr>
          <w:rFonts w:ascii="Times New Roman" w:hAnsi="Times New Roman" w:cs="Times New Roman"/>
          <w:sz w:val="24"/>
          <w:szCs w:val="24"/>
          <w:lang w:val="en-US" w:eastAsia="en-US"/>
        </w:rPr>
      </w:pPr>
    </w:p>
    <w:p w:rsidR="00871911"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lang w:val="en-US" w:eastAsia="en-US"/>
        </w:rPr>
        <w:t>Waikato D</w:t>
      </w:r>
      <w:r w:rsidR="00E568DC">
        <w:rPr>
          <w:rFonts w:ascii="Times New Roman" w:hAnsi="Times New Roman" w:cs="Times New Roman"/>
          <w:sz w:val="24"/>
          <w:szCs w:val="24"/>
          <w:lang w:val="en-US" w:eastAsia="en-US"/>
        </w:rPr>
        <w:t xml:space="preserve">istrict </w:t>
      </w:r>
      <w:r w:rsidRPr="00A40ACC">
        <w:rPr>
          <w:rFonts w:ascii="Times New Roman" w:hAnsi="Times New Roman" w:cs="Times New Roman"/>
          <w:sz w:val="24"/>
          <w:szCs w:val="24"/>
          <w:lang w:val="en-US" w:eastAsia="en-US"/>
        </w:rPr>
        <w:t>H</w:t>
      </w:r>
      <w:r w:rsidR="00E568DC">
        <w:rPr>
          <w:rFonts w:ascii="Times New Roman" w:hAnsi="Times New Roman" w:cs="Times New Roman"/>
          <w:sz w:val="24"/>
          <w:szCs w:val="24"/>
          <w:lang w:val="en-US" w:eastAsia="en-US"/>
        </w:rPr>
        <w:t xml:space="preserve">ealth </w:t>
      </w:r>
      <w:r w:rsidRPr="00A40ACC">
        <w:rPr>
          <w:rFonts w:ascii="Times New Roman" w:hAnsi="Times New Roman" w:cs="Times New Roman"/>
          <w:sz w:val="24"/>
          <w:szCs w:val="24"/>
          <w:lang w:val="en-US" w:eastAsia="en-US"/>
        </w:rPr>
        <w:t>B</w:t>
      </w:r>
      <w:r w:rsidR="00E568DC">
        <w:rPr>
          <w:rFonts w:ascii="Times New Roman" w:hAnsi="Times New Roman" w:cs="Times New Roman"/>
          <w:sz w:val="24"/>
          <w:szCs w:val="24"/>
          <w:lang w:val="en-US" w:eastAsia="en-US"/>
        </w:rPr>
        <w:t>oard</w:t>
      </w:r>
      <w:r w:rsidRPr="00A40ACC">
        <w:rPr>
          <w:rStyle w:val="FootnoteReference"/>
          <w:rFonts w:ascii="Times New Roman" w:hAnsi="Times New Roman" w:cs="Times New Roman"/>
          <w:sz w:val="24"/>
          <w:szCs w:val="24"/>
          <w:lang w:val="en-US" w:eastAsia="en-US"/>
        </w:rPr>
        <w:footnoteReference w:id="52"/>
      </w:r>
      <w:r w:rsidRPr="00A40ACC">
        <w:rPr>
          <w:rFonts w:ascii="Times New Roman" w:hAnsi="Times New Roman" w:cs="Times New Roman"/>
          <w:sz w:val="24"/>
          <w:szCs w:val="24"/>
          <w:lang w:val="en-US" w:eastAsia="en-US"/>
        </w:rPr>
        <w:t xml:space="preserve"> commented that this section could be expanded to provide more detail on the limitation of a consumer’s right to demand a specific therapy, investigation, or other professional service from a provider. They also commented that such an addition could include the provider’s duty to arrange access to a second opinion if the provider and the consumer cannot agree on a treatment plan. </w:t>
      </w:r>
    </w:p>
    <w:p w:rsidR="00871911" w:rsidRPr="00A40ACC" w:rsidRDefault="00871911" w:rsidP="00235461">
      <w:pPr>
        <w:spacing w:after="0" w:line="264" w:lineRule="auto"/>
        <w:jc w:val="both"/>
        <w:rPr>
          <w:rFonts w:ascii="Times New Roman" w:hAnsi="Times New Roman" w:cs="Times New Roman"/>
          <w:sz w:val="24"/>
          <w:szCs w:val="24"/>
          <w:lang w:val="en-US" w:eastAsia="en-US"/>
        </w:rPr>
      </w:pPr>
    </w:p>
    <w:p w:rsidR="00871911" w:rsidRPr="00A40ACC" w:rsidRDefault="00871911" w:rsidP="00235461">
      <w:pPr>
        <w:spacing w:after="0" w:line="264" w:lineRule="auto"/>
        <w:jc w:val="both"/>
        <w:rPr>
          <w:rFonts w:ascii="Times New Roman" w:hAnsi="Times New Roman" w:cs="Times New Roman"/>
          <w:b/>
          <w:i/>
          <w:sz w:val="24"/>
          <w:szCs w:val="24"/>
          <w:lang w:val="en-US" w:eastAsia="en-US"/>
        </w:rPr>
      </w:pPr>
      <w:r w:rsidRPr="00A40ACC">
        <w:rPr>
          <w:rFonts w:ascii="Times New Roman" w:hAnsi="Times New Roman" w:cs="Times New Roman"/>
          <w:b/>
          <w:i/>
          <w:sz w:val="24"/>
          <w:szCs w:val="24"/>
          <w:lang w:val="en-US" w:eastAsia="en-US"/>
        </w:rPr>
        <w:t>Clause 4</w:t>
      </w:r>
    </w:p>
    <w:p w:rsidR="00871911"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 xml:space="preserve">Aside from the changes to definitions that have been suggested throughout this analysis in conjunction with other suggested amendments, a few submitters commented directly on Clause 4. </w:t>
      </w:r>
    </w:p>
    <w:p w:rsidR="00891758" w:rsidRPr="00A40ACC" w:rsidRDefault="00891758" w:rsidP="00235461">
      <w:pPr>
        <w:spacing w:after="0" w:line="264" w:lineRule="auto"/>
        <w:jc w:val="both"/>
        <w:rPr>
          <w:rFonts w:ascii="Times New Roman" w:hAnsi="Times New Roman" w:cs="Times New Roman"/>
          <w:sz w:val="24"/>
          <w:szCs w:val="24"/>
          <w:lang w:val="en-US" w:eastAsia="en-US"/>
        </w:rPr>
      </w:pPr>
    </w:p>
    <w:p w:rsidR="00871911"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In particular, ACART</w:t>
      </w:r>
      <w:r w:rsidRPr="00A40ACC">
        <w:rPr>
          <w:rStyle w:val="FootnoteReference"/>
          <w:rFonts w:ascii="Times New Roman" w:hAnsi="Times New Roman" w:cs="Times New Roman"/>
          <w:sz w:val="24"/>
          <w:szCs w:val="24"/>
          <w:lang w:val="en-US" w:eastAsia="en-US"/>
        </w:rPr>
        <w:footnoteReference w:id="53"/>
      </w:r>
      <w:r w:rsidR="0038518A" w:rsidRPr="00A40ACC">
        <w:rPr>
          <w:rFonts w:ascii="Times New Roman" w:hAnsi="Times New Roman" w:cs="Times New Roman"/>
          <w:sz w:val="24"/>
          <w:szCs w:val="24"/>
          <w:lang w:val="en-US" w:eastAsia="en-US"/>
        </w:rPr>
        <w:t xml:space="preserve"> made a</w:t>
      </w:r>
      <w:r w:rsidRPr="00A40ACC">
        <w:rPr>
          <w:rFonts w:ascii="Times New Roman" w:hAnsi="Times New Roman" w:cs="Times New Roman"/>
          <w:sz w:val="24"/>
          <w:szCs w:val="24"/>
          <w:lang w:val="en-US" w:eastAsia="en-US"/>
        </w:rPr>
        <w:t xml:space="preserve"> submission about changing the definitions of consumer, health care procedure, and bodily part or bodily substance. They submitted that the current definition of “consumer” does not appear to take into account other parties who contribute to fertility treatment, but who are not the subjects of a health care procedure. For example: a gamete donor whose gametes have been stored, sometimes long term, before being used in a fertility procedure; and embryo donors who have had fertility treatment in the past and have stored surplus embryos, but do not require a health care procedure in order to donate (except for </w:t>
      </w:r>
      <w:proofErr w:type="spellStart"/>
      <w:r w:rsidRPr="00A40ACC">
        <w:rPr>
          <w:rFonts w:ascii="Times New Roman" w:hAnsi="Times New Roman" w:cs="Times New Roman"/>
          <w:sz w:val="24"/>
          <w:szCs w:val="24"/>
          <w:lang w:val="en-US" w:eastAsia="en-US"/>
        </w:rPr>
        <w:t>counselling</w:t>
      </w:r>
      <w:proofErr w:type="spellEnd"/>
      <w:r w:rsidRPr="00A40ACC">
        <w:rPr>
          <w:rFonts w:ascii="Times New Roman" w:hAnsi="Times New Roman" w:cs="Times New Roman"/>
          <w:sz w:val="24"/>
          <w:szCs w:val="24"/>
          <w:lang w:val="en-US" w:eastAsia="en-US"/>
        </w:rPr>
        <w:t xml:space="preserve"> requirements at the time of donation). They also noted that the definition in the Code is inconsistent with that in the Fertility Services Standard, where the definition of a consumer is “a user or participant in the service, including client, patient, gamete or embryo donor. Where appropriate this may include the family/</w:t>
      </w:r>
      <w:proofErr w:type="spellStart"/>
      <w:r w:rsidRPr="00A40ACC">
        <w:rPr>
          <w:rFonts w:ascii="Times New Roman" w:hAnsi="Times New Roman" w:cs="Times New Roman"/>
          <w:sz w:val="24"/>
          <w:szCs w:val="24"/>
          <w:lang w:val="en-US" w:eastAsia="en-US"/>
        </w:rPr>
        <w:t>whanau</w:t>
      </w:r>
      <w:proofErr w:type="spellEnd"/>
      <w:r w:rsidRPr="00A40ACC">
        <w:rPr>
          <w:rFonts w:ascii="Times New Roman" w:hAnsi="Times New Roman" w:cs="Times New Roman"/>
          <w:sz w:val="24"/>
          <w:szCs w:val="24"/>
          <w:lang w:val="en-US" w:eastAsia="en-US"/>
        </w:rPr>
        <w:t xml:space="preserve"> or other representatives.”</w:t>
      </w:r>
      <w:r w:rsidR="00E568DC">
        <w:rPr>
          <w:rFonts w:ascii="Times New Roman" w:hAnsi="Times New Roman" w:cs="Times New Roman"/>
          <w:sz w:val="24"/>
          <w:szCs w:val="24"/>
          <w:lang w:val="en-US" w:eastAsia="en-US"/>
        </w:rPr>
        <w:t xml:space="preserve"> </w:t>
      </w:r>
      <w:r w:rsidRPr="00A40ACC">
        <w:rPr>
          <w:rFonts w:ascii="Times New Roman" w:hAnsi="Times New Roman" w:cs="Times New Roman"/>
          <w:sz w:val="24"/>
          <w:szCs w:val="24"/>
          <w:lang w:val="en-US" w:eastAsia="en-US"/>
        </w:rPr>
        <w:t>They stated that the definition of “health care procedure” does not extend to some fertility treatment processes, such as the creation of an embryo in a laboratory, or the storage of gametes or embryos.</w:t>
      </w:r>
    </w:p>
    <w:p w:rsidR="00891758" w:rsidRPr="00A40ACC" w:rsidRDefault="00891758" w:rsidP="00235461">
      <w:pPr>
        <w:spacing w:after="0" w:line="264" w:lineRule="auto"/>
        <w:jc w:val="both"/>
        <w:rPr>
          <w:rFonts w:ascii="Times New Roman" w:hAnsi="Times New Roman" w:cs="Times New Roman"/>
          <w:sz w:val="24"/>
          <w:szCs w:val="24"/>
          <w:lang w:val="en-US" w:eastAsia="en-US"/>
        </w:rPr>
      </w:pPr>
    </w:p>
    <w:p w:rsidR="00871911"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 xml:space="preserve">They also submitted that there is no definition of </w:t>
      </w:r>
      <w:r w:rsidR="005F37CD">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body part</w:t>
      </w:r>
      <w:r w:rsidR="005F37CD">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 xml:space="preserve"> or </w:t>
      </w:r>
      <w:r w:rsidR="005F37CD">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bodily substance</w:t>
      </w:r>
      <w:r w:rsidR="005F37CD">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 xml:space="preserve"> for the purposes of Rights 7(9) and 7(10). They consider that an embryo, once created, is unlikely to </w:t>
      </w:r>
      <w:r w:rsidRPr="00A40ACC">
        <w:rPr>
          <w:rFonts w:ascii="Times New Roman" w:hAnsi="Times New Roman" w:cs="Times New Roman"/>
          <w:sz w:val="24"/>
          <w:szCs w:val="24"/>
          <w:lang w:val="en-US" w:eastAsia="en-US"/>
        </w:rPr>
        <w:lastRenderedPageBreak/>
        <w:t xml:space="preserve">be interpreted as meeting the definition of being a </w:t>
      </w:r>
      <w:r w:rsidR="005F37CD">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body part</w:t>
      </w:r>
      <w:r w:rsidR="005F37CD">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 xml:space="preserve"> or </w:t>
      </w:r>
      <w:r w:rsidR="005F37CD">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bodily substance</w:t>
      </w:r>
      <w:r w:rsidR="005F37CD">
        <w:rPr>
          <w:rFonts w:ascii="Times New Roman" w:hAnsi="Times New Roman" w:cs="Times New Roman"/>
          <w:sz w:val="24"/>
          <w:szCs w:val="24"/>
          <w:lang w:val="en-US" w:eastAsia="en-US"/>
        </w:rPr>
        <w:t>”</w:t>
      </w:r>
      <w:r w:rsidRPr="00A40ACC">
        <w:rPr>
          <w:rFonts w:ascii="Times New Roman" w:hAnsi="Times New Roman" w:cs="Times New Roman"/>
          <w:sz w:val="24"/>
          <w:szCs w:val="24"/>
          <w:lang w:val="en-US" w:eastAsia="en-US"/>
        </w:rPr>
        <w:t xml:space="preserve"> of a consumer for the purposes of Right</w:t>
      </w:r>
      <w:r w:rsidR="00E568DC">
        <w:rPr>
          <w:rFonts w:ascii="Times New Roman" w:hAnsi="Times New Roman" w:cs="Times New Roman"/>
          <w:sz w:val="24"/>
          <w:szCs w:val="24"/>
          <w:lang w:val="en-US" w:eastAsia="en-US"/>
        </w:rPr>
        <w:t>s</w:t>
      </w:r>
      <w:r w:rsidRPr="00A40ACC">
        <w:rPr>
          <w:rFonts w:ascii="Times New Roman" w:hAnsi="Times New Roman" w:cs="Times New Roman"/>
          <w:sz w:val="24"/>
          <w:szCs w:val="24"/>
          <w:lang w:val="en-US" w:eastAsia="en-US"/>
        </w:rPr>
        <w:t xml:space="preserve"> 7(9) and </w:t>
      </w:r>
      <w:r w:rsidR="00E568DC">
        <w:rPr>
          <w:rFonts w:ascii="Times New Roman" w:hAnsi="Times New Roman" w:cs="Times New Roman"/>
          <w:sz w:val="24"/>
          <w:szCs w:val="24"/>
          <w:lang w:val="en-US" w:eastAsia="en-US"/>
        </w:rPr>
        <w:t>7</w:t>
      </w:r>
      <w:r w:rsidRPr="00A40ACC">
        <w:rPr>
          <w:rFonts w:ascii="Times New Roman" w:hAnsi="Times New Roman" w:cs="Times New Roman"/>
          <w:sz w:val="24"/>
          <w:szCs w:val="24"/>
          <w:lang w:val="en-US" w:eastAsia="en-US"/>
        </w:rPr>
        <w:t xml:space="preserve">(10), on the basis that a separate, new entity has been created that is not the body part or substance of one consumer. They submit that excluding embryos from these definitions appears to create a significant gap that does not take into account the separation in time and space between the creation of an in vitro embryo and the transfer of the embryo to the uterus of a recipient woman. They noted that while many embryos used are fresh, around a third of embryos used in treatment have been stored and then thawed before being used. </w:t>
      </w:r>
    </w:p>
    <w:p w:rsidR="00891758" w:rsidRPr="00A40ACC" w:rsidRDefault="00891758" w:rsidP="00235461">
      <w:pPr>
        <w:spacing w:after="0" w:line="264" w:lineRule="auto"/>
        <w:jc w:val="both"/>
        <w:rPr>
          <w:rFonts w:ascii="Times New Roman" w:hAnsi="Times New Roman" w:cs="Times New Roman"/>
          <w:sz w:val="24"/>
          <w:szCs w:val="24"/>
          <w:lang w:val="en-US" w:eastAsia="en-US"/>
        </w:rPr>
      </w:pPr>
    </w:p>
    <w:p w:rsidR="00871911" w:rsidRPr="00A40ACC"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On a separate note, two further suggestions were made directly about the Clause 4 definitions, with one submitter</w:t>
      </w:r>
      <w:r w:rsidRPr="00A40ACC">
        <w:rPr>
          <w:rStyle w:val="FootnoteReference"/>
          <w:rFonts w:ascii="Times New Roman" w:hAnsi="Times New Roman" w:cs="Times New Roman"/>
          <w:sz w:val="24"/>
          <w:szCs w:val="24"/>
          <w:lang w:val="en-US" w:eastAsia="en-US"/>
        </w:rPr>
        <w:footnoteReference w:id="54"/>
      </w:r>
      <w:r w:rsidRPr="00A40ACC">
        <w:rPr>
          <w:rFonts w:ascii="Times New Roman" w:hAnsi="Times New Roman" w:cs="Times New Roman"/>
          <w:sz w:val="24"/>
          <w:szCs w:val="24"/>
          <w:lang w:val="en-US" w:eastAsia="en-US"/>
        </w:rPr>
        <w:t xml:space="preserve"> suggesting a new definition could be added about shared decision making, and another</w:t>
      </w:r>
      <w:r w:rsidRPr="00A40ACC">
        <w:rPr>
          <w:rStyle w:val="FootnoteReference"/>
          <w:rFonts w:ascii="Times New Roman" w:hAnsi="Times New Roman" w:cs="Times New Roman"/>
          <w:sz w:val="24"/>
          <w:szCs w:val="24"/>
          <w:lang w:val="en-US" w:eastAsia="en-US"/>
        </w:rPr>
        <w:footnoteReference w:id="55"/>
      </w:r>
      <w:r w:rsidRPr="00A40ACC">
        <w:rPr>
          <w:rFonts w:ascii="Times New Roman" w:hAnsi="Times New Roman" w:cs="Times New Roman"/>
          <w:sz w:val="24"/>
          <w:szCs w:val="24"/>
          <w:lang w:val="en-US" w:eastAsia="en-US"/>
        </w:rPr>
        <w:t xml:space="preserve"> considering that</w:t>
      </w:r>
      <w:r w:rsidR="00AB0F21" w:rsidRPr="00A40ACC">
        <w:rPr>
          <w:rFonts w:ascii="Times New Roman" w:hAnsi="Times New Roman" w:cs="Times New Roman"/>
          <w:sz w:val="24"/>
          <w:szCs w:val="24"/>
          <w:lang w:val="en-US" w:eastAsia="en-US"/>
        </w:rPr>
        <w:t xml:space="preserve"> it would be beneficial to have</w:t>
      </w:r>
      <w:r w:rsidRPr="00A40ACC">
        <w:rPr>
          <w:rFonts w:ascii="Times New Roman" w:hAnsi="Times New Roman" w:cs="Times New Roman"/>
          <w:sz w:val="24"/>
          <w:szCs w:val="24"/>
          <w:lang w:val="en-US" w:eastAsia="en-US"/>
        </w:rPr>
        <w:t xml:space="preserve"> a more in-depth description of alternate formats of communication for the purpose of Right 5</w:t>
      </w:r>
      <w:r w:rsidR="00AB0F21" w:rsidRPr="00A40ACC">
        <w:rPr>
          <w:rFonts w:ascii="Times New Roman" w:hAnsi="Times New Roman" w:cs="Times New Roman"/>
          <w:sz w:val="24"/>
          <w:szCs w:val="24"/>
          <w:lang w:val="en-US" w:eastAsia="en-US"/>
        </w:rPr>
        <w:t>.</w:t>
      </w:r>
    </w:p>
    <w:p w:rsidR="0038518A" w:rsidRPr="00A40ACC" w:rsidRDefault="0038518A" w:rsidP="00235461">
      <w:pPr>
        <w:spacing w:after="0" w:line="264" w:lineRule="auto"/>
        <w:rPr>
          <w:rFonts w:ascii="Times New Roman" w:hAnsi="Times New Roman" w:cs="Times New Roman"/>
          <w:b/>
          <w:sz w:val="28"/>
          <w:szCs w:val="28"/>
        </w:rPr>
      </w:pPr>
    </w:p>
    <w:p w:rsidR="00871911" w:rsidRPr="00A40ACC" w:rsidRDefault="00871911" w:rsidP="00235461">
      <w:pPr>
        <w:spacing w:after="0" w:line="264" w:lineRule="auto"/>
        <w:rPr>
          <w:rFonts w:ascii="Times New Roman" w:hAnsi="Times New Roman" w:cs="Times New Roman"/>
          <w:b/>
          <w:sz w:val="28"/>
          <w:szCs w:val="28"/>
        </w:rPr>
      </w:pPr>
      <w:r w:rsidRPr="00A40ACC">
        <w:rPr>
          <w:rFonts w:ascii="Times New Roman" w:hAnsi="Times New Roman" w:cs="Times New Roman"/>
          <w:b/>
          <w:sz w:val="28"/>
          <w:szCs w:val="28"/>
        </w:rPr>
        <w:t>Changes to the Act</w:t>
      </w:r>
    </w:p>
    <w:p w:rsidR="00871911" w:rsidRPr="00A40ACC" w:rsidRDefault="00871911" w:rsidP="00235461">
      <w:pPr>
        <w:spacing w:after="0" w:line="264" w:lineRule="auto"/>
        <w:jc w:val="both"/>
        <w:rPr>
          <w:rFonts w:ascii="Times New Roman" w:hAnsi="Times New Roman" w:cs="Times New Roman"/>
          <w:sz w:val="24"/>
          <w:szCs w:val="24"/>
        </w:rPr>
      </w:pPr>
    </w:p>
    <w:p w:rsidR="00871911"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Those that submitted on changing the Act did so with reference to</w:t>
      </w:r>
      <w:r w:rsidR="0082642B">
        <w:rPr>
          <w:rFonts w:ascii="Times New Roman" w:hAnsi="Times New Roman" w:cs="Times New Roman"/>
          <w:sz w:val="24"/>
          <w:szCs w:val="24"/>
        </w:rPr>
        <w:t xml:space="preserve"> both</w:t>
      </w:r>
      <w:r w:rsidRPr="00A40ACC">
        <w:rPr>
          <w:rFonts w:ascii="Times New Roman" w:hAnsi="Times New Roman" w:cs="Times New Roman"/>
          <w:sz w:val="24"/>
          <w:szCs w:val="24"/>
        </w:rPr>
        <w:t xml:space="preserve"> current sections, and with suggestions for new sections to be added. While a range of suggestions were made, there was little crossover between submitters </w:t>
      </w:r>
      <w:r w:rsidR="00E568DC">
        <w:rPr>
          <w:rFonts w:ascii="Times New Roman" w:hAnsi="Times New Roman" w:cs="Times New Roman"/>
          <w:sz w:val="24"/>
          <w:szCs w:val="24"/>
        </w:rPr>
        <w:t>on which</w:t>
      </w:r>
      <w:r w:rsidRPr="00A40ACC">
        <w:rPr>
          <w:rFonts w:ascii="Times New Roman" w:hAnsi="Times New Roman" w:cs="Times New Roman"/>
          <w:sz w:val="24"/>
          <w:szCs w:val="24"/>
        </w:rPr>
        <w:t xml:space="preserve"> aspects of the Act require amendment.</w:t>
      </w:r>
    </w:p>
    <w:p w:rsidR="00871911" w:rsidRPr="00A40ACC" w:rsidRDefault="00871911" w:rsidP="00235461">
      <w:pPr>
        <w:spacing w:after="0" w:line="264" w:lineRule="auto"/>
        <w:jc w:val="both"/>
        <w:rPr>
          <w:rFonts w:ascii="Times New Roman" w:hAnsi="Times New Roman" w:cs="Times New Roman"/>
          <w:sz w:val="24"/>
          <w:szCs w:val="24"/>
        </w:rPr>
      </w:pPr>
    </w:p>
    <w:p w:rsidR="00871911"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b/>
          <w:i/>
          <w:sz w:val="24"/>
          <w:szCs w:val="24"/>
        </w:rPr>
        <w:t>Existing Sections</w:t>
      </w:r>
    </w:p>
    <w:p w:rsidR="00871911" w:rsidRPr="00A40ACC" w:rsidRDefault="00871911" w:rsidP="00235461">
      <w:pPr>
        <w:spacing w:after="0" w:line="264" w:lineRule="auto"/>
        <w:jc w:val="both"/>
        <w:rPr>
          <w:rFonts w:ascii="Times New Roman" w:hAnsi="Times New Roman" w:cs="Times New Roman"/>
          <w:i/>
          <w:sz w:val="24"/>
          <w:szCs w:val="24"/>
        </w:rPr>
      </w:pPr>
      <w:r w:rsidRPr="00A40ACC">
        <w:rPr>
          <w:rFonts w:ascii="Times New Roman" w:hAnsi="Times New Roman" w:cs="Times New Roman"/>
          <w:i/>
          <w:sz w:val="24"/>
          <w:szCs w:val="24"/>
        </w:rPr>
        <w:t>Section 2 – Interpretation</w:t>
      </w:r>
    </w:p>
    <w:p w:rsidR="00B41E67" w:rsidRDefault="00B41E67"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The 2009 review asked a number of questions relating to disability, including the appropriateness of the definitions relating to disability services. </w:t>
      </w:r>
    </w:p>
    <w:p w:rsidR="00891758" w:rsidRPr="00A40ACC" w:rsidRDefault="00891758" w:rsidP="00235461">
      <w:pPr>
        <w:spacing w:after="0" w:line="264" w:lineRule="auto"/>
        <w:jc w:val="both"/>
        <w:rPr>
          <w:rFonts w:ascii="Times New Roman" w:hAnsi="Times New Roman" w:cs="Times New Roman"/>
          <w:sz w:val="24"/>
          <w:szCs w:val="24"/>
        </w:rPr>
      </w:pPr>
    </w:p>
    <w:p w:rsidR="00871911" w:rsidRDefault="00B41E67"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rPr>
        <w:t>In the present review, t</w:t>
      </w:r>
      <w:r w:rsidR="00871911" w:rsidRPr="00A40ACC">
        <w:rPr>
          <w:rFonts w:ascii="Times New Roman" w:hAnsi="Times New Roman" w:cs="Times New Roman"/>
          <w:sz w:val="24"/>
          <w:szCs w:val="24"/>
        </w:rPr>
        <w:t>wo submitters</w:t>
      </w:r>
      <w:r w:rsidR="00871911" w:rsidRPr="00A40ACC">
        <w:rPr>
          <w:rStyle w:val="FootnoteReference"/>
          <w:rFonts w:ascii="Times New Roman" w:hAnsi="Times New Roman" w:cs="Times New Roman"/>
          <w:sz w:val="24"/>
          <w:szCs w:val="24"/>
        </w:rPr>
        <w:footnoteReference w:id="56"/>
      </w:r>
      <w:r w:rsidR="00871911" w:rsidRPr="00A40ACC">
        <w:rPr>
          <w:rFonts w:ascii="Times New Roman" w:hAnsi="Times New Roman" w:cs="Times New Roman"/>
          <w:sz w:val="24"/>
          <w:szCs w:val="24"/>
        </w:rPr>
        <w:t xml:space="preserve"> considered that disability should be defined within the Act. One</w:t>
      </w:r>
      <w:r w:rsidR="00871911" w:rsidRPr="00A40ACC">
        <w:rPr>
          <w:rStyle w:val="FootnoteReference"/>
          <w:rFonts w:ascii="Times New Roman" w:hAnsi="Times New Roman" w:cs="Times New Roman"/>
          <w:sz w:val="24"/>
          <w:szCs w:val="24"/>
        </w:rPr>
        <w:footnoteReference w:id="57"/>
      </w:r>
      <w:r w:rsidR="00871911" w:rsidRPr="00A40ACC">
        <w:rPr>
          <w:rFonts w:ascii="Times New Roman" w:hAnsi="Times New Roman" w:cs="Times New Roman"/>
          <w:sz w:val="24"/>
          <w:szCs w:val="24"/>
        </w:rPr>
        <w:t xml:space="preserve"> suggested that this definition should reflect the social model of disability, which emphasises the limitations of a disabling environment which prevents those with disabilities living life in the way most others take for granted, rather than focusing on action impairment. They noted that this definition is reflected in the U</w:t>
      </w:r>
      <w:r w:rsidR="00654518">
        <w:rPr>
          <w:rFonts w:ascii="Times New Roman" w:hAnsi="Times New Roman" w:cs="Times New Roman"/>
          <w:sz w:val="24"/>
          <w:szCs w:val="24"/>
        </w:rPr>
        <w:t xml:space="preserve">nited </w:t>
      </w:r>
      <w:r w:rsidR="00871911" w:rsidRPr="00A40ACC">
        <w:rPr>
          <w:rFonts w:ascii="Times New Roman" w:hAnsi="Times New Roman" w:cs="Times New Roman"/>
          <w:sz w:val="24"/>
          <w:szCs w:val="24"/>
        </w:rPr>
        <w:t>N</w:t>
      </w:r>
      <w:r w:rsidR="00654518">
        <w:rPr>
          <w:rFonts w:ascii="Times New Roman" w:hAnsi="Times New Roman" w:cs="Times New Roman"/>
          <w:sz w:val="24"/>
          <w:szCs w:val="24"/>
        </w:rPr>
        <w:t>ations</w:t>
      </w:r>
      <w:r w:rsidR="00871911" w:rsidRPr="00A40ACC">
        <w:rPr>
          <w:rFonts w:ascii="Times New Roman" w:hAnsi="Times New Roman" w:cs="Times New Roman"/>
          <w:sz w:val="24"/>
          <w:szCs w:val="24"/>
        </w:rPr>
        <w:t xml:space="preserve"> Convention on the Rights of Persons with Disabilities, and is promoted by the World Health Organisation. Both submissions suggested that the definition of “disability services consumer” should be amended to ensure consistency with the above Convention</w:t>
      </w:r>
      <w:r w:rsidR="00871911" w:rsidRPr="00A40ACC">
        <w:rPr>
          <w:rFonts w:ascii="Times New Roman" w:hAnsi="Times New Roman" w:cs="Times New Roman"/>
          <w:sz w:val="24"/>
          <w:szCs w:val="24"/>
          <w:lang w:val="en-US" w:eastAsia="en-US"/>
        </w:rPr>
        <w:t xml:space="preserve">. </w:t>
      </w:r>
    </w:p>
    <w:p w:rsidR="00891758" w:rsidRPr="00A40ACC" w:rsidRDefault="00891758" w:rsidP="00235461">
      <w:pPr>
        <w:spacing w:after="0" w:line="264" w:lineRule="auto"/>
        <w:jc w:val="both"/>
        <w:rPr>
          <w:rFonts w:ascii="Times New Roman" w:hAnsi="Times New Roman" w:cs="Times New Roman"/>
          <w:sz w:val="24"/>
          <w:szCs w:val="24"/>
          <w:lang w:val="en-US" w:eastAsia="en-US"/>
        </w:rPr>
      </w:pPr>
    </w:p>
    <w:p w:rsidR="00871911" w:rsidRPr="00A40ACC"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lang w:val="en-US" w:eastAsia="en-US"/>
        </w:rPr>
        <w:t>On</w:t>
      </w:r>
      <w:r w:rsidRPr="00A40ACC">
        <w:rPr>
          <w:rFonts w:ascii="Times New Roman" w:hAnsi="Times New Roman" w:cs="Times New Roman"/>
          <w:sz w:val="24"/>
          <w:szCs w:val="24"/>
        </w:rPr>
        <w:t>e</w:t>
      </w:r>
      <w:r w:rsidRPr="00A40ACC">
        <w:rPr>
          <w:rStyle w:val="FootnoteReference"/>
          <w:rFonts w:ascii="Times New Roman" w:hAnsi="Times New Roman" w:cs="Times New Roman"/>
          <w:sz w:val="24"/>
          <w:szCs w:val="24"/>
        </w:rPr>
        <w:footnoteReference w:id="58"/>
      </w:r>
      <w:r w:rsidRPr="00A40ACC">
        <w:rPr>
          <w:rFonts w:ascii="Times New Roman" w:hAnsi="Times New Roman" w:cs="Times New Roman"/>
          <w:sz w:val="24"/>
          <w:szCs w:val="24"/>
        </w:rPr>
        <w:t xml:space="preserve"> submitted that the definition of “disability services” should be extended to include access and funding of services, rather than simply rehabilitative and technical needs</w:t>
      </w:r>
      <w:r w:rsidR="0082642B">
        <w:rPr>
          <w:rFonts w:ascii="Times New Roman" w:hAnsi="Times New Roman" w:cs="Times New Roman"/>
          <w:sz w:val="24"/>
          <w:szCs w:val="24"/>
        </w:rPr>
        <w:t>;</w:t>
      </w:r>
      <w:r w:rsidRPr="00A40ACC">
        <w:rPr>
          <w:rFonts w:ascii="Times New Roman" w:hAnsi="Times New Roman" w:cs="Times New Roman"/>
          <w:sz w:val="24"/>
          <w:szCs w:val="24"/>
        </w:rPr>
        <w:t xml:space="preserve"> </w:t>
      </w:r>
      <w:r w:rsidR="0082642B">
        <w:rPr>
          <w:rFonts w:ascii="Times New Roman" w:hAnsi="Times New Roman" w:cs="Times New Roman"/>
          <w:sz w:val="24"/>
          <w:szCs w:val="24"/>
        </w:rPr>
        <w:t>w</w:t>
      </w:r>
      <w:r w:rsidRPr="00A40ACC">
        <w:rPr>
          <w:rFonts w:ascii="Times New Roman" w:hAnsi="Times New Roman" w:cs="Times New Roman"/>
          <w:sz w:val="24"/>
          <w:szCs w:val="24"/>
        </w:rPr>
        <w:t>hile the other noted that “disability services” should include needs assessment and service coordination services</w:t>
      </w:r>
      <w:r w:rsidRPr="00A40ACC">
        <w:rPr>
          <w:rFonts w:ascii="Times New Roman" w:hAnsi="Times New Roman" w:cs="Times New Roman"/>
          <w:sz w:val="24"/>
          <w:szCs w:val="24"/>
          <w:lang w:val="en-US" w:eastAsia="en-US"/>
        </w:rPr>
        <w:t>.</w:t>
      </w:r>
    </w:p>
    <w:p w:rsidR="00871911" w:rsidRDefault="00871911" w:rsidP="00235461">
      <w:pPr>
        <w:spacing w:after="0" w:line="264" w:lineRule="auto"/>
        <w:jc w:val="both"/>
        <w:rPr>
          <w:rFonts w:ascii="Times New Roman" w:hAnsi="Times New Roman" w:cs="Times New Roman"/>
          <w:sz w:val="24"/>
          <w:szCs w:val="24"/>
        </w:rPr>
      </w:pPr>
    </w:p>
    <w:p w:rsidR="00F418C4" w:rsidRDefault="00F418C4" w:rsidP="00235461">
      <w:pPr>
        <w:spacing w:after="0" w:line="264" w:lineRule="auto"/>
        <w:jc w:val="both"/>
        <w:rPr>
          <w:rFonts w:ascii="Times New Roman" w:hAnsi="Times New Roman" w:cs="Times New Roman"/>
          <w:sz w:val="24"/>
          <w:szCs w:val="24"/>
        </w:rPr>
      </w:pPr>
    </w:p>
    <w:p w:rsidR="00F418C4" w:rsidRPr="00A40ACC" w:rsidRDefault="00F418C4" w:rsidP="00235461">
      <w:pPr>
        <w:spacing w:after="0" w:line="264" w:lineRule="auto"/>
        <w:jc w:val="both"/>
        <w:rPr>
          <w:rFonts w:ascii="Times New Roman" w:hAnsi="Times New Roman" w:cs="Times New Roman"/>
          <w:sz w:val="24"/>
          <w:szCs w:val="24"/>
        </w:rPr>
      </w:pPr>
    </w:p>
    <w:p w:rsidR="00871911" w:rsidRPr="00A40ACC" w:rsidRDefault="00871911" w:rsidP="00235461">
      <w:pPr>
        <w:spacing w:after="0" w:line="264" w:lineRule="auto"/>
        <w:jc w:val="both"/>
        <w:rPr>
          <w:rFonts w:ascii="Times New Roman" w:hAnsi="Times New Roman" w:cs="Times New Roman"/>
          <w:i/>
          <w:sz w:val="24"/>
          <w:szCs w:val="24"/>
        </w:rPr>
      </w:pPr>
      <w:r w:rsidRPr="00A40ACC">
        <w:rPr>
          <w:rFonts w:ascii="Times New Roman" w:hAnsi="Times New Roman" w:cs="Times New Roman"/>
          <w:i/>
          <w:sz w:val="24"/>
          <w:szCs w:val="24"/>
        </w:rPr>
        <w:lastRenderedPageBreak/>
        <w:t xml:space="preserve">Section 20(1)(c) – Access to </w:t>
      </w:r>
      <w:r w:rsidR="00E568DC">
        <w:rPr>
          <w:rFonts w:ascii="Times New Roman" w:hAnsi="Times New Roman" w:cs="Times New Roman"/>
          <w:i/>
          <w:sz w:val="24"/>
          <w:szCs w:val="24"/>
        </w:rPr>
        <w:t>s</w:t>
      </w:r>
      <w:r w:rsidRPr="00A40ACC">
        <w:rPr>
          <w:rFonts w:ascii="Times New Roman" w:hAnsi="Times New Roman" w:cs="Times New Roman"/>
          <w:i/>
          <w:sz w:val="24"/>
          <w:szCs w:val="24"/>
        </w:rPr>
        <w:t>ervices (</w:t>
      </w:r>
      <w:r w:rsidR="00E568DC">
        <w:rPr>
          <w:rFonts w:ascii="Times New Roman" w:hAnsi="Times New Roman" w:cs="Times New Roman"/>
          <w:i/>
          <w:sz w:val="24"/>
          <w:szCs w:val="24"/>
        </w:rPr>
        <w:t>d</w:t>
      </w:r>
      <w:r w:rsidRPr="00A40ACC">
        <w:rPr>
          <w:rFonts w:ascii="Times New Roman" w:hAnsi="Times New Roman" w:cs="Times New Roman"/>
          <w:i/>
          <w:sz w:val="24"/>
          <w:szCs w:val="24"/>
        </w:rPr>
        <w:t>isability)</w:t>
      </w:r>
    </w:p>
    <w:p w:rsidR="00871911"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rPr>
        <w:t>As discussed under the Right 4 submissions, two submitters</w:t>
      </w:r>
      <w:r w:rsidRPr="00A40ACC">
        <w:rPr>
          <w:rStyle w:val="FootnoteReference"/>
          <w:rFonts w:ascii="Times New Roman" w:hAnsi="Times New Roman" w:cs="Times New Roman"/>
          <w:sz w:val="24"/>
          <w:szCs w:val="24"/>
        </w:rPr>
        <w:footnoteReference w:id="59"/>
      </w:r>
      <w:r w:rsidRPr="00A40ACC">
        <w:rPr>
          <w:rFonts w:ascii="Times New Roman" w:hAnsi="Times New Roman" w:cs="Times New Roman"/>
          <w:sz w:val="24"/>
          <w:szCs w:val="24"/>
        </w:rPr>
        <w:t xml:space="preserve"> raised the issue of access to services. As discussed, this was extensively consulted on in the 2009 review, in both a general context and in relation to disability </w:t>
      </w:r>
      <w:r w:rsidRPr="00A40ACC">
        <w:rPr>
          <w:rFonts w:ascii="Times New Roman" w:hAnsi="Times New Roman" w:cs="Times New Roman"/>
          <w:sz w:val="24"/>
          <w:szCs w:val="24"/>
          <w:lang w:val="en-US" w:eastAsia="en-US"/>
        </w:rPr>
        <w:t>services.</w:t>
      </w:r>
    </w:p>
    <w:p w:rsidR="0082642B" w:rsidRPr="00A40ACC" w:rsidRDefault="0082642B" w:rsidP="00235461">
      <w:pPr>
        <w:spacing w:after="0" w:line="264" w:lineRule="auto"/>
        <w:jc w:val="both"/>
        <w:rPr>
          <w:rFonts w:ascii="Times New Roman" w:hAnsi="Times New Roman" w:cs="Times New Roman"/>
          <w:sz w:val="24"/>
          <w:szCs w:val="24"/>
          <w:lang w:val="en-US" w:eastAsia="en-US"/>
        </w:rPr>
      </w:pPr>
    </w:p>
    <w:p w:rsidR="0021096B"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lang w:val="en-US" w:eastAsia="en-US"/>
        </w:rPr>
        <w:t>One</w:t>
      </w:r>
      <w:r w:rsidRPr="00A40ACC">
        <w:rPr>
          <w:rFonts w:ascii="Times New Roman" w:hAnsi="Times New Roman" w:cs="Times New Roman"/>
          <w:sz w:val="24"/>
          <w:szCs w:val="24"/>
        </w:rPr>
        <w:t xml:space="preserve"> submission</w:t>
      </w:r>
      <w:r w:rsidRPr="00A40ACC">
        <w:rPr>
          <w:rStyle w:val="FootnoteReference"/>
          <w:rFonts w:ascii="Times New Roman" w:hAnsi="Times New Roman" w:cs="Times New Roman"/>
          <w:sz w:val="24"/>
          <w:szCs w:val="24"/>
        </w:rPr>
        <w:footnoteReference w:id="60"/>
      </w:r>
      <w:r w:rsidRPr="00A40ACC">
        <w:rPr>
          <w:rFonts w:ascii="Times New Roman" w:hAnsi="Times New Roman" w:cs="Times New Roman"/>
          <w:sz w:val="24"/>
          <w:szCs w:val="24"/>
        </w:rPr>
        <w:t xml:space="preserve"> noted that if it were considered appropriate to limit </w:t>
      </w:r>
      <w:r w:rsidR="001B17D4">
        <w:rPr>
          <w:rFonts w:ascii="Times New Roman" w:hAnsi="Times New Roman" w:cs="Times New Roman"/>
          <w:sz w:val="24"/>
          <w:szCs w:val="24"/>
        </w:rPr>
        <w:t>the proposal to include access to services</w:t>
      </w:r>
      <w:r w:rsidRPr="00A40ACC">
        <w:rPr>
          <w:rFonts w:ascii="Times New Roman" w:hAnsi="Times New Roman" w:cs="Times New Roman"/>
          <w:sz w:val="24"/>
          <w:szCs w:val="24"/>
        </w:rPr>
        <w:t xml:space="preserve"> to disability services</w:t>
      </w:r>
      <w:r w:rsidR="001B17D4">
        <w:rPr>
          <w:rFonts w:ascii="Times New Roman" w:hAnsi="Times New Roman" w:cs="Times New Roman"/>
          <w:sz w:val="24"/>
          <w:szCs w:val="24"/>
        </w:rPr>
        <w:t xml:space="preserve"> only</w:t>
      </w:r>
      <w:r w:rsidRPr="00A40ACC">
        <w:rPr>
          <w:rFonts w:ascii="Times New Roman" w:hAnsi="Times New Roman" w:cs="Times New Roman"/>
          <w:sz w:val="24"/>
          <w:szCs w:val="24"/>
        </w:rPr>
        <w:t>, then this change could be made by regulation pursuant to section 20(2)(</w:t>
      </w:r>
      <w:r w:rsidR="00E12FBE" w:rsidRPr="00A40ACC">
        <w:rPr>
          <w:rFonts w:ascii="Times New Roman" w:hAnsi="Times New Roman" w:cs="Times New Roman"/>
          <w:sz w:val="24"/>
          <w:szCs w:val="24"/>
        </w:rPr>
        <w:t>a</w:t>
      </w:r>
      <w:r w:rsidRPr="00A40ACC">
        <w:rPr>
          <w:rFonts w:ascii="Times New Roman" w:hAnsi="Times New Roman" w:cs="Times New Roman"/>
          <w:sz w:val="24"/>
          <w:szCs w:val="24"/>
        </w:rPr>
        <w:t xml:space="preserve">), which could amend section 20(1)(c) to include a further subsection (iv) which could read </w:t>
      </w:r>
      <w:r w:rsidR="00223198">
        <w:rPr>
          <w:rFonts w:ascii="Times New Roman" w:hAnsi="Times New Roman" w:cs="Times New Roman"/>
          <w:sz w:val="24"/>
          <w:szCs w:val="24"/>
        </w:rPr>
        <w:t>“</w:t>
      </w:r>
      <w:r w:rsidRPr="00A40ACC">
        <w:rPr>
          <w:rFonts w:ascii="Times New Roman" w:hAnsi="Times New Roman" w:cs="Times New Roman"/>
          <w:sz w:val="24"/>
          <w:szCs w:val="24"/>
        </w:rPr>
        <w:t>... access to services taking into account competing needs and recognising the requirements of more vulnerable groups</w:t>
      </w:r>
      <w:r w:rsidR="00223198">
        <w:rPr>
          <w:rFonts w:ascii="Times New Roman" w:hAnsi="Times New Roman" w:cs="Times New Roman"/>
          <w:sz w:val="24"/>
          <w:szCs w:val="24"/>
        </w:rPr>
        <w:t>”</w:t>
      </w:r>
      <w:r w:rsidRPr="00A40ACC">
        <w:rPr>
          <w:rFonts w:ascii="Times New Roman" w:hAnsi="Times New Roman" w:cs="Times New Roman"/>
          <w:sz w:val="24"/>
          <w:szCs w:val="24"/>
        </w:rPr>
        <w:t>.</w:t>
      </w:r>
    </w:p>
    <w:p w:rsidR="00B41E67" w:rsidRPr="00A40ACC" w:rsidRDefault="00B41E67" w:rsidP="00235461">
      <w:pPr>
        <w:spacing w:after="0" w:line="264" w:lineRule="auto"/>
        <w:jc w:val="both"/>
        <w:rPr>
          <w:rFonts w:ascii="Times New Roman" w:hAnsi="Times New Roman" w:cs="Times New Roman"/>
          <w:sz w:val="24"/>
          <w:szCs w:val="24"/>
        </w:rPr>
      </w:pPr>
    </w:p>
    <w:p w:rsidR="00871911" w:rsidRPr="00A40ACC" w:rsidRDefault="00871911" w:rsidP="00235461">
      <w:pPr>
        <w:spacing w:after="0" w:line="264" w:lineRule="auto"/>
        <w:jc w:val="both"/>
        <w:rPr>
          <w:rFonts w:ascii="Times New Roman" w:hAnsi="Times New Roman" w:cs="Times New Roman"/>
          <w:i/>
          <w:sz w:val="24"/>
          <w:szCs w:val="24"/>
        </w:rPr>
      </w:pPr>
      <w:r w:rsidRPr="00A40ACC">
        <w:rPr>
          <w:rFonts w:ascii="Times New Roman" w:hAnsi="Times New Roman" w:cs="Times New Roman"/>
          <w:i/>
          <w:sz w:val="24"/>
          <w:szCs w:val="24"/>
        </w:rPr>
        <w:t>Section 34 – Referrals</w:t>
      </w:r>
    </w:p>
    <w:p w:rsidR="00B41E67" w:rsidRDefault="00B41E67"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The 2009 review consulted on whether HDC should be required to refer all complaints about registered health practitioners to the relevant registration authority. </w:t>
      </w:r>
    </w:p>
    <w:p w:rsidR="00891758" w:rsidRPr="00A40ACC" w:rsidRDefault="00891758" w:rsidP="00235461">
      <w:pPr>
        <w:spacing w:after="0" w:line="264" w:lineRule="auto"/>
        <w:jc w:val="both"/>
        <w:rPr>
          <w:rFonts w:ascii="Times New Roman" w:hAnsi="Times New Roman" w:cs="Times New Roman"/>
          <w:i/>
        </w:rPr>
      </w:pPr>
    </w:p>
    <w:p w:rsidR="00871911" w:rsidRPr="00A40ACC" w:rsidRDefault="00B41E67"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rPr>
        <w:t>In the present review, t</w:t>
      </w:r>
      <w:r w:rsidR="00871911" w:rsidRPr="00A40ACC">
        <w:rPr>
          <w:rFonts w:ascii="Times New Roman" w:hAnsi="Times New Roman" w:cs="Times New Roman"/>
          <w:sz w:val="24"/>
          <w:szCs w:val="24"/>
        </w:rPr>
        <w:t>wo submissions</w:t>
      </w:r>
      <w:r w:rsidR="00871911" w:rsidRPr="00A40ACC">
        <w:rPr>
          <w:rStyle w:val="FootnoteReference"/>
          <w:rFonts w:ascii="Times New Roman" w:hAnsi="Times New Roman" w:cs="Times New Roman"/>
          <w:sz w:val="24"/>
          <w:szCs w:val="24"/>
        </w:rPr>
        <w:footnoteReference w:id="61"/>
      </w:r>
      <w:r w:rsidR="00871911" w:rsidRPr="00A40ACC">
        <w:rPr>
          <w:rFonts w:ascii="Times New Roman" w:hAnsi="Times New Roman" w:cs="Times New Roman"/>
          <w:sz w:val="24"/>
          <w:szCs w:val="24"/>
        </w:rPr>
        <w:t xml:space="preserve"> considered that all complaints about health practitioners should be notified to the responsible </w:t>
      </w:r>
      <w:r w:rsidR="00871911" w:rsidRPr="00A40ACC">
        <w:rPr>
          <w:rFonts w:ascii="Times New Roman" w:hAnsi="Times New Roman" w:cs="Times New Roman"/>
          <w:sz w:val="24"/>
          <w:szCs w:val="24"/>
          <w:lang w:val="en-US" w:eastAsia="en-US"/>
        </w:rPr>
        <w:t>authority.</w:t>
      </w:r>
    </w:p>
    <w:p w:rsidR="00891758" w:rsidRDefault="00891758" w:rsidP="00235461">
      <w:pPr>
        <w:spacing w:after="0" w:line="264" w:lineRule="auto"/>
        <w:jc w:val="both"/>
        <w:rPr>
          <w:rFonts w:ascii="Times New Roman" w:hAnsi="Times New Roman" w:cs="Times New Roman"/>
          <w:sz w:val="24"/>
          <w:szCs w:val="24"/>
          <w:lang w:val="en-US" w:eastAsia="en-US"/>
        </w:rPr>
      </w:pPr>
    </w:p>
    <w:p w:rsidR="00C56511" w:rsidRPr="00A40ACC" w:rsidRDefault="001F0A3D" w:rsidP="00235461">
      <w:pPr>
        <w:spacing w:after="0" w:line="264" w:lineRule="auto"/>
        <w:jc w:val="both"/>
        <w:rPr>
          <w:rFonts w:ascii="Times New Roman" w:hAnsi="Times New Roman" w:cs="Times New Roman"/>
          <w:sz w:val="24"/>
          <w:szCs w:val="24"/>
        </w:rPr>
      </w:pPr>
      <w:r>
        <w:rPr>
          <w:rFonts w:ascii="Times New Roman" w:hAnsi="Times New Roman" w:cs="Times New Roman"/>
          <w:sz w:val="24"/>
          <w:szCs w:val="24"/>
          <w:lang w:val="en-US" w:eastAsia="en-US"/>
        </w:rPr>
        <w:t>The Dental Council</w:t>
      </w:r>
      <w:r w:rsidR="00871911" w:rsidRPr="00A40ACC">
        <w:rPr>
          <w:rStyle w:val="FootnoteReference"/>
          <w:rFonts w:ascii="Times New Roman" w:hAnsi="Times New Roman" w:cs="Times New Roman"/>
          <w:sz w:val="24"/>
          <w:szCs w:val="24"/>
        </w:rPr>
        <w:footnoteReference w:id="62"/>
      </w:r>
      <w:r w:rsidR="00871911" w:rsidRPr="00A40ACC">
        <w:rPr>
          <w:rFonts w:ascii="Times New Roman" w:hAnsi="Times New Roman" w:cs="Times New Roman"/>
          <w:sz w:val="24"/>
          <w:szCs w:val="24"/>
        </w:rPr>
        <w:t xml:space="preserve"> noted that if the Commissioner decides to take no further action on a complaint, pursuant to section 38, unless there has been a referral to the responsible authority under section 34, then that will be the end of the matter. The submitter was concerned that information gathered in the preliminary assessment by HDC may still indicate that the provider may need some help in a specific area, however without a referral, the responsible authority will be unable to help. They suggested that an amendment to the referral section of the Act, or alternatively a change in policy and process, could address this concern. </w:t>
      </w:r>
      <w:r>
        <w:rPr>
          <w:rFonts w:ascii="Times New Roman" w:hAnsi="Times New Roman" w:cs="Times New Roman"/>
          <w:sz w:val="24"/>
          <w:szCs w:val="24"/>
        </w:rPr>
        <w:t>The Dental Council</w:t>
      </w:r>
      <w:r w:rsidR="00871911" w:rsidRPr="00A40ACC">
        <w:rPr>
          <w:rFonts w:ascii="Times New Roman" w:hAnsi="Times New Roman" w:cs="Times New Roman"/>
          <w:sz w:val="24"/>
          <w:szCs w:val="24"/>
        </w:rPr>
        <w:t xml:space="preserve"> further </w:t>
      </w:r>
      <w:r>
        <w:rPr>
          <w:rFonts w:ascii="Times New Roman" w:hAnsi="Times New Roman" w:cs="Times New Roman"/>
          <w:sz w:val="24"/>
          <w:szCs w:val="24"/>
        </w:rPr>
        <w:t>submitted</w:t>
      </w:r>
      <w:r w:rsidRPr="00A40ACC">
        <w:rPr>
          <w:rFonts w:ascii="Times New Roman" w:hAnsi="Times New Roman" w:cs="Times New Roman"/>
          <w:sz w:val="24"/>
          <w:szCs w:val="24"/>
        </w:rPr>
        <w:t xml:space="preserve"> </w:t>
      </w:r>
      <w:r w:rsidR="00871911" w:rsidRPr="00A40ACC">
        <w:rPr>
          <w:rFonts w:ascii="Times New Roman" w:hAnsi="Times New Roman" w:cs="Times New Roman"/>
          <w:sz w:val="24"/>
          <w:szCs w:val="24"/>
        </w:rPr>
        <w:t>that referral of a complaint should not preclude HDC from taking further action; that referrals should be clear as to whether or not any forma</w:t>
      </w:r>
      <w:r w:rsidR="003845B7">
        <w:rPr>
          <w:rFonts w:ascii="Times New Roman" w:hAnsi="Times New Roman" w:cs="Times New Roman"/>
          <w:sz w:val="24"/>
          <w:szCs w:val="24"/>
        </w:rPr>
        <w:t>l investigation had taken place</w:t>
      </w:r>
      <w:r w:rsidR="00871911" w:rsidRPr="00A40ACC">
        <w:rPr>
          <w:rFonts w:ascii="Times New Roman" w:hAnsi="Times New Roman" w:cs="Times New Roman"/>
          <w:sz w:val="24"/>
          <w:szCs w:val="24"/>
        </w:rPr>
        <w:t xml:space="preserve"> and whether the responsible authority was expected to investigate the practitioner and/or the complaint.</w:t>
      </w:r>
    </w:p>
    <w:p w:rsidR="00871911" w:rsidRPr="00A40ACC" w:rsidRDefault="00871911" w:rsidP="00235461">
      <w:pPr>
        <w:spacing w:after="0" w:line="264" w:lineRule="auto"/>
        <w:jc w:val="both"/>
        <w:rPr>
          <w:rFonts w:ascii="Times New Roman" w:hAnsi="Times New Roman" w:cs="Times New Roman"/>
          <w:i/>
          <w:sz w:val="24"/>
          <w:szCs w:val="24"/>
        </w:rPr>
      </w:pPr>
    </w:p>
    <w:p w:rsidR="00871911" w:rsidRPr="00A40ACC" w:rsidRDefault="00871911" w:rsidP="00235461">
      <w:pPr>
        <w:spacing w:after="0" w:line="264" w:lineRule="auto"/>
        <w:jc w:val="both"/>
        <w:rPr>
          <w:rFonts w:ascii="Times New Roman" w:hAnsi="Times New Roman" w:cs="Times New Roman"/>
          <w:i/>
          <w:sz w:val="24"/>
          <w:szCs w:val="24"/>
        </w:rPr>
      </w:pPr>
      <w:r w:rsidRPr="00A40ACC">
        <w:rPr>
          <w:rFonts w:ascii="Times New Roman" w:hAnsi="Times New Roman" w:cs="Times New Roman"/>
          <w:i/>
          <w:sz w:val="24"/>
          <w:szCs w:val="24"/>
        </w:rPr>
        <w:t>Section 40 – Process of investigation</w:t>
      </w:r>
    </w:p>
    <w:p w:rsidR="00871911" w:rsidRPr="00A40ACC"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rPr>
        <w:t>The transparency of the investigation process was commented on by one submitter</w:t>
      </w:r>
      <w:r w:rsidR="001F0A3D">
        <w:rPr>
          <w:rFonts w:ascii="Times New Roman" w:hAnsi="Times New Roman" w:cs="Times New Roman"/>
          <w:sz w:val="24"/>
          <w:szCs w:val="24"/>
        </w:rPr>
        <w:t>,</w:t>
      </w:r>
      <w:r w:rsidRPr="00A40ACC">
        <w:rPr>
          <w:rStyle w:val="FootnoteReference"/>
          <w:rFonts w:ascii="Times New Roman" w:hAnsi="Times New Roman" w:cs="Times New Roman"/>
          <w:sz w:val="24"/>
          <w:szCs w:val="24"/>
        </w:rPr>
        <w:footnoteReference w:id="63"/>
      </w:r>
      <w:r w:rsidRPr="00A40ACC">
        <w:rPr>
          <w:rFonts w:ascii="Times New Roman" w:hAnsi="Times New Roman" w:cs="Times New Roman"/>
          <w:sz w:val="24"/>
          <w:szCs w:val="24"/>
        </w:rPr>
        <w:t xml:space="preserve">who noted that section 40 gives no information on how an investigation is conducted. Similarly, under section 15, the Commissioner may appoint a Director of Proceedings, but there is no detail as to how the </w:t>
      </w:r>
      <w:r w:rsidR="00E568DC">
        <w:rPr>
          <w:rFonts w:ascii="Times New Roman" w:hAnsi="Times New Roman" w:cs="Times New Roman"/>
          <w:sz w:val="24"/>
          <w:szCs w:val="24"/>
        </w:rPr>
        <w:t>Director</w:t>
      </w:r>
      <w:r w:rsidRPr="00A40ACC">
        <w:rPr>
          <w:rFonts w:ascii="Times New Roman" w:hAnsi="Times New Roman" w:cs="Times New Roman"/>
          <w:sz w:val="24"/>
          <w:szCs w:val="24"/>
        </w:rPr>
        <w:t xml:space="preserve"> will conduct their investigation. The submitter was concerned that the role and standing of the investigating team is not defined, and that there is no description of appropriate support and advocacy that a health care provider is entitled to during an investigation. They considered that the Act should contain a description of the potential roles of HDC representatives and delineate the support that a health professional should obtain for the purposes of an </w:t>
      </w:r>
      <w:r w:rsidRPr="00A40ACC">
        <w:rPr>
          <w:rFonts w:ascii="Times New Roman" w:hAnsi="Times New Roman" w:cs="Times New Roman"/>
          <w:sz w:val="24"/>
          <w:szCs w:val="24"/>
          <w:lang w:val="en-US" w:eastAsia="en-US"/>
        </w:rPr>
        <w:t>investigation.</w:t>
      </w:r>
    </w:p>
    <w:p w:rsidR="0021096B" w:rsidRPr="00A40ACC" w:rsidRDefault="0021096B" w:rsidP="00235461">
      <w:pPr>
        <w:spacing w:after="0" w:line="264" w:lineRule="auto"/>
        <w:jc w:val="both"/>
        <w:rPr>
          <w:rFonts w:ascii="Times New Roman" w:hAnsi="Times New Roman" w:cs="Times New Roman"/>
          <w:sz w:val="24"/>
          <w:szCs w:val="24"/>
          <w:lang w:val="en-US" w:eastAsia="en-US"/>
        </w:rPr>
      </w:pPr>
    </w:p>
    <w:p w:rsidR="00871911" w:rsidRPr="00A40ACC" w:rsidRDefault="00871911" w:rsidP="00235461">
      <w:pPr>
        <w:spacing w:after="0" w:line="264" w:lineRule="auto"/>
        <w:jc w:val="both"/>
        <w:rPr>
          <w:rFonts w:ascii="Times New Roman" w:hAnsi="Times New Roman" w:cs="Times New Roman"/>
          <w:i/>
          <w:sz w:val="24"/>
          <w:szCs w:val="24"/>
        </w:rPr>
      </w:pPr>
      <w:r w:rsidRPr="00A40ACC">
        <w:rPr>
          <w:rFonts w:ascii="Times New Roman" w:hAnsi="Times New Roman" w:cs="Times New Roman"/>
          <w:i/>
          <w:sz w:val="24"/>
          <w:szCs w:val="24"/>
        </w:rPr>
        <w:lastRenderedPageBreak/>
        <w:t>Section 42 – No disciplinary action by authority during investigation</w:t>
      </w:r>
    </w:p>
    <w:p w:rsidR="00871911"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The Medical Protection Society</w:t>
      </w:r>
      <w:r w:rsidRPr="00A40ACC">
        <w:rPr>
          <w:rStyle w:val="FootnoteReference"/>
          <w:rFonts w:ascii="Times New Roman" w:hAnsi="Times New Roman" w:cs="Times New Roman"/>
          <w:sz w:val="24"/>
          <w:szCs w:val="24"/>
        </w:rPr>
        <w:footnoteReference w:id="64"/>
      </w:r>
      <w:r w:rsidRPr="00A40ACC">
        <w:rPr>
          <w:rFonts w:ascii="Times New Roman" w:hAnsi="Times New Roman" w:cs="Times New Roman"/>
          <w:sz w:val="24"/>
          <w:szCs w:val="24"/>
        </w:rPr>
        <w:t xml:space="preserve"> expressed concern that although section 42 prevents registration authorities, once notified, from taking any disciplinary action for any subject matter under investigation by HDC, in practice, authorities will often undertake an investigation into the same conduct, under the guise of another action. The submitter noted the stress that this puts on an investigated provider. While they accepted that there are times where the harm is so serious that there will be a risk to the public, short of that they considered there ought to be no further action whatsoever pending HDC’s determination or response. It was proposed that section 42(2) </w:t>
      </w:r>
      <w:r w:rsidR="00E12FBE" w:rsidRPr="00A40ACC">
        <w:rPr>
          <w:rFonts w:ascii="Times New Roman" w:hAnsi="Times New Roman" w:cs="Times New Roman"/>
          <w:sz w:val="24"/>
          <w:szCs w:val="24"/>
        </w:rPr>
        <w:t xml:space="preserve">of the Act </w:t>
      </w:r>
      <w:r w:rsidRPr="00A40ACC">
        <w:rPr>
          <w:rFonts w:ascii="Times New Roman" w:hAnsi="Times New Roman" w:cs="Times New Roman"/>
          <w:sz w:val="24"/>
          <w:szCs w:val="24"/>
        </w:rPr>
        <w:t xml:space="preserve">be expanded to not only limit further action to “no disciplinary action”, but also to incorporate any further action or investigation except for a case falling within the area of serious misconduct as above. </w:t>
      </w:r>
    </w:p>
    <w:p w:rsidR="00B41E67" w:rsidRPr="00A40ACC" w:rsidRDefault="00B41E67" w:rsidP="00235461">
      <w:pPr>
        <w:spacing w:after="0" w:line="264" w:lineRule="auto"/>
        <w:jc w:val="both"/>
        <w:rPr>
          <w:rFonts w:ascii="Times New Roman" w:hAnsi="Times New Roman" w:cs="Times New Roman"/>
          <w:i/>
          <w:sz w:val="24"/>
          <w:szCs w:val="24"/>
        </w:rPr>
      </w:pPr>
    </w:p>
    <w:p w:rsidR="00871911" w:rsidRPr="00A40ACC" w:rsidRDefault="00871911" w:rsidP="00235461">
      <w:pPr>
        <w:spacing w:after="0" w:line="264" w:lineRule="auto"/>
        <w:jc w:val="both"/>
        <w:rPr>
          <w:rFonts w:ascii="Times New Roman" w:hAnsi="Times New Roman" w:cs="Times New Roman"/>
          <w:i/>
          <w:sz w:val="24"/>
          <w:szCs w:val="24"/>
        </w:rPr>
      </w:pPr>
      <w:r w:rsidRPr="00A40ACC">
        <w:rPr>
          <w:rFonts w:ascii="Times New Roman" w:hAnsi="Times New Roman" w:cs="Times New Roman"/>
          <w:i/>
          <w:sz w:val="24"/>
          <w:szCs w:val="24"/>
        </w:rPr>
        <w:t>Section 65(1) – Expert advisor immunity</w:t>
      </w:r>
    </w:p>
    <w:p w:rsidR="00871911"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The lack of immunity afforded to expert advisors was noted by one submitter</w:t>
      </w:r>
      <w:r w:rsidRPr="00A40ACC">
        <w:rPr>
          <w:rStyle w:val="FootnoteReference"/>
          <w:rFonts w:ascii="Times New Roman" w:hAnsi="Times New Roman" w:cs="Times New Roman"/>
          <w:sz w:val="24"/>
          <w:szCs w:val="24"/>
        </w:rPr>
        <w:footnoteReference w:id="65"/>
      </w:r>
      <w:r w:rsidRPr="00A40ACC">
        <w:rPr>
          <w:rFonts w:ascii="Times New Roman" w:hAnsi="Times New Roman" w:cs="Times New Roman"/>
          <w:sz w:val="24"/>
          <w:szCs w:val="24"/>
        </w:rPr>
        <w:t xml:space="preserve">who considered that </w:t>
      </w:r>
      <w:r w:rsidR="00F8519A">
        <w:rPr>
          <w:rFonts w:ascii="Times New Roman" w:hAnsi="Times New Roman" w:cs="Times New Roman"/>
          <w:sz w:val="24"/>
          <w:szCs w:val="24"/>
        </w:rPr>
        <w:t xml:space="preserve">immunity such as that provided </w:t>
      </w:r>
      <w:r w:rsidRPr="00A40ACC">
        <w:rPr>
          <w:rFonts w:ascii="Times New Roman" w:hAnsi="Times New Roman" w:cs="Times New Roman"/>
          <w:sz w:val="24"/>
          <w:szCs w:val="24"/>
        </w:rPr>
        <w:t>under the Crown Entities Act 2004</w:t>
      </w:r>
      <w:r w:rsidR="00F8519A">
        <w:rPr>
          <w:rFonts w:ascii="Times New Roman" w:hAnsi="Times New Roman" w:cs="Times New Roman"/>
          <w:sz w:val="24"/>
          <w:szCs w:val="24"/>
        </w:rPr>
        <w:t xml:space="preserve"> should be extended to expert advisors to HDC</w:t>
      </w:r>
      <w:r w:rsidRPr="00A40ACC">
        <w:rPr>
          <w:rFonts w:ascii="Times New Roman" w:hAnsi="Times New Roman" w:cs="Times New Roman"/>
          <w:sz w:val="24"/>
          <w:szCs w:val="24"/>
        </w:rPr>
        <w:t xml:space="preserve">. They noted that this would allow expert advisors to be afforded the same immunity from prosecution (criminal or civil) as </w:t>
      </w:r>
      <w:r w:rsidR="00E568DC">
        <w:rPr>
          <w:rFonts w:ascii="Times New Roman" w:hAnsi="Times New Roman" w:cs="Times New Roman"/>
          <w:sz w:val="24"/>
          <w:szCs w:val="24"/>
        </w:rPr>
        <w:t xml:space="preserve">Pharmacy </w:t>
      </w:r>
      <w:r w:rsidRPr="00A40ACC">
        <w:rPr>
          <w:rFonts w:ascii="Times New Roman" w:hAnsi="Times New Roman" w:cs="Times New Roman"/>
          <w:sz w:val="24"/>
          <w:szCs w:val="24"/>
        </w:rPr>
        <w:t>Council agents under s</w:t>
      </w:r>
      <w:r w:rsidR="00E568DC">
        <w:rPr>
          <w:rFonts w:ascii="Times New Roman" w:hAnsi="Times New Roman" w:cs="Times New Roman"/>
          <w:sz w:val="24"/>
          <w:szCs w:val="24"/>
        </w:rPr>
        <w:t xml:space="preserve">ection </w:t>
      </w:r>
      <w:r w:rsidRPr="00A40ACC">
        <w:rPr>
          <w:rFonts w:ascii="Times New Roman" w:hAnsi="Times New Roman" w:cs="Times New Roman"/>
          <w:sz w:val="24"/>
          <w:szCs w:val="24"/>
        </w:rPr>
        <w:t>119 of the H</w:t>
      </w:r>
      <w:r w:rsidR="003863FC">
        <w:rPr>
          <w:rFonts w:ascii="Times New Roman" w:hAnsi="Times New Roman" w:cs="Times New Roman"/>
          <w:sz w:val="24"/>
          <w:szCs w:val="24"/>
        </w:rPr>
        <w:t xml:space="preserve">ealth </w:t>
      </w:r>
      <w:r w:rsidRPr="00A40ACC">
        <w:rPr>
          <w:rFonts w:ascii="Times New Roman" w:hAnsi="Times New Roman" w:cs="Times New Roman"/>
          <w:sz w:val="24"/>
          <w:szCs w:val="24"/>
        </w:rPr>
        <w:t>P</w:t>
      </w:r>
      <w:r w:rsidR="003863FC">
        <w:rPr>
          <w:rFonts w:ascii="Times New Roman" w:hAnsi="Times New Roman" w:cs="Times New Roman"/>
          <w:sz w:val="24"/>
          <w:szCs w:val="24"/>
        </w:rPr>
        <w:t xml:space="preserve">ractitioners </w:t>
      </w:r>
      <w:r w:rsidRPr="00A40ACC">
        <w:rPr>
          <w:rFonts w:ascii="Times New Roman" w:hAnsi="Times New Roman" w:cs="Times New Roman"/>
          <w:sz w:val="24"/>
          <w:szCs w:val="24"/>
        </w:rPr>
        <w:t>C</w:t>
      </w:r>
      <w:r w:rsidR="003863FC">
        <w:rPr>
          <w:rFonts w:ascii="Times New Roman" w:hAnsi="Times New Roman" w:cs="Times New Roman"/>
          <w:sz w:val="24"/>
          <w:szCs w:val="24"/>
        </w:rPr>
        <w:t xml:space="preserve">ompetence </w:t>
      </w:r>
      <w:r w:rsidRPr="00A40ACC">
        <w:rPr>
          <w:rFonts w:ascii="Times New Roman" w:hAnsi="Times New Roman" w:cs="Times New Roman"/>
          <w:sz w:val="24"/>
          <w:szCs w:val="24"/>
        </w:rPr>
        <w:t>A</w:t>
      </w:r>
      <w:r w:rsidR="003863FC">
        <w:rPr>
          <w:rFonts w:ascii="Times New Roman" w:hAnsi="Times New Roman" w:cs="Times New Roman"/>
          <w:sz w:val="24"/>
          <w:szCs w:val="24"/>
        </w:rPr>
        <w:t>ssurance</w:t>
      </w:r>
      <w:r w:rsidRPr="00A40ACC">
        <w:rPr>
          <w:rFonts w:ascii="Times New Roman" w:hAnsi="Times New Roman" w:cs="Times New Roman"/>
          <w:sz w:val="24"/>
          <w:szCs w:val="24"/>
        </w:rPr>
        <w:t xml:space="preserve"> Act.</w:t>
      </w:r>
    </w:p>
    <w:p w:rsidR="00830EC8" w:rsidRPr="00A40ACC" w:rsidRDefault="00830EC8" w:rsidP="00235461">
      <w:pPr>
        <w:spacing w:after="0" w:line="264" w:lineRule="auto"/>
        <w:jc w:val="both"/>
        <w:rPr>
          <w:rFonts w:ascii="Times New Roman" w:hAnsi="Times New Roman" w:cs="Times New Roman"/>
          <w:b/>
          <w:i/>
          <w:sz w:val="24"/>
          <w:szCs w:val="24"/>
        </w:rPr>
      </w:pPr>
    </w:p>
    <w:p w:rsidR="00871911"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b/>
          <w:i/>
          <w:sz w:val="24"/>
          <w:szCs w:val="24"/>
        </w:rPr>
        <w:t>New Sections</w:t>
      </w:r>
    </w:p>
    <w:p w:rsidR="00871911" w:rsidRPr="00A40ACC" w:rsidRDefault="00871911" w:rsidP="00235461">
      <w:pPr>
        <w:spacing w:after="0" w:line="264" w:lineRule="auto"/>
        <w:jc w:val="both"/>
        <w:rPr>
          <w:rFonts w:ascii="Times New Roman" w:hAnsi="Times New Roman" w:cs="Times New Roman"/>
          <w:i/>
          <w:sz w:val="24"/>
          <w:szCs w:val="24"/>
        </w:rPr>
      </w:pPr>
      <w:r w:rsidRPr="00A40ACC">
        <w:rPr>
          <w:rFonts w:ascii="Times New Roman" w:hAnsi="Times New Roman" w:cs="Times New Roman"/>
          <w:i/>
          <w:sz w:val="24"/>
          <w:szCs w:val="24"/>
        </w:rPr>
        <w:t>Information during investigation</w:t>
      </w:r>
    </w:p>
    <w:p w:rsidR="00871911"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Two submitters</w:t>
      </w:r>
      <w:r w:rsidRPr="00A40ACC">
        <w:rPr>
          <w:rStyle w:val="FootnoteReference"/>
          <w:rFonts w:ascii="Times New Roman" w:hAnsi="Times New Roman" w:cs="Times New Roman"/>
          <w:sz w:val="24"/>
          <w:szCs w:val="24"/>
        </w:rPr>
        <w:footnoteReference w:id="66"/>
      </w:r>
      <w:r w:rsidRPr="00A40ACC">
        <w:rPr>
          <w:rFonts w:ascii="Times New Roman" w:hAnsi="Times New Roman" w:cs="Times New Roman"/>
          <w:sz w:val="24"/>
          <w:szCs w:val="24"/>
        </w:rPr>
        <w:t xml:space="preserve"> considered that the Commissioner should have the power to withhold information obtained during an investigation, while the investigation is ongoing. </w:t>
      </w:r>
      <w:r w:rsidR="00DB44A7" w:rsidRPr="00A40ACC">
        <w:rPr>
          <w:rFonts w:ascii="Times New Roman" w:hAnsi="Times New Roman" w:cs="Times New Roman"/>
          <w:sz w:val="24"/>
          <w:szCs w:val="24"/>
        </w:rPr>
        <w:t>This was consulted on as a part of the 2009 review.</w:t>
      </w:r>
    </w:p>
    <w:p w:rsidR="00891758" w:rsidRPr="00A40ACC" w:rsidRDefault="00891758" w:rsidP="00235461">
      <w:pPr>
        <w:spacing w:after="0" w:line="264" w:lineRule="auto"/>
        <w:jc w:val="both"/>
        <w:rPr>
          <w:rFonts w:ascii="Times New Roman" w:hAnsi="Times New Roman" w:cs="Times New Roman"/>
          <w:sz w:val="24"/>
          <w:szCs w:val="24"/>
        </w:rPr>
      </w:pPr>
    </w:p>
    <w:p w:rsidR="00C56511" w:rsidRPr="00A40ACC"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rPr>
        <w:t>One submission</w:t>
      </w:r>
      <w:r w:rsidRPr="00A40ACC">
        <w:rPr>
          <w:rStyle w:val="FootnoteReference"/>
          <w:rFonts w:ascii="Times New Roman" w:hAnsi="Times New Roman" w:cs="Times New Roman"/>
          <w:sz w:val="24"/>
          <w:szCs w:val="24"/>
        </w:rPr>
        <w:footnoteReference w:id="67"/>
      </w:r>
      <w:r w:rsidRPr="00A40ACC">
        <w:rPr>
          <w:rFonts w:ascii="Times New Roman" w:hAnsi="Times New Roman" w:cs="Times New Roman"/>
          <w:sz w:val="24"/>
          <w:szCs w:val="24"/>
        </w:rPr>
        <w:t xml:space="preserve"> noted that all such information should be released at the time a provisional decision is made, and natural justice would still be served by comments being called for at that time. They also noted that releasing documents throughout an investigation may hinder the investigative </w:t>
      </w:r>
      <w:r w:rsidRPr="00A40ACC">
        <w:rPr>
          <w:rFonts w:ascii="Times New Roman" w:hAnsi="Times New Roman" w:cs="Times New Roman"/>
          <w:sz w:val="24"/>
          <w:szCs w:val="24"/>
          <w:lang w:val="en-US" w:eastAsia="en-US"/>
        </w:rPr>
        <w:t>process.</w:t>
      </w:r>
    </w:p>
    <w:p w:rsidR="00B41E67" w:rsidRPr="00A40ACC" w:rsidRDefault="00B41E67" w:rsidP="00235461">
      <w:pPr>
        <w:spacing w:after="0" w:line="264" w:lineRule="auto"/>
        <w:jc w:val="both"/>
        <w:rPr>
          <w:rFonts w:ascii="Times New Roman" w:hAnsi="Times New Roman" w:cs="Times New Roman"/>
          <w:sz w:val="24"/>
          <w:szCs w:val="24"/>
          <w:lang w:val="en-US" w:eastAsia="en-US"/>
        </w:rPr>
      </w:pPr>
    </w:p>
    <w:p w:rsidR="00871911" w:rsidRPr="00A40ACC" w:rsidRDefault="00871911" w:rsidP="00235461">
      <w:pPr>
        <w:spacing w:after="0" w:line="264" w:lineRule="auto"/>
        <w:jc w:val="both"/>
        <w:rPr>
          <w:rFonts w:ascii="Times New Roman" w:hAnsi="Times New Roman" w:cs="Times New Roman"/>
          <w:i/>
          <w:sz w:val="24"/>
          <w:szCs w:val="24"/>
        </w:rPr>
      </w:pPr>
      <w:r w:rsidRPr="00A40ACC">
        <w:rPr>
          <w:rFonts w:ascii="Times New Roman" w:hAnsi="Times New Roman" w:cs="Times New Roman"/>
          <w:i/>
          <w:sz w:val="24"/>
          <w:szCs w:val="24"/>
        </w:rPr>
        <w:t>Naming</w:t>
      </w:r>
    </w:p>
    <w:p w:rsidR="00871911" w:rsidRPr="00A40ACC" w:rsidRDefault="00871911" w:rsidP="00235461">
      <w:pPr>
        <w:spacing w:after="0" w:line="264" w:lineRule="auto"/>
        <w:jc w:val="both"/>
        <w:rPr>
          <w:rFonts w:ascii="Times New Roman" w:hAnsi="Times New Roman" w:cs="Times New Roman"/>
          <w:i/>
          <w:sz w:val="24"/>
          <w:szCs w:val="24"/>
        </w:rPr>
      </w:pPr>
      <w:r w:rsidRPr="00A40ACC">
        <w:rPr>
          <w:rFonts w:ascii="Times New Roman" w:hAnsi="Times New Roman" w:cs="Times New Roman"/>
          <w:sz w:val="24"/>
          <w:szCs w:val="24"/>
        </w:rPr>
        <w:t>It was recommended by two submitters</w:t>
      </w:r>
      <w:r w:rsidRPr="00A40ACC">
        <w:rPr>
          <w:rStyle w:val="FootnoteReference"/>
          <w:rFonts w:ascii="Times New Roman" w:hAnsi="Times New Roman" w:cs="Times New Roman"/>
          <w:sz w:val="24"/>
          <w:szCs w:val="24"/>
        </w:rPr>
        <w:footnoteReference w:id="68"/>
      </w:r>
      <w:r w:rsidRPr="00A40ACC">
        <w:rPr>
          <w:rFonts w:ascii="Times New Roman" w:hAnsi="Times New Roman" w:cs="Times New Roman"/>
          <w:sz w:val="24"/>
          <w:szCs w:val="24"/>
        </w:rPr>
        <w:t xml:space="preserve"> that the Act be amended to include a section that would allow the Commissioner to name all providers</w:t>
      </w:r>
      <w:r w:rsidR="00B13C9A">
        <w:rPr>
          <w:rFonts w:ascii="Times New Roman" w:hAnsi="Times New Roman" w:cs="Times New Roman"/>
          <w:sz w:val="24"/>
          <w:szCs w:val="24"/>
        </w:rPr>
        <w:t xml:space="preserve"> found in breach of the Code</w:t>
      </w:r>
      <w:r w:rsidRPr="00A40ACC">
        <w:rPr>
          <w:rFonts w:ascii="Times New Roman" w:hAnsi="Times New Roman" w:cs="Times New Roman"/>
          <w:sz w:val="24"/>
          <w:szCs w:val="24"/>
        </w:rPr>
        <w:t>. One of the submitters</w:t>
      </w:r>
      <w:r w:rsidRPr="00A40ACC">
        <w:rPr>
          <w:rStyle w:val="FootnoteReference"/>
          <w:rFonts w:ascii="Times New Roman" w:hAnsi="Times New Roman" w:cs="Times New Roman"/>
          <w:sz w:val="24"/>
          <w:szCs w:val="24"/>
        </w:rPr>
        <w:footnoteReference w:id="69"/>
      </w:r>
      <w:r w:rsidRPr="00A40ACC">
        <w:rPr>
          <w:rFonts w:ascii="Times New Roman" w:hAnsi="Times New Roman" w:cs="Times New Roman"/>
          <w:sz w:val="24"/>
          <w:szCs w:val="24"/>
        </w:rPr>
        <w:t xml:space="preserve"> considered that the threat of naming may provide an incentive to create a climate of safety for patients to make complaints and have these resolved at a local level.</w:t>
      </w:r>
    </w:p>
    <w:p w:rsidR="00A05A03" w:rsidRDefault="00A05A03" w:rsidP="00235461">
      <w:pPr>
        <w:spacing w:after="0" w:line="264" w:lineRule="auto"/>
        <w:jc w:val="both"/>
        <w:rPr>
          <w:rFonts w:ascii="Times New Roman" w:hAnsi="Times New Roman" w:cs="Times New Roman"/>
          <w:i/>
          <w:sz w:val="24"/>
          <w:szCs w:val="24"/>
        </w:rPr>
      </w:pPr>
    </w:p>
    <w:p w:rsidR="00F418C4" w:rsidRDefault="00F418C4" w:rsidP="00235461">
      <w:pPr>
        <w:spacing w:after="0" w:line="264" w:lineRule="auto"/>
        <w:jc w:val="both"/>
        <w:rPr>
          <w:rFonts w:ascii="Times New Roman" w:hAnsi="Times New Roman" w:cs="Times New Roman"/>
          <w:i/>
          <w:sz w:val="24"/>
          <w:szCs w:val="24"/>
        </w:rPr>
      </w:pPr>
    </w:p>
    <w:p w:rsidR="00F418C4" w:rsidRDefault="00F418C4" w:rsidP="00235461">
      <w:pPr>
        <w:spacing w:after="0" w:line="264" w:lineRule="auto"/>
        <w:jc w:val="both"/>
        <w:rPr>
          <w:rFonts w:ascii="Times New Roman" w:hAnsi="Times New Roman" w:cs="Times New Roman"/>
          <w:i/>
          <w:sz w:val="24"/>
          <w:szCs w:val="24"/>
        </w:rPr>
      </w:pPr>
    </w:p>
    <w:p w:rsidR="00F418C4" w:rsidRDefault="00F418C4" w:rsidP="00235461">
      <w:pPr>
        <w:spacing w:after="0" w:line="264" w:lineRule="auto"/>
        <w:jc w:val="both"/>
        <w:rPr>
          <w:rFonts w:ascii="Times New Roman" w:hAnsi="Times New Roman" w:cs="Times New Roman"/>
          <w:i/>
          <w:sz w:val="24"/>
          <w:szCs w:val="24"/>
        </w:rPr>
      </w:pPr>
    </w:p>
    <w:p w:rsidR="00F418C4" w:rsidRDefault="00F418C4" w:rsidP="00235461">
      <w:pPr>
        <w:spacing w:after="0" w:line="264" w:lineRule="auto"/>
        <w:jc w:val="both"/>
        <w:rPr>
          <w:rFonts w:ascii="Times New Roman" w:hAnsi="Times New Roman" w:cs="Times New Roman"/>
          <w:i/>
          <w:sz w:val="24"/>
          <w:szCs w:val="24"/>
        </w:rPr>
      </w:pPr>
    </w:p>
    <w:p w:rsidR="00871911" w:rsidRPr="00A40ACC" w:rsidRDefault="00A05A03" w:rsidP="00235461">
      <w:pPr>
        <w:spacing w:after="0" w:line="264" w:lineRule="auto"/>
        <w:jc w:val="both"/>
        <w:rPr>
          <w:rFonts w:ascii="Times New Roman" w:hAnsi="Times New Roman" w:cs="Times New Roman"/>
          <w:i/>
          <w:sz w:val="24"/>
          <w:szCs w:val="24"/>
        </w:rPr>
      </w:pPr>
      <w:r>
        <w:rPr>
          <w:rFonts w:ascii="Times New Roman" w:hAnsi="Times New Roman" w:cs="Times New Roman"/>
          <w:i/>
          <w:sz w:val="24"/>
          <w:szCs w:val="24"/>
        </w:rPr>
        <w:lastRenderedPageBreak/>
        <w:t>C</w:t>
      </w:r>
      <w:r w:rsidR="00871911" w:rsidRPr="00A40ACC">
        <w:rPr>
          <w:rFonts w:ascii="Times New Roman" w:hAnsi="Times New Roman" w:cs="Times New Roman"/>
          <w:i/>
          <w:sz w:val="24"/>
          <w:szCs w:val="24"/>
        </w:rPr>
        <w:t>hanges without consultation</w:t>
      </w:r>
    </w:p>
    <w:p w:rsidR="00871911"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One submission</w:t>
      </w:r>
      <w:r w:rsidRPr="00A40ACC">
        <w:rPr>
          <w:rStyle w:val="FootnoteReference"/>
          <w:rFonts w:ascii="Times New Roman" w:hAnsi="Times New Roman" w:cs="Times New Roman"/>
          <w:sz w:val="24"/>
          <w:szCs w:val="24"/>
        </w:rPr>
        <w:footnoteReference w:id="70"/>
      </w:r>
      <w:r w:rsidRPr="00A40ACC">
        <w:rPr>
          <w:rFonts w:ascii="Times New Roman" w:hAnsi="Times New Roman" w:cs="Times New Roman"/>
          <w:sz w:val="24"/>
          <w:szCs w:val="24"/>
        </w:rPr>
        <w:t xml:space="preserve"> considered that a new section should be introduced that would prevent the Commissioner suggesting, supporting or introducing changes to the Code without widespread consultation.</w:t>
      </w:r>
    </w:p>
    <w:p w:rsidR="005C78F5" w:rsidRPr="00A40ACC" w:rsidRDefault="005C78F5" w:rsidP="00235461">
      <w:pPr>
        <w:spacing w:after="0" w:line="264" w:lineRule="auto"/>
        <w:jc w:val="both"/>
        <w:rPr>
          <w:rFonts w:ascii="Times New Roman" w:hAnsi="Times New Roman" w:cs="Times New Roman"/>
          <w:sz w:val="24"/>
          <w:szCs w:val="24"/>
        </w:rPr>
      </w:pPr>
    </w:p>
    <w:p w:rsidR="00871911" w:rsidRPr="00A40ACC" w:rsidRDefault="00871911" w:rsidP="00235461">
      <w:pPr>
        <w:spacing w:after="0" w:line="264" w:lineRule="auto"/>
        <w:jc w:val="both"/>
        <w:rPr>
          <w:rFonts w:ascii="Times New Roman" w:hAnsi="Times New Roman" w:cs="Times New Roman"/>
          <w:b/>
          <w:sz w:val="28"/>
          <w:szCs w:val="28"/>
        </w:rPr>
      </w:pPr>
      <w:r w:rsidRPr="00A40ACC">
        <w:rPr>
          <w:rFonts w:ascii="Times New Roman" w:hAnsi="Times New Roman" w:cs="Times New Roman"/>
          <w:b/>
          <w:sz w:val="28"/>
          <w:szCs w:val="28"/>
        </w:rPr>
        <w:t>Operation of the Act and</w:t>
      </w:r>
      <w:r w:rsidR="00650939" w:rsidRPr="00A40ACC">
        <w:rPr>
          <w:rFonts w:ascii="Times New Roman" w:hAnsi="Times New Roman" w:cs="Times New Roman"/>
          <w:b/>
          <w:sz w:val="28"/>
          <w:szCs w:val="28"/>
        </w:rPr>
        <w:t xml:space="preserve"> the</w:t>
      </w:r>
      <w:r w:rsidRPr="00A40ACC">
        <w:rPr>
          <w:rFonts w:ascii="Times New Roman" w:hAnsi="Times New Roman" w:cs="Times New Roman"/>
          <w:b/>
          <w:sz w:val="28"/>
          <w:szCs w:val="28"/>
        </w:rPr>
        <w:t xml:space="preserve"> Code – General</w:t>
      </w:r>
    </w:p>
    <w:p w:rsidR="00871911" w:rsidRPr="00A40ACC" w:rsidRDefault="00871911" w:rsidP="00235461">
      <w:pPr>
        <w:spacing w:after="0" w:line="264" w:lineRule="auto"/>
        <w:jc w:val="both"/>
        <w:rPr>
          <w:rFonts w:ascii="Times New Roman" w:hAnsi="Times New Roman" w:cs="Times New Roman"/>
          <w:sz w:val="24"/>
          <w:szCs w:val="24"/>
        </w:rPr>
      </w:pPr>
    </w:p>
    <w:p w:rsidR="00871911"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While many submitters commented that the Act and </w:t>
      </w:r>
      <w:r w:rsidR="00650939" w:rsidRPr="00A40ACC">
        <w:rPr>
          <w:rFonts w:ascii="Times New Roman" w:hAnsi="Times New Roman" w:cs="Times New Roman"/>
          <w:sz w:val="24"/>
          <w:szCs w:val="24"/>
        </w:rPr>
        <w:t xml:space="preserve">the </w:t>
      </w:r>
      <w:r w:rsidRPr="00A40ACC">
        <w:rPr>
          <w:rFonts w:ascii="Times New Roman" w:hAnsi="Times New Roman" w:cs="Times New Roman"/>
          <w:sz w:val="24"/>
          <w:szCs w:val="24"/>
        </w:rPr>
        <w:t>Code are, on the whole, operating effectively, a number of general comments</w:t>
      </w:r>
      <w:r w:rsidR="00E568DC">
        <w:rPr>
          <w:rFonts w:ascii="Times New Roman" w:hAnsi="Times New Roman" w:cs="Times New Roman"/>
          <w:sz w:val="24"/>
          <w:szCs w:val="24"/>
        </w:rPr>
        <w:t xml:space="preserve"> were also rec</w:t>
      </w:r>
      <w:r w:rsidR="003C6F4E">
        <w:rPr>
          <w:rFonts w:ascii="Times New Roman" w:hAnsi="Times New Roman" w:cs="Times New Roman"/>
          <w:sz w:val="24"/>
          <w:szCs w:val="24"/>
        </w:rPr>
        <w:t>ei</w:t>
      </w:r>
      <w:r w:rsidR="00E568DC">
        <w:rPr>
          <w:rFonts w:ascii="Times New Roman" w:hAnsi="Times New Roman" w:cs="Times New Roman"/>
          <w:sz w:val="24"/>
          <w:szCs w:val="24"/>
        </w:rPr>
        <w:t>ved</w:t>
      </w:r>
      <w:r w:rsidRPr="00A40ACC">
        <w:rPr>
          <w:rFonts w:ascii="Times New Roman" w:hAnsi="Times New Roman" w:cs="Times New Roman"/>
          <w:sz w:val="24"/>
          <w:szCs w:val="24"/>
        </w:rPr>
        <w:t>.</w:t>
      </w:r>
    </w:p>
    <w:p w:rsidR="00B41E67" w:rsidRPr="00A40ACC" w:rsidRDefault="00B41E67" w:rsidP="00235461">
      <w:pPr>
        <w:spacing w:after="0" w:line="264" w:lineRule="auto"/>
        <w:jc w:val="both"/>
        <w:rPr>
          <w:rFonts w:ascii="Times New Roman" w:hAnsi="Times New Roman" w:cs="Times New Roman"/>
          <w:b/>
          <w:i/>
          <w:sz w:val="24"/>
          <w:szCs w:val="24"/>
        </w:rPr>
      </w:pPr>
    </w:p>
    <w:p w:rsidR="00871911"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b/>
          <w:i/>
          <w:sz w:val="24"/>
          <w:szCs w:val="24"/>
        </w:rPr>
        <w:t>Application of the Code</w:t>
      </w:r>
    </w:p>
    <w:p w:rsidR="00871911"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One submitter</w:t>
      </w:r>
      <w:r w:rsidRPr="00A40ACC">
        <w:rPr>
          <w:rStyle w:val="FootnoteReference"/>
          <w:rFonts w:ascii="Times New Roman" w:hAnsi="Times New Roman" w:cs="Times New Roman"/>
          <w:sz w:val="24"/>
          <w:szCs w:val="24"/>
        </w:rPr>
        <w:footnoteReference w:id="71"/>
      </w:r>
      <w:r w:rsidRPr="00A40ACC">
        <w:rPr>
          <w:rFonts w:ascii="Times New Roman" w:hAnsi="Times New Roman" w:cs="Times New Roman"/>
          <w:sz w:val="24"/>
          <w:szCs w:val="24"/>
        </w:rPr>
        <w:t xml:space="preserve"> raised concerns that the Act and</w:t>
      </w:r>
      <w:r w:rsidR="00650939" w:rsidRPr="00A40ACC">
        <w:rPr>
          <w:rFonts w:ascii="Times New Roman" w:hAnsi="Times New Roman" w:cs="Times New Roman"/>
          <w:sz w:val="24"/>
          <w:szCs w:val="24"/>
        </w:rPr>
        <w:t xml:space="preserve"> the</w:t>
      </w:r>
      <w:r w:rsidRPr="00A40ACC">
        <w:rPr>
          <w:rFonts w:ascii="Times New Roman" w:hAnsi="Times New Roman" w:cs="Times New Roman"/>
          <w:sz w:val="24"/>
          <w:szCs w:val="24"/>
        </w:rPr>
        <w:t xml:space="preserve"> Code were being applied inconsistently by providers, noting that it is important that the expectations of consumers regarding the obligations and duties of providers are met by all providers and health professionals in the sector.</w:t>
      </w:r>
    </w:p>
    <w:p w:rsidR="0021096B" w:rsidRPr="00A40ACC" w:rsidRDefault="0021096B" w:rsidP="00235461">
      <w:pPr>
        <w:spacing w:after="0" w:line="264" w:lineRule="auto"/>
        <w:jc w:val="both"/>
        <w:rPr>
          <w:rFonts w:ascii="Times New Roman" w:hAnsi="Times New Roman" w:cs="Times New Roman"/>
          <w:b/>
          <w:sz w:val="24"/>
          <w:szCs w:val="24"/>
        </w:rPr>
      </w:pPr>
    </w:p>
    <w:p w:rsidR="00871911"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b/>
          <w:i/>
          <w:sz w:val="24"/>
          <w:szCs w:val="24"/>
        </w:rPr>
        <w:t>Access</w:t>
      </w:r>
    </w:p>
    <w:p w:rsidR="0021096B"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sz w:val="24"/>
          <w:szCs w:val="24"/>
          <w:lang w:val="en-US" w:eastAsia="en-US"/>
        </w:rPr>
        <w:t>While access to services is discussed above in relation to Right 4, with the focus on disability services, another submission made a more general operational comment. The Medical Council</w:t>
      </w:r>
      <w:r w:rsidR="00925FE4" w:rsidRPr="00A40ACC">
        <w:rPr>
          <w:rFonts w:ascii="Times New Roman" w:hAnsi="Times New Roman" w:cs="Times New Roman"/>
          <w:sz w:val="24"/>
          <w:szCs w:val="24"/>
          <w:lang w:val="en-US" w:eastAsia="en-US"/>
        </w:rPr>
        <w:t xml:space="preserve"> of New Zealand</w:t>
      </w:r>
      <w:r w:rsidRPr="00A40ACC">
        <w:rPr>
          <w:rStyle w:val="FootnoteReference"/>
          <w:rFonts w:ascii="Times New Roman" w:hAnsi="Times New Roman" w:cs="Times New Roman"/>
          <w:sz w:val="24"/>
          <w:szCs w:val="24"/>
          <w:lang w:val="en-US" w:eastAsia="en-US"/>
        </w:rPr>
        <w:footnoteReference w:id="72"/>
      </w:r>
      <w:r w:rsidRPr="00A40ACC">
        <w:rPr>
          <w:rFonts w:ascii="Times New Roman" w:hAnsi="Times New Roman" w:cs="Times New Roman"/>
          <w:sz w:val="24"/>
          <w:szCs w:val="24"/>
          <w:lang w:val="en-US" w:eastAsia="en-US"/>
        </w:rPr>
        <w:t xml:space="preserve"> noted that some patients may not be entitled to receive health services, such as uninsured or non-citizens. However, they consider that these people should still be able </w:t>
      </w:r>
      <w:r w:rsidR="00CD5C82">
        <w:rPr>
          <w:rFonts w:ascii="Times New Roman" w:hAnsi="Times New Roman" w:cs="Times New Roman"/>
          <w:sz w:val="24"/>
          <w:szCs w:val="24"/>
          <w:lang w:val="en-US" w:eastAsia="en-US"/>
        </w:rPr>
        <w:t xml:space="preserve">to </w:t>
      </w:r>
      <w:r w:rsidRPr="00A40ACC">
        <w:rPr>
          <w:rFonts w:ascii="Times New Roman" w:hAnsi="Times New Roman" w:cs="Times New Roman"/>
          <w:sz w:val="24"/>
          <w:szCs w:val="24"/>
          <w:lang w:val="en-US" w:eastAsia="en-US"/>
        </w:rPr>
        <w:t xml:space="preserve">access acute services if they need them to prevent harm, but there </w:t>
      </w:r>
      <w:proofErr w:type="spellStart"/>
      <w:r w:rsidR="003863FC">
        <w:rPr>
          <w:rFonts w:ascii="Times New Roman" w:hAnsi="Times New Roman" w:cs="Times New Roman"/>
          <w:sz w:val="24"/>
          <w:szCs w:val="24"/>
          <w:lang w:val="en-US" w:eastAsia="en-US"/>
        </w:rPr>
        <w:t>there</w:t>
      </w:r>
      <w:proofErr w:type="spellEnd"/>
      <w:r w:rsidR="003863FC">
        <w:rPr>
          <w:rFonts w:ascii="Times New Roman" w:hAnsi="Times New Roman" w:cs="Times New Roman"/>
          <w:sz w:val="24"/>
          <w:szCs w:val="24"/>
          <w:lang w:val="en-US" w:eastAsia="en-US"/>
        </w:rPr>
        <w:t xml:space="preserve"> is a lack of clarity when they</w:t>
      </w:r>
      <w:r w:rsidRPr="00A40ACC">
        <w:rPr>
          <w:rFonts w:ascii="Times New Roman" w:hAnsi="Times New Roman" w:cs="Times New Roman"/>
          <w:sz w:val="24"/>
          <w:szCs w:val="24"/>
          <w:lang w:val="en-US" w:eastAsia="en-US"/>
        </w:rPr>
        <w:t xml:space="preserve"> request non-acute services. They note that to some degree this is a funding an</w:t>
      </w:r>
      <w:r w:rsidR="00925FE4" w:rsidRPr="00A40ACC">
        <w:rPr>
          <w:rFonts w:ascii="Times New Roman" w:hAnsi="Times New Roman" w:cs="Times New Roman"/>
          <w:sz w:val="24"/>
          <w:szCs w:val="24"/>
          <w:lang w:val="en-US" w:eastAsia="en-US"/>
        </w:rPr>
        <w:t>d</w:t>
      </w:r>
      <w:r w:rsidRPr="00A40ACC">
        <w:rPr>
          <w:rFonts w:ascii="Times New Roman" w:hAnsi="Times New Roman" w:cs="Times New Roman"/>
          <w:sz w:val="24"/>
          <w:szCs w:val="24"/>
          <w:lang w:val="en-US" w:eastAsia="en-US"/>
        </w:rPr>
        <w:t xml:space="preserve"> access issue, but is also often an issue of patient rights and provider responsibilities. What rights does a patient have when requesting a service they are not entitled to? What responsibilities does the provider have in responding to such requests? The Council </w:t>
      </w:r>
      <w:r w:rsidR="00E568DC">
        <w:rPr>
          <w:rFonts w:ascii="Times New Roman" w:hAnsi="Times New Roman" w:cs="Times New Roman"/>
          <w:sz w:val="24"/>
          <w:szCs w:val="24"/>
          <w:lang w:val="en-US" w:eastAsia="en-US"/>
        </w:rPr>
        <w:t>expressed</w:t>
      </w:r>
      <w:r w:rsidRPr="00A40ACC">
        <w:rPr>
          <w:rFonts w:ascii="Times New Roman" w:hAnsi="Times New Roman" w:cs="Times New Roman"/>
          <w:sz w:val="24"/>
          <w:szCs w:val="24"/>
          <w:lang w:val="en-US" w:eastAsia="en-US"/>
        </w:rPr>
        <w:t xml:space="preserve"> the view that there needs to be a conversation around the expectations that should apply.</w:t>
      </w:r>
    </w:p>
    <w:p w:rsidR="0021096B" w:rsidRPr="00A40ACC" w:rsidRDefault="0021096B" w:rsidP="00235461">
      <w:pPr>
        <w:spacing w:after="0" w:line="264" w:lineRule="auto"/>
        <w:jc w:val="both"/>
        <w:rPr>
          <w:rFonts w:ascii="Times New Roman" w:hAnsi="Times New Roman" w:cs="Times New Roman"/>
          <w:b/>
          <w:i/>
          <w:sz w:val="24"/>
          <w:szCs w:val="24"/>
        </w:rPr>
      </w:pPr>
    </w:p>
    <w:p w:rsidR="00871911"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b/>
          <w:i/>
          <w:sz w:val="24"/>
          <w:szCs w:val="24"/>
        </w:rPr>
        <w:t>Jurisdiction</w:t>
      </w:r>
    </w:p>
    <w:p w:rsidR="00871911" w:rsidRDefault="00925FE4"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rPr>
        <w:t xml:space="preserve">Several </w:t>
      </w:r>
      <w:r w:rsidR="00871911" w:rsidRPr="00A40ACC">
        <w:rPr>
          <w:rFonts w:ascii="Times New Roman" w:hAnsi="Times New Roman" w:cs="Times New Roman"/>
          <w:sz w:val="24"/>
          <w:szCs w:val="24"/>
        </w:rPr>
        <w:t xml:space="preserve">submissions made comments about jurisdiction, with respect to a number of different </w:t>
      </w:r>
      <w:r w:rsidR="00393E47" w:rsidRPr="00A40ACC">
        <w:rPr>
          <w:rFonts w:ascii="Times New Roman" w:hAnsi="Times New Roman" w:cs="Times New Roman"/>
          <w:sz w:val="24"/>
          <w:szCs w:val="24"/>
        </w:rPr>
        <w:t xml:space="preserve">classes </w:t>
      </w:r>
      <w:r w:rsidRPr="00A40ACC">
        <w:rPr>
          <w:rFonts w:ascii="Times New Roman" w:hAnsi="Times New Roman" w:cs="Times New Roman"/>
          <w:sz w:val="24"/>
          <w:szCs w:val="24"/>
        </w:rPr>
        <w:t xml:space="preserve">of </w:t>
      </w:r>
      <w:r w:rsidR="00871911" w:rsidRPr="00A40ACC">
        <w:rPr>
          <w:rFonts w:ascii="Times New Roman" w:hAnsi="Times New Roman" w:cs="Times New Roman"/>
          <w:sz w:val="24"/>
          <w:szCs w:val="24"/>
        </w:rPr>
        <w:t>consumer</w:t>
      </w:r>
      <w:r w:rsidRPr="00A40ACC">
        <w:rPr>
          <w:rFonts w:ascii="Times New Roman" w:hAnsi="Times New Roman" w:cs="Times New Roman"/>
          <w:sz w:val="24"/>
          <w:szCs w:val="24"/>
        </w:rPr>
        <w:t>s</w:t>
      </w:r>
      <w:r w:rsidR="00871911" w:rsidRPr="00A40ACC">
        <w:rPr>
          <w:rFonts w:ascii="Times New Roman" w:hAnsi="Times New Roman" w:cs="Times New Roman"/>
          <w:sz w:val="24"/>
          <w:szCs w:val="24"/>
          <w:lang w:val="en-US" w:eastAsia="en-US"/>
        </w:rPr>
        <w:t>.</w:t>
      </w:r>
    </w:p>
    <w:p w:rsidR="00891758" w:rsidRPr="00891758" w:rsidRDefault="00891758" w:rsidP="00235461">
      <w:pPr>
        <w:spacing w:after="0" w:line="264" w:lineRule="auto"/>
        <w:jc w:val="both"/>
        <w:rPr>
          <w:rFonts w:ascii="Times New Roman" w:hAnsi="Times New Roman" w:cs="Times New Roman"/>
          <w:sz w:val="24"/>
          <w:szCs w:val="24"/>
        </w:rPr>
      </w:pPr>
    </w:p>
    <w:p w:rsidR="00871911" w:rsidRDefault="00D55593" w:rsidP="00235461">
      <w:pPr>
        <w:spacing w:after="0" w:line="264"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ACART</w:t>
      </w:r>
      <w:r w:rsidR="00871911" w:rsidRPr="00A40ACC">
        <w:rPr>
          <w:rFonts w:ascii="Times New Roman" w:hAnsi="Times New Roman" w:cs="Times New Roman"/>
          <w:sz w:val="24"/>
          <w:szCs w:val="24"/>
        </w:rPr>
        <w:t xml:space="preserve"> submitted</w:t>
      </w:r>
      <w:r w:rsidR="00871911" w:rsidRPr="00A40ACC">
        <w:rPr>
          <w:rStyle w:val="FootnoteReference"/>
          <w:rFonts w:ascii="Times New Roman" w:hAnsi="Times New Roman" w:cs="Times New Roman"/>
          <w:sz w:val="24"/>
          <w:szCs w:val="24"/>
        </w:rPr>
        <w:footnoteReference w:id="73"/>
      </w:r>
      <w:r w:rsidR="00871911" w:rsidRPr="00A40ACC">
        <w:rPr>
          <w:rFonts w:ascii="Times New Roman" w:hAnsi="Times New Roman" w:cs="Times New Roman"/>
          <w:sz w:val="24"/>
          <w:szCs w:val="24"/>
        </w:rPr>
        <w:t xml:space="preserve"> that the Commissioner provides an accessible and free complaints service that contrasts with the costs that may be associated with other legal avenues, such as common law remedies. The functions and roles of the respective advisory committee (ACART) and ethics committee (ECART) do not involve statutory functions in respect of oversight of the outcome of individual fertility services to those consumers accessing assisted reproductive procedures or of addressing any complaints that may arise against providers. They recommend that HDC consider how all aspects of </w:t>
      </w:r>
      <w:r w:rsidR="00871911" w:rsidRPr="00A40ACC">
        <w:rPr>
          <w:rFonts w:ascii="Times New Roman" w:hAnsi="Times New Roman" w:cs="Times New Roman"/>
          <w:sz w:val="24"/>
          <w:szCs w:val="24"/>
          <w:lang w:val="en-US" w:eastAsia="en-US"/>
        </w:rPr>
        <w:t xml:space="preserve">fertility procedures might fall under the protection of the Code. </w:t>
      </w:r>
    </w:p>
    <w:p w:rsidR="00891758" w:rsidRPr="00A40ACC" w:rsidRDefault="00891758" w:rsidP="00235461">
      <w:pPr>
        <w:spacing w:after="0" w:line="264" w:lineRule="auto"/>
        <w:jc w:val="both"/>
        <w:rPr>
          <w:rFonts w:ascii="Times New Roman" w:hAnsi="Times New Roman" w:cs="Times New Roman"/>
          <w:sz w:val="24"/>
          <w:szCs w:val="24"/>
          <w:lang w:val="en-US" w:eastAsia="en-US"/>
        </w:rPr>
      </w:pPr>
    </w:p>
    <w:p w:rsidR="00871911"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lang w:val="en-US" w:eastAsia="en-US"/>
        </w:rPr>
        <w:lastRenderedPageBreak/>
        <w:t>The Association of Blind Citizens of N</w:t>
      </w:r>
      <w:r w:rsidR="008D1D8F">
        <w:rPr>
          <w:rFonts w:ascii="Times New Roman" w:hAnsi="Times New Roman" w:cs="Times New Roman"/>
          <w:sz w:val="24"/>
          <w:szCs w:val="24"/>
          <w:lang w:val="en-US" w:eastAsia="en-US"/>
        </w:rPr>
        <w:t xml:space="preserve">ew </w:t>
      </w:r>
      <w:r w:rsidRPr="00A40ACC">
        <w:rPr>
          <w:rFonts w:ascii="Times New Roman" w:hAnsi="Times New Roman" w:cs="Times New Roman"/>
          <w:sz w:val="24"/>
          <w:szCs w:val="24"/>
          <w:lang w:val="en-US" w:eastAsia="en-US"/>
        </w:rPr>
        <w:t>Z</w:t>
      </w:r>
      <w:r w:rsidR="008D1D8F">
        <w:rPr>
          <w:rFonts w:ascii="Times New Roman" w:hAnsi="Times New Roman" w:cs="Times New Roman"/>
          <w:sz w:val="24"/>
          <w:szCs w:val="24"/>
          <w:lang w:val="en-US" w:eastAsia="en-US"/>
        </w:rPr>
        <w:t>ealand</w:t>
      </w:r>
      <w:r w:rsidRPr="00A40ACC">
        <w:rPr>
          <w:rStyle w:val="FootnoteReference"/>
          <w:rFonts w:ascii="Times New Roman" w:hAnsi="Times New Roman" w:cs="Times New Roman"/>
          <w:sz w:val="24"/>
          <w:szCs w:val="24"/>
          <w:lang w:val="en-US" w:eastAsia="en-US"/>
        </w:rPr>
        <w:footnoteReference w:id="74"/>
      </w:r>
      <w:r w:rsidRPr="00A40ACC">
        <w:rPr>
          <w:rFonts w:ascii="Times New Roman" w:hAnsi="Times New Roman" w:cs="Times New Roman"/>
          <w:sz w:val="24"/>
          <w:szCs w:val="24"/>
          <w:lang w:val="en-US" w:eastAsia="en-US"/>
        </w:rPr>
        <w:t xml:space="preserve"> commented that the Code is silent </w:t>
      </w:r>
      <w:r w:rsidRPr="00D55593">
        <w:rPr>
          <w:rFonts w:ascii="Times New Roman" w:hAnsi="Times New Roman" w:cs="Times New Roman"/>
          <w:sz w:val="24"/>
          <w:szCs w:val="24"/>
          <w:lang w:val="en-US" w:eastAsia="en-US"/>
        </w:rPr>
        <w:t xml:space="preserve">on </w:t>
      </w:r>
      <w:r w:rsidRPr="001B17D4">
        <w:rPr>
          <w:rFonts w:ascii="Times New Roman" w:eastAsia="Times New Roman" w:hAnsi="Times New Roman" w:cs="Times New Roman"/>
          <w:sz w:val="24"/>
          <w:szCs w:val="24"/>
        </w:rPr>
        <w:t>the</w:t>
      </w:r>
      <w:r w:rsidRPr="00A40ACC">
        <w:rPr>
          <w:rFonts w:ascii="Arial" w:eastAsia="Times New Roman" w:hAnsi="Arial" w:cs="Arial"/>
          <w:sz w:val="20"/>
          <w:szCs w:val="20"/>
        </w:rPr>
        <w:t xml:space="preserve"> </w:t>
      </w:r>
      <w:r w:rsidRPr="00A40ACC">
        <w:rPr>
          <w:rFonts w:ascii="Times New Roman" w:hAnsi="Times New Roman" w:cs="Times New Roman"/>
          <w:sz w:val="24"/>
          <w:szCs w:val="24"/>
        </w:rPr>
        <w:t xml:space="preserve">processes and procedures that must be followed before someone is identified as being a </w:t>
      </w:r>
      <w:r w:rsidR="00A1028E">
        <w:rPr>
          <w:rFonts w:ascii="Times New Roman" w:hAnsi="Times New Roman" w:cs="Times New Roman"/>
          <w:sz w:val="24"/>
          <w:szCs w:val="24"/>
        </w:rPr>
        <w:t>“</w:t>
      </w:r>
      <w:r w:rsidRPr="00A40ACC">
        <w:rPr>
          <w:rFonts w:ascii="Times New Roman" w:hAnsi="Times New Roman" w:cs="Times New Roman"/>
          <w:sz w:val="24"/>
          <w:szCs w:val="24"/>
        </w:rPr>
        <w:t>consumer</w:t>
      </w:r>
      <w:r w:rsidR="00A1028E">
        <w:rPr>
          <w:rFonts w:ascii="Times New Roman" w:hAnsi="Times New Roman" w:cs="Times New Roman"/>
          <w:sz w:val="24"/>
          <w:szCs w:val="24"/>
        </w:rPr>
        <w:t>”</w:t>
      </w:r>
      <w:r w:rsidRPr="00A40ACC">
        <w:rPr>
          <w:rFonts w:ascii="Times New Roman" w:hAnsi="Times New Roman" w:cs="Times New Roman"/>
          <w:sz w:val="24"/>
          <w:szCs w:val="24"/>
        </w:rPr>
        <w:t xml:space="preserve"> and their entitlement to those services is acknowledged. They submitted that</w:t>
      </w:r>
      <w:r w:rsidR="00925FE4" w:rsidRPr="00A40ACC">
        <w:rPr>
          <w:rFonts w:ascii="Times New Roman" w:hAnsi="Times New Roman" w:cs="Times New Roman"/>
          <w:sz w:val="24"/>
          <w:szCs w:val="24"/>
        </w:rPr>
        <w:t xml:space="preserve"> the</w:t>
      </w:r>
      <w:r w:rsidRPr="00A40ACC">
        <w:rPr>
          <w:rFonts w:ascii="Times New Roman" w:hAnsi="Times New Roman" w:cs="Times New Roman"/>
          <w:sz w:val="24"/>
          <w:szCs w:val="24"/>
        </w:rPr>
        <w:t xml:space="preserve"> Code appears not to address th</w:t>
      </w:r>
      <w:r w:rsidR="00925FE4" w:rsidRPr="00A40ACC">
        <w:rPr>
          <w:rFonts w:ascii="Times New Roman" w:hAnsi="Times New Roman" w:cs="Times New Roman"/>
          <w:sz w:val="24"/>
          <w:szCs w:val="24"/>
        </w:rPr>
        <w:t xml:space="preserve">e rights of those who are declined a service as they are not yet consumers. </w:t>
      </w:r>
      <w:r w:rsidRPr="00A40ACC">
        <w:rPr>
          <w:rFonts w:ascii="Times New Roman" w:hAnsi="Times New Roman" w:cs="Times New Roman"/>
          <w:sz w:val="24"/>
          <w:szCs w:val="24"/>
        </w:rPr>
        <w:t xml:space="preserve">They recommended that </w:t>
      </w:r>
      <w:r w:rsidR="00925FE4" w:rsidRPr="00A40ACC">
        <w:rPr>
          <w:rFonts w:ascii="Times New Roman" w:hAnsi="Times New Roman" w:cs="Times New Roman"/>
          <w:sz w:val="24"/>
          <w:szCs w:val="24"/>
        </w:rPr>
        <w:t>the Code be amended</w:t>
      </w:r>
      <w:r w:rsidRPr="00A40ACC">
        <w:rPr>
          <w:rFonts w:ascii="Times New Roman" w:hAnsi="Times New Roman" w:cs="Times New Roman"/>
          <w:sz w:val="24"/>
          <w:szCs w:val="24"/>
        </w:rPr>
        <w:t xml:space="preserve"> to address this group of people.</w:t>
      </w:r>
    </w:p>
    <w:p w:rsidR="00891758" w:rsidRPr="00A40ACC" w:rsidRDefault="00891758" w:rsidP="00235461">
      <w:pPr>
        <w:spacing w:after="0" w:line="264" w:lineRule="auto"/>
        <w:jc w:val="both"/>
        <w:rPr>
          <w:rFonts w:ascii="Arial" w:eastAsia="Times New Roman" w:hAnsi="Arial" w:cs="Arial"/>
          <w:sz w:val="20"/>
          <w:szCs w:val="20"/>
        </w:rPr>
      </w:pPr>
    </w:p>
    <w:p w:rsidR="00937F44"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The Advocates and Representatives Group to ACC</w:t>
      </w:r>
      <w:r w:rsidRPr="00A40ACC">
        <w:rPr>
          <w:rStyle w:val="FootnoteReference"/>
          <w:rFonts w:ascii="Times New Roman" w:hAnsi="Times New Roman" w:cs="Times New Roman"/>
          <w:sz w:val="24"/>
          <w:szCs w:val="24"/>
        </w:rPr>
        <w:footnoteReference w:id="75"/>
      </w:r>
      <w:r w:rsidRPr="00A40ACC">
        <w:rPr>
          <w:rFonts w:ascii="Times New Roman" w:hAnsi="Times New Roman" w:cs="Times New Roman"/>
          <w:sz w:val="24"/>
          <w:szCs w:val="24"/>
        </w:rPr>
        <w:t xml:space="preserve"> submitted that section 31 be amended to widen the jurisdiction for consumer complaints regarding non-treating doctors. They noted that ACC often require</w:t>
      </w:r>
      <w:r w:rsidR="00876A1A">
        <w:rPr>
          <w:rFonts w:ascii="Times New Roman" w:hAnsi="Times New Roman" w:cs="Times New Roman"/>
          <w:sz w:val="24"/>
          <w:szCs w:val="24"/>
        </w:rPr>
        <w:t>s</w:t>
      </w:r>
      <w:r w:rsidRPr="00A40ACC">
        <w:rPr>
          <w:rFonts w:ascii="Times New Roman" w:hAnsi="Times New Roman" w:cs="Times New Roman"/>
          <w:sz w:val="24"/>
          <w:szCs w:val="24"/>
        </w:rPr>
        <w:t xml:space="preserve"> injured claimants to see or have their medical records examined by a third party medical specialist, whose decision can have a significant implication on treatment outcomes for claimants. They stated that</w:t>
      </w:r>
      <w:r w:rsidR="00925FE4" w:rsidRPr="00A40ACC">
        <w:rPr>
          <w:rFonts w:ascii="Times New Roman" w:hAnsi="Times New Roman" w:cs="Times New Roman"/>
          <w:sz w:val="24"/>
          <w:szCs w:val="24"/>
        </w:rPr>
        <w:t>,</w:t>
      </w:r>
      <w:r w:rsidRPr="00A40ACC">
        <w:rPr>
          <w:rFonts w:ascii="Times New Roman" w:hAnsi="Times New Roman" w:cs="Times New Roman"/>
          <w:sz w:val="24"/>
          <w:szCs w:val="24"/>
        </w:rPr>
        <w:t xml:space="preserve"> in their experience, medical specialists contracted to ACC often offer medical opinions about diagnosis which they are either not competent to provide and/or which are outside their scope of practice, and also offer advice about medical treatment and management which ACC consider</w:t>
      </w:r>
      <w:r w:rsidR="00F5129E" w:rsidRPr="00A40ACC">
        <w:rPr>
          <w:rFonts w:ascii="Times New Roman" w:hAnsi="Times New Roman" w:cs="Times New Roman"/>
          <w:sz w:val="24"/>
          <w:szCs w:val="24"/>
        </w:rPr>
        <w:t>s</w:t>
      </w:r>
      <w:r w:rsidRPr="00A40ACC">
        <w:rPr>
          <w:rFonts w:ascii="Times New Roman" w:hAnsi="Times New Roman" w:cs="Times New Roman"/>
          <w:sz w:val="24"/>
          <w:szCs w:val="24"/>
        </w:rPr>
        <w:t xml:space="preserve"> should be followed. They suggest that the Act be amended to allow such complaints from claimants, about their treatment, to be considered by HDC.</w:t>
      </w:r>
    </w:p>
    <w:p w:rsidR="00891758" w:rsidRPr="00A40ACC" w:rsidRDefault="00891758" w:rsidP="00235461">
      <w:pPr>
        <w:spacing w:after="0" w:line="264" w:lineRule="auto"/>
        <w:jc w:val="both"/>
        <w:rPr>
          <w:rFonts w:ascii="Times New Roman" w:hAnsi="Times New Roman" w:cs="Times New Roman"/>
          <w:sz w:val="24"/>
          <w:szCs w:val="24"/>
        </w:rPr>
      </w:pPr>
    </w:p>
    <w:p w:rsidR="00871911" w:rsidRPr="00A40ACC" w:rsidRDefault="00871911" w:rsidP="00235461">
      <w:pPr>
        <w:spacing w:after="0" w:line="264" w:lineRule="auto"/>
        <w:jc w:val="both"/>
        <w:rPr>
          <w:rFonts w:ascii="Times New Roman" w:hAnsi="Times New Roman" w:cs="Times New Roman"/>
          <w:b/>
          <w:i/>
          <w:sz w:val="24"/>
          <w:szCs w:val="24"/>
          <w:u w:val="single"/>
        </w:rPr>
      </w:pPr>
      <w:r w:rsidRPr="00A40ACC">
        <w:rPr>
          <w:rFonts w:ascii="Times New Roman" w:hAnsi="Times New Roman" w:cs="Times New Roman"/>
          <w:sz w:val="24"/>
          <w:szCs w:val="24"/>
        </w:rPr>
        <w:t xml:space="preserve">The </w:t>
      </w:r>
      <w:r w:rsidR="00876A1A">
        <w:rPr>
          <w:rFonts w:ascii="Times New Roman" w:hAnsi="Times New Roman" w:cs="Times New Roman"/>
          <w:sz w:val="24"/>
          <w:szCs w:val="24"/>
        </w:rPr>
        <w:t>N</w:t>
      </w:r>
      <w:r w:rsidR="008D1D8F">
        <w:rPr>
          <w:rFonts w:ascii="Times New Roman" w:hAnsi="Times New Roman" w:cs="Times New Roman"/>
          <w:sz w:val="24"/>
          <w:szCs w:val="24"/>
        </w:rPr>
        <w:t xml:space="preserve">ew </w:t>
      </w:r>
      <w:r w:rsidR="00876A1A">
        <w:rPr>
          <w:rFonts w:ascii="Times New Roman" w:hAnsi="Times New Roman" w:cs="Times New Roman"/>
          <w:sz w:val="24"/>
          <w:szCs w:val="24"/>
        </w:rPr>
        <w:t>Z</w:t>
      </w:r>
      <w:r w:rsidR="008D1D8F">
        <w:rPr>
          <w:rFonts w:ascii="Times New Roman" w:hAnsi="Times New Roman" w:cs="Times New Roman"/>
          <w:sz w:val="24"/>
          <w:szCs w:val="24"/>
        </w:rPr>
        <w:t>ealand</w:t>
      </w:r>
      <w:r w:rsidR="00876A1A">
        <w:rPr>
          <w:rFonts w:ascii="Times New Roman" w:hAnsi="Times New Roman" w:cs="Times New Roman"/>
          <w:sz w:val="24"/>
          <w:szCs w:val="24"/>
        </w:rPr>
        <w:t xml:space="preserve"> </w:t>
      </w:r>
      <w:r w:rsidRPr="00A40ACC">
        <w:rPr>
          <w:rFonts w:ascii="Times New Roman" w:hAnsi="Times New Roman" w:cs="Times New Roman"/>
          <w:sz w:val="24"/>
          <w:szCs w:val="24"/>
        </w:rPr>
        <w:t>Law Society</w:t>
      </w:r>
      <w:r w:rsidRPr="00A40ACC">
        <w:rPr>
          <w:rStyle w:val="FootnoteReference"/>
          <w:rFonts w:ascii="Times New Roman" w:hAnsi="Times New Roman" w:cs="Times New Roman"/>
          <w:sz w:val="24"/>
          <w:szCs w:val="24"/>
        </w:rPr>
        <w:footnoteReference w:id="76"/>
      </w:r>
      <w:r w:rsidRPr="00A40ACC">
        <w:rPr>
          <w:rFonts w:ascii="Times New Roman" w:hAnsi="Times New Roman" w:cs="Times New Roman"/>
          <w:sz w:val="24"/>
          <w:szCs w:val="24"/>
        </w:rPr>
        <w:t xml:space="preserve"> made a similar submission, noting that they have been alerted to difficulties experienced by some ACC claimants </w:t>
      </w:r>
      <w:r w:rsidR="00F5129E" w:rsidRPr="00A40ACC">
        <w:rPr>
          <w:rFonts w:ascii="Times New Roman" w:hAnsi="Times New Roman" w:cs="Times New Roman"/>
          <w:sz w:val="24"/>
          <w:szCs w:val="24"/>
        </w:rPr>
        <w:t>(</w:t>
      </w:r>
      <w:r w:rsidRPr="00A40ACC">
        <w:rPr>
          <w:rFonts w:ascii="Times New Roman" w:hAnsi="Times New Roman" w:cs="Times New Roman"/>
          <w:sz w:val="24"/>
          <w:szCs w:val="24"/>
        </w:rPr>
        <w:t>who are examined by medical specialists engaged by ACC, for the purpose of reports prepared for ACC</w:t>
      </w:r>
      <w:r w:rsidR="00F5129E" w:rsidRPr="00A40ACC">
        <w:rPr>
          <w:rFonts w:ascii="Times New Roman" w:hAnsi="Times New Roman" w:cs="Times New Roman"/>
          <w:sz w:val="24"/>
          <w:szCs w:val="24"/>
        </w:rPr>
        <w:t>) in having a complaint considered by HDC</w:t>
      </w:r>
      <w:r w:rsidRPr="00A40ACC">
        <w:rPr>
          <w:rFonts w:ascii="Times New Roman" w:hAnsi="Times New Roman" w:cs="Times New Roman"/>
          <w:sz w:val="24"/>
          <w:szCs w:val="24"/>
        </w:rPr>
        <w:t xml:space="preserve">. </w:t>
      </w:r>
    </w:p>
    <w:p w:rsidR="00C56511" w:rsidRPr="00A40ACC" w:rsidRDefault="00C56511" w:rsidP="00235461">
      <w:pPr>
        <w:spacing w:after="0" w:line="264" w:lineRule="auto"/>
        <w:jc w:val="both"/>
        <w:rPr>
          <w:rFonts w:ascii="Times New Roman" w:hAnsi="Times New Roman" w:cs="Times New Roman"/>
          <w:b/>
          <w:i/>
          <w:sz w:val="24"/>
          <w:szCs w:val="24"/>
        </w:rPr>
      </w:pPr>
    </w:p>
    <w:p w:rsidR="00871911"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b/>
          <w:i/>
          <w:sz w:val="24"/>
          <w:szCs w:val="24"/>
        </w:rPr>
        <w:t>Collaboration between agencies</w:t>
      </w:r>
    </w:p>
    <w:p w:rsidR="00871911"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A number of submissions</w:t>
      </w:r>
      <w:r w:rsidRPr="00A40ACC">
        <w:rPr>
          <w:rStyle w:val="FootnoteReference"/>
          <w:rFonts w:ascii="Times New Roman" w:hAnsi="Times New Roman" w:cs="Times New Roman"/>
          <w:sz w:val="24"/>
          <w:szCs w:val="24"/>
        </w:rPr>
        <w:footnoteReference w:id="77"/>
      </w:r>
      <w:r w:rsidRPr="00A40ACC">
        <w:rPr>
          <w:rFonts w:ascii="Times New Roman" w:hAnsi="Times New Roman" w:cs="Times New Roman"/>
          <w:sz w:val="24"/>
          <w:szCs w:val="24"/>
        </w:rPr>
        <w:t xml:space="preserve"> raised the issue of cross-agency collaboration</w:t>
      </w:r>
      <w:r w:rsidR="00F5129E" w:rsidRPr="00A40ACC">
        <w:rPr>
          <w:rFonts w:ascii="Times New Roman" w:hAnsi="Times New Roman" w:cs="Times New Roman"/>
          <w:sz w:val="24"/>
          <w:szCs w:val="24"/>
        </w:rPr>
        <w:t>.</w:t>
      </w:r>
    </w:p>
    <w:p w:rsidR="00871911" w:rsidRPr="00A40ACC" w:rsidRDefault="00871911" w:rsidP="00235461">
      <w:pPr>
        <w:spacing w:after="0" w:line="264" w:lineRule="auto"/>
        <w:jc w:val="both"/>
        <w:rPr>
          <w:rFonts w:ascii="Times New Roman" w:hAnsi="Times New Roman" w:cs="Times New Roman"/>
          <w:sz w:val="24"/>
          <w:szCs w:val="24"/>
        </w:rPr>
      </w:pPr>
    </w:p>
    <w:p w:rsidR="00871911" w:rsidRPr="00A40ACC" w:rsidRDefault="00871911" w:rsidP="00235461">
      <w:pPr>
        <w:spacing w:after="0" w:line="264" w:lineRule="auto"/>
        <w:jc w:val="both"/>
        <w:rPr>
          <w:rFonts w:ascii="Times New Roman" w:hAnsi="Times New Roman" w:cs="Times New Roman"/>
          <w:i/>
          <w:sz w:val="24"/>
          <w:szCs w:val="24"/>
        </w:rPr>
      </w:pPr>
      <w:r w:rsidRPr="00A40ACC">
        <w:rPr>
          <w:rFonts w:ascii="Times New Roman" w:hAnsi="Times New Roman" w:cs="Times New Roman"/>
          <w:i/>
          <w:sz w:val="24"/>
          <w:szCs w:val="24"/>
        </w:rPr>
        <w:t>General</w:t>
      </w:r>
    </w:p>
    <w:p w:rsidR="00871911"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rPr>
        <w:t>One submitter</w:t>
      </w:r>
      <w:r w:rsidRPr="00A40ACC">
        <w:rPr>
          <w:rStyle w:val="FootnoteReference"/>
          <w:rFonts w:ascii="Times New Roman" w:hAnsi="Times New Roman" w:cs="Times New Roman"/>
          <w:sz w:val="24"/>
          <w:szCs w:val="24"/>
        </w:rPr>
        <w:footnoteReference w:id="78"/>
      </w:r>
      <w:r w:rsidRPr="00A40ACC">
        <w:rPr>
          <w:rFonts w:ascii="Times New Roman" w:hAnsi="Times New Roman" w:cs="Times New Roman"/>
          <w:sz w:val="24"/>
          <w:szCs w:val="24"/>
        </w:rPr>
        <w:t xml:space="preserve"> noted that there are a host of agencies with responsibilities for supporting activities aimed at improving both quality and safety in the health sector. They stated that</w:t>
      </w:r>
      <w:r w:rsidR="00F5129E" w:rsidRPr="00A40ACC">
        <w:rPr>
          <w:rFonts w:ascii="Times New Roman" w:hAnsi="Times New Roman" w:cs="Times New Roman"/>
          <w:sz w:val="24"/>
          <w:szCs w:val="24"/>
        </w:rPr>
        <w:t>,</w:t>
      </w:r>
      <w:r w:rsidRPr="00A40ACC">
        <w:rPr>
          <w:rFonts w:ascii="Times New Roman" w:hAnsi="Times New Roman" w:cs="Times New Roman"/>
          <w:sz w:val="24"/>
          <w:szCs w:val="24"/>
        </w:rPr>
        <w:t xml:space="preserve"> on occasion, more than one agency will be reviewing or investigating the same provider and that working together would be beneficial regarding information gathering and identification of corrective measures that could be employed. Furthermore, they considered that there is occasionally a situation of competing statutory powers relating to investigations (citing the Intellectual Disability (C</w:t>
      </w:r>
      <w:r w:rsidR="003863FC">
        <w:rPr>
          <w:rFonts w:ascii="Times New Roman" w:hAnsi="Times New Roman" w:cs="Times New Roman"/>
          <w:sz w:val="24"/>
          <w:szCs w:val="24"/>
        </w:rPr>
        <w:t xml:space="preserve">ompulsory </w:t>
      </w:r>
      <w:r w:rsidRPr="00A40ACC">
        <w:rPr>
          <w:rFonts w:ascii="Times New Roman" w:hAnsi="Times New Roman" w:cs="Times New Roman"/>
          <w:sz w:val="24"/>
          <w:szCs w:val="24"/>
        </w:rPr>
        <w:t>C</w:t>
      </w:r>
      <w:r w:rsidR="003863FC">
        <w:rPr>
          <w:rFonts w:ascii="Times New Roman" w:hAnsi="Times New Roman" w:cs="Times New Roman"/>
          <w:sz w:val="24"/>
          <w:szCs w:val="24"/>
        </w:rPr>
        <w:t xml:space="preserve">are and </w:t>
      </w:r>
      <w:r w:rsidRPr="00A40ACC">
        <w:rPr>
          <w:rFonts w:ascii="Times New Roman" w:hAnsi="Times New Roman" w:cs="Times New Roman"/>
          <w:sz w:val="24"/>
          <w:szCs w:val="24"/>
        </w:rPr>
        <w:t>R</w:t>
      </w:r>
      <w:r w:rsidR="003863FC">
        <w:rPr>
          <w:rFonts w:ascii="Times New Roman" w:hAnsi="Times New Roman" w:cs="Times New Roman"/>
          <w:sz w:val="24"/>
          <w:szCs w:val="24"/>
        </w:rPr>
        <w:t>ehabilitation</w:t>
      </w:r>
      <w:r w:rsidRPr="00A40ACC">
        <w:rPr>
          <w:rFonts w:ascii="Times New Roman" w:hAnsi="Times New Roman" w:cs="Times New Roman"/>
          <w:sz w:val="24"/>
          <w:szCs w:val="24"/>
        </w:rPr>
        <w:t xml:space="preserve">) Act 2003) and how investigations should progress without prejudice to each other (in comparison to section 42, regarding authorities). The submitter suggested that there could be a specific duty in the Act requiring the Commissioner to collaborate with other agencies, to an </w:t>
      </w:r>
      <w:r w:rsidRPr="00A40ACC">
        <w:rPr>
          <w:rFonts w:ascii="Times New Roman" w:hAnsi="Times New Roman" w:cs="Times New Roman"/>
          <w:sz w:val="24"/>
          <w:szCs w:val="24"/>
          <w:lang w:val="en-US" w:eastAsia="en-US"/>
        </w:rPr>
        <w:t>appropriate extent.</w:t>
      </w:r>
    </w:p>
    <w:p w:rsidR="00891758" w:rsidRPr="00A40ACC" w:rsidRDefault="00891758" w:rsidP="00235461">
      <w:pPr>
        <w:spacing w:after="0" w:line="264" w:lineRule="auto"/>
        <w:jc w:val="both"/>
        <w:rPr>
          <w:rFonts w:ascii="Times New Roman" w:hAnsi="Times New Roman" w:cs="Times New Roman"/>
          <w:sz w:val="24"/>
          <w:szCs w:val="24"/>
          <w:lang w:val="en-US" w:eastAsia="en-US"/>
        </w:rPr>
      </w:pPr>
    </w:p>
    <w:p w:rsidR="00871911" w:rsidRPr="00A40ACC" w:rsidRDefault="00871911" w:rsidP="00235461">
      <w:pPr>
        <w:spacing w:after="0" w:line="264" w:lineRule="auto"/>
        <w:jc w:val="both"/>
        <w:rPr>
          <w:rFonts w:ascii="Times New Roman" w:hAnsi="Times New Roman" w:cs="Times New Roman"/>
          <w:sz w:val="24"/>
          <w:szCs w:val="24"/>
        </w:rPr>
      </w:pPr>
      <w:proofErr w:type="spellStart"/>
      <w:r w:rsidRPr="00A40ACC">
        <w:rPr>
          <w:rFonts w:ascii="Times New Roman" w:hAnsi="Times New Roman" w:cs="Times New Roman"/>
          <w:sz w:val="24"/>
          <w:szCs w:val="24"/>
          <w:lang w:val="en-US" w:eastAsia="en-US"/>
        </w:rPr>
        <w:t>Ano</w:t>
      </w:r>
      <w:r w:rsidRPr="00A40ACC">
        <w:rPr>
          <w:rFonts w:ascii="Times New Roman" w:hAnsi="Times New Roman" w:cs="Times New Roman"/>
          <w:sz w:val="24"/>
          <w:szCs w:val="24"/>
        </w:rPr>
        <w:t>ther</w:t>
      </w:r>
      <w:proofErr w:type="spellEnd"/>
      <w:r w:rsidRPr="00A40ACC">
        <w:rPr>
          <w:rFonts w:ascii="Times New Roman" w:hAnsi="Times New Roman" w:cs="Times New Roman"/>
          <w:sz w:val="24"/>
          <w:szCs w:val="24"/>
        </w:rPr>
        <w:t xml:space="preserve"> submission</w:t>
      </w:r>
      <w:r w:rsidRPr="00A40ACC">
        <w:rPr>
          <w:rStyle w:val="FootnoteReference"/>
          <w:rFonts w:ascii="Times New Roman" w:hAnsi="Times New Roman" w:cs="Times New Roman"/>
          <w:sz w:val="24"/>
          <w:szCs w:val="24"/>
        </w:rPr>
        <w:footnoteReference w:id="79"/>
      </w:r>
      <w:r w:rsidRPr="00A40ACC">
        <w:rPr>
          <w:rFonts w:ascii="Times New Roman" w:hAnsi="Times New Roman" w:cs="Times New Roman"/>
          <w:sz w:val="24"/>
          <w:szCs w:val="24"/>
        </w:rPr>
        <w:t xml:space="preserve"> suggested that more communication is needed between government departments, HDC, </w:t>
      </w:r>
      <w:proofErr w:type="spellStart"/>
      <w:r w:rsidRPr="00A40ACC">
        <w:rPr>
          <w:rFonts w:ascii="Times New Roman" w:hAnsi="Times New Roman" w:cs="Times New Roman"/>
          <w:sz w:val="24"/>
          <w:szCs w:val="24"/>
        </w:rPr>
        <w:t>Medsafe</w:t>
      </w:r>
      <w:proofErr w:type="spellEnd"/>
      <w:r w:rsidRPr="00A40ACC">
        <w:rPr>
          <w:rFonts w:ascii="Times New Roman" w:hAnsi="Times New Roman" w:cs="Times New Roman"/>
          <w:sz w:val="24"/>
          <w:szCs w:val="24"/>
        </w:rPr>
        <w:t xml:space="preserve">, ACC, Medical Colleges, and DHBs. They considered that reporting needs a more cohesive approach, with information </w:t>
      </w:r>
      <w:r w:rsidR="00337EDA">
        <w:rPr>
          <w:rFonts w:ascii="Times New Roman" w:hAnsi="Times New Roman" w:cs="Times New Roman"/>
          <w:sz w:val="24"/>
          <w:szCs w:val="24"/>
        </w:rPr>
        <w:t>about</w:t>
      </w:r>
      <w:r w:rsidRPr="00A40ACC">
        <w:rPr>
          <w:rFonts w:ascii="Times New Roman" w:hAnsi="Times New Roman" w:cs="Times New Roman"/>
          <w:sz w:val="24"/>
          <w:szCs w:val="24"/>
        </w:rPr>
        <w:t xml:space="preserve"> adverse events shared between departments, and that </w:t>
      </w:r>
      <w:r w:rsidR="00C222AD">
        <w:rPr>
          <w:rFonts w:ascii="Times New Roman" w:hAnsi="Times New Roman" w:cs="Times New Roman"/>
          <w:sz w:val="24"/>
          <w:szCs w:val="24"/>
        </w:rPr>
        <w:t>this information</w:t>
      </w:r>
      <w:r w:rsidRPr="00A40ACC">
        <w:rPr>
          <w:rFonts w:ascii="Times New Roman" w:hAnsi="Times New Roman" w:cs="Times New Roman"/>
          <w:sz w:val="24"/>
          <w:szCs w:val="24"/>
        </w:rPr>
        <w:t xml:space="preserve"> should be made available to the public. </w:t>
      </w:r>
    </w:p>
    <w:p w:rsidR="00871911" w:rsidRDefault="00871911" w:rsidP="00235461">
      <w:pPr>
        <w:spacing w:after="0" w:line="264" w:lineRule="auto"/>
        <w:jc w:val="both"/>
        <w:rPr>
          <w:rFonts w:ascii="Times New Roman" w:hAnsi="Times New Roman" w:cs="Times New Roman"/>
          <w:sz w:val="24"/>
          <w:szCs w:val="24"/>
          <w:lang w:val="en-US" w:eastAsia="en-US"/>
        </w:rPr>
      </w:pPr>
      <w:r w:rsidRPr="00A40ACC">
        <w:rPr>
          <w:rFonts w:ascii="Times New Roman" w:hAnsi="Times New Roman" w:cs="Times New Roman"/>
          <w:sz w:val="24"/>
          <w:szCs w:val="24"/>
        </w:rPr>
        <w:lastRenderedPageBreak/>
        <w:t>Another submission</w:t>
      </w:r>
      <w:r w:rsidRPr="00A40ACC">
        <w:rPr>
          <w:rStyle w:val="FootnoteReference"/>
          <w:rFonts w:ascii="Times New Roman" w:hAnsi="Times New Roman" w:cs="Times New Roman"/>
          <w:sz w:val="24"/>
          <w:szCs w:val="24"/>
        </w:rPr>
        <w:footnoteReference w:id="80"/>
      </w:r>
      <w:r w:rsidRPr="00A40ACC">
        <w:rPr>
          <w:rFonts w:ascii="Times New Roman" w:hAnsi="Times New Roman" w:cs="Times New Roman"/>
          <w:sz w:val="24"/>
          <w:szCs w:val="24"/>
        </w:rPr>
        <w:t xml:space="preserve"> also considered that there is a lack of cross-agency collaboration and suggested that legislative change could be considered to enable this, although protocols and processes could also be put in place to </w:t>
      </w:r>
      <w:r w:rsidRPr="00A40ACC">
        <w:rPr>
          <w:rFonts w:ascii="Times New Roman" w:hAnsi="Times New Roman" w:cs="Times New Roman"/>
          <w:sz w:val="24"/>
          <w:szCs w:val="24"/>
          <w:lang w:val="en-US" w:eastAsia="en-US"/>
        </w:rPr>
        <w:t xml:space="preserve">achieve this. </w:t>
      </w:r>
    </w:p>
    <w:p w:rsidR="00AA5BC2" w:rsidRPr="00A40ACC" w:rsidRDefault="00AA5BC2" w:rsidP="00235461">
      <w:pPr>
        <w:spacing w:after="0" w:line="264" w:lineRule="auto"/>
        <w:jc w:val="both"/>
        <w:rPr>
          <w:rFonts w:ascii="Times New Roman" w:hAnsi="Times New Roman" w:cs="Times New Roman"/>
          <w:sz w:val="24"/>
          <w:szCs w:val="24"/>
          <w:lang w:val="en-US" w:eastAsia="en-US"/>
        </w:rPr>
      </w:pPr>
    </w:p>
    <w:p w:rsidR="00AA5BC2" w:rsidRPr="00A40ACC" w:rsidRDefault="00AA5BC2" w:rsidP="00AA5BC2">
      <w:pPr>
        <w:spacing w:after="0" w:line="264" w:lineRule="auto"/>
        <w:jc w:val="both"/>
        <w:rPr>
          <w:rFonts w:ascii="Times New Roman" w:hAnsi="Times New Roman" w:cs="Times New Roman"/>
          <w:i/>
          <w:sz w:val="24"/>
          <w:szCs w:val="24"/>
        </w:rPr>
      </w:pPr>
      <w:r w:rsidRPr="00A40ACC">
        <w:rPr>
          <w:rFonts w:ascii="Times New Roman" w:hAnsi="Times New Roman" w:cs="Times New Roman"/>
          <w:i/>
          <w:sz w:val="24"/>
          <w:szCs w:val="24"/>
        </w:rPr>
        <w:t>ACC</w:t>
      </w:r>
    </w:p>
    <w:p w:rsidR="00871911"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lang w:val="en-US" w:eastAsia="en-US"/>
        </w:rPr>
        <w:t>It was commented</w:t>
      </w:r>
      <w:r w:rsidRPr="00A40ACC">
        <w:rPr>
          <w:rFonts w:ascii="Times New Roman" w:hAnsi="Times New Roman" w:cs="Times New Roman"/>
          <w:sz w:val="24"/>
          <w:szCs w:val="24"/>
        </w:rPr>
        <w:t xml:space="preserve"> by ACC</w:t>
      </w:r>
      <w:r w:rsidRPr="00A40ACC">
        <w:rPr>
          <w:rStyle w:val="FootnoteReference"/>
          <w:rFonts w:ascii="Times New Roman" w:hAnsi="Times New Roman" w:cs="Times New Roman"/>
          <w:sz w:val="24"/>
          <w:szCs w:val="24"/>
        </w:rPr>
        <w:footnoteReference w:id="81"/>
      </w:r>
      <w:r w:rsidRPr="00A40ACC">
        <w:rPr>
          <w:rFonts w:ascii="Times New Roman" w:hAnsi="Times New Roman" w:cs="Times New Roman"/>
          <w:sz w:val="24"/>
          <w:szCs w:val="24"/>
        </w:rPr>
        <w:t xml:space="preserve"> that sometimes it is not clear whether ACC or HDC should be responsible for the investigation of complaints under the two </w:t>
      </w:r>
      <w:r w:rsidR="00F5129E" w:rsidRPr="00A40ACC">
        <w:rPr>
          <w:rFonts w:ascii="Times New Roman" w:hAnsi="Times New Roman" w:cs="Times New Roman"/>
          <w:sz w:val="24"/>
          <w:szCs w:val="24"/>
        </w:rPr>
        <w:t xml:space="preserve">agencies’ </w:t>
      </w:r>
      <w:r w:rsidRPr="00A40ACC">
        <w:rPr>
          <w:rFonts w:ascii="Times New Roman" w:hAnsi="Times New Roman" w:cs="Times New Roman"/>
          <w:sz w:val="24"/>
          <w:szCs w:val="24"/>
        </w:rPr>
        <w:t xml:space="preserve">respective Codes. They stated that </w:t>
      </w:r>
      <w:r w:rsidR="00F5129E" w:rsidRPr="00A40ACC">
        <w:rPr>
          <w:rFonts w:ascii="Times New Roman" w:hAnsi="Times New Roman" w:cs="Times New Roman"/>
          <w:sz w:val="24"/>
          <w:szCs w:val="24"/>
        </w:rPr>
        <w:t xml:space="preserve">development of </w:t>
      </w:r>
      <w:r w:rsidRPr="00A40ACC">
        <w:rPr>
          <w:rFonts w:ascii="Times New Roman" w:hAnsi="Times New Roman" w:cs="Times New Roman"/>
          <w:sz w:val="24"/>
          <w:szCs w:val="24"/>
        </w:rPr>
        <w:t>a</w:t>
      </w:r>
      <w:r w:rsidR="00F5129E" w:rsidRPr="00A40ACC">
        <w:rPr>
          <w:rFonts w:ascii="Times New Roman" w:hAnsi="Times New Roman" w:cs="Times New Roman"/>
          <w:sz w:val="24"/>
          <w:szCs w:val="24"/>
        </w:rPr>
        <w:t>n</w:t>
      </w:r>
      <w:r w:rsidR="00883022" w:rsidRPr="00A40ACC">
        <w:rPr>
          <w:rFonts w:ascii="Times New Roman" w:hAnsi="Times New Roman" w:cs="Times New Roman"/>
          <w:sz w:val="24"/>
          <w:szCs w:val="24"/>
        </w:rPr>
        <w:t xml:space="preserve"> </w:t>
      </w:r>
      <w:r w:rsidR="00F5129E" w:rsidRPr="00A40ACC">
        <w:rPr>
          <w:rFonts w:ascii="Times New Roman" w:hAnsi="Times New Roman" w:cs="Times New Roman"/>
          <w:sz w:val="24"/>
          <w:szCs w:val="24"/>
        </w:rPr>
        <w:t>MOU</w:t>
      </w:r>
      <w:r w:rsidRPr="00A40ACC">
        <w:rPr>
          <w:rFonts w:ascii="Times New Roman" w:hAnsi="Times New Roman" w:cs="Times New Roman"/>
          <w:sz w:val="24"/>
          <w:szCs w:val="24"/>
        </w:rPr>
        <w:t xml:space="preserve"> </w:t>
      </w:r>
      <w:r w:rsidR="00F5129E" w:rsidRPr="00A40ACC">
        <w:rPr>
          <w:rFonts w:ascii="Times New Roman" w:hAnsi="Times New Roman" w:cs="Times New Roman"/>
          <w:sz w:val="24"/>
          <w:szCs w:val="24"/>
        </w:rPr>
        <w:t>between the agencies is being considered</w:t>
      </w:r>
      <w:r w:rsidRPr="00A40ACC">
        <w:rPr>
          <w:rFonts w:ascii="Times New Roman" w:hAnsi="Times New Roman" w:cs="Times New Roman"/>
          <w:sz w:val="24"/>
          <w:szCs w:val="24"/>
        </w:rPr>
        <w:t>.</w:t>
      </w:r>
    </w:p>
    <w:p w:rsidR="00EE096C" w:rsidRPr="00A40ACC" w:rsidRDefault="00EE096C" w:rsidP="00235461">
      <w:pPr>
        <w:spacing w:after="0" w:line="264" w:lineRule="auto"/>
        <w:jc w:val="both"/>
        <w:rPr>
          <w:rFonts w:ascii="Times New Roman" w:hAnsi="Times New Roman" w:cs="Times New Roman"/>
          <w:sz w:val="24"/>
          <w:szCs w:val="24"/>
        </w:rPr>
      </w:pPr>
    </w:p>
    <w:p w:rsidR="00871911"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One submission</w:t>
      </w:r>
      <w:r w:rsidRPr="00A40ACC">
        <w:rPr>
          <w:rStyle w:val="FootnoteReference"/>
          <w:rFonts w:ascii="Times New Roman" w:hAnsi="Times New Roman" w:cs="Times New Roman"/>
          <w:sz w:val="24"/>
          <w:szCs w:val="24"/>
        </w:rPr>
        <w:footnoteReference w:id="82"/>
      </w:r>
      <w:r w:rsidRPr="00A40ACC">
        <w:rPr>
          <w:rFonts w:ascii="Times New Roman" w:hAnsi="Times New Roman" w:cs="Times New Roman"/>
          <w:sz w:val="24"/>
          <w:szCs w:val="24"/>
        </w:rPr>
        <w:t xml:space="preserve"> considered that the Act needs amendment in order to be </w:t>
      </w:r>
      <w:r w:rsidR="00E568DC">
        <w:rPr>
          <w:rFonts w:ascii="Times New Roman" w:hAnsi="Times New Roman" w:cs="Times New Roman"/>
          <w:sz w:val="24"/>
          <w:szCs w:val="24"/>
        </w:rPr>
        <w:t>more</w:t>
      </w:r>
      <w:r w:rsidRPr="00A40ACC">
        <w:rPr>
          <w:rFonts w:ascii="Times New Roman" w:hAnsi="Times New Roman" w:cs="Times New Roman"/>
          <w:sz w:val="24"/>
          <w:szCs w:val="24"/>
        </w:rPr>
        <w:t xml:space="preserve"> consumer </w:t>
      </w:r>
      <w:r w:rsidR="00EE096C" w:rsidRPr="00A40ACC">
        <w:rPr>
          <w:rFonts w:ascii="Times New Roman" w:hAnsi="Times New Roman" w:cs="Times New Roman"/>
          <w:sz w:val="24"/>
          <w:szCs w:val="24"/>
        </w:rPr>
        <w:t>centred</w:t>
      </w:r>
      <w:r w:rsidRPr="00A40ACC">
        <w:rPr>
          <w:rFonts w:ascii="Times New Roman" w:hAnsi="Times New Roman" w:cs="Times New Roman"/>
          <w:sz w:val="24"/>
          <w:szCs w:val="24"/>
        </w:rPr>
        <w:t xml:space="preserve"> and more integrated with overlapping Acts, noting the Coroners Act and A</w:t>
      </w:r>
      <w:r w:rsidR="003863FC">
        <w:rPr>
          <w:rFonts w:ascii="Times New Roman" w:hAnsi="Times New Roman" w:cs="Times New Roman"/>
          <w:sz w:val="24"/>
          <w:szCs w:val="24"/>
        </w:rPr>
        <w:t xml:space="preserve">ccident </w:t>
      </w:r>
      <w:r w:rsidRPr="00A40ACC">
        <w:rPr>
          <w:rFonts w:ascii="Times New Roman" w:hAnsi="Times New Roman" w:cs="Times New Roman"/>
          <w:sz w:val="24"/>
          <w:szCs w:val="24"/>
        </w:rPr>
        <w:t>C</w:t>
      </w:r>
      <w:r w:rsidR="003863FC">
        <w:rPr>
          <w:rFonts w:ascii="Times New Roman" w:hAnsi="Times New Roman" w:cs="Times New Roman"/>
          <w:sz w:val="24"/>
          <w:szCs w:val="24"/>
        </w:rPr>
        <w:t>ompensation Act</w:t>
      </w:r>
      <w:r w:rsidRPr="00A40ACC">
        <w:rPr>
          <w:rFonts w:ascii="Times New Roman" w:hAnsi="Times New Roman" w:cs="Times New Roman"/>
          <w:sz w:val="24"/>
          <w:szCs w:val="24"/>
        </w:rPr>
        <w:t xml:space="preserve">. They considered that it is “utter nonsense” that only HDC can declare a service as </w:t>
      </w:r>
      <w:r w:rsidR="00BE35BA">
        <w:rPr>
          <w:rFonts w:ascii="Times New Roman" w:hAnsi="Times New Roman" w:cs="Times New Roman"/>
          <w:sz w:val="24"/>
          <w:szCs w:val="24"/>
        </w:rPr>
        <w:t>“</w:t>
      </w:r>
      <w:r w:rsidRPr="00A40ACC">
        <w:rPr>
          <w:rFonts w:ascii="Times New Roman" w:hAnsi="Times New Roman" w:cs="Times New Roman"/>
          <w:sz w:val="24"/>
          <w:szCs w:val="24"/>
        </w:rPr>
        <w:t>substandard</w:t>
      </w:r>
      <w:r w:rsidR="00BE35BA">
        <w:rPr>
          <w:rFonts w:ascii="Times New Roman" w:hAnsi="Times New Roman" w:cs="Times New Roman"/>
          <w:sz w:val="24"/>
          <w:szCs w:val="24"/>
        </w:rPr>
        <w:t>”</w:t>
      </w:r>
      <w:r w:rsidRPr="00A40ACC">
        <w:rPr>
          <w:rFonts w:ascii="Times New Roman" w:hAnsi="Times New Roman" w:cs="Times New Roman"/>
          <w:sz w:val="24"/>
          <w:szCs w:val="24"/>
        </w:rPr>
        <w:t xml:space="preserve"> for the purpose of the Act when the ACC also make determinations of substandard care based on expert advice, and providers themselves will often admit substandard care. They suggested that if a service is determined </w:t>
      </w:r>
      <w:r w:rsidR="00BE35BA">
        <w:rPr>
          <w:rFonts w:ascii="Times New Roman" w:hAnsi="Times New Roman" w:cs="Times New Roman"/>
          <w:sz w:val="24"/>
          <w:szCs w:val="24"/>
        </w:rPr>
        <w:t>“</w:t>
      </w:r>
      <w:r w:rsidRPr="00A40ACC">
        <w:rPr>
          <w:rFonts w:ascii="Times New Roman" w:hAnsi="Times New Roman" w:cs="Times New Roman"/>
          <w:sz w:val="24"/>
          <w:szCs w:val="24"/>
        </w:rPr>
        <w:t>substandard</w:t>
      </w:r>
      <w:r w:rsidR="00BE35BA">
        <w:rPr>
          <w:rFonts w:ascii="Times New Roman" w:hAnsi="Times New Roman" w:cs="Times New Roman"/>
          <w:sz w:val="24"/>
          <w:szCs w:val="24"/>
        </w:rPr>
        <w:t>”</w:t>
      </w:r>
      <w:r w:rsidRPr="00A40ACC">
        <w:rPr>
          <w:rFonts w:ascii="Times New Roman" w:hAnsi="Times New Roman" w:cs="Times New Roman"/>
          <w:sz w:val="24"/>
          <w:szCs w:val="24"/>
        </w:rPr>
        <w:t xml:space="preserve"> by either ACC</w:t>
      </w:r>
      <w:r w:rsidR="008E7A5E">
        <w:rPr>
          <w:rFonts w:ascii="Times New Roman" w:hAnsi="Times New Roman" w:cs="Times New Roman"/>
          <w:sz w:val="24"/>
          <w:szCs w:val="24"/>
        </w:rPr>
        <w:t xml:space="preserve">, </w:t>
      </w:r>
      <w:r w:rsidRPr="00A40ACC">
        <w:rPr>
          <w:rFonts w:ascii="Times New Roman" w:hAnsi="Times New Roman" w:cs="Times New Roman"/>
          <w:sz w:val="24"/>
          <w:szCs w:val="24"/>
        </w:rPr>
        <w:t>the Coroner</w:t>
      </w:r>
      <w:r w:rsidR="008E7A5E">
        <w:rPr>
          <w:rFonts w:ascii="Times New Roman" w:hAnsi="Times New Roman" w:cs="Times New Roman"/>
          <w:sz w:val="24"/>
          <w:szCs w:val="24"/>
        </w:rPr>
        <w:t>,</w:t>
      </w:r>
      <w:r w:rsidRPr="00A40ACC">
        <w:rPr>
          <w:rFonts w:ascii="Times New Roman" w:hAnsi="Times New Roman" w:cs="Times New Roman"/>
          <w:sz w:val="24"/>
          <w:szCs w:val="24"/>
        </w:rPr>
        <w:t xml:space="preserve"> or the provider then this should be adopted by HDC. Such an approach would greatly reduce the time taken and stress involved in multiple jurisdictions for victims and their families.</w:t>
      </w:r>
    </w:p>
    <w:p w:rsidR="00871911" w:rsidRPr="00A40ACC" w:rsidRDefault="00871911" w:rsidP="00235461">
      <w:pPr>
        <w:spacing w:after="0" w:line="264" w:lineRule="auto"/>
        <w:jc w:val="both"/>
        <w:rPr>
          <w:rFonts w:ascii="Times New Roman" w:hAnsi="Times New Roman" w:cs="Times New Roman"/>
          <w:sz w:val="24"/>
          <w:szCs w:val="24"/>
        </w:rPr>
      </w:pPr>
    </w:p>
    <w:p w:rsidR="00871911" w:rsidRPr="00A40ACC" w:rsidRDefault="00871911" w:rsidP="00235461">
      <w:pPr>
        <w:spacing w:after="0" w:line="264" w:lineRule="auto"/>
        <w:jc w:val="both"/>
        <w:rPr>
          <w:rFonts w:ascii="Helv" w:hAnsi="Helv" w:cs="Helv"/>
          <w:sz w:val="20"/>
          <w:szCs w:val="20"/>
        </w:rPr>
      </w:pPr>
      <w:r w:rsidRPr="00A40ACC">
        <w:rPr>
          <w:rFonts w:ascii="Times New Roman" w:hAnsi="Times New Roman" w:cs="Times New Roman"/>
          <w:i/>
          <w:sz w:val="24"/>
          <w:szCs w:val="24"/>
        </w:rPr>
        <w:t>Disability</w:t>
      </w:r>
    </w:p>
    <w:p w:rsidR="00871911"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One submitter</w:t>
      </w:r>
      <w:r w:rsidRPr="00A40ACC">
        <w:rPr>
          <w:rStyle w:val="FootnoteReference"/>
          <w:rFonts w:ascii="Times New Roman" w:hAnsi="Times New Roman" w:cs="Times New Roman"/>
          <w:sz w:val="24"/>
          <w:szCs w:val="24"/>
        </w:rPr>
        <w:footnoteReference w:id="83"/>
      </w:r>
      <w:r w:rsidRPr="00A40ACC">
        <w:rPr>
          <w:rFonts w:ascii="Times New Roman" w:hAnsi="Times New Roman" w:cs="Times New Roman"/>
          <w:sz w:val="24"/>
          <w:szCs w:val="24"/>
        </w:rPr>
        <w:t xml:space="preserve"> noted that there have been reports</w:t>
      </w:r>
      <w:r w:rsidRPr="00A40ACC">
        <w:rPr>
          <w:rStyle w:val="FootnoteReference"/>
          <w:rFonts w:ascii="Times New Roman" w:hAnsi="Times New Roman" w:cs="Times New Roman"/>
          <w:sz w:val="24"/>
          <w:szCs w:val="24"/>
        </w:rPr>
        <w:footnoteReference w:id="84"/>
      </w:r>
      <w:r w:rsidRPr="00A40ACC">
        <w:rPr>
          <w:rFonts w:ascii="Times New Roman" w:hAnsi="Times New Roman" w:cs="Times New Roman"/>
          <w:sz w:val="24"/>
          <w:szCs w:val="24"/>
        </w:rPr>
        <w:t xml:space="preserve"> criticising the lack of cross-agency collaboration and communication with regard to timely and effective resolution of complaints about disability support services. </w:t>
      </w:r>
    </w:p>
    <w:p w:rsidR="001A67DB" w:rsidRPr="00A40ACC" w:rsidRDefault="001A67DB" w:rsidP="00235461">
      <w:pPr>
        <w:spacing w:after="0" w:line="264" w:lineRule="auto"/>
        <w:jc w:val="both"/>
        <w:rPr>
          <w:rFonts w:ascii="Times New Roman" w:hAnsi="Times New Roman" w:cs="Times New Roman"/>
          <w:b/>
          <w:i/>
          <w:sz w:val="24"/>
          <w:szCs w:val="24"/>
        </w:rPr>
      </w:pPr>
    </w:p>
    <w:p w:rsidR="00871911"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b/>
          <w:i/>
          <w:sz w:val="24"/>
          <w:szCs w:val="24"/>
        </w:rPr>
        <w:t>Privacy</w:t>
      </w:r>
    </w:p>
    <w:p w:rsidR="00871911"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A few submitters</w:t>
      </w:r>
      <w:r w:rsidRPr="00A40ACC">
        <w:rPr>
          <w:rStyle w:val="FootnoteReference"/>
          <w:rFonts w:ascii="Times New Roman" w:hAnsi="Times New Roman" w:cs="Times New Roman"/>
          <w:sz w:val="24"/>
          <w:szCs w:val="24"/>
        </w:rPr>
        <w:footnoteReference w:id="85"/>
      </w:r>
      <w:r w:rsidRPr="00A40ACC">
        <w:rPr>
          <w:rFonts w:ascii="Times New Roman" w:hAnsi="Times New Roman" w:cs="Times New Roman"/>
          <w:sz w:val="24"/>
          <w:szCs w:val="24"/>
        </w:rPr>
        <w:t xml:space="preserve"> commented on the issue of health information privacy</w:t>
      </w:r>
      <w:r w:rsidR="00DB44A7" w:rsidRPr="00A40ACC">
        <w:rPr>
          <w:rFonts w:ascii="Times New Roman" w:hAnsi="Times New Roman" w:cs="Times New Roman"/>
          <w:sz w:val="24"/>
          <w:szCs w:val="24"/>
        </w:rPr>
        <w:t xml:space="preserve">, which was </w:t>
      </w:r>
      <w:r w:rsidR="00FC34D9" w:rsidRPr="00A40ACC">
        <w:rPr>
          <w:rFonts w:ascii="Times New Roman" w:hAnsi="Times New Roman" w:cs="Times New Roman"/>
          <w:sz w:val="24"/>
          <w:szCs w:val="24"/>
        </w:rPr>
        <w:t>consulted on in 2009.</w:t>
      </w:r>
    </w:p>
    <w:p w:rsidR="00891758" w:rsidRPr="00A40ACC" w:rsidRDefault="00891758" w:rsidP="00235461">
      <w:pPr>
        <w:spacing w:after="0" w:line="264" w:lineRule="auto"/>
        <w:jc w:val="both"/>
        <w:rPr>
          <w:rFonts w:ascii="Times New Roman" w:hAnsi="Times New Roman" w:cs="Times New Roman"/>
          <w:sz w:val="24"/>
          <w:szCs w:val="24"/>
        </w:rPr>
      </w:pPr>
    </w:p>
    <w:p w:rsidR="00F02090" w:rsidRDefault="00F02090"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lang w:val="en-US" w:eastAsia="en-US"/>
        </w:rPr>
        <w:t xml:space="preserve">The </w:t>
      </w:r>
      <w:r w:rsidR="004D0321">
        <w:rPr>
          <w:rFonts w:ascii="Times New Roman" w:hAnsi="Times New Roman" w:cs="Times New Roman"/>
          <w:sz w:val="24"/>
          <w:szCs w:val="24"/>
          <w:lang w:val="en-US" w:eastAsia="en-US"/>
        </w:rPr>
        <w:t>N</w:t>
      </w:r>
      <w:r w:rsidR="008D1D8F">
        <w:rPr>
          <w:rFonts w:ascii="Times New Roman" w:hAnsi="Times New Roman" w:cs="Times New Roman"/>
          <w:sz w:val="24"/>
          <w:szCs w:val="24"/>
          <w:lang w:val="en-US" w:eastAsia="en-US"/>
        </w:rPr>
        <w:t xml:space="preserve">ew </w:t>
      </w:r>
      <w:r w:rsidR="004D0321">
        <w:rPr>
          <w:rFonts w:ascii="Times New Roman" w:hAnsi="Times New Roman" w:cs="Times New Roman"/>
          <w:sz w:val="24"/>
          <w:szCs w:val="24"/>
          <w:lang w:val="en-US" w:eastAsia="en-US"/>
        </w:rPr>
        <w:t>Z</w:t>
      </w:r>
      <w:r w:rsidR="008D1D8F">
        <w:rPr>
          <w:rFonts w:ascii="Times New Roman" w:hAnsi="Times New Roman" w:cs="Times New Roman"/>
          <w:sz w:val="24"/>
          <w:szCs w:val="24"/>
          <w:lang w:val="en-US" w:eastAsia="en-US"/>
        </w:rPr>
        <w:t>ealand</w:t>
      </w:r>
      <w:r w:rsidRPr="00A40ACC">
        <w:rPr>
          <w:rFonts w:ascii="Times New Roman" w:hAnsi="Times New Roman" w:cs="Times New Roman"/>
          <w:sz w:val="24"/>
          <w:szCs w:val="24"/>
          <w:lang w:val="en-US" w:eastAsia="en-US"/>
        </w:rPr>
        <w:t xml:space="preserve"> Law Society</w:t>
      </w:r>
      <w:r w:rsidRPr="00A40ACC">
        <w:rPr>
          <w:rStyle w:val="FootnoteReference"/>
          <w:rFonts w:ascii="Times New Roman" w:hAnsi="Times New Roman" w:cs="Times New Roman"/>
          <w:sz w:val="24"/>
          <w:szCs w:val="24"/>
          <w:lang w:val="en-US" w:eastAsia="en-US"/>
        </w:rPr>
        <w:footnoteReference w:id="86"/>
      </w:r>
      <w:r w:rsidRPr="00A40ACC">
        <w:rPr>
          <w:rFonts w:ascii="Times New Roman" w:hAnsi="Times New Roman" w:cs="Times New Roman"/>
          <w:sz w:val="24"/>
          <w:szCs w:val="24"/>
          <w:lang w:val="en-US" w:eastAsia="en-US"/>
        </w:rPr>
        <w:t xml:space="preserve"> recommended that Right 1(2) be amended to read “every consumer has the right to have services provided in a manner that respects the privacy of the individual”, and that the definition of privacy be removed from </w:t>
      </w:r>
      <w:r w:rsidR="00742118">
        <w:rPr>
          <w:rFonts w:ascii="Times New Roman" w:hAnsi="Times New Roman" w:cs="Times New Roman"/>
          <w:sz w:val="24"/>
          <w:szCs w:val="24"/>
          <w:lang w:val="en-US" w:eastAsia="en-US"/>
        </w:rPr>
        <w:t>C</w:t>
      </w:r>
      <w:r w:rsidRPr="00A40ACC">
        <w:rPr>
          <w:rFonts w:ascii="Times New Roman" w:hAnsi="Times New Roman" w:cs="Times New Roman"/>
          <w:sz w:val="24"/>
          <w:szCs w:val="24"/>
          <w:lang w:val="en-US" w:eastAsia="en-US"/>
        </w:rPr>
        <w:t xml:space="preserve">lause 4 of the </w:t>
      </w:r>
      <w:r w:rsidRPr="00A40ACC">
        <w:rPr>
          <w:rFonts w:ascii="Times New Roman" w:hAnsi="Times New Roman" w:cs="Times New Roman"/>
          <w:sz w:val="24"/>
          <w:szCs w:val="24"/>
        </w:rPr>
        <w:t>Code.</w:t>
      </w:r>
    </w:p>
    <w:p w:rsidR="00891758" w:rsidRPr="00A40ACC" w:rsidRDefault="00891758" w:rsidP="00235461">
      <w:pPr>
        <w:spacing w:after="0" w:line="264" w:lineRule="auto"/>
        <w:jc w:val="both"/>
        <w:rPr>
          <w:rFonts w:ascii="Times New Roman" w:hAnsi="Times New Roman" w:cs="Times New Roman"/>
          <w:sz w:val="24"/>
          <w:szCs w:val="24"/>
        </w:rPr>
      </w:pPr>
    </w:p>
    <w:p w:rsidR="00871911"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One</w:t>
      </w:r>
      <w:r w:rsidR="008E7A5E">
        <w:rPr>
          <w:rFonts w:ascii="Times New Roman" w:hAnsi="Times New Roman" w:cs="Times New Roman"/>
          <w:sz w:val="24"/>
          <w:szCs w:val="24"/>
        </w:rPr>
        <w:t xml:space="preserve"> submitter</w:t>
      </w:r>
      <w:r w:rsidRPr="00A40ACC">
        <w:rPr>
          <w:rStyle w:val="FootnoteReference"/>
          <w:rFonts w:ascii="Times New Roman" w:hAnsi="Times New Roman" w:cs="Times New Roman"/>
          <w:sz w:val="24"/>
          <w:szCs w:val="24"/>
        </w:rPr>
        <w:footnoteReference w:id="87"/>
      </w:r>
      <w:r w:rsidRPr="005C78F5">
        <w:rPr>
          <w:rStyle w:val="FootnoteReference"/>
        </w:rPr>
        <w:t xml:space="preserve"> </w:t>
      </w:r>
      <w:r w:rsidRPr="00A40ACC">
        <w:rPr>
          <w:rFonts w:ascii="Times New Roman" w:hAnsi="Times New Roman" w:cs="Times New Roman"/>
          <w:sz w:val="24"/>
          <w:szCs w:val="24"/>
        </w:rPr>
        <w:t xml:space="preserve">commented that </w:t>
      </w:r>
      <w:r w:rsidR="00F5129E" w:rsidRPr="00A40ACC">
        <w:rPr>
          <w:rFonts w:ascii="Times New Roman" w:hAnsi="Times New Roman" w:cs="Times New Roman"/>
          <w:sz w:val="24"/>
          <w:szCs w:val="24"/>
        </w:rPr>
        <w:t xml:space="preserve">information </w:t>
      </w:r>
      <w:r w:rsidRPr="00A40ACC">
        <w:rPr>
          <w:rFonts w:ascii="Times New Roman" w:hAnsi="Times New Roman" w:cs="Times New Roman"/>
          <w:sz w:val="24"/>
          <w:szCs w:val="24"/>
        </w:rPr>
        <w:t>privacy</w:t>
      </w:r>
      <w:r w:rsidR="00F5129E" w:rsidRPr="00A40ACC">
        <w:rPr>
          <w:rFonts w:ascii="Times New Roman" w:hAnsi="Times New Roman" w:cs="Times New Roman"/>
          <w:sz w:val="24"/>
          <w:szCs w:val="24"/>
        </w:rPr>
        <w:t xml:space="preserve"> issues</w:t>
      </w:r>
      <w:r w:rsidRPr="00A40ACC">
        <w:rPr>
          <w:rFonts w:ascii="Times New Roman" w:hAnsi="Times New Roman" w:cs="Times New Roman"/>
          <w:sz w:val="24"/>
          <w:szCs w:val="24"/>
        </w:rPr>
        <w:t xml:space="preserve"> should remain with the Privacy Commission</w:t>
      </w:r>
      <w:r w:rsidR="00F5129E" w:rsidRPr="00A40ACC">
        <w:rPr>
          <w:rFonts w:ascii="Times New Roman" w:hAnsi="Times New Roman" w:cs="Times New Roman"/>
          <w:sz w:val="24"/>
          <w:szCs w:val="24"/>
        </w:rPr>
        <w:t>er</w:t>
      </w:r>
      <w:r w:rsidRPr="00A40ACC">
        <w:rPr>
          <w:rFonts w:ascii="Times New Roman" w:hAnsi="Times New Roman" w:cs="Times New Roman"/>
          <w:sz w:val="24"/>
          <w:szCs w:val="24"/>
        </w:rPr>
        <w:t>. However, another</w:t>
      </w:r>
      <w:r w:rsidRPr="00A40ACC">
        <w:rPr>
          <w:rStyle w:val="FootnoteReference"/>
          <w:rFonts w:ascii="Times New Roman" w:hAnsi="Times New Roman" w:cs="Times New Roman"/>
          <w:sz w:val="24"/>
          <w:szCs w:val="24"/>
        </w:rPr>
        <w:footnoteReference w:id="88"/>
      </w:r>
      <w:r w:rsidRPr="00A40ACC">
        <w:rPr>
          <w:rFonts w:ascii="Times New Roman" w:hAnsi="Times New Roman" w:cs="Times New Roman"/>
          <w:sz w:val="24"/>
          <w:szCs w:val="24"/>
        </w:rPr>
        <w:t xml:space="preserve"> considered that health information privacy should be considered under the Act and </w:t>
      </w:r>
      <w:r w:rsidR="00F5129E" w:rsidRPr="00A40ACC">
        <w:rPr>
          <w:rFonts w:ascii="Times New Roman" w:hAnsi="Times New Roman" w:cs="Times New Roman"/>
          <w:sz w:val="24"/>
          <w:szCs w:val="24"/>
        </w:rPr>
        <w:t xml:space="preserve">the </w:t>
      </w:r>
      <w:r w:rsidRPr="00A40ACC">
        <w:rPr>
          <w:rFonts w:ascii="Times New Roman" w:hAnsi="Times New Roman" w:cs="Times New Roman"/>
          <w:sz w:val="24"/>
          <w:szCs w:val="24"/>
        </w:rPr>
        <w:t>Code</w:t>
      </w:r>
      <w:r w:rsidR="00F5129E" w:rsidRPr="00A40ACC">
        <w:rPr>
          <w:rFonts w:ascii="Times New Roman" w:hAnsi="Times New Roman" w:cs="Times New Roman"/>
          <w:sz w:val="24"/>
          <w:szCs w:val="24"/>
        </w:rPr>
        <w:t xml:space="preserve">. </w:t>
      </w:r>
      <w:r w:rsidRPr="00A40ACC">
        <w:rPr>
          <w:rFonts w:ascii="Times New Roman" w:hAnsi="Times New Roman" w:cs="Times New Roman"/>
          <w:sz w:val="24"/>
          <w:szCs w:val="24"/>
        </w:rPr>
        <w:t>Another submission</w:t>
      </w:r>
      <w:r w:rsidRPr="00A40ACC">
        <w:rPr>
          <w:rStyle w:val="FootnoteReference"/>
          <w:rFonts w:ascii="Times New Roman" w:hAnsi="Times New Roman" w:cs="Times New Roman"/>
          <w:sz w:val="24"/>
          <w:szCs w:val="24"/>
        </w:rPr>
        <w:footnoteReference w:id="89"/>
      </w:r>
      <w:r w:rsidRPr="00A40ACC">
        <w:rPr>
          <w:rFonts w:ascii="Times New Roman" w:hAnsi="Times New Roman" w:cs="Times New Roman"/>
          <w:sz w:val="24"/>
          <w:szCs w:val="24"/>
        </w:rPr>
        <w:t xml:space="preserve"> considered that it would be appropriate for privacy issues to be investigated by HDC when such issues are inextricably part of a complaint under investigation. However, they noted that such </w:t>
      </w:r>
      <w:r w:rsidR="00C10EAB" w:rsidRPr="00A40ACC">
        <w:rPr>
          <w:rFonts w:ascii="Times New Roman" w:hAnsi="Times New Roman" w:cs="Times New Roman"/>
          <w:sz w:val="24"/>
          <w:szCs w:val="24"/>
        </w:rPr>
        <w:t>decisions</w:t>
      </w:r>
      <w:r w:rsidRPr="00A40ACC">
        <w:rPr>
          <w:rFonts w:ascii="Times New Roman" w:hAnsi="Times New Roman" w:cs="Times New Roman"/>
          <w:sz w:val="24"/>
          <w:szCs w:val="24"/>
        </w:rPr>
        <w:t xml:space="preserve"> should be </w:t>
      </w:r>
      <w:r w:rsidR="00C10EAB" w:rsidRPr="00A40ACC">
        <w:rPr>
          <w:rFonts w:ascii="Times New Roman" w:hAnsi="Times New Roman" w:cs="Times New Roman"/>
          <w:sz w:val="24"/>
          <w:szCs w:val="24"/>
        </w:rPr>
        <w:lastRenderedPageBreak/>
        <w:t xml:space="preserve">made </w:t>
      </w:r>
      <w:r w:rsidRPr="00A40ACC">
        <w:rPr>
          <w:rFonts w:ascii="Times New Roman" w:hAnsi="Times New Roman" w:cs="Times New Roman"/>
          <w:sz w:val="24"/>
          <w:szCs w:val="24"/>
        </w:rPr>
        <w:t>in collaboration with the Privacy Commissioner, and in line with best practice protocols</w:t>
      </w:r>
      <w:r w:rsidR="00C10EAB" w:rsidRPr="00A40ACC">
        <w:rPr>
          <w:rFonts w:ascii="Times New Roman" w:hAnsi="Times New Roman" w:cs="Times New Roman"/>
          <w:sz w:val="24"/>
          <w:szCs w:val="24"/>
        </w:rPr>
        <w:t>.</w:t>
      </w:r>
      <w:r w:rsidRPr="00A40ACC">
        <w:rPr>
          <w:rFonts w:ascii="Times New Roman" w:hAnsi="Times New Roman" w:cs="Times New Roman"/>
          <w:sz w:val="24"/>
          <w:szCs w:val="24"/>
        </w:rPr>
        <w:t xml:space="preserve"> </w:t>
      </w:r>
    </w:p>
    <w:p w:rsidR="00AE22B5" w:rsidRPr="00A40ACC" w:rsidRDefault="00AE22B5" w:rsidP="00235461">
      <w:pPr>
        <w:spacing w:after="0" w:line="264" w:lineRule="auto"/>
        <w:jc w:val="both"/>
        <w:rPr>
          <w:rFonts w:ascii="Times New Roman" w:hAnsi="Times New Roman" w:cs="Times New Roman"/>
          <w:sz w:val="24"/>
          <w:szCs w:val="24"/>
        </w:rPr>
      </w:pPr>
    </w:p>
    <w:p w:rsidR="00871911"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b/>
          <w:i/>
          <w:sz w:val="24"/>
          <w:szCs w:val="24"/>
        </w:rPr>
        <w:t>Advocacy</w:t>
      </w:r>
    </w:p>
    <w:p w:rsidR="00871911"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Two submitters</w:t>
      </w:r>
      <w:r w:rsidRPr="00A40ACC">
        <w:rPr>
          <w:rStyle w:val="FootnoteReference"/>
          <w:rFonts w:ascii="Times New Roman" w:hAnsi="Times New Roman" w:cs="Times New Roman"/>
          <w:sz w:val="24"/>
          <w:szCs w:val="24"/>
        </w:rPr>
        <w:footnoteReference w:id="90"/>
      </w:r>
      <w:r w:rsidRPr="00A40ACC">
        <w:rPr>
          <w:rFonts w:ascii="Times New Roman" w:hAnsi="Times New Roman" w:cs="Times New Roman"/>
          <w:sz w:val="24"/>
          <w:szCs w:val="24"/>
        </w:rPr>
        <w:t xml:space="preserve"> commented on the current model of advocacy services. </w:t>
      </w:r>
    </w:p>
    <w:p w:rsidR="00891758" w:rsidRPr="00A40ACC" w:rsidRDefault="00891758" w:rsidP="00235461">
      <w:pPr>
        <w:spacing w:after="0" w:line="264" w:lineRule="auto"/>
        <w:jc w:val="both"/>
        <w:rPr>
          <w:rFonts w:ascii="Times New Roman" w:hAnsi="Times New Roman" w:cs="Times New Roman"/>
          <w:sz w:val="24"/>
          <w:szCs w:val="24"/>
        </w:rPr>
      </w:pPr>
    </w:p>
    <w:p w:rsidR="00871911"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One</w:t>
      </w:r>
      <w:r w:rsidRPr="00A40ACC">
        <w:rPr>
          <w:rStyle w:val="FootnoteReference"/>
          <w:rFonts w:ascii="Times New Roman" w:hAnsi="Times New Roman" w:cs="Times New Roman"/>
          <w:sz w:val="24"/>
          <w:szCs w:val="24"/>
        </w:rPr>
        <w:footnoteReference w:id="91"/>
      </w:r>
      <w:r w:rsidRPr="00A40ACC">
        <w:rPr>
          <w:rFonts w:ascii="Times New Roman" w:hAnsi="Times New Roman" w:cs="Times New Roman"/>
          <w:sz w:val="24"/>
          <w:szCs w:val="24"/>
        </w:rPr>
        <w:t xml:space="preserve"> considered that the current model i</w:t>
      </w:r>
      <w:r w:rsidR="00C10EAB" w:rsidRPr="00A40ACC">
        <w:rPr>
          <w:rFonts w:ascii="Times New Roman" w:hAnsi="Times New Roman" w:cs="Times New Roman"/>
          <w:sz w:val="24"/>
          <w:szCs w:val="24"/>
        </w:rPr>
        <w:t>s</w:t>
      </w:r>
      <w:r w:rsidRPr="00A40ACC">
        <w:rPr>
          <w:rFonts w:ascii="Times New Roman" w:hAnsi="Times New Roman" w:cs="Times New Roman"/>
          <w:sz w:val="24"/>
          <w:szCs w:val="24"/>
        </w:rPr>
        <w:t xml:space="preserve"> inappropriate, </w:t>
      </w:r>
      <w:r w:rsidR="00C10EAB" w:rsidRPr="00A40ACC">
        <w:rPr>
          <w:rFonts w:ascii="Times New Roman" w:hAnsi="Times New Roman" w:cs="Times New Roman"/>
          <w:sz w:val="24"/>
          <w:szCs w:val="24"/>
        </w:rPr>
        <w:t xml:space="preserve">and noted </w:t>
      </w:r>
      <w:r w:rsidRPr="00A40ACC">
        <w:rPr>
          <w:rFonts w:ascii="Times New Roman" w:hAnsi="Times New Roman" w:cs="Times New Roman"/>
          <w:sz w:val="24"/>
          <w:szCs w:val="24"/>
        </w:rPr>
        <w:t>that they support the introduction of an independent Office of the Director of Advocacy that could employ advocates directly. They stated that having advocates independent of the Commissioner is essential, and that the public should perceive that the advocacy service and advocates themselves are independent. In line with this, they suggested that it would be appropriate that the advocacy service have its own budget, rather than being linked to the services provided by HDC.</w:t>
      </w:r>
    </w:p>
    <w:p w:rsidR="001901F0" w:rsidRDefault="001901F0" w:rsidP="00235461">
      <w:pPr>
        <w:spacing w:after="0" w:line="264" w:lineRule="auto"/>
        <w:jc w:val="both"/>
        <w:rPr>
          <w:rFonts w:ascii="Times New Roman" w:hAnsi="Times New Roman" w:cs="Times New Roman"/>
          <w:sz w:val="24"/>
          <w:szCs w:val="24"/>
        </w:rPr>
      </w:pPr>
    </w:p>
    <w:p w:rsidR="00871911"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The other submitter</w:t>
      </w:r>
      <w:r w:rsidRPr="00A40ACC">
        <w:rPr>
          <w:rStyle w:val="FootnoteReference"/>
          <w:rFonts w:ascii="Times New Roman" w:hAnsi="Times New Roman" w:cs="Times New Roman"/>
          <w:sz w:val="24"/>
          <w:szCs w:val="24"/>
        </w:rPr>
        <w:footnoteReference w:id="92"/>
      </w:r>
      <w:r w:rsidRPr="00A40ACC">
        <w:rPr>
          <w:rFonts w:ascii="Times New Roman" w:hAnsi="Times New Roman" w:cs="Times New Roman"/>
          <w:sz w:val="24"/>
          <w:szCs w:val="24"/>
        </w:rPr>
        <w:t xml:space="preserve"> also had concerns about the way that the advocacy service is resourced, noting the policy of resolving complaints at the lowest level. The submission also questioned whether more complaints should be referred to HDC from advocacy, either for noting any trend development or for higher level investigation due to their nature and/or complexity.</w:t>
      </w:r>
    </w:p>
    <w:p w:rsidR="001F6FFD" w:rsidRDefault="001F6FFD" w:rsidP="00235461">
      <w:pPr>
        <w:spacing w:after="0" w:line="264" w:lineRule="auto"/>
        <w:jc w:val="both"/>
        <w:rPr>
          <w:rFonts w:ascii="Times New Roman" w:hAnsi="Times New Roman" w:cs="Times New Roman"/>
          <w:sz w:val="24"/>
          <w:szCs w:val="24"/>
        </w:rPr>
      </w:pPr>
    </w:p>
    <w:p w:rsidR="00FC34D9" w:rsidRPr="00A40ACC" w:rsidRDefault="00FC34D9"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The model for advocacy services was consulted on as part of the 2009 review.</w:t>
      </w:r>
    </w:p>
    <w:p w:rsidR="00871911" w:rsidRPr="00A40ACC" w:rsidRDefault="00871911" w:rsidP="00235461">
      <w:pPr>
        <w:spacing w:after="0" w:line="264" w:lineRule="auto"/>
        <w:jc w:val="both"/>
        <w:rPr>
          <w:rFonts w:ascii="Times New Roman" w:hAnsi="Times New Roman" w:cs="Times New Roman"/>
          <w:b/>
          <w:i/>
          <w:sz w:val="24"/>
          <w:szCs w:val="24"/>
        </w:rPr>
      </w:pPr>
    </w:p>
    <w:p w:rsidR="00871911"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b/>
          <w:i/>
          <w:sz w:val="24"/>
          <w:szCs w:val="24"/>
        </w:rPr>
        <w:t>Ethics Committees</w:t>
      </w:r>
    </w:p>
    <w:p w:rsidR="00FC34D9"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Two submitters</w:t>
      </w:r>
      <w:r w:rsidRPr="00A40ACC">
        <w:rPr>
          <w:rStyle w:val="FootnoteReference"/>
          <w:rFonts w:ascii="Times New Roman" w:hAnsi="Times New Roman" w:cs="Times New Roman"/>
          <w:sz w:val="24"/>
          <w:szCs w:val="24"/>
        </w:rPr>
        <w:footnoteReference w:id="93"/>
      </w:r>
      <w:r w:rsidRPr="00A40ACC">
        <w:rPr>
          <w:rFonts w:ascii="Times New Roman" w:hAnsi="Times New Roman" w:cs="Times New Roman"/>
          <w:sz w:val="24"/>
          <w:szCs w:val="24"/>
        </w:rPr>
        <w:t xml:space="preserve"> commented upon the national system of ethics committees, both </w:t>
      </w:r>
      <w:r w:rsidR="00E7039A" w:rsidRPr="00A40ACC">
        <w:rPr>
          <w:rFonts w:ascii="Times New Roman" w:hAnsi="Times New Roman" w:cs="Times New Roman"/>
          <w:sz w:val="24"/>
          <w:szCs w:val="24"/>
        </w:rPr>
        <w:t xml:space="preserve">suggesting </w:t>
      </w:r>
      <w:r w:rsidRPr="00A40ACC">
        <w:rPr>
          <w:rFonts w:ascii="Times New Roman" w:hAnsi="Times New Roman" w:cs="Times New Roman"/>
          <w:sz w:val="24"/>
          <w:szCs w:val="24"/>
        </w:rPr>
        <w:t>they would fit better under the jurisdiction of HDC, with one</w:t>
      </w:r>
      <w:r w:rsidRPr="00A40ACC">
        <w:rPr>
          <w:rStyle w:val="FootnoteReference"/>
          <w:rFonts w:ascii="Times New Roman" w:hAnsi="Times New Roman" w:cs="Times New Roman"/>
          <w:sz w:val="24"/>
          <w:szCs w:val="24"/>
        </w:rPr>
        <w:footnoteReference w:id="94"/>
      </w:r>
      <w:r w:rsidRPr="00A40ACC">
        <w:rPr>
          <w:rFonts w:ascii="Times New Roman" w:hAnsi="Times New Roman" w:cs="Times New Roman"/>
          <w:sz w:val="24"/>
          <w:szCs w:val="24"/>
        </w:rPr>
        <w:t xml:space="preserve"> suggesting that there is a place for a Director of Ethics to oversee all ethics committees. Both submissions considered that the interests of research participants are no longer the focus of ethics committees, and that the interests of researchers are now central to the ethical committee review process. </w:t>
      </w:r>
    </w:p>
    <w:p w:rsidR="001F6FFD" w:rsidRDefault="001F6FFD" w:rsidP="00235461">
      <w:pPr>
        <w:spacing w:after="0" w:line="264" w:lineRule="auto"/>
        <w:jc w:val="both"/>
        <w:rPr>
          <w:rFonts w:ascii="Times New Roman" w:hAnsi="Times New Roman" w:cs="Times New Roman"/>
          <w:sz w:val="24"/>
          <w:szCs w:val="24"/>
        </w:rPr>
      </w:pPr>
    </w:p>
    <w:p w:rsidR="00871911" w:rsidRPr="00A40ACC" w:rsidRDefault="00A2512E"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The</w:t>
      </w:r>
      <w:r w:rsidR="00FC34D9" w:rsidRPr="00A40ACC">
        <w:rPr>
          <w:rFonts w:ascii="Times New Roman" w:hAnsi="Times New Roman" w:cs="Times New Roman"/>
          <w:sz w:val="24"/>
          <w:szCs w:val="24"/>
        </w:rPr>
        <w:t xml:space="preserve"> national oversight of ethics committees was consulted on in the 2009 review.</w:t>
      </w:r>
    </w:p>
    <w:p w:rsidR="0049344B" w:rsidRPr="00A40ACC" w:rsidRDefault="0049344B" w:rsidP="00235461">
      <w:pPr>
        <w:spacing w:after="0" w:line="264" w:lineRule="auto"/>
        <w:jc w:val="both"/>
        <w:rPr>
          <w:rFonts w:ascii="Times New Roman" w:hAnsi="Times New Roman" w:cs="Times New Roman"/>
          <w:b/>
          <w:i/>
          <w:sz w:val="24"/>
          <w:szCs w:val="24"/>
        </w:rPr>
      </w:pPr>
    </w:p>
    <w:p w:rsidR="00871911"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b/>
          <w:i/>
          <w:sz w:val="24"/>
          <w:szCs w:val="24"/>
        </w:rPr>
        <w:t>Appeals</w:t>
      </w:r>
    </w:p>
    <w:p w:rsidR="00871911"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Three submitters commented upon the current lack of a</w:t>
      </w:r>
      <w:r w:rsidR="001F6FFD">
        <w:rPr>
          <w:rFonts w:ascii="Times New Roman" w:hAnsi="Times New Roman" w:cs="Times New Roman"/>
          <w:sz w:val="24"/>
          <w:szCs w:val="24"/>
        </w:rPr>
        <w:t xml:space="preserve"> statutory</w:t>
      </w:r>
      <w:r w:rsidRPr="00A40ACC">
        <w:rPr>
          <w:rFonts w:ascii="Times New Roman" w:hAnsi="Times New Roman" w:cs="Times New Roman"/>
          <w:sz w:val="24"/>
          <w:szCs w:val="24"/>
        </w:rPr>
        <w:t xml:space="preserve"> right to appeal</w:t>
      </w:r>
      <w:r w:rsidR="00551C34" w:rsidRPr="00A40ACC">
        <w:rPr>
          <w:rFonts w:ascii="Times New Roman" w:hAnsi="Times New Roman" w:cs="Times New Roman"/>
          <w:sz w:val="24"/>
          <w:szCs w:val="24"/>
        </w:rPr>
        <w:t>, which was part of the consultation in the 2009 review</w:t>
      </w:r>
      <w:r w:rsidRPr="00A40ACC">
        <w:rPr>
          <w:rFonts w:ascii="Times New Roman" w:hAnsi="Times New Roman" w:cs="Times New Roman"/>
          <w:sz w:val="24"/>
          <w:szCs w:val="24"/>
        </w:rPr>
        <w:t>. One</w:t>
      </w:r>
      <w:r w:rsidRPr="00A40ACC">
        <w:rPr>
          <w:rStyle w:val="FootnoteReference"/>
          <w:rFonts w:ascii="Times New Roman" w:hAnsi="Times New Roman" w:cs="Times New Roman"/>
          <w:sz w:val="24"/>
          <w:szCs w:val="24"/>
        </w:rPr>
        <w:footnoteReference w:id="95"/>
      </w:r>
      <w:r w:rsidRPr="00A40ACC">
        <w:rPr>
          <w:rFonts w:ascii="Times New Roman" w:hAnsi="Times New Roman" w:cs="Times New Roman"/>
          <w:sz w:val="24"/>
          <w:szCs w:val="24"/>
        </w:rPr>
        <w:t xml:space="preserve"> noted that the majority of crown entities and government agencies allow a right of appeal, and that HDC may wish to investigate how such a procedure may be incorporated into existing processes. The other two</w:t>
      </w:r>
      <w:r w:rsidRPr="00A40ACC">
        <w:rPr>
          <w:rStyle w:val="FootnoteReference"/>
          <w:rFonts w:ascii="Times New Roman" w:hAnsi="Times New Roman" w:cs="Times New Roman"/>
          <w:sz w:val="24"/>
          <w:szCs w:val="24"/>
        </w:rPr>
        <w:footnoteReference w:id="96"/>
      </w:r>
      <w:r w:rsidRPr="00A40ACC">
        <w:rPr>
          <w:rFonts w:ascii="Times New Roman" w:hAnsi="Times New Roman" w:cs="Times New Roman"/>
          <w:sz w:val="24"/>
          <w:szCs w:val="24"/>
        </w:rPr>
        <w:t xml:space="preserve"> considered that it is against the principles of natural justice that there is no right of appeal.</w:t>
      </w:r>
    </w:p>
    <w:p w:rsidR="00891758" w:rsidRDefault="00891758" w:rsidP="00235461">
      <w:pPr>
        <w:spacing w:after="0" w:line="264" w:lineRule="auto"/>
        <w:jc w:val="both"/>
        <w:rPr>
          <w:rFonts w:ascii="Times New Roman" w:hAnsi="Times New Roman" w:cs="Times New Roman"/>
          <w:sz w:val="24"/>
          <w:szCs w:val="24"/>
        </w:rPr>
      </w:pPr>
    </w:p>
    <w:p w:rsidR="00F02222" w:rsidRDefault="00F02222" w:rsidP="00235461">
      <w:pPr>
        <w:spacing w:after="0" w:line="264" w:lineRule="auto"/>
        <w:jc w:val="both"/>
        <w:rPr>
          <w:rFonts w:ascii="Times New Roman" w:hAnsi="Times New Roman" w:cs="Times New Roman"/>
          <w:b/>
          <w:i/>
          <w:sz w:val="24"/>
          <w:szCs w:val="24"/>
        </w:rPr>
      </w:pPr>
    </w:p>
    <w:p w:rsidR="00F02222" w:rsidRDefault="00F02222" w:rsidP="00235461">
      <w:pPr>
        <w:spacing w:after="0" w:line="264" w:lineRule="auto"/>
        <w:jc w:val="both"/>
        <w:rPr>
          <w:rFonts w:ascii="Times New Roman" w:hAnsi="Times New Roman" w:cs="Times New Roman"/>
          <w:b/>
          <w:i/>
          <w:sz w:val="24"/>
          <w:szCs w:val="24"/>
        </w:rPr>
      </w:pPr>
    </w:p>
    <w:p w:rsidR="00F02222" w:rsidRDefault="00F02222" w:rsidP="00235461">
      <w:pPr>
        <w:spacing w:after="0" w:line="264" w:lineRule="auto"/>
        <w:jc w:val="both"/>
        <w:rPr>
          <w:rFonts w:ascii="Times New Roman" w:hAnsi="Times New Roman" w:cs="Times New Roman"/>
          <w:b/>
          <w:i/>
          <w:sz w:val="24"/>
          <w:szCs w:val="24"/>
        </w:rPr>
      </w:pPr>
    </w:p>
    <w:p w:rsidR="00871911"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b/>
          <w:i/>
          <w:sz w:val="24"/>
          <w:szCs w:val="24"/>
        </w:rPr>
        <w:lastRenderedPageBreak/>
        <w:t>Referral</w:t>
      </w:r>
    </w:p>
    <w:p w:rsidR="00871911"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It was noted in one submission</w:t>
      </w:r>
      <w:r w:rsidRPr="00A40ACC">
        <w:rPr>
          <w:rStyle w:val="FootnoteReference"/>
          <w:rFonts w:ascii="Times New Roman" w:hAnsi="Times New Roman" w:cs="Times New Roman"/>
          <w:sz w:val="24"/>
          <w:szCs w:val="24"/>
        </w:rPr>
        <w:footnoteReference w:id="97"/>
      </w:r>
      <w:r w:rsidRPr="00A40ACC">
        <w:rPr>
          <w:rFonts w:ascii="Times New Roman" w:hAnsi="Times New Roman" w:cs="Times New Roman"/>
          <w:sz w:val="24"/>
          <w:szCs w:val="24"/>
        </w:rPr>
        <w:t xml:space="preserve"> that referral to the H</w:t>
      </w:r>
      <w:r w:rsidR="00E41B07">
        <w:rPr>
          <w:rFonts w:ascii="Times New Roman" w:hAnsi="Times New Roman" w:cs="Times New Roman"/>
          <w:sz w:val="24"/>
          <w:szCs w:val="24"/>
        </w:rPr>
        <w:t xml:space="preserve">ealth </w:t>
      </w:r>
      <w:r w:rsidRPr="00A40ACC">
        <w:rPr>
          <w:rFonts w:ascii="Times New Roman" w:hAnsi="Times New Roman" w:cs="Times New Roman"/>
          <w:sz w:val="24"/>
          <w:szCs w:val="24"/>
        </w:rPr>
        <w:t>P</w:t>
      </w:r>
      <w:r w:rsidR="00E41B07">
        <w:rPr>
          <w:rFonts w:ascii="Times New Roman" w:hAnsi="Times New Roman" w:cs="Times New Roman"/>
          <w:sz w:val="24"/>
          <w:szCs w:val="24"/>
        </w:rPr>
        <w:t xml:space="preserve">ractitioners </w:t>
      </w:r>
      <w:r w:rsidRPr="00A40ACC">
        <w:rPr>
          <w:rFonts w:ascii="Times New Roman" w:hAnsi="Times New Roman" w:cs="Times New Roman"/>
          <w:sz w:val="24"/>
          <w:szCs w:val="24"/>
        </w:rPr>
        <w:t>D</w:t>
      </w:r>
      <w:r w:rsidR="00E41B07">
        <w:rPr>
          <w:rFonts w:ascii="Times New Roman" w:hAnsi="Times New Roman" w:cs="Times New Roman"/>
          <w:sz w:val="24"/>
          <w:szCs w:val="24"/>
        </w:rPr>
        <w:t xml:space="preserve">isciplinary </w:t>
      </w:r>
      <w:r w:rsidRPr="00A40ACC">
        <w:rPr>
          <w:rFonts w:ascii="Times New Roman" w:hAnsi="Times New Roman" w:cs="Times New Roman"/>
          <w:sz w:val="24"/>
          <w:szCs w:val="24"/>
        </w:rPr>
        <w:t>T</w:t>
      </w:r>
      <w:r w:rsidR="00E41B07">
        <w:rPr>
          <w:rFonts w:ascii="Times New Roman" w:hAnsi="Times New Roman" w:cs="Times New Roman"/>
          <w:sz w:val="24"/>
          <w:szCs w:val="24"/>
        </w:rPr>
        <w:t>ribunal</w:t>
      </w:r>
      <w:r w:rsidRPr="00A40ACC">
        <w:rPr>
          <w:rFonts w:ascii="Times New Roman" w:hAnsi="Times New Roman" w:cs="Times New Roman"/>
          <w:sz w:val="24"/>
          <w:szCs w:val="24"/>
        </w:rPr>
        <w:t xml:space="preserve"> is becoming </w:t>
      </w:r>
      <w:r w:rsidR="00660BCF" w:rsidRPr="00A40ACC">
        <w:rPr>
          <w:rFonts w:ascii="Times New Roman" w:hAnsi="Times New Roman" w:cs="Times New Roman"/>
          <w:sz w:val="24"/>
          <w:szCs w:val="24"/>
        </w:rPr>
        <w:t xml:space="preserve">more </w:t>
      </w:r>
      <w:r w:rsidRPr="00A40ACC">
        <w:rPr>
          <w:rFonts w:ascii="Times New Roman" w:hAnsi="Times New Roman" w:cs="Times New Roman"/>
          <w:sz w:val="24"/>
          <w:szCs w:val="24"/>
        </w:rPr>
        <w:t>routine.</w:t>
      </w:r>
      <w:r w:rsidR="00FE4EC5">
        <w:rPr>
          <w:rStyle w:val="FootnoteReference"/>
          <w:rFonts w:ascii="Times New Roman" w:hAnsi="Times New Roman" w:cs="Times New Roman"/>
          <w:sz w:val="24"/>
          <w:szCs w:val="24"/>
        </w:rPr>
        <w:footnoteReference w:id="98"/>
      </w:r>
      <w:r w:rsidRPr="00A40ACC">
        <w:rPr>
          <w:rFonts w:ascii="Times New Roman" w:hAnsi="Times New Roman" w:cs="Times New Roman"/>
          <w:sz w:val="24"/>
          <w:szCs w:val="24"/>
        </w:rPr>
        <w:t xml:space="preserve"> The submitter considered that the majority of providers referred to the Medical Council are found to be competent, and yet a significant amount of resources are spent on these investigations. They considered that the adversarial environment does not foster or encourage medical practitioners to openly disclose potential errors in episodes of care, and is concerned that this may lead to a very defensive method of medical practice.</w:t>
      </w:r>
    </w:p>
    <w:p w:rsidR="001F6FFD" w:rsidRDefault="001F6FFD" w:rsidP="00235461">
      <w:pPr>
        <w:spacing w:after="0" w:line="264" w:lineRule="auto"/>
        <w:jc w:val="both"/>
        <w:rPr>
          <w:rFonts w:ascii="Times New Roman" w:hAnsi="Times New Roman" w:cs="Times New Roman"/>
          <w:sz w:val="24"/>
          <w:szCs w:val="24"/>
        </w:rPr>
      </w:pPr>
    </w:p>
    <w:p w:rsidR="001A67DB"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sz w:val="24"/>
          <w:szCs w:val="24"/>
          <w:lang w:val="en-US" w:eastAsia="en-US"/>
        </w:rPr>
        <w:t xml:space="preserve">Another submission </w:t>
      </w:r>
      <w:proofErr w:type="spellStart"/>
      <w:r w:rsidRPr="00A40ACC">
        <w:rPr>
          <w:rFonts w:ascii="Times New Roman" w:hAnsi="Times New Roman" w:cs="Times New Roman"/>
          <w:sz w:val="24"/>
          <w:szCs w:val="24"/>
          <w:lang w:val="en-US" w:eastAsia="en-US"/>
        </w:rPr>
        <w:t>conside</w:t>
      </w:r>
      <w:proofErr w:type="spellEnd"/>
      <w:r w:rsidRPr="00A40ACC">
        <w:rPr>
          <w:rFonts w:ascii="Times New Roman" w:hAnsi="Times New Roman" w:cs="Times New Roman"/>
          <w:sz w:val="24"/>
          <w:szCs w:val="24"/>
        </w:rPr>
        <w:t>red that there should be a review of the Commissioner’s discretion to investigate under section 40 of the Act, to avoid undue restriction of access to the HRRT.</w:t>
      </w:r>
      <w:r w:rsidRPr="00A40ACC">
        <w:rPr>
          <w:rStyle w:val="FootnoteReference"/>
          <w:rFonts w:ascii="Times New Roman" w:hAnsi="Times New Roman" w:cs="Times New Roman"/>
          <w:sz w:val="24"/>
          <w:szCs w:val="24"/>
        </w:rPr>
        <w:footnoteReference w:id="99"/>
      </w:r>
    </w:p>
    <w:p w:rsidR="00891758" w:rsidRDefault="00891758" w:rsidP="00235461">
      <w:pPr>
        <w:spacing w:after="0" w:line="264" w:lineRule="auto"/>
        <w:jc w:val="both"/>
        <w:rPr>
          <w:rFonts w:ascii="Times New Roman" w:hAnsi="Times New Roman" w:cs="Times New Roman"/>
          <w:b/>
          <w:i/>
          <w:sz w:val="24"/>
          <w:szCs w:val="24"/>
        </w:rPr>
      </w:pPr>
    </w:p>
    <w:p w:rsidR="00871911"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b/>
          <w:i/>
          <w:sz w:val="24"/>
          <w:szCs w:val="24"/>
        </w:rPr>
        <w:t xml:space="preserve">Commissioner’s discretion to take no action </w:t>
      </w:r>
    </w:p>
    <w:p w:rsidR="003863F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sz w:val="24"/>
          <w:szCs w:val="24"/>
        </w:rPr>
        <w:t>One submitter</w:t>
      </w:r>
      <w:r w:rsidRPr="00A40ACC">
        <w:rPr>
          <w:rStyle w:val="FootnoteReference"/>
          <w:rFonts w:ascii="Times New Roman" w:hAnsi="Times New Roman" w:cs="Times New Roman"/>
          <w:sz w:val="24"/>
          <w:szCs w:val="24"/>
        </w:rPr>
        <w:footnoteReference w:id="100"/>
      </w:r>
      <w:r w:rsidRPr="00A40ACC">
        <w:rPr>
          <w:rFonts w:ascii="Times New Roman" w:hAnsi="Times New Roman" w:cs="Times New Roman"/>
          <w:sz w:val="24"/>
          <w:szCs w:val="24"/>
        </w:rPr>
        <w:t xml:space="preserve"> expressed concern that HDC has changed its attitude to what is considered a “major breach”, and considered that some investigated complaints appear to be low level in nature.</w:t>
      </w:r>
      <w:r w:rsidR="003863FC">
        <w:rPr>
          <w:rFonts w:ascii="Times New Roman" w:hAnsi="Times New Roman" w:cs="Times New Roman"/>
          <w:sz w:val="24"/>
          <w:szCs w:val="24"/>
        </w:rPr>
        <w:t xml:space="preserve"> </w:t>
      </w:r>
    </w:p>
    <w:p w:rsidR="003863FC" w:rsidRDefault="003863FC" w:rsidP="00235461">
      <w:pPr>
        <w:spacing w:after="0" w:line="264" w:lineRule="auto"/>
        <w:jc w:val="both"/>
        <w:rPr>
          <w:rFonts w:ascii="Times New Roman" w:hAnsi="Times New Roman" w:cs="Times New Roman"/>
          <w:b/>
          <w:i/>
          <w:sz w:val="24"/>
          <w:szCs w:val="24"/>
        </w:rPr>
      </w:pPr>
    </w:p>
    <w:p w:rsidR="00871911"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b/>
          <w:i/>
          <w:sz w:val="24"/>
          <w:szCs w:val="24"/>
        </w:rPr>
        <w:t>Disability</w:t>
      </w:r>
    </w:p>
    <w:p w:rsidR="00871911"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One submitter</w:t>
      </w:r>
      <w:r w:rsidRPr="00A40ACC">
        <w:rPr>
          <w:rStyle w:val="FootnoteReference"/>
          <w:rFonts w:ascii="Times New Roman" w:hAnsi="Times New Roman" w:cs="Times New Roman"/>
          <w:sz w:val="24"/>
          <w:szCs w:val="24"/>
        </w:rPr>
        <w:footnoteReference w:id="101"/>
      </w:r>
      <w:r w:rsidRPr="00A40ACC">
        <w:rPr>
          <w:rFonts w:ascii="Times New Roman" w:hAnsi="Times New Roman" w:cs="Times New Roman"/>
          <w:sz w:val="24"/>
          <w:szCs w:val="24"/>
        </w:rPr>
        <w:t xml:space="preserve"> noted that</w:t>
      </w:r>
      <w:r w:rsidR="004E1281">
        <w:rPr>
          <w:rFonts w:ascii="Times New Roman" w:hAnsi="Times New Roman" w:cs="Times New Roman"/>
          <w:sz w:val="24"/>
          <w:szCs w:val="24"/>
        </w:rPr>
        <w:t>,</w:t>
      </w:r>
      <w:r w:rsidRPr="00A40ACC">
        <w:rPr>
          <w:rFonts w:ascii="Times New Roman" w:hAnsi="Times New Roman" w:cs="Times New Roman"/>
          <w:sz w:val="24"/>
          <w:szCs w:val="24"/>
        </w:rPr>
        <w:t xml:space="preserve"> while a Deputy Commissioner for Disability was first appointed in 2009, they consider that there is a need to consolidate and further strengthen this position in leading changes for disabled people. </w:t>
      </w:r>
    </w:p>
    <w:p w:rsidR="00A173C4" w:rsidRPr="00A40ACC" w:rsidRDefault="00A173C4" w:rsidP="00235461">
      <w:pPr>
        <w:spacing w:after="0" w:line="264" w:lineRule="auto"/>
        <w:jc w:val="both"/>
        <w:rPr>
          <w:rFonts w:ascii="Times New Roman" w:hAnsi="Times New Roman" w:cs="Times New Roman"/>
          <w:b/>
          <w:i/>
          <w:sz w:val="24"/>
          <w:szCs w:val="24"/>
        </w:rPr>
      </w:pPr>
    </w:p>
    <w:p w:rsidR="00871911"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b/>
          <w:i/>
          <w:sz w:val="24"/>
          <w:szCs w:val="24"/>
        </w:rPr>
        <w:t>Preliminary assessment</w:t>
      </w:r>
    </w:p>
    <w:p w:rsidR="00871911"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One submission</w:t>
      </w:r>
      <w:r w:rsidRPr="00A40ACC">
        <w:rPr>
          <w:rStyle w:val="FootnoteReference"/>
          <w:rFonts w:ascii="Times New Roman" w:hAnsi="Times New Roman" w:cs="Times New Roman"/>
          <w:sz w:val="24"/>
          <w:szCs w:val="24"/>
        </w:rPr>
        <w:footnoteReference w:id="102"/>
      </w:r>
      <w:r w:rsidRPr="00A40ACC">
        <w:rPr>
          <w:rFonts w:ascii="Times New Roman" w:hAnsi="Times New Roman" w:cs="Times New Roman"/>
          <w:sz w:val="24"/>
          <w:szCs w:val="24"/>
        </w:rPr>
        <w:t xml:space="preserve"> considered that alternative dispute resolution pathways should be more prominent in preliminary assessment, as covered by section 33(1)(a)(i) of the Act, to assist in the resolution of low level complaints.</w:t>
      </w:r>
    </w:p>
    <w:p w:rsidR="00871911" w:rsidRPr="00A40ACC" w:rsidRDefault="00871911" w:rsidP="00235461">
      <w:pPr>
        <w:spacing w:after="0" w:line="264" w:lineRule="auto"/>
        <w:jc w:val="both"/>
        <w:rPr>
          <w:rFonts w:ascii="Times New Roman" w:hAnsi="Times New Roman" w:cs="Times New Roman"/>
          <w:b/>
          <w:i/>
          <w:sz w:val="24"/>
          <w:szCs w:val="24"/>
        </w:rPr>
      </w:pPr>
    </w:p>
    <w:p w:rsidR="00871911"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b/>
          <w:i/>
          <w:sz w:val="24"/>
          <w:szCs w:val="24"/>
        </w:rPr>
        <w:t>Expert advisors</w:t>
      </w:r>
    </w:p>
    <w:p w:rsidR="00A2512E" w:rsidRPr="00891758"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One submission</w:t>
      </w:r>
      <w:r w:rsidRPr="00A40ACC">
        <w:rPr>
          <w:rStyle w:val="FootnoteReference"/>
          <w:rFonts w:ascii="Times New Roman" w:hAnsi="Times New Roman" w:cs="Times New Roman"/>
          <w:sz w:val="24"/>
          <w:szCs w:val="24"/>
        </w:rPr>
        <w:footnoteReference w:id="103"/>
      </w:r>
      <w:r w:rsidRPr="00A40ACC">
        <w:rPr>
          <w:rFonts w:ascii="Times New Roman" w:hAnsi="Times New Roman" w:cs="Times New Roman"/>
          <w:sz w:val="24"/>
          <w:szCs w:val="24"/>
        </w:rPr>
        <w:t xml:space="preserve"> noted that the Act does not describe a process or have established criteria for the selection of expert advisors. They commented that professional bodies could assist in the process. They further suggested that a panel of medical experts could be established to represent a broad range of practice in their field, including subspecialty work, and that this panel could be reviewed by the group of professional bodies periodically.</w:t>
      </w:r>
    </w:p>
    <w:p w:rsidR="00A2512E" w:rsidRPr="00A40ACC" w:rsidRDefault="00A2512E" w:rsidP="00235461">
      <w:pPr>
        <w:spacing w:after="0" w:line="264" w:lineRule="auto"/>
        <w:jc w:val="both"/>
        <w:rPr>
          <w:rFonts w:ascii="Times New Roman" w:hAnsi="Times New Roman" w:cs="Times New Roman"/>
          <w:b/>
          <w:i/>
          <w:sz w:val="24"/>
          <w:szCs w:val="24"/>
        </w:rPr>
      </w:pPr>
    </w:p>
    <w:p w:rsidR="00871911"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b/>
          <w:i/>
          <w:sz w:val="24"/>
          <w:szCs w:val="24"/>
        </w:rPr>
        <w:t>Response to complaints</w:t>
      </w:r>
    </w:p>
    <w:p w:rsidR="00871911" w:rsidRPr="00A40ACC"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The </w:t>
      </w:r>
      <w:r w:rsidR="0023542C">
        <w:rPr>
          <w:rFonts w:ascii="Times New Roman" w:hAnsi="Times New Roman" w:cs="Times New Roman"/>
          <w:sz w:val="24"/>
          <w:szCs w:val="24"/>
        </w:rPr>
        <w:t>N</w:t>
      </w:r>
      <w:r w:rsidR="008D1D8F">
        <w:rPr>
          <w:rFonts w:ascii="Times New Roman" w:hAnsi="Times New Roman" w:cs="Times New Roman"/>
          <w:sz w:val="24"/>
          <w:szCs w:val="24"/>
        </w:rPr>
        <w:t xml:space="preserve">ew </w:t>
      </w:r>
      <w:r w:rsidR="0023542C">
        <w:rPr>
          <w:rFonts w:ascii="Times New Roman" w:hAnsi="Times New Roman" w:cs="Times New Roman"/>
          <w:sz w:val="24"/>
          <w:szCs w:val="24"/>
        </w:rPr>
        <w:t>Z</w:t>
      </w:r>
      <w:r w:rsidR="008D1D8F">
        <w:rPr>
          <w:rFonts w:ascii="Times New Roman" w:hAnsi="Times New Roman" w:cs="Times New Roman"/>
          <w:sz w:val="24"/>
          <w:szCs w:val="24"/>
        </w:rPr>
        <w:t>ealand</w:t>
      </w:r>
      <w:r w:rsidR="00E7039A" w:rsidRPr="00A40ACC">
        <w:rPr>
          <w:rFonts w:ascii="Times New Roman" w:hAnsi="Times New Roman" w:cs="Times New Roman"/>
          <w:sz w:val="24"/>
          <w:szCs w:val="24"/>
        </w:rPr>
        <w:t xml:space="preserve"> </w:t>
      </w:r>
      <w:r w:rsidR="004E206A">
        <w:rPr>
          <w:rFonts w:ascii="Times New Roman" w:hAnsi="Times New Roman" w:cs="Times New Roman"/>
          <w:sz w:val="24"/>
          <w:szCs w:val="24"/>
        </w:rPr>
        <w:t>Law Society</w:t>
      </w:r>
      <w:r w:rsidRPr="00A40ACC">
        <w:rPr>
          <w:rStyle w:val="FootnoteReference"/>
          <w:rFonts w:ascii="Times New Roman" w:hAnsi="Times New Roman" w:cs="Times New Roman"/>
          <w:sz w:val="24"/>
          <w:szCs w:val="24"/>
        </w:rPr>
        <w:footnoteReference w:id="104"/>
      </w:r>
      <w:r w:rsidRPr="00A40ACC">
        <w:rPr>
          <w:rFonts w:ascii="Times New Roman" w:hAnsi="Times New Roman" w:cs="Times New Roman"/>
          <w:sz w:val="24"/>
          <w:szCs w:val="24"/>
        </w:rPr>
        <w:t xml:space="preserve"> submitted that they consider there are problems with the interpretation of section 67, which may have a bearing upon the way the complaints process is conducted with health professionals facing complaints. They consider that any </w:t>
      </w:r>
      <w:r w:rsidRPr="00A40ACC">
        <w:rPr>
          <w:rFonts w:ascii="Times New Roman" w:hAnsi="Times New Roman" w:cs="Times New Roman"/>
          <w:sz w:val="24"/>
          <w:szCs w:val="24"/>
        </w:rPr>
        <w:lastRenderedPageBreak/>
        <w:t xml:space="preserve">recommendation that a practitioner apologise, review aspects of their practice, make specific changes to their practice, or undergo further training, constitutes an adverse comment. They also stated that referral to registration bodies has occurred in the context of decisions to take no further action, and that implicit criticism of this sort should be disclosed to the practitioner for response. </w:t>
      </w:r>
    </w:p>
    <w:p w:rsidR="00871911" w:rsidRPr="00A40ACC" w:rsidRDefault="00871911" w:rsidP="00235461">
      <w:pPr>
        <w:spacing w:after="0" w:line="264" w:lineRule="auto"/>
        <w:jc w:val="both"/>
        <w:rPr>
          <w:rFonts w:ascii="Times New Roman" w:hAnsi="Times New Roman" w:cs="Times New Roman"/>
          <w:b/>
          <w:i/>
          <w:sz w:val="24"/>
          <w:szCs w:val="24"/>
        </w:rPr>
      </w:pPr>
    </w:p>
    <w:p w:rsidR="00871911" w:rsidRPr="00A40ACC" w:rsidRDefault="00871911" w:rsidP="00235461">
      <w:pPr>
        <w:spacing w:after="0" w:line="264" w:lineRule="auto"/>
        <w:jc w:val="both"/>
        <w:rPr>
          <w:rFonts w:ascii="Times New Roman" w:hAnsi="Times New Roman" w:cs="Times New Roman"/>
          <w:b/>
          <w:i/>
          <w:sz w:val="24"/>
          <w:szCs w:val="24"/>
        </w:rPr>
      </w:pPr>
      <w:r w:rsidRPr="00A40ACC">
        <w:rPr>
          <w:rFonts w:ascii="Times New Roman" w:hAnsi="Times New Roman" w:cs="Times New Roman"/>
          <w:b/>
          <w:i/>
          <w:sz w:val="24"/>
          <w:szCs w:val="24"/>
        </w:rPr>
        <w:t>Length of Investigations</w:t>
      </w:r>
    </w:p>
    <w:p w:rsidR="00871911"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 xml:space="preserve">Eight submitters commented on investigations timeframes. All of these submissions considered that investigations could be completed in a </w:t>
      </w:r>
      <w:r w:rsidR="007210F9">
        <w:rPr>
          <w:rFonts w:ascii="Times New Roman" w:hAnsi="Times New Roman" w:cs="Times New Roman"/>
          <w:sz w:val="24"/>
          <w:szCs w:val="24"/>
        </w:rPr>
        <w:t>more timely</w:t>
      </w:r>
      <w:r w:rsidR="007210F9" w:rsidRPr="00A40ACC">
        <w:rPr>
          <w:rFonts w:ascii="Times New Roman" w:hAnsi="Times New Roman" w:cs="Times New Roman"/>
          <w:sz w:val="24"/>
          <w:szCs w:val="24"/>
        </w:rPr>
        <w:t xml:space="preserve"> </w:t>
      </w:r>
      <w:r w:rsidRPr="00A40ACC">
        <w:rPr>
          <w:rFonts w:ascii="Times New Roman" w:hAnsi="Times New Roman" w:cs="Times New Roman"/>
          <w:sz w:val="24"/>
          <w:szCs w:val="24"/>
        </w:rPr>
        <w:t xml:space="preserve">manner. </w:t>
      </w:r>
    </w:p>
    <w:p w:rsidR="00891758" w:rsidRPr="00A40ACC" w:rsidRDefault="00891758" w:rsidP="00235461">
      <w:pPr>
        <w:spacing w:after="0" w:line="264" w:lineRule="auto"/>
        <w:jc w:val="both"/>
        <w:rPr>
          <w:rFonts w:ascii="Times New Roman" w:hAnsi="Times New Roman" w:cs="Times New Roman"/>
          <w:sz w:val="24"/>
          <w:szCs w:val="24"/>
        </w:rPr>
      </w:pPr>
    </w:p>
    <w:p w:rsidR="00871911" w:rsidRPr="007210F9" w:rsidRDefault="00871911" w:rsidP="00235461">
      <w:pPr>
        <w:spacing w:after="0" w:line="264" w:lineRule="auto"/>
        <w:jc w:val="both"/>
        <w:rPr>
          <w:rFonts w:ascii="Times New Roman" w:hAnsi="Times New Roman" w:cs="Times New Roman"/>
          <w:sz w:val="24"/>
          <w:szCs w:val="24"/>
        </w:rPr>
      </w:pPr>
      <w:r w:rsidRPr="007210F9">
        <w:rPr>
          <w:rFonts w:ascii="Times New Roman" w:hAnsi="Times New Roman" w:cs="Times New Roman"/>
          <w:sz w:val="24"/>
          <w:szCs w:val="24"/>
        </w:rPr>
        <w:t>Two submitters</w:t>
      </w:r>
      <w:r w:rsidRPr="001B17D4">
        <w:rPr>
          <w:rFonts w:ascii="Times New Roman" w:hAnsi="Times New Roman" w:cs="Times New Roman"/>
          <w:sz w:val="24"/>
          <w:szCs w:val="24"/>
          <w:vertAlign w:val="superscript"/>
        </w:rPr>
        <w:footnoteReference w:id="105"/>
      </w:r>
      <w:r w:rsidRPr="007210F9">
        <w:rPr>
          <w:rFonts w:ascii="Times New Roman" w:hAnsi="Times New Roman" w:cs="Times New Roman"/>
          <w:sz w:val="24"/>
          <w:szCs w:val="24"/>
        </w:rPr>
        <w:t xml:space="preserve"> suggested that the Act should state a reasonable timeframe for complaint investigation.</w:t>
      </w:r>
      <w:r w:rsidR="00393E47" w:rsidRPr="007210F9">
        <w:rPr>
          <w:rFonts w:ascii="Times New Roman" w:hAnsi="Times New Roman" w:cs="Times New Roman"/>
          <w:sz w:val="24"/>
          <w:szCs w:val="24"/>
        </w:rPr>
        <w:t xml:space="preserve"> </w:t>
      </w:r>
      <w:r w:rsidRPr="007210F9">
        <w:rPr>
          <w:rFonts w:ascii="Times New Roman" w:hAnsi="Times New Roman" w:cs="Times New Roman"/>
          <w:sz w:val="24"/>
          <w:szCs w:val="24"/>
        </w:rPr>
        <w:t>Two submitters</w:t>
      </w:r>
      <w:r w:rsidRPr="001B17D4">
        <w:rPr>
          <w:rFonts w:ascii="Times New Roman" w:hAnsi="Times New Roman" w:cs="Times New Roman"/>
          <w:sz w:val="24"/>
          <w:szCs w:val="24"/>
          <w:vertAlign w:val="superscript"/>
        </w:rPr>
        <w:footnoteReference w:id="106"/>
      </w:r>
      <w:r w:rsidRPr="007210F9">
        <w:rPr>
          <w:rFonts w:ascii="Times New Roman" w:hAnsi="Times New Roman" w:cs="Times New Roman"/>
          <w:sz w:val="24"/>
          <w:szCs w:val="24"/>
        </w:rPr>
        <w:t xml:space="preserve"> commented on the timeframes given to providers when respondin</w:t>
      </w:r>
      <w:r w:rsidR="002E1775">
        <w:rPr>
          <w:rFonts w:ascii="Times New Roman" w:hAnsi="Times New Roman" w:cs="Times New Roman"/>
          <w:sz w:val="24"/>
          <w:szCs w:val="24"/>
        </w:rPr>
        <w:t>g to a complaint. One submission</w:t>
      </w:r>
      <w:r w:rsidRPr="001B17D4">
        <w:rPr>
          <w:rFonts w:ascii="Times New Roman" w:hAnsi="Times New Roman" w:cs="Times New Roman"/>
          <w:sz w:val="24"/>
          <w:szCs w:val="24"/>
          <w:vertAlign w:val="superscript"/>
        </w:rPr>
        <w:footnoteReference w:id="107"/>
      </w:r>
      <w:r w:rsidRPr="007210F9">
        <w:rPr>
          <w:rFonts w:ascii="Times New Roman" w:hAnsi="Times New Roman" w:cs="Times New Roman"/>
          <w:sz w:val="24"/>
          <w:szCs w:val="24"/>
        </w:rPr>
        <w:t xml:space="preserve"> commented that in their operational experience, providers were being given shorter timeframes to respond to the initial complaint, consider expert opinions, and consider and respond to adverse comments. However, they considered that the timeframe of the investigation did not appear to be correspondingly timely, noting long periods of time elapsing between each step. They stated that this imbalance results in poor or incomplete information being considered by the Commissioner, as all the relevant facts may not be clear. Similarly, another two submissions</w:t>
      </w:r>
      <w:r w:rsidRPr="001B17D4">
        <w:rPr>
          <w:rFonts w:ascii="Times New Roman" w:hAnsi="Times New Roman" w:cs="Times New Roman"/>
          <w:sz w:val="24"/>
          <w:szCs w:val="24"/>
          <w:vertAlign w:val="superscript"/>
        </w:rPr>
        <w:footnoteReference w:id="108"/>
      </w:r>
      <w:r w:rsidRPr="007210F9">
        <w:rPr>
          <w:rFonts w:ascii="Times New Roman" w:hAnsi="Times New Roman" w:cs="Times New Roman"/>
          <w:sz w:val="24"/>
          <w:szCs w:val="24"/>
        </w:rPr>
        <w:t xml:space="preserve"> noted that while providers have timeframes for responses, as prescribed by Right 10, there </w:t>
      </w:r>
      <w:r w:rsidR="00A94FF4">
        <w:rPr>
          <w:rFonts w:ascii="Times New Roman" w:hAnsi="Times New Roman" w:cs="Times New Roman"/>
          <w:sz w:val="24"/>
          <w:szCs w:val="24"/>
        </w:rPr>
        <w:t>are</w:t>
      </w:r>
      <w:r w:rsidRPr="007210F9">
        <w:rPr>
          <w:rFonts w:ascii="Times New Roman" w:hAnsi="Times New Roman" w:cs="Times New Roman"/>
          <w:sz w:val="24"/>
          <w:szCs w:val="24"/>
        </w:rPr>
        <w:t xml:space="preserve"> no corresponding timeframes placed upon HDC. </w:t>
      </w:r>
    </w:p>
    <w:p w:rsidR="00891758" w:rsidRPr="00A40ACC" w:rsidRDefault="00891758" w:rsidP="00235461">
      <w:pPr>
        <w:spacing w:after="0" w:line="264" w:lineRule="auto"/>
        <w:jc w:val="both"/>
        <w:rPr>
          <w:rFonts w:ascii="Times New Roman" w:hAnsi="Times New Roman" w:cs="Times New Roman"/>
          <w:sz w:val="24"/>
          <w:szCs w:val="24"/>
        </w:rPr>
      </w:pPr>
    </w:p>
    <w:p w:rsidR="00871911" w:rsidRDefault="00871911" w:rsidP="00235461">
      <w:pPr>
        <w:spacing w:after="0" w:line="264" w:lineRule="auto"/>
        <w:jc w:val="both"/>
        <w:rPr>
          <w:rFonts w:ascii="Times New Roman" w:hAnsi="Times New Roman" w:cs="Times New Roman"/>
          <w:sz w:val="24"/>
          <w:szCs w:val="24"/>
        </w:rPr>
      </w:pPr>
      <w:r w:rsidRPr="00A40ACC">
        <w:rPr>
          <w:rFonts w:ascii="Times New Roman" w:hAnsi="Times New Roman" w:cs="Times New Roman"/>
          <w:sz w:val="24"/>
          <w:szCs w:val="24"/>
        </w:rPr>
        <w:t>Finally, one submitter</w:t>
      </w:r>
      <w:r w:rsidRPr="00A40ACC">
        <w:rPr>
          <w:rStyle w:val="FootnoteReference"/>
          <w:rFonts w:ascii="Times New Roman" w:hAnsi="Times New Roman" w:cs="Times New Roman"/>
          <w:sz w:val="24"/>
          <w:szCs w:val="24"/>
        </w:rPr>
        <w:footnoteReference w:id="109"/>
      </w:r>
      <w:r w:rsidRPr="00A40ACC">
        <w:rPr>
          <w:rFonts w:ascii="Times New Roman" w:hAnsi="Times New Roman" w:cs="Times New Roman"/>
          <w:sz w:val="24"/>
          <w:szCs w:val="24"/>
        </w:rPr>
        <w:t xml:space="preserve"> commented that it would be worth considering, as</w:t>
      </w:r>
      <w:r w:rsidR="00885025">
        <w:rPr>
          <w:rFonts w:ascii="Times New Roman" w:hAnsi="Times New Roman" w:cs="Times New Roman"/>
          <w:sz w:val="24"/>
          <w:szCs w:val="24"/>
        </w:rPr>
        <w:t xml:space="preserve"> </w:t>
      </w:r>
      <w:r w:rsidRPr="00A40ACC">
        <w:rPr>
          <w:rFonts w:ascii="Times New Roman" w:hAnsi="Times New Roman" w:cs="Times New Roman"/>
          <w:sz w:val="24"/>
          <w:szCs w:val="24"/>
        </w:rPr>
        <w:t>part of the review, whether there are any legislative barriers which create impediments to the timeliness of the conduct of investigations, and whether these could be addressed while still maintaining the necessary natural justice obligations.</w:t>
      </w:r>
    </w:p>
    <w:p w:rsidR="00891758" w:rsidRPr="00A40ACC" w:rsidRDefault="00891758" w:rsidP="00235461">
      <w:pPr>
        <w:spacing w:after="0" w:line="264" w:lineRule="auto"/>
        <w:jc w:val="both"/>
        <w:rPr>
          <w:rFonts w:ascii="Times New Roman" w:hAnsi="Times New Roman" w:cs="Times New Roman"/>
          <w:sz w:val="24"/>
          <w:szCs w:val="24"/>
        </w:rPr>
      </w:pPr>
    </w:p>
    <w:p w:rsidR="00871911" w:rsidRPr="00A40ACC" w:rsidRDefault="00871911" w:rsidP="00235461">
      <w:pPr>
        <w:spacing w:after="0" w:line="264" w:lineRule="auto"/>
        <w:jc w:val="both"/>
        <w:rPr>
          <w:rFonts w:ascii="Times New Roman" w:hAnsi="Times New Roman" w:cs="Times New Roman"/>
          <w:b/>
          <w:i/>
          <w:sz w:val="24"/>
          <w:szCs w:val="24"/>
          <w:u w:val="single"/>
        </w:rPr>
      </w:pPr>
      <w:r w:rsidRPr="00A40ACC">
        <w:rPr>
          <w:rFonts w:ascii="Times New Roman" w:hAnsi="Times New Roman" w:cs="Times New Roman"/>
          <w:sz w:val="24"/>
          <w:szCs w:val="24"/>
        </w:rPr>
        <w:t xml:space="preserve">The 2009 review </w:t>
      </w:r>
      <w:r w:rsidR="00E7039A" w:rsidRPr="00A40ACC">
        <w:rPr>
          <w:rFonts w:ascii="Times New Roman" w:hAnsi="Times New Roman" w:cs="Times New Roman"/>
          <w:sz w:val="24"/>
          <w:szCs w:val="24"/>
        </w:rPr>
        <w:t xml:space="preserve">also </w:t>
      </w:r>
      <w:r w:rsidRPr="00A40ACC">
        <w:rPr>
          <w:rFonts w:ascii="Times New Roman" w:hAnsi="Times New Roman" w:cs="Times New Roman"/>
          <w:sz w:val="24"/>
          <w:szCs w:val="24"/>
        </w:rPr>
        <w:t>questioned whether timeframes for investigations should be prescribed</w:t>
      </w:r>
      <w:r w:rsidR="00891758">
        <w:rPr>
          <w:rFonts w:ascii="Times New Roman" w:hAnsi="Times New Roman" w:cs="Times New Roman"/>
          <w:sz w:val="24"/>
          <w:szCs w:val="24"/>
        </w:rPr>
        <w:t>.</w:t>
      </w:r>
    </w:p>
    <w:p w:rsidR="00871911" w:rsidRPr="00A40ACC" w:rsidRDefault="00871911" w:rsidP="00235461">
      <w:pPr>
        <w:pStyle w:val="NoSpacing"/>
        <w:spacing w:line="264" w:lineRule="auto"/>
        <w:jc w:val="both"/>
        <w:rPr>
          <w:rFonts w:ascii="Times New Roman" w:hAnsi="Times New Roman" w:cs="Times New Roman"/>
          <w:sz w:val="24"/>
          <w:szCs w:val="24"/>
        </w:rPr>
      </w:pPr>
    </w:p>
    <w:sectPr w:rsidR="00871911" w:rsidRPr="00A40ACC" w:rsidSect="00016D36">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027" w:rsidRDefault="00105027" w:rsidP="00874B5B">
      <w:pPr>
        <w:spacing w:after="0" w:line="240" w:lineRule="auto"/>
      </w:pPr>
      <w:r>
        <w:separator/>
      </w:r>
    </w:p>
  </w:endnote>
  <w:endnote w:type="continuationSeparator" w:id="0">
    <w:p w:rsidR="00105027" w:rsidRDefault="00105027" w:rsidP="0087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Microsoft YaHei">
    <w:panose1 w:val="020B0503020204020204"/>
    <w:charset w:val="86"/>
    <w:family w:val="swiss"/>
    <w:pitch w:val="variable"/>
    <w:sig w:usb0="80000287" w:usb1="280F3C52" w:usb2="00000016" w:usb3="00000000" w:csb0="0004001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027" w:rsidRDefault="00105027">
    <w:pPr>
      <w:pStyle w:val="Footer"/>
      <w:jc w:val="right"/>
    </w:pPr>
  </w:p>
  <w:p w:rsidR="00105027" w:rsidRDefault="00127A0D" w:rsidP="00105027">
    <w:pPr>
      <w:pStyle w:val="Footer"/>
      <w:ind w:firstLine="720"/>
    </w:pPr>
    <w:r>
      <w:rPr>
        <w:noProof/>
      </w:rPr>
      <w:pict>
        <v:shapetype id="_x0000_t202" coordsize="21600,21600" o:spt="202" path="m,l,21600r21600,l21600,xe">
          <v:stroke joinstyle="miter"/>
          <v:path gradientshapeok="t" o:connecttype="rect"/>
        </v:shapetype>
        <v:shape id="_x0000_s59394" type="#_x0000_t202" style="position:absolute;left:0;text-align:left;margin-left:108.6pt;margin-top:15.35pt;width:286.8pt;height:44.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AwfwIAAGIFAAAOAAAAZHJzL2Uyb0RvYy54bWysVE1v2zAMvQ/YfxB0X52kSboGdYqsRYcB&#10;xVqsHXpWZKkxJomaxMTOfv0o2U6DbpcOu9gU+Ujx41EXl601bKdCrMGVfHwy4kw5CVXtnkv+/fHm&#10;w0fOIgpXCQNOlXyvIr9cvn930fiFmsAGTKUCoyAuLhpf8g2iXxRFlBtlRTwBrxwZNQQrkI7huaiC&#10;aCi6NcVkNJoXDYTKB5AqRtJed0a+zPG1VhLvtI4KmSk55Yb5G/J3nb7F8kIsnoPwm1r2aYh/yMKK&#10;2tGlh1DXAgXbhvqPULaWASJoPJFgC9C6lirXQNWMR6+qedgIr3It1JzoD22K/y+s/Lq7D6yuSn7G&#10;mROWRvSoWmSfoGVnqTuNjwsCPXiCYUtqmvKgj6RMRbc62PSnchjZqc/7Q29TMEnK0/l0MpsRGyTZ&#10;ZvPz+WSewhQv3j5E/KzAsiSUPNDsckvF7jZiBx0g6TIHN7UxeX7Gsabk89PZKDscLBTcuIRVmQl9&#10;mFRRl3mWcG9Uwhj3TWnqRC4gKTIH1ZUJbCeIPUJK5TDXnuMSOqE0JfEWxx7/ktVbnLs6hpvB4cHZ&#10;1g5Crv5V2tWPIWXd4annR3UnEdt12096DdWeBh2gW5To5U1N07gVEe9FoM2g2dK24x19tAHqOvQS&#10;ZxsIv/6mT3giLFk5a2jTSh5/bkVQnJkvjqh8Pp5O02rmw3R2NqFDOLasjy1ua6+AxjGmd8XLLCY8&#10;mkHUAewTPQqrdCuZhJN0d8lxEK+w2396VKRarTKIltELvHUPXqbQaTqJa4/tkwi+JyQSlb/CsJNi&#10;8YqXHTZ5OlhtEXSdSZsa3HW1bzwtcqZ9/+ikl+L4nFEvT+PyNwAAAP//AwBQSwMEFAAGAAgAAAAh&#10;APY5dHnhAAAACgEAAA8AAABkcnMvZG93bnJldi54bWxMj8tOwzAQRfdI/IM1SOyoXfNICXGqKlKF&#10;hOiipRt2TuwmEfY4xG4b+HqGFSxHc3TvucVy8o6d7Bj7gArmMwHMYhNMj62C/dv6ZgEsJo1Gu4BW&#10;wZeNsCwvLwqdm3DGrT3tUssoBGOuFXQpDTnnsems13EWBov0O4TR60Tn2HIz6jOFe8elEA/c6x6p&#10;odODrTrbfOyOXsFLtd7obS394ttVz6+H1fC5f79X6vpqWj0BS3ZKfzD86pM6lORUhyOayJwCOc8k&#10;oQpuRQaMgOxR0JaaSCnugJcF/z+h/AEAAP//AwBQSwECLQAUAAYACAAAACEAtoM4kv4AAADhAQAA&#10;EwAAAAAAAAAAAAAAAAAAAAAAW0NvbnRlbnRfVHlwZXNdLnhtbFBLAQItABQABgAIAAAAIQA4/SH/&#10;1gAAAJQBAAALAAAAAAAAAAAAAAAAAC8BAABfcmVscy8ucmVsc1BLAQItABQABgAIAAAAIQCoc1Aw&#10;fwIAAGIFAAAOAAAAAAAAAAAAAAAAAC4CAABkcnMvZTJvRG9jLnhtbFBLAQItABQABgAIAAAAIQD2&#10;OXR54QAAAAoBAAAPAAAAAAAAAAAAAAAAANkEAABkcnMvZG93bnJldi54bWxQSwUGAAAAAAQABADz&#10;AAAA5wUAAAAA&#10;" filled="f" stroked="f" strokeweight=".5pt">
          <v:textbox style="mso-next-textbox:#_x0000_s59394">
            <w:txbxContent>
              <w:p w:rsidR="00105027" w:rsidRPr="001F7903" w:rsidRDefault="00105027" w:rsidP="00105027">
                <w:pPr>
                  <w:ind w:firstLine="720"/>
                  <w:rPr>
                    <w:rFonts w:ascii="Microsoft Sans Serif" w:hAnsi="Microsoft Sans Serif"/>
                  </w:rPr>
                </w:pPr>
                <w:r w:rsidRPr="001F7903">
                  <w:rPr>
                    <w:rFonts w:ascii="Microsoft Sans Serif" w:hAnsi="Microsoft Sans Serif"/>
                  </w:rPr>
                  <w:t>HEALTH &amp; DISABILITY COMMISSIONER</w:t>
                </w:r>
              </w:p>
              <w:p w:rsidR="00105027" w:rsidRPr="001F7903" w:rsidRDefault="00105027" w:rsidP="00105027">
                <w:pPr>
                  <w:ind w:firstLine="720"/>
                  <w:rPr>
                    <w:rFonts w:ascii="Microsoft Sans Serif" w:hAnsi="Microsoft Sans Serif"/>
                  </w:rPr>
                </w:pPr>
                <w:r w:rsidRPr="001F7903">
                  <w:rPr>
                    <w:rFonts w:ascii="Microsoft Sans Serif" w:hAnsi="Microsoft Sans Serif"/>
                  </w:rPr>
                  <w:t>TE TOIHAU HAUORA, HAU</w:t>
                </w:r>
                <w:r w:rsidRPr="001F7903">
                  <w:rPr>
                    <w:rFonts w:ascii="Microsoft Sans Serif" w:hAnsi="Microsoft Sans Serif" w:cs="Times New Roman"/>
                  </w:rPr>
                  <w:t>Ā</w:t>
                </w:r>
                <w:r w:rsidRPr="001F7903">
                  <w:rPr>
                    <w:rFonts w:ascii="Microsoft Sans Serif" w:hAnsi="Microsoft Sans Serif"/>
                  </w:rPr>
                  <w:t>TANGA</w:t>
                </w:r>
              </w:p>
            </w:txbxContent>
          </v:textbox>
        </v:shape>
      </w:pict>
    </w:r>
    <w:r w:rsidR="00105027">
      <w:rPr>
        <w:noProof/>
      </w:rPr>
      <w:drawing>
        <wp:inline distT="0" distB="0" distL="0" distR="0" wp14:anchorId="63DC2092" wp14:editId="0EDA6FC9">
          <wp:extent cx="1257993" cy="76860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_plain logo_no word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671" cy="770242"/>
                  </a:xfrm>
                  <a:prstGeom prst="rect">
                    <a:avLst/>
                  </a:prstGeom>
                </pic:spPr>
              </pic:pic>
            </a:graphicData>
          </a:graphic>
        </wp:inline>
      </w:drawing>
    </w:r>
  </w:p>
  <w:p w:rsidR="00105027" w:rsidRDefault="00105027" w:rsidP="00105027">
    <w:pPr>
      <w:pStyle w:val="Footer"/>
    </w:pPr>
  </w:p>
  <w:p w:rsidR="00105027" w:rsidRDefault="00105027" w:rsidP="0010502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027" w:rsidRDefault="00127A0D" w:rsidP="00105027">
    <w:pPr>
      <w:pStyle w:val="Footer"/>
      <w:ind w:firstLine="720"/>
    </w:pPr>
    <w:r>
      <w:rPr>
        <w:noProof/>
      </w:rPr>
      <w:pict>
        <v:shapetype id="_x0000_t202" coordsize="21600,21600" o:spt="202" path="m,l,21600r21600,l21600,xe">
          <v:stroke joinstyle="miter"/>
          <v:path gradientshapeok="t" o:connecttype="rect"/>
        </v:shapetype>
        <v:shape id="Text Box 7" o:spid="_x0000_s59393" type="#_x0000_t202" style="position:absolute;left:0;text-align:left;margin-left:108.6pt;margin-top:15.35pt;width:286.8pt;height:44.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AwfwIAAGIFAAAOAAAAZHJzL2Uyb0RvYy54bWysVE1v2zAMvQ/YfxB0X52kSboGdYqsRYcB&#10;xVqsHXpWZKkxJomaxMTOfv0o2U6DbpcOu9gU+Ujx41EXl601bKdCrMGVfHwy4kw5CVXtnkv+/fHm&#10;w0fOIgpXCQNOlXyvIr9cvn930fiFmsAGTKUCoyAuLhpf8g2iXxRFlBtlRTwBrxwZNQQrkI7huaiC&#10;aCi6NcVkNJoXDYTKB5AqRtJed0a+zPG1VhLvtI4KmSk55Yb5G/J3nb7F8kIsnoPwm1r2aYh/yMKK&#10;2tGlh1DXAgXbhvqPULaWASJoPJFgC9C6lirXQNWMR6+qedgIr3It1JzoD22K/y+s/Lq7D6yuSn7G&#10;mROWRvSoWmSfoGVnqTuNjwsCPXiCYUtqmvKgj6RMRbc62PSnchjZqc/7Q29TMEnK0/l0MpsRGyTZ&#10;ZvPz+WSewhQv3j5E/KzAsiSUPNDsckvF7jZiBx0g6TIHN7UxeX7Gsabk89PZKDscLBTcuIRVmQl9&#10;mFRRl3mWcG9Uwhj3TWnqRC4gKTIH1ZUJbCeIPUJK5TDXnuMSOqE0JfEWxx7/ktVbnLs6hpvB4cHZ&#10;1g5Crv5V2tWPIWXd4annR3UnEdt12096DdWeBh2gW5To5U1N07gVEe9FoM2g2dK24x19tAHqOvQS&#10;ZxsIv/6mT3giLFk5a2jTSh5/bkVQnJkvjqh8Pp5O02rmw3R2NqFDOLasjy1ua6+AxjGmd8XLLCY8&#10;mkHUAewTPQqrdCuZhJN0d8lxEK+w2396VKRarTKIltELvHUPXqbQaTqJa4/tkwi+JyQSlb/CsJNi&#10;8YqXHTZ5OlhtEXSdSZsa3HW1bzwtcqZ9/+ikl+L4nFEvT+PyNwAAAP//AwBQSwMEFAAGAAgAAAAh&#10;APY5dHnhAAAACgEAAA8AAABkcnMvZG93bnJldi54bWxMj8tOwzAQRfdI/IM1SOyoXfNICXGqKlKF&#10;hOiipRt2TuwmEfY4xG4b+HqGFSxHc3TvucVy8o6d7Bj7gArmMwHMYhNMj62C/dv6ZgEsJo1Gu4BW&#10;wZeNsCwvLwqdm3DGrT3tUssoBGOuFXQpDTnnsems13EWBov0O4TR60Tn2HIz6jOFe8elEA/c6x6p&#10;odODrTrbfOyOXsFLtd7obS394ttVz6+H1fC5f79X6vpqWj0BS3ZKfzD86pM6lORUhyOayJwCOc8k&#10;oQpuRQaMgOxR0JaaSCnugJcF/z+h/AEAAP//AwBQSwECLQAUAAYACAAAACEAtoM4kv4AAADhAQAA&#10;EwAAAAAAAAAAAAAAAAAAAAAAW0NvbnRlbnRfVHlwZXNdLnhtbFBLAQItABQABgAIAAAAIQA4/SH/&#10;1gAAAJQBAAALAAAAAAAAAAAAAAAAAC8BAABfcmVscy8ucmVsc1BLAQItABQABgAIAAAAIQCoc1Aw&#10;fwIAAGIFAAAOAAAAAAAAAAAAAAAAAC4CAABkcnMvZTJvRG9jLnhtbFBLAQItABQABgAIAAAAIQD2&#10;OXR54QAAAAoBAAAPAAAAAAAAAAAAAAAAANkEAABkcnMvZG93bnJldi54bWxQSwUGAAAAAAQABADz&#10;AAAA5wUAAAAA&#10;" filled="f" stroked="f" strokeweight=".5pt">
          <v:textbox style="mso-next-textbox:#Text Box 7">
            <w:txbxContent>
              <w:p w:rsidR="00105027" w:rsidRPr="001F7903" w:rsidRDefault="00105027" w:rsidP="00105027">
                <w:pPr>
                  <w:spacing w:after="0"/>
                  <w:ind w:firstLine="720"/>
                  <w:rPr>
                    <w:rFonts w:ascii="Microsoft Sans Serif" w:hAnsi="Microsoft Sans Serif"/>
                  </w:rPr>
                </w:pPr>
                <w:r w:rsidRPr="001F7903">
                  <w:rPr>
                    <w:rFonts w:ascii="Microsoft Sans Serif" w:hAnsi="Microsoft Sans Serif"/>
                  </w:rPr>
                  <w:t>HEALTH &amp; DISABILITY COMMISSIONER</w:t>
                </w:r>
              </w:p>
              <w:p w:rsidR="00105027" w:rsidRPr="001F7903" w:rsidRDefault="00105027" w:rsidP="00105027">
                <w:pPr>
                  <w:ind w:firstLine="720"/>
                  <w:rPr>
                    <w:rFonts w:ascii="Microsoft Sans Serif" w:hAnsi="Microsoft Sans Serif"/>
                  </w:rPr>
                </w:pPr>
                <w:r w:rsidRPr="001F7903">
                  <w:rPr>
                    <w:rFonts w:ascii="Microsoft Sans Serif" w:hAnsi="Microsoft Sans Serif"/>
                  </w:rPr>
                  <w:t>TE TOIHAU HAUORA, HAU</w:t>
                </w:r>
                <w:r w:rsidRPr="001F7903">
                  <w:rPr>
                    <w:rFonts w:ascii="Microsoft Sans Serif" w:hAnsi="Microsoft Sans Serif" w:cs="Times New Roman"/>
                  </w:rPr>
                  <w:t>Ā</w:t>
                </w:r>
                <w:r w:rsidRPr="001F7903">
                  <w:rPr>
                    <w:rFonts w:ascii="Microsoft Sans Serif" w:hAnsi="Microsoft Sans Serif"/>
                  </w:rPr>
                  <w:t>TANGA</w:t>
                </w:r>
              </w:p>
            </w:txbxContent>
          </v:textbox>
        </v:shape>
      </w:pict>
    </w:r>
    <w:r w:rsidR="00105027">
      <w:rPr>
        <w:noProof/>
      </w:rPr>
      <w:drawing>
        <wp:inline distT="0" distB="0" distL="0" distR="0" wp14:anchorId="6CFF3753" wp14:editId="15FA6C08">
          <wp:extent cx="1257993" cy="76860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_plain logo_no word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671" cy="770242"/>
                  </a:xfrm>
                  <a:prstGeom prst="rect">
                    <a:avLst/>
                  </a:prstGeom>
                </pic:spPr>
              </pic:pic>
            </a:graphicData>
          </a:graphic>
        </wp:inline>
      </w:drawing>
    </w:r>
  </w:p>
  <w:p w:rsidR="00105027" w:rsidRDefault="001050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027" w:rsidRDefault="00105027">
    <w:pPr>
      <w:pStyle w:val="Footer"/>
      <w:jc w:val="right"/>
    </w:pPr>
  </w:p>
  <w:p w:rsidR="00105027" w:rsidRDefault="00105027" w:rsidP="00105027">
    <w:pPr>
      <w:pStyle w:val="Footer"/>
    </w:pPr>
  </w:p>
  <w:p w:rsidR="00105027" w:rsidRDefault="00105027" w:rsidP="00105027">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027" w:rsidRDefault="0010502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31759381"/>
      <w:docPartObj>
        <w:docPartGallery w:val="Page Numbers (Bottom of Page)"/>
        <w:docPartUnique/>
      </w:docPartObj>
    </w:sdtPr>
    <w:sdtEndPr/>
    <w:sdtContent>
      <w:p w:rsidR="00105027" w:rsidRPr="001B17D4" w:rsidRDefault="00105027">
        <w:pPr>
          <w:pStyle w:val="Footer"/>
          <w:jc w:val="right"/>
          <w:rPr>
            <w:rFonts w:ascii="Times New Roman" w:hAnsi="Times New Roman" w:cs="Times New Roman"/>
          </w:rPr>
        </w:pPr>
        <w:r w:rsidRPr="001B17D4">
          <w:rPr>
            <w:rFonts w:ascii="Times New Roman" w:hAnsi="Times New Roman" w:cs="Times New Roman"/>
          </w:rPr>
          <w:fldChar w:fldCharType="begin"/>
        </w:r>
        <w:r w:rsidRPr="001B17D4">
          <w:rPr>
            <w:rFonts w:ascii="Times New Roman" w:hAnsi="Times New Roman" w:cs="Times New Roman"/>
          </w:rPr>
          <w:instrText xml:space="preserve"> PAGE   \* MERGEFORMAT </w:instrText>
        </w:r>
        <w:r w:rsidRPr="001B17D4">
          <w:rPr>
            <w:rFonts w:ascii="Times New Roman" w:hAnsi="Times New Roman" w:cs="Times New Roman"/>
          </w:rPr>
          <w:fldChar w:fldCharType="separate"/>
        </w:r>
        <w:r w:rsidR="00127A0D">
          <w:rPr>
            <w:rFonts w:ascii="Times New Roman" w:hAnsi="Times New Roman" w:cs="Times New Roman"/>
            <w:noProof/>
          </w:rPr>
          <w:t>32</w:t>
        </w:r>
        <w:r w:rsidRPr="001B17D4">
          <w:rPr>
            <w:rFonts w:ascii="Times New Roman" w:hAnsi="Times New Roman" w:cs="Times New Roman"/>
          </w:rPr>
          <w:fldChar w:fldCharType="end"/>
        </w:r>
      </w:p>
    </w:sdtContent>
  </w:sdt>
  <w:p w:rsidR="00105027" w:rsidRDefault="00105027" w:rsidP="00016D3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027" w:rsidRDefault="00105027" w:rsidP="00874B5B">
      <w:pPr>
        <w:spacing w:after="0" w:line="240" w:lineRule="auto"/>
      </w:pPr>
      <w:r>
        <w:separator/>
      </w:r>
    </w:p>
  </w:footnote>
  <w:footnote w:type="continuationSeparator" w:id="0">
    <w:p w:rsidR="00105027" w:rsidRDefault="00105027" w:rsidP="00874B5B">
      <w:pPr>
        <w:spacing w:after="0" w:line="240" w:lineRule="auto"/>
      </w:pPr>
      <w:r>
        <w:continuationSeparator/>
      </w:r>
    </w:p>
  </w:footnote>
  <w:footnote w:id="1">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7 against the amendment, 6 in favour, and 1 anonymous submitter (#33) who commented that it is the nature of the review, rather than how often it is conducted, that is important</w:t>
      </w:r>
      <w:r>
        <w:rPr>
          <w:sz w:val="18"/>
          <w:szCs w:val="18"/>
        </w:rPr>
        <w:t>.</w:t>
      </w:r>
    </w:p>
  </w:footnote>
  <w:footnote w:id="2">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Auckland Women’s Health Council #15, where particular issue was taken with the introduced change to Right 7(10) outside of the review process</w:t>
      </w:r>
      <w:r>
        <w:rPr>
          <w:sz w:val="18"/>
          <w:szCs w:val="18"/>
        </w:rPr>
        <w:t>.</w:t>
      </w:r>
    </w:p>
  </w:footnote>
  <w:footnote w:id="3">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 xml:space="preserve">New Zealand </w:t>
      </w:r>
      <w:r w:rsidRPr="00905926">
        <w:rPr>
          <w:sz w:val="18"/>
          <w:szCs w:val="18"/>
        </w:rPr>
        <w:t>Nurses Organisation #24, and the Advocates and Representatives Group to ACC #43</w:t>
      </w:r>
      <w:r>
        <w:rPr>
          <w:sz w:val="18"/>
          <w:szCs w:val="18"/>
        </w:rPr>
        <w:t>.</w:t>
      </w:r>
    </w:p>
  </w:footnote>
  <w:footnote w:id="4">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w:t>
      </w:r>
      <w:r>
        <w:rPr>
          <w:sz w:val="18"/>
          <w:szCs w:val="18"/>
          <w:lang w:val="en-US"/>
        </w:rPr>
        <w:t>New Zealand</w:t>
      </w:r>
      <w:r w:rsidRPr="00905926">
        <w:rPr>
          <w:sz w:val="18"/>
          <w:szCs w:val="18"/>
          <w:lang w:val="en-US"/>
        </w:rPr>
        <w:t xml:space="preserve"> Law Society #41</w:t>
      </w:r>
      <w:r>
        <w:rPr>
          <w:sz w:val="18"/>
          <w:szCs w:val="18"/>
          <w:lang w:val="en-US"/>
        </w:rPr>
        <w:t>.</w:t>
      </w:r>
    </w:p>
  </w:footnote>
  <w:footnote w:id="5">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Women’s Health Action Trust #20, and The Royal Australasian College of Physicians #4</w:t>
      </w:r>
      <w:r>
        <w:rPr>
          <w:sz w:val="18"/>
          <w:szCs w:val="18"/>
          <w:lang w:val="en-US"/>
        </w:rPr>
        <w:t>.</w:t>
      </w:r>
    </w:p>
  </w:footnote>
  <w:footnote w:id="6">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 xml:space="preserve">New Zealand </w:t>
      </w:r>
      <w:proofErr w:type="spellStart"/>
      <w:r w:rsidRPr="00905926">
        <w:rPr>
          <w:sz w:val="18"/>
          <w:szCs w:val="18"/>
          <w:lang w:val="en-US"/>
        </w:rPr>
        <w:t>Orthopaedic</w:t>
      </w:r>
      <w:proofErr w:type="spellEnd"/>
      <w:r w:rsidRPr="00905926">
        <w:rPr>
          <w:sz w:val="18"/>
          <w:szCs w:val="18"/>
          <w:lang w:val="en-US"/>
        </w:rPr>
        <w:t xml:space="preserve"> Association #1</w:t>
      </w:r>
      <w:r>
        <w:rPr>
          <w:sz w:val="18"/>
          <w:szCs w:val="18"/>
          <w:lang w:val="en-US"/>
        </w:rPr>
        <w:t>.</w:t>
      </w:r>
    </w:p>
  </w:footnote>
  <w:footnote w:id="7">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Office of the Children’s Commissioner #2</w:t>
      </w:r>
      <w:r>
        <w:rPr>
          <w:sz w:val="18"/>
          <w:szCs w:val="18"/>
          <w:lang w:val="en-US"/>
        </w:rPr>
        <w:t>.</w:t>
      </w:r>
    </w:p>
  </w:footnote>
  <w:footnote w:id="8">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Medical Protection Society #6</w:t>
      </w:r>
      <w:r>
        <w:rPr>
          <w:sz w:val="18"/>
          <w:szCs w:val="18"/>
          <w:lang w:val="en-US"/>
        </w:rPr>
        <w:t>.</w:t>
      </w:r>
    </w:p>
  </w:footnote>
  <w:footnote w:id="9">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Ibid.</w:t>
      </w:r>
    </w:p>
  </w:footnote>
  <w:footnote w:id="10">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10 submissions</w:t>
      </w:r>
      <w:r>
        <w:rPr>
          <w:sz w:val="18"/>
          <w:szCs w:val="18"/>
          <w:lang w:val="en-US"/>
        </w:rPr>
        <w:t>.</w:t>
      </w:r>
    </w:p>
  </w:footnote>
  <w:footnote w:id="11">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The Royal Australasian College of Physicians #4</w:t>
      </w:r>
      <w:r>
        <w:rPr>
          <w:sz w:val="18"/>
          <w:szCs w:val="18"/>
          <w:lang w:val="en-US"/>
        </w:rPr>
        <w:t>.</w:t>
      </w:r>
    </w:p>
  </w:footnote>
  <w:footnote w:id="12">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 xml:space="preserve">New Zealand </w:t>
      </w:r>
      <w:proofErr w:type="spellStart"/>
      <w:r w:rsidRPr="00905926">
        <w:rPr>
          <w:sz w:val="18"/>
          <w:szCs w:val="18"/>
          <w:lang w:val="en-US"/>
        </w:rPr>
        <w:t>Orthopaedic</w:t>
      </w:r>
      <w:proofErr w:type="spellEnd"/>
      <w:r w:rsidRPr="00905926">
        <w:rPr>
          <w:sz w:val="18"/>
          <w:szCs w:val="18"/>
          <w:lang w:val="en-US"/>
        </w:rPr>
        <w:t xml:space="preserve"> Association #1</w:t>
      </w:r>
      <w:r>
        <w:rPr>
          <w:sz w:val="18"/>
          <w:szCs w:val="18"/>
          <w:lang w:val="en-US"/>
        </w:rPr>
        <w:t>.</w:t>
      </w:r>
    </w:p>
  </w:footnote>
  <w:footnote w:id="13">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9:1</w:t>
      </w:r>
      <w:r>
        <w:rPr>
          <w:sz w:val="18"/>
          <w:szCs w:val="18"/>
        </w:rPr>
        <w:t>.</w:t>
      </w:r>
    </w:p>
  </w:footnote>
  <w:footnote w:id="14">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Office of the Ombudsman #42, and N</w:t>
      </w:r>
      <w:r>
        <w:rPr>
          <w:sz w:val="18"/>
          <w:szCs w:val="18"/>
          <w:lang w:val="en-US"/>
        </w:rPr>
        <w:t xml:space="preserve">ew </w:t>
      </w:r>
      <w:r w:rsidRPr="00905926">
        <w:rPr>
          <w:sz w:val="18"/>
          <w:szCs w:val="18"/>
          <w:lang w:val="en-US"/>
        </w:rPr>
        <w:t>Z</w:t>
      </w:r>
      <w:r>
        <w:rPr>
          <w:sz w:val="18"/>
          <w:szCs w:val="18"/>
          <w:lang w:val="en-US"/>
        </w:rPr>
        <w:t>ealand</w:t>
      </w:r>
      <w:r w:rsidRPr="00905926">
        <w:rPr>
          <w:sz w:val="18"/>
          <w:szCs w:val="18"/>
          <w:lang w:val="en-US"/>
        </w:rPr>
        <w:t xml:space="preserve"> Law Society #41</w:t>
      </w:r>
      <w:r>
        <w:rPr>
          <w:sz w:val="18"/>
          <w:szCs w:val="18"/>
          <w:lang w:val="en-US"/>
        </w:rPr>
        <w:t>.</w:t>
      </w:r>
    </w:p>
  </w:footnote>
  <w:footnote w:id="15">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#6</w:t>
      </w:r>
      <w:r>
        <w:rPr>
          <w:sz w:val="18"/>
          <w:szCs w:val="18"/>
          <w:lang w:val="en-US"/>
        </w:rPr>
        <w:t>.</w:t>
      </w:r>
    </w:p>
  </w:footnote>
  <w:footnote w:id="16">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Medical Protection Society #6</w:t>
      </w:r>
      <w:r>
        <w:rPr>
          <w:sz w:val="18"/>
          <w:szCs w:val="18"/>
          <w:lang w:val="en-US"/>
        </w:rPr>
        <w:t>.</w:t>
      </w:r>
    </w:p>
  </w:footnote>
  <w:footnote w:id="17">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9:1</w:t>
      </w:r>
      <w:r>
        <w:rPr>
          <w:sz w:val="18"/>
          <w:szCs w:val="18"/>
        </w:rPr>
        <w:t>.</w:t>
      </w:r>
    </w:p>
  </w:footnote>
  <w:footnote w:id="18">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The Royal Australasian College of Physicians #4</w:t>
      </w:r>
    </w:p>
  </w:footnote>
  <w:footnote w:id="19">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#6</w:t>
      </w:r>
    </w:p>
  </w:footnote>
  <w:footnote w:id="20">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#15</w:t>
      </w:r>
    </w:p>
  </w:footnote>
  <w:footnote w:id="21">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Pharmacy Council of N</w:t>
      </w:r>
      <w:r>
        <w:rPr>
          <w:sz w:val="18"/>
          <w:szCs w:val="18"/>
          <w:lang w:val="en-US"/>
        </w:rPr>
        <w:t xml:space="preserve">ew </w:t>
      </w:r>
      <w:r w:rsidRPr="00905926">
        <w:rPr>
          <w:sz w:val="18"/>
          <w:szCs w:val="18"/>
          <w:lang w:val="en-US"/>
        </w:rPr>
        <w:t>Z</w:t>
      </w:r>
      <w:r>
        <w:rPr>
          <w:sz w:val="18"/>
          <w:szCs w:val="18"/>
          <w:lang w:val="en-US"/>
        </w:rPr>
        <w:t>ealand</w:t>
      </w:r>
      <w:r w:rsidRPr="00905926">
        <w:rPr>
          <w:sz w:val="18"/>
          <w:szCs w:val="18"/>
          <w:lang w:val="en-US"/>
        </w:rPr>
        <w:t xml:space="preserve"> #16</w:t>
      </w:r>
    </w:p>
  </w:footnote>
  <w:footnote w:id="22">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proofErr w:type="spellStart"/>
      <w:r w:rsidRPr="00905926">
        <w:rPr>
          <w:sz w:val="18"/>
          <w:szCs w:val="18"/>
          <w:lang w:val="en-US"/>
        </w:rPr>
        <w:t>Mr</w:t>
      </w:r>
      <w:proofErr w:type="spellEnd"/>
      <w:r w:rsidRPr="00905926">
        <w:rPr>
          <w:sz w:val="18"/>
          <w:szCs w:val="18"/>
          <w:lang w:val="en-US"/>
        </w:rPr>
        <w:t xml:space="preserve"> Bryce Whiting #44</w:t>
      </w:r>
    </w:p>
  </w:footnote>
  <w:footnote w:id="23">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Pr>
          <w:sz w:val="18"/>
          <w:szCs w:val="18"/>
          <w:lang w:val="en-US"/>
        </w:rPr>
        <w:t>#42</w:t>
      </w:r>
    </w:p>
  </w:footnote>
  <w:footnote w:id="24">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B30458">
        <w:rPr>
          <w:sz w:val="18"/>
          <w:szCs w:val="18"/>
          <w:lang w:val="en-US"/>
        </w:rPr>
        <w:t>#11</w:t>
      </w:r>
      <w:r>
        <w:rPr>
          <w:sz w:val="18"/>
          <w:szCs w:val="18"/>
          <w:lang w:val="en-US"/>
        </w:rPr>
        <w:t>.</w:t>
      </w:r>
    </w:p>
  </w:footnote>
  <w:footnote w:id="25">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N</w:t>
      </w:r>
      <w:r>
        <w:rPr>
          <w:sz w:val="18"/>
          <w:szCs w:val="18"/>
          <w:lang w:val="en-US"/>
        </w:rPr>
        <w:t xml:space="preserve">ew </w:t>
      </w:r>
      <w:r w:rsidRPr="00905926">
        <w:rPr>
          <w:sz w:val="18"/>
          <w:szCs w:val="18"/>
          <w:lang w:val="en-US"/>
        </w:rPr>
        <w:t>Z</w:t>
      </w:r>
      <w:r>
        <w:rPr>
          <w:sz w:val="18"/>
          <w:szCs w:val="18"/>
          <w:lang w:val="en-US"/>
        </w:rPr>
        <w:t>ealand</w:t>
      </w:r>
      <w:r w:rsidRPr="00905926">
        <w:rPr>
          <w:sz w:val="18"/>
          <w:szCs w:val="18"/>
          <w:lang w:val="en-US"/>
        </w:rPr>
        <w:t xml:space="preserve"> Law Society #41</w:t>
      </w:r>
      <w:r>
        <w:rPr>
          <w:sz w:val="18"/>
          <w:szCs w:val="18"/>
          <w:lang w:val="en-US"/>
        </w:rPr>
        <w:t>.</w:t>
      </w:r>
    </w:p>
  </w:footnote>
  <w:footnote w:id="26">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Interpreting New Zealand #12, New Zealand Medical Association #19, and  Anonymous – online #31</w:t>
      </w:r>
      <w:r>
        <w:rPr>
          <w:sz w:val="18"/>
          <w:szCs w:val="18"/>
          <w:lang w:val="en-US"/>
        </w:rPr>
        <w:t>.</w:t>
      </w:r>
    </w:p>
  </w:footnote>
  <w:footnote w:id="27">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Anonymous – online #31</w:t>
      </w:r>
      <w:r>
        <w:rPr>
          <w:sz w:val="18"/>
          <w:szCs w:val="18"/>
          <w:lang w:val="en-US"/>
        </w:rPr>
        <w:t>.</w:t>
      </w:r>
    </w:p>
  </w:footnote>
  <w:footnote w:id="28">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Interpreting New Zealand #12</w:t>
      </w:r>
      <w:r>
        <w:rPr>
          <w:sz w:val="18"/>
          <w:szCs w:val="18"/>
          <w:lang w:val="en-US"/>
        </w:rPr>
        <w:t>.</w:t>
      </w:r>
    </w:p>
  </w:footnote>
  <w:footnote w:id="29">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Office of Ethnic Affairs #10, New Zealand Medical Association #19, and Anonymous – online #31</w:t>
      </w:r>
      <w:r>
        <w:rPr>
          <w:sz w:val="18"/>
          <w:szCs w:val="18"/>
        </w:rPr>
        <w:t>.</w:t>
      </w:r>
    </w:p>
  </w:footnote>
  <w:footnote w:id="30">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#16</w:t>
      </w:r>
      <w:r>
        <w:rPr>
          <w:sz w:val="18"/>
          <w:szCs w:val="18"/>
          <w:lang w:val="en-US"/>
        </w:rPr>
        <w:t>.</w:t>
      </w:r>
    </w:p>
  </w:footnote>
  <w:footnote w:id="31">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Interpreting New Zealand #12</w:t>
      </w:r>
      <w:r>
        <w:rPr>
          <w:sz w:val="18"/>
          <w:szCs w:val="18"/>
          <w:lang w:val="en-US"/>
        </w:rPr>
        <w:t>.</w:t>
      </w:r>
    </w:p>
  </w:footnote>
  <w:footnote w:id="32">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Auckland Women’s Health Council #15</w:t>
      </w:r>
      <w:r>
        <w:rPr>
          <w:sz w:val="18"/>
          <w:szCs w:val="18"/>
          <w:lang w:val="en-US"/>
        </w:rPr>
        <w:t>.</w:t>
      </w:r>
    </w:p>
  </w:footnote>
  <w:footnote w:id="33">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Anonymous, online #31 and #35</w:t>
      </w:r>
      <w:r>
        <w:rPr>
          <w:sz w:val="18"/>
          <w:szCs w:val="18"/>
          <w:lang w:val="en-US"/>
        </w:rPr>
        <w:t>.</w:t>
      </w:r>
    </w:p>
  </w:footnote>
  <w:footnote w:id="34">
    <w:p w:rsidR="00105027" w:rsidRPr="00905926" w:rsidRDefault="00105027" w:rsidP="00871911">
      <w:pPr>
        <w:pStyle w:val="FootnoteText"/>
        <w:rPr>
          <w:sz w:val="18"/>
          <w:szCs w:val="18"/>
          <w:lang w:val="en-US"/>
        </w:rPr>
      </w:pPr>
      <w:r w:rsidRPr="00905926">
        <w:rPr>
          <w:rStyle w:val="FootnoteReference"/>
          <w:sz w:val="18"/>
          <w:szCs w:val="18"/>
        </w:rPr>
        <w:footnoteRef/>
      </w:r>
      <w:r>
        <w:rPr>
          <w:sz w:val="18"/>
          <w:szCs w:val="18"/>
        </w:rPr>
        <w:t xml:space="preserve"> #30.</w:t>
      </w:r>
    </w:p>
  </w:footnote>
  <w:footnote w:id="35">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Southern Cross Hospitals – various anonymous providers #29</w:t>
      </w:r>
      <w:r>
        <w:rPr>
          <w:sz w:val="18"/>
          <w:szCs w:val="18"/>
        </w:rPr>
        <w:t>.</w:t>
      </w:r>
    </w:p>
  </w:footnote>
  <w:footnote w:id="36">
    <w:p w:rsidR="00105027" w:rsidRPr="00905926" w:rsidRDefault="00105027" w:rsidP="00871911">
      <w:pPr>
        <w:pStyle w:val="FootnoteText"/>
        <w:rPr>
          <w:sz w:val="18"/>
          <w:szCs w:val="18"/>
        </w:rPr>
      </w:pPr>
      <w:r w:rsidRPr="00905926">
        <w:rPr>
          <w:rStyle w:val="FootnoteReference"/>
          <w:sz w:val="18"/>
          <w:szCs w:val="18"/>
        </w:rPr>
        <w:footnoteRef/>
      </w:r>
      <w:r w:rsidRPr="00905926">
        <w:rPr>
          <w:sz w:val="18"/>
          <w:szCs w:val="18"/>
        </w:rPr>
        <w:t xml:space="preserve"> Health Quality and Safety Commission New Zealand #7</w:t>
      </w:r>
      <w:r>
        <w:rPr>
          <w:sz w:val="18"/>
          <w:szCs w:val="18"/>
        </w:rPr>
        <w:t>.</w:t>
      </w:r>
    </w:p>
  </w:footnote>
  <w:footnote w:id="37">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#14</w:t>
      </w:r>
      <w:r>
        <w:rPr>
          <w:sz w:val="18"/>
          <w:szCs w:val="18"/>
          <w:lang w:val="en-US"/>
        </w:rPr>
        <w:t>.</w:t>
      </w:r>
    </w:p>
  </w:footnote>
  <w:footnote w:id="38">
    <w:p w:rsidR="00105027" w:rsidRPr="00E568DC" w:rsidRDefault="00105027">
      <w:pPr>
        <w:pStyle w:val="FootnoteText"/>
        <w:rPr>
          <w:sz w:val="18"/>
          <w:szCs w:val="18"/>
          <w:lang w:val="en-US"/>
        </w:rPr>
      </w:pPr>
      <w:r>
        <w:rPr>
          <w:rStyle w:val="FootnoteReference"/>
        </w:rPr>
        <w:footnoteRef/>
      </w:r>
      <w:r>
        <w:t xml:space="preserve"> </w:t>
      </w:r>
      <w:r w:rsidRPr="00E568DC">
        <w:rPr>
          <w:sz w:val="18"/>
          <w:szCs w:val="18"/>
          <w:lang w:val="en-US"/>
        </w:rPr>
        <w:t xml:space="preserve">Health </w:t>
      </w:r>
      <w:r>
        <w:rPr>
          <w:sz w:val="18"/>
          <w:szCs w:val="18"/>
          <w:lang w:val="en-US"/>
        </w:rPr>
        <w:t>Quality and Safety Commission</w:t>
      </w:r>
      <w:r w:rsidRPr="00E568DC">
        <w:rPr>
          <w:sz w:val="18"/>
          <w:szCs w:val="18"/>
          <w:lang w:val="en-US"/>
        </w:rPr>
        <w:t xml:space="preserve"> N</w:t>
      </w:r>
      <w:r>
        <w:rPr>
          <w:sz w:val="18"/>
          <w:szCs w:val="18"/>
          <w:lang w:val="en-US"/>
        </w:rPr>
        <w:t xml:space="preserve">ew </w:t>
      </w:r>
      <w:r w:rsidRPr="00E568DC">
        <w:rPr>
          <w:sz w:val="18"/>
          <w:szCs w:val="18"/>
          <w:lang w:val="en-US"/>
        </w:rPr>
        <w:t>Z</w:t>
      </w:r>
      <w:r>
        <w:rPr>
          <w:sz w:val="18"/>
          <w:szCs w:val="18"/>
          <w:lang w:val="en-US"/>
        </w:rPr>
        <w:t>ealand</w:t>
      </w:r>
      <w:r w:rsidRPr="00E568DC">
        <w:rPr>
          <w:sz w:val="18"/>
          <w:szCs w:val="18"/>
          <w:lang w:val="en-US"/>
        </w:rPr>
        <w:t xml:space="preserve"> #7</w:t>
      </w:r>
    </w:p>
  </w:footnote>
  <w:footnote w:id="39">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Anonymous – online #37</w:t>
      </w:r>
      <w:r>
        <w:rPr>
          <w:sz w:val="18"/>
          <w:szCs w:val="18"/>
          <w:lang w:val="en-US"/>
        </w:rPr>
        <w:t>.</w:t>
      </w:r>
    </w:p>
  </w:footnote>
  <w:footnote w:id="40">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Anonymous – online #34</w:t>
      </w:r>
      <w:r>
        <w:rPr>
          <w:sz w:val="18"/>
          <w:szCs w:val="18"/>
          <w:lang w:val="en-US"/>
        </w:rPr>
        <w:t>.</w:t>
      </w:r>
    </w:p>
  </w:footnote>
  <w:footnote w:id="41">
    <w:p w:rsidR="00105027" w:rsidRPr="003754FA" w:rsidRDefault="00105027" w:rsidP="00871911">
      <w:pPr>
        <w:pStyle w:val="FootnoteText"/>
        <w:rPr>
          <w:lang w:val="en-US"/>
        </w:rPr>
      </w:pPr>
      <w:r w:rsidRPr="003754FA">
        <w:rPr>
          <w:sz w:val="18"/>
          <w:szCs w:val="18"/>
          <w:vertAlign w:val="superscript"/>
          <w:lang w:val="en-US"/>
        </w:rPr>
        <w:footnoteRef/>
      </w:r>
      <w:r w:rsidRPr="003754FA">
        <w:rPr>
          <w:sz w:val="18"/>
          <w:szCs w:val="18"/>
          <w:lang w:val="en-US"/>
        </w:rPr>
        <w:t xml:space="preserve"> Bryce Whiting #44</w:t>
      </w:r>
      <w:r>
        <w:rPr>
          <w:sz w:val="18"/>
          <w:szCs w:val="18"/>
          <w:lang w:val="en-US"/>
        </w:rPr>
        <w:t>.</w:t>
      </w:r>
    </w:p>
  </w:footnote>
  <w:footnote w:id="42">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Interpreting New Zealand #12, New Zealand Medical Association #19, and Anonymous</w:t>
      </w:r>
      <w:r>
        <w:rPr>
          <w:sz w:val="18"/>
          <w:szCs w:val="18"/>
          <w:lang w:val="en-US"/>
        </w:rPr>
        <w:t xml:space="preserve"> – </w:t>
      </w:r>
      <w:r w:rsidRPr="00905926">
        <w:rPr>
          <w:sz w:val="18"/>
          <w:szCs w:val="18"/>
          <w:lang w:val="en-US"/>
        </w:rPr>
        <w:t>online #31</w:t>
      </w:r>
      <w:r>
        <w:rPr>
          <w:sz w:val="18"/>
          <w:szCs w:val="18"/>
          <w:lang w:val="en-US"/>
        </w:rPr>
        <w:t>.</w:t>
      </w:r>
    </w:p>
  </w:footnote>
  <w:footnote w:id="43">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#14</w:t>
      </w:r>
      <w:r>
        <w:rPr>
          <w:sz w:val="18"/>
          <w:szCs w:val="18"/>
          <w:lang w:val="en-US"/>
        </w:rPr>
        <w:t>.</w:t>
      </w:r>
    </w:p>
  </w:footnote>
  <w:footnote w:id="44">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Pr>
          <w:sz w:val="18"/>
          <w:szCs w:val="18"/>
        </w:rPr>
        <w:t>#41.</w:t>
      </w:r>
    </w:p>
  </w:footnote>
  <w:footnote w:id="45">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#18</w:t>
      </w:r>
      <w:r>
        <w:rPr>
          <w:sz w:val="18"/>
          <w:szCs w:val="18"/>
          <w:lang w:val="en-US"/>
        </w:rPr>
        <w:t>.</w:t>
      </w:r>
    </w:p>
  </w:footnote>
  <w:footnote w:id="46">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Elaine Henderson #13</w:t>
      </w:r>
      <w:r>
        <w:rPr>
          <w:sz w:val="18"/>
          <w:szCs w:val="18"/>
          <w:lang w:val="en-US"/>
        </w:rPr>
        <w:t>.</w:t>
      </w:r>
    </w:p>
  </w:footnote>
  <w:footnote w:id="47">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#15</w:t>
      </w:r>
      <w:r>
        <w:rPr>
          <w:sz w:val="18"/>
          <w:szCs w:val="18"/>
          <w:lang w:val="en-US"/>
        </w:rPr>
        <w:t>.</w:t>
      </w:r>
    </w:p>
  </w:footnote>
  <w:footnote w:id="48">
    <w:p w:rsidR="00105027" w:rsidRPr="008A3178" w:rsidRDefault="00105027" w:rsidP="00871911">
      <w:pPr>
        <w:pStyle w:val="FootnoteText"/>
        <w:rPr>
          <w:lang w:val="en-US"/>
        </w:rPr>
      </w:pPr>
      <w:r>
        <w:rPr>
          <w:rStyle w:val="FootnoteReference"/>
        </w:rPr>
        <w:footnoteRef/>
      </w:r>
      <w:r>
        <w:t xml:space="preserve"> </w:t>
      </w:r>
      <w:r w:rsidRPr="003A452F">
        <w:rPr>
          <w:sz w:val="18"/>
          <w:szCs w:val="18"/>
          <w:lang w:val="en-US"/>
        </w:rPr>
        <w:t>#41</w:t>
      </w:r>
      <w:r>
        <w:rPr>
          <w:sz w:val="18"/>
          <w:szCs w:val="18"/>
          <w:lang w:val="en-US"/>
        </w:rPr>
        <w:t>.</w:t>
      </w:r>
    </w:p>
  </w:footnote>
  <w:footnote w:id="49">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proofErr w:type="spellStart"/>
      <w:r w:rsidRPr="00905926">
        <w:rPr>
          <w:sz w:val="18"/>
          <w:szCs w:val="18"/>
          <w:lang w:val="en-US"/>
        </w:rPr>
        <w:t>ProCare</w:t>
      </w:r>
      <w:proofErr w:type="spellEnd"/>
      <w:r w:rsidRPr="00905926">
        <w:rPr>
          <w:sz w:val="18"/>
          <w:szCs w:val="18"/>
          <w:lang w:val="en-US"/>
        </w:rPr>
        <w:t xml:space="preserve"> #17</w:t>
      </w:r>
      <w:r>
        <w:rPr>
          <w:sz w:val="18"/>
          <w:szCs w:val="18"/>
          <w:lang w:val="en-US"/>
        </w:rPr>
        <w:t>.</w:t>
      </w:r>
    </w:p>
  </w:footnote>
  <w:footnote w:id="50">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#30</w:t>
      </w:r>
      <w:r>
        <w:rPr>
          <w:sz w:val="18"/>
          <w:szCs w:val="18"/>
          <w:lang w:val="en-US"/>
        </w:rPr>
        <w:t>.</w:t>
      </w:r>
    </w:p>
  </w:footnote>
  <w:footnote w:id="51">
    <w:p w:rsidR="00105027" w:rsidRPr="00905926" w:rsidRDefault="00105027" w:rsidP="00871911">
      <w:pPr>
        <w:pStyle w:val="FootnoteText"/>
        <w:rPr>
          <w:sz w:val="18"/>
          <w:szCs w:val="18"/>
          <w:lang w:val="en-US"/>
        </w:rPr>
      </w:pPr>
      <w:r w:rsidRPr="001B17D4">
        <w:rPr>
          <w:rStyle w:val="FootnoteReference"/>
        </w:rPr>
        <w:footnoteRef/>
      </w:r>
      <w:r w:rsidRPr="001B17D4">
        <w:t xml:space="preserve"> </w:t>
      </w:r>
      <w:r w:rsidRPr="00905926">
        <w:rPr>
          <w:sz w:val="18"/>
          <w:szCs w:val="18"/>
          <w:lang w:val="en-US"/>
        </w:rPr>
        <w:t>#14</w:t>
      </w:r>
      <w:r>
        <w:rPr>
          <w:sz w:val="18"/>
          <w:szCs w:val="18"/>
          <w:lang w:val="en-US"/>
        </w:rPr>
        <w:t>.</w:t>
      </w:r>
    </w:p>
  </w:footnote>
  <w:footnote w:id="52">
    <w:p w:rsidR="00105027" w:rsidRPr="00905926" w:rsidRDefault="00105027" w:rsidP="00871911">
      <w:pPr>
        <w:pStyle w:val="FootnoteText"/>
        <w:rPr>
          <w:sz w:val="18"/>
          <w:szCs w:val="18"/>
          <w:lang w:val="en-US"/>
        </w:rPr>
      </w:pPr>
      <w:r w:rsidRPr="001B17D4">
        <w:rPr>
          <w:rStyle w:val="FootnoteReference"/>
        </w:rPr>
        <w:footnoteRef/>
      </w:r>
      <w:r w:rsidRPr="001B17D4">
        <w:t xml:space="preserve"> </w:t>
      </w:r>
      <w:r w:rsidRPr="00905926">
        <w:rPr>
          <w:sz w:val="18"/>
          <w:szCs w:val="18"/>
          <w:lang w:val="en-US"/>
        </w:rPr>
        <w:t>#26</w:t>
      </w:r>
      <w:r>
        <w:rPr>
          <w:sz w:val="18"/>
          <w:szCs w:val="18"/>
          <w:lang w:val="en-US"/>
        </w:rPr>
        <w:t>.</w:t>
      </w:r>
    </w:p>
  </w:footnote>
  <w:footnote w:id="53">
    <w:p w:rsidR="00105027" w:rsidRPr="003A452F" w:rsidRDefault="00105027" w:rsidP="00871911">
      <w:pPr>
        <w:pStyle w:val="FootnoteText"/>
        <w:rPr>
          <w:lang w:val="en-US"/>
        </w:rPr>
      </w:pPr>
      <w:r>
        <w:rPr>
          <w:rStyle w:val="FootnoteReference"/>
        </w:rPr>
        <w:footnoteRef/>
      </w:r>
      <w:r>
        <w:t xml:space="preserve"> #</w:t>
      </w:r>
      <w:r w:rsidRPr="00F02090">
        <w:rPr>
          <w:sz w:val="18"/>
          <w:szCs w:val="18"/>
          <w:lang w:val="en-US"/>
        </w:rPr>
        <w:t>25</w:t>
      </w:r>
      <w:r>
        <w:rPr>
          <w:sz w:val="18"/>
          <w:szCs w:val="18"/>
          <w:lang w:val="en-US"/>
        </w:rPr>
        <w:t>.</w:t>
      </w:r>
    </w:p>
  </w:footnote>
  <w:footnote w:id="54">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Health Quality and Safety Commission New Zealand #7</w:t>
      </w:r>
      <w:r>
        <w:rPr>
          <w:sz w:val="18"/>
          <w:szCs w:val="18"/>
          <w:lang w:val="en-US"/>
        </w:rPr>
        <w:t>.</w:t>
      </w:r>
    </w:p>
  </w:footnote>
  <w:footnote w:id="55">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Association of Blind Citizens of N</w:t>
      </w:r>
      <w:r>
        <w:rPr>
          <w:sz w:val="18"/>
          <w:szCs w:val="18"/>
          <w:lang w:val="en-US"/>
        </w:rPr>
        <w:t xml:space="preserve">ew </w:t>
      </w:r>
      <w:r w:rsidRPr="00905926">
        <w:rPr>
          <w:sz w:val="18"/>
          <w:szCs w:val="18"/>
          <w:lang w:val="en-US"/>
        </w:rPr>
        <w:t>Z</w:t>
      </w:r>
      <w:r>
        <w:rPr>
          <w:sz w:val="18"/>
          <w:szCs w:val="18"/>
          <w:lang w:val="en-US"/>
        </w:rPr>
        <w:t>ealand</w:t>
      </w:r>
      <w:r w:rsidRPr="00905926">
        <w:rPr>
          <w:sz w:val="18"/>
          <w:szCs w:val="18"/>
          <w:lang w:val="en-US"/>
        </w:rPr>
        <w:t xml:space="preserve"> #30</w:t>
      </w:r>
      <w:r>
        <w:rPr>
          <w:sz w:val="18"/>
          <w:szCs w:val="18"/>
          <w:lang w:val="en-US"/>
        </w:rPr>
        <w:t>.</w:t>
      </w:r>
    </w:p>
  </w:footnote>
  <w:footnote w:id="56">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Disability Rights Commissioner, Human Rights Commission #11, N</w:t>
      </w:r>
      <w:r>
        <w:rPr>
          <w:sz w:val="18"/>
          <w:szCs w:val="18"/>
        </w:rPr>
        <w:t xml:space="preserve">ew </w:t>
      </w:r>
      <w:r w:rsidRPr="00905926">
        <w:rPr>
          <w:sz w:val="18"/>
          <w:szCs w:val="18"/>
        </w:rPr>
        <w:t>Z</w:t>
      </w:r>
      <w:r>
        <w:rPr>
          <w:sz w:val="18"/>
          <w:szCs w:val="18"/>
        </w:rPr>
        <w:t>ealand</w:t>
      </w:r>
      <w:r w:rsidRPr="00905926">
        <w:rPr>
          <w:sz w:val="18"/>
          <w:szCs w:val="18"/>
        </w:rPr>
        <w:t xml:space="preserve"> Law Society #41</w:t>
      </w:r>
      <w:r>
        <w:rPr>
          <w:sz w:val="18"/>
          <w:szCs w:val="18"/>
        </w:rPr>
        <w:t>.</w:t>
      </w:r>
    </w:p>
  </w:footnote>
  <w:footnote w:id="57">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Disability Rights Commissioner, Human Rights Commission #11</w:t>
      </w:r>
      <w:r>
        <w:rPr>
          <w:sz w:val="18"/>
          <w:szCs w:val="18"/>
        </w:rPr>
        <w:t>.</w:t>
      </w:r>
    </w:p>
  </w:footnote>
  <w:footnote w:id="58">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Ibid.</w:t>
      </w:r>
    </w:p>
  </w:footnote>
  <w:footnote w:id="59">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Disability Rights Commissioner, Human Rights Commission #11, and Office of the Ombudsman #42</w:t>
      </w:r>
      <w:r>
        <w:rPr>
          <w:sz w:val="18"/>
          <w:szCs w:val="18"/>
        </w:rPr>
        <w:t>.</w:t>
      </w:r>
    </w:p>
  </w:footnote>
  <w:footnote w:id="60">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Disability Rights Commissioner, Human Rights Commission #11</w:t>
      </w:r>
      <w:r>
        <w:rPr>
          <w:sz w:val="18"/>
          <w:szCs w:val="18"/>
        </w:rPr>
        <w:t>.</w:t>
      </w:r>
    </w:p>
  </w:footnote>
  <w:footnote w:id="61">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w:t>
      </w:r>
      <w:r>
        <w:rPr>
          <w:sz w:val="18"/>
          <w:szCs w:val="18"/>
        </w:rPr>
        <w:t xml:space="preserve">Dental Council </w:t>
      </w:r>
      <w:r w:rsidRPr="00905926">
        <w:rPr>
          <w:sz w:val="18"/>
          <w:szCs w:val="18"/>
        </w:rPr>
        <w:t>#9, and Federation of Women’s Health Councils #5</w:t>
      </w:r>
      <w:r>
        <w:rPr>
          <w:sz w:val="18"/>
          <w:szCs w:val="18"/>
        </w:rPr>
        <w:t>.</w:t>
      </w:r>
    </w:p>
  </w:footnote>
  <w:footnote w:id="62">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#9</w:t>
      </w:r>
      <w:r>
        <w:rPr>
          <w:sz w:val="18"/>
          <w:szCs w:val="18"/>
        </w:rPr>
        <w:t>.</w:t>
      </w:r>
    </w:p>
  </w:footnote>
  <w:footnote w:id="63">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Ibid.</w:t>
      </w:r>
    </w:p>
  </w:footnote>
  <w:footnote w:id="64">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#6</w:t>
      </w:r>
      <w:r>
        <w:rPr>
          <w:sz w:val="18"/>
          <w:szCs w:val="18"/>
          <w:lang w:val="en-US"/>
        </w:rPr>
        <w:t>.</w:t>
      </w:r>
    </w:p>
  </w:footnote>
  <w:footnote w:id="65">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Pharmacy Council </w:t>
      </w:r>
      <w:r w:rsidRPr="00905926">
        <w:rPr>
          <w:sz w:val="18"/>
          <w:szCs w:val="18"/>
          <w:lang w:val="en-US"/>
        </w:rPr>
        <w:t xml:space="preserve">of New Zealand </w:t>
      </w:r>
      <w:r w:rsidRPr="00905926">
        <w:rPr>
          <w:sz w:val="18"/>
          <w:szCs w:val="18"/>
        </w:rPr>
        <w:t>#16</w:t>
      </w:r>
      <w:r>
        <w:rPr>
          <w:sz w:val="18"/>
          <w:szCs w:val="18"/>
        </w:rPr>
        <w:t>.</w:t>
      </w:r>
    </w:p>
  </w:footnote>
  <w:footnote w:id="66">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Auckland Women’s Health Council #15, and Pharmacy Council of New Zealand #16</w:t>
      </w:r>
      <w:r>
        <w:rPr>
          <w:sz w:val="18"/>
          <w:szCs w:val="18"/>
          <w:lang w:val="en-US"/>
        </w:rPr>
        <w:t>.</w:t>
      </w:r>
    </w:p>
  </w:footnote>
  <w:footnote w:id="67">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Pharmacy Council of New Zealand #16</w:t>
      </w:r>
      <w:r>
        <w:rPr>
          <w:sz w:val="18"/>
          <w:szCs w:val="18"/>
          <w:lang w:val="en-US"/>
        </w:rPr>
        <w:t>.</w:t>
      </w:r>
    </w:p>
  </w:footnote>
  <w:footnote w:id="68">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Auckland Women’s Health Council #15, Federation of Women’s Health Councils #5</w:t>
      </w:r>
      <w:r>
        <w:rPr>
          <w:sz w:val="18"/>
          <w:szCs w:val="18"/>
          <w:lang w:val="en-US"/>
        </w:rPr>
        <w:t>.</w:t>
      </w:r>
    </w:p>
  </w:footnote>
  <w:footnote w:id="69">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Federation of Women’s Health Councils #5</w:t>
      </w:r>
      <w:r>
        <w:rPr>
          <w:sz w:val="18"/>
          <w:szCs w:val="18"/>
          <w:lang w:val="en-US"/>
        </w:rPr>
        <w:t>.</w:t>
      </w:r>
    </w:p>
  </w:footnote>
  <w:footnote w:id="70">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Ibid.</w:t>
      </w:r>
    </w:p>
  </w:footnote>
  <w:footnote w:id="71">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National Ethics Advisory Committee #21</w:t>
      </w:r>
    </w:p>
  </w:footnote>
  <w:footnote w:id="72">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#14</w:t>
      </w:r>
    </w:p>
  </w:footnote>
  <w:footnote w:id="73">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#25</w:t>
      </w:r>
    </w:p>
  </w:footnote>
  <w:footnote w:id="74">
    <w:p w:rsidR="00105027" w:rsidRPr="00905926" w:rsidRDefault="00105027" w:rsidP="00871911">
      <w:pPr>
        <w:pStyle w:val="FootnoteText"/>
        <w:rPr>
          <w:sz w:val="18"/>
          <w:szCs w:val="18"/>
          <w:lang w:val="en-US"/>
        </w:rPr>
      </w:pPr>
      <w:r w:rsidRPr="00905926">
        <w:rPr>
          <w:rStyle w:val="FootnoteReference"/>
          <w:sz w:val="18"/>
          <w:szCs w:val="18"/>
        </w:rPr>
        <w:footnoteRef/>
      </w:r>
      <w:r>
        <w:rPr>
          <w:sz w:val="18"/>
          <w:szCs w:val="18"/>
        </w:rPr>
        <w:t xml:space="preserve"> </w:t>
      </w:r>
      <w:r w:rsidRPr="00905926">
        <w:rPr>
          <w:sz w:val="18"/>
          <w:szCs w:val="18"/>
          <w:lang w:val="en-US"/>
        </w:rPr>
        <w:t>#30</w:t>
      </w:r>
      <w:r>
        <w:rPr>
          <w:sz w:val="18"/>
          <w:szCs w:val="18"/>
          <w:lang w:val="en-US"/>
        </w:rPr>
        <w:t>.</w:t>
      </w:r>
    </w:p>
  </w:footnote>
  <w:footnote w:id="75">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#43</w:t>
      </w:r>
      <w:r>
        <w:rPr>
          <w:sz w:val="18"/>
          <w:szCs w:val="18"/>
          <w:lang w:val="en-US"/>
        </w:rPr>
        <w:t>.</w:t>
      </w:r>
    </w:p>
  </w:footnote>
  <w:footnote w:id="76">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#41</w:t>
      </w:r>
      <w:r>
        <w:rPr>
          <w:sz w:val="18"/>
          <w:szCs w:val="18"/>
          <w:lang w:val="en-US"/>
        </w:rPr>
        <w:t>.</w:t>
      </w:r>
    </w:p>
  </w:footnote>
  <w:footnote w:id="77">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Federation of Women’s Health Councils #5, Ministry of Health (internal staff feedback) #22, and</w:t>
      </w:r>
      <w:r w:rsidRPr="00905926">
        <w:rPr>
          <w:sz w:val="18"/>
          <w:szCs w:val="18"/>
        </w:rPr>
        <w:t xml:space="preserve"> ACC #23</w:t>
      </w:r>
      <w:r>
        <w:rPr>
          <w:sz w:val="18"/>
          <w:szCs w:val="18"/>
        </w:rPr>
        <w:t>.</w:t>
      </w:r>
    </w:p>
  </w:footnote>
  <w:footnote w:id="78">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Ministry of Health (internal staff feedback) #22</w:t>
      </w:r>
      <w:r>
        <w:rPr>
          <w:sz w:val="18"/>
          <w:szCs w:val="18"/>
          <w:lang w:val="en-US"/>
        </w:rPr>
        <w:t>.</w:t>
      </w:r>
    </w:p>
  </w:footnote>
  <w:footnote w:id="79">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Anonymous, online #37</w:t>
      </w:r>
      <w:r>
        <w:rPr>
          <w:sz w:val="18"/>
          <w:szCs w:val="18"/>
          <w:lang w:val="en-US"/>
        </w:rPr>
        <w:t>.</w:t>
      </w:r>
    </w:p>
  </w:footnote>
  <w:footnote w:id="80">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Federation of Women’s Health Councils #5</w:t>
      </w:r>
      <w:r>
        <w:rPr>
          <w:sz w:val="18"/>
          <w:szCs w:val="18"/>
          <w:lang w:val="en-US"/>
        </w:rPr>
        <w:t>.</w:t>
      </w:r>
    </w:p>
  </w:footnote>
  <w:footnote w:id="81">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#23</w:t>
      </w:r>
      <w:r>
        <w:rPr>
          <w:sz w:val="18"/>
          <w:szCs w:val="18"/>
        </w:rPr>
        <w:t>.</w:t>
      </w:r>
    </w:p>
  </w:footnote>
  <w:footnote w:id="82">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Anonymous, online #32</w:t>
      </w:r>
      <w:r>
        <w:rPr>
          <w:sz w:val="18"/>
          <w:szCs w:val="18"/>
          <w:lang w:val="en-US"/>
        </w:rPr>
        <w:t>.</w:t>
      </w:r>
    </w:p>
  </w:footnote>
  <w:footnote w:id="83">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Women’s Health Action Trust #20</w:t>
      </w:r>
      <w:r>
        <w:rPr>
          <w:sz w:val="18"/>
          <w:szCs w:val="18"/>
          <w:lang w:val="en-US"/>
        </w:rPr>
        <w:t>.</w:t>
      </w:r>
    </w:p>
  </w:footnote>
  <w:footnote w:id="84">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 xml:space="preserve">The submission noted the report </w:t>
      </w:r>
      <w:r>
        <w:rPr>
          <w:sz w:val="18"/>
          <w:szCs w:val="18"/>
          <w:lang w:val="en-US"/>
        </w:rPr>
        <w:t>“</w:t>
      </w:r>
      <w:r w:rsidRPr="00905926">
        <w:rPr>
          <w:sz w:val="18"/>
          <w:szCs w:val="18"/>
          <w:lang w:val="en-US"/>
        </w:rPr>
        <w:t>Putting People First, Review of Disability Support Services Performance and Quality Management Processes for Purchased Provider Services December 2013</w:t>
      </w:r>
      <w:r>
        <w:rPr>
          <w:sz w:val="18"/>
          <w:szCs w:val="18"/>
          <w:lang w:val="en-US"/>
        </w:rPr>
        <w:t>”.</w:t>
      </w:r>
    </w:p>
  </w:footnote>
  <w:footnote w:id="85">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Federation of Women’s Health Councils #5, Pharmacy Council of New Zealand #16, and The Royal Australasian College of Physicians #4</w:t>
      </w:r>
      <w:r>
        <w:rPr>
          <w:sz w:val="18"/>
          <w:szCs w:val="18"/>
          <w:lang w:val="en-US"/>
        </w:rPr>
        <w:t>.</w:t>
      </w:r>
    </w:p>
  </w:footnote>
  <w:footnote w:id="86">
    <w:p w:rsidR="00105027" w:rsidRPr="00905926" w:rsidRDefault="00105027" w:rsidP="00F02090">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#41</w:t>
      </w:r>
      <w:r>
        <w:rPr>
          <w:sz w:val="18"/>
          <w:szCs w:val="18"/>
          <w:lang w:val="en-US"/>
        </w:rPr>
        <w:t>.</w:t>
      </w:r>
    </w:p>
  </w:footnote>
  <w:footnote w:id="87">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Federation of Women’s Health Councils #5</w:t>
      </w:r>
      <w:r>
        <w:rPr>
          <w:sz w:val="18"/>
          <w:szCs w:val="18"/>
          <w:lang w:val="en-US"/>
        </w:rPr>
        <w:t>.</w:t>
      </w:r>
    </w:p>
  </w:footnote>
  <w:footnote w:id="88">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Pharmacy Council of New Zealand #16</w:t>
      </w:r>
      <w:r>
        <w:rPr>
          <w:sz w:val="18"/>
          <w:szCs w:val="18"/>
          <w:lang w:val="en-US"/>
        </w:rPr>
        <w:t>.</w:t>
      </w:r>
    </w:p>
  </w:footnote>
  <w:footnote w:id="89">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The Royal Australasian College of Physicians #4</w:t>
      </w:r>
      <w:r>
        <w:rPr>
          <w:sz w:val="18"/>
          <w:szCs w:val="18"/>
          <w:lang w:val="en-US"/>
        </w:rPr>
        <w:t>.</w:t>
      </w:r>
    </w:p>
  </w:footnote>
  <w:footnote w:id="90">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Auckland Women’s Health Council #15, and Women’s Health Action Trust #20</w:t>
      </w:r>
      <w:r>
        <w:rPr>
          <w:sz w:val="18"/>
          <w:szCs w:val="18"/>
          <w:lang w:val="en-US"/>
        </w:rPr>
        <w:t>.</w:t>
      </w:r>
    </w:p>
  </w:footnote>
  <w:footnote w:id="91">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Auckland Women’s Health Council #15</w:t>
      </w:r>
      <w:r>
        <w:rPr>
          <w:sz w:val="18"/>
          <w:szCs w:val="18"/>
          <w:lang w:val="en-US"/>
        </w:rPr>
        <w:t>.</w:t>
      </w:r>
    </w:p>
  </w:footnote>
  <w:footnote w:id="92">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Women’s Health Action Trust #20</w:t>
      </w:r>
      <w:r>
        <w:rPr>
          <w:sz w:val="18"/>
          <w:szCs w:val="18"/>
          <w:lang w:val="en-US"/>
        </w:rPr>
        <w:t>.</w:t>
      </w:r>
    </w:p>
  </w:footnote>
  <w:footnote w:id="93">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Auckland Women’s Health Council #15, and Women’s Health Action Trust #20</w:t>
      </w:r>
      <w:r>
        <w:rPr>
          <w:sz w:val="18"/>
          <w:szCs w:val="18"/>
          <w:lang w:val="en-US"/>
        </w:rPr>
        <w:t>.</w:t>
      </w:r>
    </w:p>
  </w:footnote>
  <w:footnote w:id="94">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Women’s Health Action Trust #20</w:t>
      </w:r>
      <w:r>
        <w:rPr>
          <w:sz w:val="18"/>
          <w:szCs w:val="18"/>
          <w:lang w:val="en-US"/>
        </w:rPr>
        <w:t>.</w:t>
      </w:r>
    </w:p>
  </w:footnote>
  <w:footnote w:id="95">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The Royal Australasian College of Physicians #4</w:t>
      </w:r>
      <w:r>
        <w:rPr>
          <w:sz w:val="18"/>
          <w:szCs w:val="18"/>
          <w:lang w:val="en-US"/>
        </w:rPr>
        <w:t>.</w:t>
      </w:r>
    </w:p>
  </w:footnote>
  <w:footnote w:id="96">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Anonymous, online #32, and Southern Cross Hospitals – various providers #29</w:t>
      </w:r>
      <w:r>
        <w:rPr>
          <w:sz w:val="18"/>
          <w:szCs w:val="18"/>
          <w:lang w:val="en-US"/>
        </w:rPr>
        <w:t>.</w:t>
      </w:r>
    </w:p>
  </w:footnote>
  <w:footnote w:id="97">
    <w:p w:rsidR="00105027" w:rsidRPr="00905926" w:rsidRDefault="00105027" w:rsidP="00871911">
      <w:pPr>
        <w:pStyle w:val="FootnoteText"/>
        <w:rPr>
          <w:sz w:val="18"/>
          <w:szCs w:val="18"/>
          <w:lang w:val="en-US"/>
        </w:rPr>
      </w:pPr>
      <w:r w:rsidRPr="00905926">
        <w:rPr>
          <w:sz w:val="18"/>
          <w:szCs w:val="18"/>
          <w:vertAlign w:val="superscript"/>
          <w:lang w:val="en-US"/>
        </w:rPr>
        <w:footnoteRef/>
      </w:r>
      <w:r w:rsidRPr="00905926">
        <w:rPr>
          <w:sz w:val="18"/>
          <w:szCs w:val="18"/>
          <w:vertAlign w:val="superscript"/>
          <w:lang w:val="en-US"/>
        </w:rPr>
        <w:t xml:space="preserve"> </w:t>
      </w:r>
      <w:r w:rsidRPr="00905926">
        <w:rPr>
          <w:sz w:val="18"/>
          <w:szCs w:val="18"/>
          <w:lang w:val="en-US"/>
        </w:rPr>
        <w:t xml:space="preserve">New Zealand Society of </w:t>
      </w:r>
      <w:proofErr w:type="spellStart"/>
      <w:r w:rsidRPr="00905926">
        <w:rPr>
          <w:sz w:val="18"/>
          <w:szCs w:val="18"/>
          <w:lang w:val="en-US"/>
        </w:rPr>
        <w:t>Anaesthetists</w:t>
      </w:r>
      <w:proofErr w:type="spellEnd"/>
      <w:r w:rsidRPr="00905926">
        <w:rPr>
          <w:sz w:val="18"/>
          <w:szCs w:val="18"/>
          <w:lang w:val="en-US"/>
        </w:rPr>
        <w:t xml:space="preserve"> #18</w:t>
      </w:r>
      <w:r>
        <w:rPr>
          <w:sz w:val="18"/>
          <w:szCs w:val="18"/>
          <w:lang w:val="en-US"/>
        </w:rPr>
        <w:t>.</w:t>
      </w:r>
    </w:p>
  </w:footnote>
  <w:footnote w:id="98">
    <w:p w:rsidR="00105027" w:rsidRPr="00FE4EC5" w:rsidRDefault="00105027">
      <w:pPr>
        <w:pStyle w:val="FootnoteText"/>
        <w:rPr>
          <w:sz w:val="18"/>
          <w:szCs w:val="18"/>
          <w:lang w:val="en-US"/>
        </w:rPr>
      </w:pPr>
      <w:r>
        <w:rPr>
          <w:rStyle w:val="FootnoteReference"/>
        </w:rPr>
        <w:footnoteRef/>
      </w:r>
      <w:r>
        <w:t xml:space="preserve"> </w:t>
      </w:r>
      <w:r w:rsidRPr="00FE4EC5">
        <w:rPr>
          <w:sz w:val="18"/>
          <w:szCs w:val="18"/>
          <w:lang w:val="en-US"/>
        </w:rPr>
        <w:t>It was subsequently clarified with this submitter that the reference to the Health Practitioners Disciplinary Tribunal should have been to the Medical Council</w:t>
      </w:r>
      <w:r>
        <w:rPr>
          <w:sz w:val="18"/>
          <w:szCs w:val="18"/>
          <w:lang w:val="en-US"/>
        </w:rPr>
        <w:t>.</w:t>
      </w:r>
    </w:p>
  </w:footnote>
  <w:footnote w:id="99">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N</w:t>
      </w:r>
      <w:r>
        <w:rPr>
          <w:sz w:val="18"/>
          <w:szCs w:val="18"/>
          <w:lang w:val="en-US"/>
        </w:rPr>
        <w:t xml:space="preserve">ew </w:t>
      </w:r>
      <w:r w:rsidRPr="00905926">
        <w:rPr>
          <w:sz w:val="18"/>
          <w:szCs w:val="18"/>
          <w:lang w:val="en-US"/>
        </w:rPr>
        <w:t>Z</w:t>
      </w:r>
      <w:r>
        <w:rPr>
          <w:sz w:val="18"/>
          <w:szCs w:val="18"/>
          <w:lang w:val="en-US"/>
        </w:rPr>
        <w:t>ealand</w:t>
      </w:r>
      <w:r w:rsidRPr="00905926">
        <w:rPr>
          <w:sz w:val="18"/>
          <w:szCs w:val="18"/>
          <w:lang w:val="en-US"/>
        </w:rPr>
        <w:t xml:space="preserve"> Law Society #41</w:t>
      </w:r>
      <w:r>
        <w:rPr>
          <w:sz w:val="18"/>
          <w:szCs w:val="18"/>
          <w:lang w:val="en-US"/>
        </w:rPr>
        <w:t>.</w:t>
      </w:r>
    </w:p>
  </w:footnote>
  <w:footnote w:id="100">
    <w:p w:rsidR="00105027" w:rsidRPr="00905926" w:rsidRDefault="00105027" w:rsidP="00871911">
      <w:pPr>
        <w:pStyle w:val="FootnoteText"/>
        <w:spacing w:line="276" w:lineRule="auto"/>
        <w:rPr>
          <w:b/>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 xml:space="preserve">New Zealand Society of </w:t>
      </w:r>
      <w:proofErr w:type="spellStart"/>
      <w:r w:rsidRPr="00905926">
        <w:rPr>
          <w:sz w:val="18"/>
          <w:szCs w:val="18"/>
          <w:lang w:val="en-US"/>
        </w:rPr>
        <w:t>Anaesthetists</w:t>
      </w:r>
      <w:proofErr w:type="spellEnd"/>
      <w:r w:rsidRPr="00905926">
        <w:rPr>
          <w:sz w:val="18"/>
          <w:szCs w:val="18"/>
          <w:lang w:val="en-US"/>
        </w:rPr>
        <w:t xml:space="preserve"> #18</w:t>
      </w:r>
      <w:r>
        <w:rPr>
          <w:sz w:val="18"/>
          <w:szCs w:val="18"/>
          <w:lang w:val="en-US"/>
        </w:rPr>
        <w:t>.</w:t>
      </w:r>
    </w:p>
  </w:footnote>
  <w:footnote w:id="101">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Federation of Women’s Health Councils #5</w:t>
      </w:r>
      <w:r>
        <w:rPr>
          <w:sz w:val="18"/>
          <w:szCs w:val="18"/>
          <w:lang w:val="en-US"/>
        </w:rPr>
        <w:t>.</w:t>
      </w:r>
    </w:p>
  </w:footnote>
  <w:footnote w:id="102">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 xml:space="preserve">New Zealand Society of </w:t>
      </w:r>
      <w:proofErr w:type="spellStart"/>
      <w:r w:rsidRPr="00905926">
        <w:rPr>
          <w:sz w:val="18"/>
          <w:szCs w:val="18"/>
          <w:lang w:val="en-US"/>
        </w:rPr>
        <w:t>Anaesthetists</w:t>
      </w:r>
      <w:proofErr w:type="spellEnd"/>
      <w:r w:rsidRPr="00905926">
        <w:rPr>
          <w:sz w:val="18"/>
          <w:szCs w:val="18"/>
          <w:lang w:val="en-US"/>
        </w:rPr>
        <w:t xml:space="preserve"> #18</w:t>
      </w:r>
      <w:r>
        <w:rPr>
          <w:sz w:val="18"/>
          <w:szCs w:val="18"/>
          <w:lang w:val="en-US"/>
        </w:rPr>
        <w:t>.</w:t>
      </w:r>
    </w:p>
  </w:footnote>
  <w:footnote w:id="103">
    <w:p w:rsidR="00105027" w:rsidRPr="00905926" w:rsidRDefault="00105027" w:rsidP="00871911">
      <w:pPr>
        <w:pStyle w:val="FootnoteText"/>
        <w:spacing w:line="276" w:lineRule="auto"/>
        <w:rPr>
          <w:sz w:val="18"/>
          <w:szCs w:val="18"/>
          <w:lang w:val="en-US"/>
        </w:rPr>
      </w:pPr>
      <w:r w:rsidRPr="00905926">
        <w:rPr>
          <w:rStyle w:val="FootnoteReference"/>
          <w:sz w:val="18"/>
          <w:szCs w:val="18"/>
        </w:rPr>
        <w:footnoteRef/>
      </w:r>
      <w:r w:rsidRPr="00905926">
        <w:rPr>
          <w:sz w:val="18"/>
          <w:szCs w:val="18"/>
        </w:rPr>
        <w:t xml:space="preserve"> N</w:t>
      </w:r>
      <w:proofErr w:type="spellStart"/>
      <w:r w:rsidRPr="00905926">
        <w:rPr>
          <w:sz w:val="18"/>
          <w:szCs w:val="18"/>
          <w:lang w:val="en-US"/>
        </w:rPr>
        <w:t>ew</w:t>
      </w:r>
      <w:proofErr w:type="spellEnd"/>
      <w:r w:rsidRPr="00905926">
        <w:rPr>
          <w:sz w:val="18"/>
          <w:szCs w:val="18"/>
          <w:lang w:val="en-US"/>
        </w:rPr>
        <w:t xml:space="preserve"> Zealand Society of </w:t>
      </w:r>
      <w:proofErr w:type="spellStart"/>
      <w:r w:rsidRPr="00905926">
        <w:rPr>
          <w:sz w:val="18"/>
          <w:szCs w:val="18"/>
          <w:lang w:val="en-US"/>
        </w:rPr>
        <w:t>Anaesthetists</w:t>
      </w:r>
      <w:proofErr w:type="spellEnd"/>
      <w:r w:rsidRPr="00905926">
        <w:rPr>
          <w:sz w:val="18"/>
          <w:szCs w:val="18"/>
          <w:lang w:val="en-US"/>
        </w:rPr>
        <w:t xml:space="preserve"> #18</w:t>
      </w:r>
      <w:r>
        <w:rPr>
          <w:sz w:val="18"/>
          <w:szCs w:val="18"/>
          <w:lang w:val="en-US"/>
        </w:rPr>
        <w:t>.</w:t>
      </w:r>
    </w:p>
  </w:footnote>
  <w:footnote w:id="104">
    <w:p w:rsidR="00105027" w:rsidRPr="002A479B" w:rsidRDefault="00105027" w:rsidP="00871911">
      <w:pPr>
        <w:pStyle w:val="FootnoteText"/>
        <w:rPr>
          <w:lang w:val="en-US"/>
        </w:rPr>
      </w:pPr>
      <w:r>
        <w:rPr>
          <w:rStyle w:val="FootnoteReference"/>
        </w:rPr>
        <w:footnoteRef/>
      </w:r>
      <w:r>
        <w:t xml:space="preserve"> </w:t>
      </w:r>
      <w:r w:rsidRPr="00C131CE">
        <w:rPr>
          <w:sz w:val="18"/>
          <w:szCs w:val="18"/>
          <w:lang w:val="en-US"/>
        </w:rPr>
        <w:t>#41</w:t>
      </w:r>
      <w:r>
        <w:rPr>
          <w:sz w:val="18"/>
          <w:szCs w:val="18"/>
          <w:lang w:val="en-US"/>
        </w:rPr>
        <w:t>.</w:t>
      </w:r>
    </w:p>
  </w:footnote>
  <w:footnote w:id="105">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 xml:space="preserve">New Zealand Society of </w:t>
      </w:r>
      <w:proofErr w:type="spellStart"/>
      <w:r w:rsidRPr="00905926">
        <w:rPr>
          <w:sz w:val="18"/>
          <w:szCs w:val="18"/>
          <w:lang w:val="en-US"/>
        </w:rPr>
        <w:t>Anaesthetists</w:t>
      </w:r>
      <w:proofErr w:type="spellEnd"/>
      <w:r w:rsidRPr="00905926">
        <w:rPr>
          <w:sz w:val="18"/>
          <w:szCs w:val="18"/>
          <w:lang w:val="en-US"/>
        </w:rPr>
        <w:t xml:space="preserve"> #18, N</w:t>
      </w:r>
      <w:r>
        <w:rPr>
          <w:sz w:val="18"/>
          <w:szCs w:val="18"/>
          <w:lang w:val="en-US"/>
        </w:rPr>
        <w:t xml:space="preserve">ew </w:t>
      </w:r>
      <w:r w:rsidRPr="00905926">
        <w:rPr>
          <w:sz w:val="18"/>
          <w:szCs w:val="18"/>
          <w:lang w:val="en-US"/>
        </w:rPr>
        <w:t>Z</w:t>
      </w:r>
      <w:r>
        <w:rPr>
          <w:sz w:val="18"/>
          <w:szCs w:val="18"/>
          <w:lang w:val="en-US"/>
        </w:rPr>
        <w:t>ealand</w:t>
      </w:r>
      <w:r w:rsidRPr="00905926">
        <w:rPr>
          <w:sz w:val="18"/>
          <w:szCs w:val="18"/>
          <w:lang w:val="en-US"/>
        </w:rPr>
        <w:t xml:space="preserve"> Law Society #41</w:t>
      </w:r>
      <w:r>
        <w:rPr>
          <w:sz w:val="18"/>
          <w:szCs w:val="18"/>
          <w:lang w:val="en-US"/>
        </w:rPr>
        <w:t>.</w:t>
      </w:r>
    </w:p>
  </w:footnote>
  <w:footnote w:id="106">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 xml:space="preserve">New Zealand Nurses </w:t>
      </w:r>
      <w:proofErr w:type="spellStart"/>
      <w:r w:rsidRPr="00905926">
        <w:rPr>
          <w:sz w:val="18"/>
          <w:szCs w:val="18"/>
          <w:lang w:val="en-US"/>
        </w:rPr>
        <w:t>Organisation</w:t>
      </w:r>
      <w:proofErr w:type="spellEnd"/>
      <w:r w:rsidRPr="00905926">
        <w:rPr>
          <w:sz w:val="18"/>
          <w:szCs w:val="18"/>
          <w:lang w:val="en-US"/>
        </w:rPr>
        <w:t xml:space="preserve"> #24, and Health Professional Legal Services Ltd #28</w:t>
      </w:r>
      <w:r>
        <w:rPr>
          <w:sz w:val="18"/>
          <w:szCs w:val="18"/>
          <w:lang w:val="en-US"/>
        </w:rPr>
        <w:t>.</w:t>
      </w:r>
    </w:p>
  </w:footnote>
  <w:footnote w:id="107">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 xml:space="preserve">New Zealand Nurses </w:t>
      </w:r>
      <w:proofErr w:type="spellStart"/>
      <w:r w:rsidRPr="00905926">
        <w:rPr>
          <w:sz w:val="18"/>
          <w:szCs w:val="18"/>
          <w:lang w:val="en-US"/>
        </w:rPr>
        <w:t>Organisation</w:t>
      </w:r>
      <w:proofErr w:type="spellEnd"/>
      <w:r w:rsidRPr="00905926">
        <w:rPr>
          <w:sz w:val="18"/>
          <w:szCs w:val="18"/>
          <w:lang w:val="en-US"/>
        </w:rPr>
        <w:t xml:space="preserve"> #24</w:t>
      </w:r>
      <w:r>
        <w:rPr>
          <w:sz w:val="18"/>
          <w:szCs w:val="18"/>
          <w:lang w:val="en-US"/>
        </w:rPr>
        <w:t>.</w:t>
      </w:r>
    </w:p>
  </w:footnote>
  <w:footnote w:id="108">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Health Professional Legal Services Ltd #28, and Southern Cross Hospitals Ltd – various providers #29</w:t>
      </w:r>
      <w:r>
        <w:rPr>
          <w:sz w:val="18"/>
          <w:szCs w:val="18"/>
          <w:lang w:val="en-US"/>
        </w:rPr>
        <w:t>.</w:t>
      </w:r>
    </w:p>
  </w:footnote>
  <w:footnote w:id="109">
    <w:p w:rsidR="00105027" w:rsidRPr="00905926" w:rsidRDefault="00105027" w:rsidP="00871911">
      <w:pPr>
        <w:pStyle w:val="FootnoteText"/>
        <w:rPr>
          <w:sz w:val="18"/>
          <w:szCs w:val="18"/>
          <w:lang w:val="en-US"/>
        </w:rPr>
      </w:pPr>
      <w:r w:rsidRPr="00905926">
        <w:rPr>
          <w:rStyle w:val="FootnoteReference"/>
          <w:sz w:val="18"/>
          <w:szCs w:val="18"/>
        </w:rPr>
        <w:footnoteRef/>
      </w:r>
      <w:r w:rsidRPr="00905926">
        <w:rPr>
          <w:sz w:val="18"/>
          <w:szCs w:val="18"/>
        </w:rPr>
        <w:t xml:space="preserve"> </w:t>
      </w:r>
      <w:r w:rsidRPr="00905926">
        <w:rPr>
          <w:sz w:val="18"/>
          <w:szCs w:val="18"/>
          <w:lang w:val="en-US"/>
        </w:rPr>
        <w:t>Ministry of Health (internal staff feedback) #22</w:t>
      </w:r>
      <w:r>
        <w:rPr>
          <w:sz w:val="18"/>
          <w:szCs w:val="18"/>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330"/>
    <w:multiLevelType w:val="hybridMultilevel"/>
    <w:tmpl w:val="BB2885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3126C48"/>
    <w:multiLevelType w:val="hybridMultilevel"/>
    <w:tmpl w:val="B08C79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A4525FB"/>
    <w:multiLevelType w:val="hybridMultilevel"/>
    <w:tmpl w:val="562E74B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7A420D0"/>
    <w:multiLevelType w:val="hybridMultilevel"/>
    <w:tmpl w:val="11F42658"/>
    <w:lvl w:ilvl="0" w:tplc="1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D32A7F"/>
    <w:multiLevelType w:val="multilevel"/>
    <w:tmpl w:val="ECEA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F3383"/>
    <w:multiLevelType w:val="hybridMultilevel"/>
    <w:tmpl w:val="F0AE03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24452710"/>
    <w:multiLevelType w:val="hybridMultilevel"/>
    <w:tmpl w:val="A2B0BD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2ABE04D8"/>
    <w:multiLevelType w:val="hybridMultilevel"/>
    <w:tmpl w:val="FD5E8ECE"/>
    <w:lvl w:ilvl="0" w:tplc="C7AE1556">
      <w:numFmt w:val="bullet"/>
      <w:lvlText w:val="-"/>
      <w:lvlJc w:val="left"/>
      <w:pPr>
        <w:ind w:left="720" w:hanging="360"/>
      </w:pPr>
      <w:rPr>
        <w:rFonts w:ascii="Times New Roman" w:eastAsiaTheme="minorEastAsia"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5664297"/>
    <w:multiLevelType w:val="hybridMultilevel"/>
    <w:tmpl w:val="DC5428F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9">
    <w:nsid w:val="36440B12"/>
    <w:multiLevelType w:val="hybridMultilevel"/>
    <w:tmpl w:val="E22408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46F60E33"/>
    <w:multiLevelType w:val="hybridMultilevel"/>
    <w:tmpl w:val="14BE00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4E572D3B"/>
    <w:multiLevelType w:val="hybridMultilevel"/>
    <w:tmpl w:val="E002602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nsid w:val="59DE633E"/>
    <w:multiLevelType w:val="hybridMultilevel"/>
    <w:tmpl w:val="F67465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5D321DCE"/>
    <w:multiLevelType w:val="hybridMultilevel"/>
    <w:tmpl w:val="4CF60B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5EC31B97"/>
    <w:multiLevelType w:val="hybridMultilevel"/>
    <w:tmpl w:val="4BDE18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6420674A"/>
    <w:multiLevelType w:val="hybridMultilevel"/>
    <w:tmpl w:val="BD1EDF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6DA9371C"/>
    <w:multiLevelType w:val="hybridMultilevel"/>
    <w:tmpl w:val="D7BE237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nsid w:val="721D16E9"/>
    <w:multiLevelType w:val="hybridMultilevel"/>
    <w:tmpl w:val="71C87D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77B76D47"/>
    <w:multiLevelType w:val="multilevel"/>
    <w:tmpl w:val="31701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BD0274"/>
    <w:multiLevelType w:val="multilevel"/>
    <w:tmpl w:val="961A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19"/>
  </w:num>
  <w:num w:numId="8">
    <w:abstractNumId w:val="4"/>
  </w:num>
  <w:num w:numId="9">
    <w:abstractNumId w:val="8"/>
  </w:num>
  <w:num w:numId="10">
    <w:abstractNumId w:val="10"/>
  </w:num>
  <w:num w:numId="11">
    <w:abstractNumId w:val="17"/>
  </w:num>
  <w:num w:numId="12">
    <w:abstractNumId w:val="12"/>
  </w:num>
  <w:num w:numId="13">
    <w:abstractNumId w:val="9"/>
  </w:num>
  <w:num w:numId="14">
    <w:abstractNumId w:val="15"/>
  </w:num>
  <w:num w:numId="15">
    <w:abstractNumId w:val="2"/>
  </w:num>
  <w:num w:numId="16">
    <w:abstractNumId w:val="7"/>
  </w:num>
  <w:num w:numId="17">
    <w:abstractNumId w:val="3"/>
  </w:num>
  <w:num w:numId="18">
    <w:abstractNumId w:val="16"/>
  </w:num>
  <w:num w:numId="19">
    <w:abstractNumId w:val="5"/>
  </w:num>
  <w:num w:numId="20">
    <w:abstractNumId w:val="11"/>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59397"/>
    <o:shapelayout v:ext="edit">
      <o:idmap v:ext="edit" data="58"/>
    </o:shapelayout>
  </w:hdrShapeDefaults>
  <w:footnotePr>
    <w:footnote w:id="-1"/>
    <w:footnote w:id="0"/>
  </w:footnotePr>
  <w:endnotePr>
    <w:endnote w:id="-1"/>
    <w:endnote w:id="0"/>
  </w:endnotePr>
  <w:compat>
    <w:useFELayout/>
    <w:compatSetting w:name="compatibilityMode" w:uri="http://schemas.microsoft.com/office/word" w:val="12"/>
  </w:compat>
  <w:rsids>
    <w:rsidRoot w:val="00A832C1"/>
    <w:rsid w:val="00002996"/>
    <w:rsid w:val="00016BD2"/>
    <w:rsid w:val="00016D36"/>
    <w:rsid w:val="000203FF"/>
    <w:rsid w:val="00030854"/>
    <w:rsid w:val="00037A4E"/>
    <w:rsid w:val="00040C97"/>
    <w:rsid w:val="000453B6"/>
    <w:rsid w:val="00046D06"/>
    <w:rsid w:val="000543F5"/>
    <w:rsid w:val="000630BC"/>
    <w:rsid w:val="00067B0E"/>
    <w:rsid w:val="00075697"/>
    <w:rsid w:val="00080FF3"/>
    <w:rsid w:val="00081DBB"/>
    <w:rsid w:val="00082CF4"/>
    <w:rsid w:val="00085D0B"/>
    <w:rsid w:val="0008764D"/>
    <w:rsid w:val="000905A4"/>
    <w:rsid w:val="000A22AB"/>
    <w:rsid w:val="000A3A37"/>
    <w:rsid w:val="000C033E"/>
    <w:rsid w:val="000C12A2"/>
    <w:rsid w:val="000C498F"/>
    <w:rsid w:val="000D1A42"/>
    <w:rsid w:val="000E0E7D"/>
    <w:rsid w:val="000F39D6"/>
    <w:rsid w:val="000F7F6D"/>
    <w:rsid w:val="000F7F88"/>
    <w:rsid w:val="0010128F"/>
    <w:rsid w:val="00103C68"/>
    <w:rsid w:val="00105027"/>
    <w:rsid w:val="00110418"/>
    <w:rsid w:val="0011220A"/>
    <w:rsid w:val="001141A7"/>
    <w:rsid w:val="00117156"/>
    <w:rsid w:val="00121E74"/>
    <w:rsid w:val="00122231"/>
    <w:rsid w:val="00125CCB"/>
    <w:rsid w:val="00125D48"/>
    <w:rsid w:val="00127A0D"/>
    <w:rsid w:val="00130764"/>
    <w:rsid w:val="001375C1"/>
    <w:rsid w:val="00141AE8"/>
    <w:rsid w:val="00147F92"/>
    <w:rsid w:val="001565BB"/>
    <w:rsid w:val="001725CA"/>
    <w:rsid w:val="001901F0"/>
    <w:rsid w:val="00195E05"/>
    <w:rsid w:val="001A67DB"/>
    <w:rsid w:val="001B17D4"/>
    <w:rsid w:val="001B2CDA"/>
    <w:rsid w:val="001B326B"/>
    <w:rsid w:val="001B6C57"/>
    <w:rsid w:val="001C3666"/>
    <w:rsid w:val="001C4055"/>
    <w:rsid w:val="001C7250"/>
    <w:rsid w:val="001D1002"/>
    <w:rsid w:val="001F0A3D"/>
    <w:rsid w:val="001F33B6"/>
    <w:rsid w:val="001F3E07"/>
    <w:rsid w:val="001F50E8"/>
    <w:rsid w:val="001F5C59"/>
    <w:rsid w:val="001F6FFD"/>
    <w:rsid w:val="001F77E7"/>
    <w:rsid w:val="00206400"/>
    <w:rsid w:val="0021096B"/>
    <w:rsid w:val="00213583"/>
    <w:rsid w:val="00213B90"/>
    <w:rsid w:val="00222CDA"/>
    <w:rsid w:val="00223198"/>
    <w:rsid w:val="00223276"/>
    <w:rsid w:val="0023542C"/>
    <w:rsid w:val="00235461"/>
    <w:rsid w:val="002367F1"/>
    <w:rsid w:val="00236DBD"/>
    <w:rsid w:val="00243346"/>
    <w:rsid w:val="00244C0C"/>
    <w:rsid w:val="00250BBB"/>
    <w:rsid w:val="00251B97"/>
    <w:rsid w:val="002530C0"/>
    <w:rsid w:val="002573FB"/>
    <w:rsid w:val="00262067"/>
    <w:rsid w:val="002704FC"/>
    <w:rsid w:val="00275C34"/>
    <w:rsid w:val="00281362"/>
    <w:rsid w:val="002908A7"/>
    <w:rsid w:val="0029464D"/>
    <w:rsid w:val="00294D9A"/>
    <w:rsid w:val="002A5A51"/>
    <w:rsid w:val="002B1A9C"/>
    <w:rsid w:val="002B5370"/>
    <w:rsid w:val="002B64AF"/>
    <w:rsid w:val="002E1775"/>
    <w:rsid w:val="002E536B"/>
    <w:rsid w:val="002E6F51"/>
    <w:rsid w:val="002F0A5F"/>
    <w:rsid w:val="002F4934"/>
    <w:rsid w:val="00306BEE"/>
    <w:rsid w:val="003125E8"/>
    <w:rsid w:val="0032199A"/>
    <w:rsid w:val="00323CEF"/>
    <w:rsid w:val="003262CA"/>
    <w:rsid w:val="003263C9"/>
    <w:rsid w:val="00337EDA"/>
    <w:rsid w:val="00344B3A"/>
    <w:rsid w:val="00356AA7"/>
    <w:rsid w:val="00363C4F"/>
    <w:rsid w:val="00371C08"/>
    <w:rsid w:val="003845B7"/>
    <w:rsid w:val="0038518A"/>
    <w:rsid w:val="003863FC"/>
    <w:rsid w:val="00393E47"/>
    <w:rsid w:val="00395A86"/>
    <w:rsid w:val="003A1D92"/>
    <w:rsid w:val="003B4BF1"/>
    <w:rsid w:val="003C03A5"/>
    <w:rsid w:val="003C31A2"/>
    <w:rsid w:val="003C5774"/>
    <w:rsid w:val="003C6F4E"/>
    <w:rsid w:val="003D3E7D"/>
    <w:rsid w:val="003D3EFD"/>
    <w:rsid w:val="003D55D1"/>
    <w:rsid w:val="003E0F62"/>
    <w:rsid w:val="003E0FC0"/>
    <w:rsid w:val="003F11C6"/>
    <w:rsid w:val="003F4560"/>
    <w:rsid w:val="00402F8D"/>
    <w:rsid w:val="00403313"/>
    <w:rsid w:val="00411DA4"/>
    <w:rsid w:val="004128D1"/>
    <w:rsid w:val="004204A9"/>
    <w:rsid w:val="004205A4"/>
    <w:rsid w:val="00421F31"/>
    <w:rsid w:val="00427CFC"/>
    <w:rsid w:val="0043005A"/>
    <w:rsid w:val="00430AD2"/>
    <w:rsid w:val="00432472"/>
    <w:rsid w:val="00443A7D"/>
    <w:rsid w:val="004478FE"/>
    <w:rsid w:val="004509AD"/>
    <w:rsid w:val="00450C2B"/>
    <w:rsid w:val="0045425C"/>
    <w:rsid w:val="004544B4"/>
    <w:rsid w:val="00456961"/>
    <w:rsid w:val="0047068D"/>
    <w:rsid w:val="00476DA2"/>
    <w:rsid w:val="00480272"/>
    <w:rsid w:val="00484124"/>
    <w:rsid w:val="00485044"/>
    <w:rsid w:val="0049344B"/>
    <w:rsid w:val="004B1DE4"/>
    <w:rsid w:val="004B6537"/>
    <w:rsid w:val="004D0321"/>
    <w:rsid w:val="004D2C86"/>
    <w:rsid w:val="004D514C"/>
    <w:rsid w:val="004E0021"/>
    <w:rsid w:val="004E1281"/>
    <w:rsid w:val="004E206A"/>
    <w:rsid w:val="004E4051"/>
    <w:rsid w:val="004E518F"/>
    <w:rsid w:val="004F6CF3"/>
    <w:rsid w:val="004F75EB"/>
    <w:rsid w:val="004F7E96"/>
    <w:rsid w:val="00505E85"/>
    <w:rsid w:val="00511ED0"/>
    <w:rsid w:val="0051426E"/>
    <w:rsid w:val="005148BA"/>
    <w:rsid w:val="0052394F"/>
    <w:rsid w:val="00536CFD"/>
    <w:rsid w:val="005401DF"/>
    <w:rsid w:val="00544162"/>
    <w:rsid w:val="00551C34"/>
    <w:rsid w:val="0055380D"/>
    <w:rsid w:val="00557FE0"/>
    <w:rsid w:val="00560164"/>
    <w:rsid w:val="00592239"/>
    <w:rsid w:val="005956B6"/>
    <w:rsid w:val="005B53DE"/>
    <w:rsid w:val="005C47E2"/>
    <w:rsid w:val="005C74BE"/>
    <w:rsid w:val="005C78F5"/>
    <w:rsid w:val="005D21BA"/>
    <w:rsid w:val="005D5899"/>
    <w:rsid w:val="005D76BD"/>
    <w:rsid w:val="005E1DD4"/>
    <w:rsid w:val="005E3BA4"/>
    <w:rsid w:val="005E63AA"/>
    <w:rsid w:val="005E7F76"/>
    <w:rsid w:val="005F0AC4"/>
    <w:rsid w:val="005F1C77"/>
    <w:rsid w:val="005F2A49"/>
    <w:rsid w:val="005F37CD"/>
    <w:rsid w:val="005F43E8"/>
    <w:rsid w:val="005F7E58"/>
    <w:rsid w:val="006038F1"/>
    <w:rsid w:val="00630AFA"/>
    <w:rsid w:val="00631134"/>
    <w:rsid w:val="00632ACE"/>
    <w:rsid w:val="00633126"/>
    <w:rsid w:val="00641036"/>
    <w:rsid w:val="006447C9"/>
    <w:rsid w:val="00650939"/>
    <w:rsid w:val="00653B8B"/>
    <w:rsid w:val="00654518"/>
    <w:rsid w:val="00654F58"/>
    <w:rsid w:val="00660BCF"/>
    <w:rsid w:val="006804B4"/>
    <w:rsid w:val="006823C1"/>
    <w:rsid w:val="00690789"/>
    <w:rsid w:val="0069282C"/>
    <w:rsid w:val="006953D2"/>
    <w:rsid w:val="006B39A6"/>
    <w:rsid w:val="006C62B6"/>
    <w:rsid w:val="006D4CE1"/>
    <w:rsid w:val="006E6511"/>
    <w:rsid w:val="006F2EF3"/>
    <w:rsid w:val="006F7866"/>
    <w:rsid w:val="007100CF"/>
    <w:rsid w:val="0071272F"/>
    <w:rsid w:val="007210F9"/>
    <w:rsid w:val="007231E1"/>
    <w:rsid w:val="00731279"/>
    <w:rsid w:val="00734ECA"/>
    <w:rsid w:val="007374A0"/>
    <w:rsid w:val="00742118"/>
    <w:rsid w:val="00753FB9"/>
    <w:rsid w:val="00756C5A"/>
    <w:rsid w:val="00764B17"/>
    <w:rsid w:val="007669AA"/>
    <w:rsid w:val="00771A0F"/>
    <w:rsid w:val="007754E8"/>
    <w:rsid w:val="00776F36"/>
    <w:rsid w:val="00786761"/>
    <w:rsid w:val="007B02B6"/>
    <w:rsid w:val="007B0504"/>
    <w:rsid w:val="007B19B3"/>
    <w:rsid w:val="007B4B17"/>
    <w:rsid w:val="007C1DE5"/>
    <w:rsid w:val="007C4F15"/>
    <w:rsid w:val="007C64C1"/>
    <w:rsid w:val="007D2743"/>
    <w:rsid w:val="007E4C54"/>
    <w:rsid w:val="007F11BC"/>
    <w:rsid w:val="007F55D2"/>
    <w:rsid w:val="00800B08"/>
    <w:rsid w:val="00811C04"/>
    <w:rsid w:val="00817974"/>
    <w:rsid w:val="008250D1"/>
    <w:rsid w:val="0082642B"/>
    <w:rsid w:val="0082770D"/>
    <w:rsid w:val="00830D3C"/>
    <w:rsid w:val="00830EC8"/>
    <w:rsid w:val="0084467A"/>
    <w:rsid w:val="00853991"/>
    <w:rsid w:val="00862D6D"/>
    <w:rsid w:val="00871911"/>
    <w:rsid w:val="00872162"/>
    <w:rsid w:val="00874B5B"/>
    <w:rsid w:val="00876A1A"/>
    <w:rsid w:val="00883022"/>
    <w:rsid w:val="00885025"/>
    <w:rsid w:val="00891758"/>
    <w:rsid w:val="00891CE0"/>
    <w:rsid w:val="00896BE9"/>
    <w:rsid w:val="00896F31"/>
    <w:rsid w:val="008A05B4"/>
    <w:rsid w:val="008A1E6D"/>
    <w:rsid w:val="008A6292"/>
    <w:rsid w:val="008B466D"/>
    <w:rsid w:val="008D1D8F"/>
    <w:rsid w:val="008D2F6E"/>
    <w:rsid w:val="008E70D1"/>
    <w:rsid w:val="008E7A5E"/>
    <w:rsid w:val="008F5E92"/>
    <w:rsid w:val="00902ADF"/>
    <w:rsid w:val="00905435"/>
    <w:rsid w:val="00910FB5"/>
    <w:rsid w:val="00914108"/>
    <w:rsid w:val="009152F7"/>
    <w:rsid w:val="00924640"/>
    <w:rsid w:val="00925FE4"/>
    <w:rsid w:val="00932369"/>
    <w:rsid w:val="00936E27"/>
    <w:rsid w:val="00937F44"/>
    <w:rsid w:val="00944D2A"/>
    <w:rsid w:val="0095091E"/>
    <w:rsid w:val="0095279A"/>
    <w:rsid w:val="00953A24"/>
    <w:rsid w:val="00957F42"/>
    <w:rsid w:val="00970F45"/>
    <w:rsid w:val="00971962"/>
    <w:rsid w:val="009763C1"/>
    <w:rsid w:val="00976FF2"/>
    <w:rsid w:val="009809F8"/>
    <w:rsid w:val="00980BF0"/>
    <w:rsid w:val="00982658"/>
    <w:rsid w:val="00986C64"/>
    <w:rsid w:val="00993A0A"/>
    <w:rsid w:val="009B24F6"/>
    <w:rsid w:val="009B4ED5"/>
    <w:rsid w:val="009C5AD1"/>
    <w:rsid w:val="009D1072"/>
    <w:rsid w:val="009D317B"/>
    <w:rsid w:val="009D3E49"/>
    <w:rsid w:val="009E0DB6"/>
    <w:rsid w:val="009E38AF"/>
    <w:rsid w:val="009E3FAB"/>
    <w:rsid w:val="009E4D19"/>
    <w:rsid w:val="009E5377"/>
    <w:rsid w:val="009F4C1A"/>
    <w:rsid w:val="009F5B36"/>
    <w:rsid w:val="00A00A5D"/>
    <w:rsid w:val="00A039D7"/>
    <w:rsid w:val="00A05A03"/>
    <w:rsid w:val="00A1028E"/>
    <w:rsid w:val="00A146CA"/>
    <w:rsid w:val="00A16EB9"/>
    <w:rsid w:val="00A173C4"/>
    <w:rsid w:val="00A24904"/>
    <w:rsid w:val="00A2512E"/>
    <w:rsid w:val="00A36EA4"/>
    <w:rsid w:val="00A40ACC"/>
    <w:rsid w:val="00A413C3"/>
    <w:rsid w:val="00A41DAB"/>
    <w:rsid w:val="00A46819"/>
    <w:rsid w:val="00A476E8"/>
    <w:rsid w:val="00A61449"/>
    <w:rsid w:val="00A61C32"/>
    <w:rsid w:val="00A64CE6"/>
    <w:rsid w:val="00A67258"/>
    <w:rsid w:val="00A758FF"/>
    <w:rsid w:val="00A75CFC"/>
    <w:rsid w:val="00A832C1"/>
    <w:rsid w:val="00A92857"/>
    <w:rsid w:val="00A94FF4"/>
    <w:rsid w:val="00AA2E07"/>
    <w:rsid w:val="00AA326A"/>
    <w:rsid w:val="00AA4386"/>
    <w:rsid w:val="00AA4D3F"/>
    <w:rsid w:val="00AA5BC2"/>
    <w:rsid w:val="00AA60FE"/>
    <w:rsid w:val="00AA7349"/>
    <w:rsid w:val="00AB0F21"/>
    <w:rsid w:val="00AB1E67"/>
    <w:rsid w:val="00AB2F80"/>
    <w:rsid w:val="00AB3AD1"/>
    <w:rsid w:val="00AB49FE"/>
    <w:rsid w:val="00AB6B4E"/>
    <w:rsid w:val="00AC05F2"/>
    <w:rsid w:val="00AD3422"/>
    <w:rsid w:val="00AE22B5"/>
    <w:rsid w:val="00AE5FB5"/>
    <w:rsid w:val="00AF2074"/>
    <w:rsid w:val="00AF3B46"/>
    <w:rsid w:val="00B11F91"/>
    <w:rsid w:val="00B13C9A"/>
    <w:rsid w:val="00B24269"/>
    <w:rsid w:val="00B30458"/>
    <w:rsid w:val="00B3484B"/>
    <w:rsid w:val="00B36F10"/>
    <w:rsid w:val="00B40AE3"/>
    <w:rsid w:val="00B41E67"/>
    <w:rsid w:val="00B46E74"/>
    <w:rsid w:val="00B50AF0"/>
    <w:rsid w:val="00B567B7"/>
    <w:rsid w:val="00B60069"/>
    <w:rsid w:val="00B73039"/>
    <w:rsid w:val="00B767F3"/>
    <w:rsid w:val="00B83AB5"/>
    <w:rsid w:val="00B91BA8"/>
    <w:rsid w:val="00BA0881"/>
    <w:rsid w:val="00BB4E9F"/>
    <w:rsid w:val="00BD0A62"/>
    <w:rsid w:val="00BD5932"/>
    <w:rsid w:val="00BE35BA"/>
    <w:rsid w:val="00BE730F"/>
    <w:rsid w:val="00BF1D3D"/>
    <w:rsid w:val="00BF7CAC"/>
    <w:rsid w:val="00C0583F"/>
    <w:rsid w:val="00C0670A"/>
    <w:rsid w:val="00C10EAB"/>
    <w:rsid w:val="00C131CE"/>
    <w:rsid w:val="00C13417"/>
    <w:rsid w:val="00C13482"/>
    <w:rsid w:val="00C153D1"/>
    <w:rsid w:val="00C15594"/>
    <w:rsid w:val="00C16F2E"/>
    <w:rsid w:val="00C212C7"/>
    <w:rsid w:val="00C222AD"/>
    <w:rsid w:val="00C4465C"/>
    <w:rsid w:val="00C56511"/>
    <w:rsid w:val="00C64287"/>
    <w:rsid w:val="00C64ACB"/>
    <w:rsid w:val="00C7015A"/>
    <w:rsid w:val="00C74A13"/>
    <w:rsid w:val="00C772F9"/>
    <w:rsid w:val="00C84DC9"/>
    <w:rsid w:val="00C87BD4"/>
    <w:rsid w:val="00C91017"/>
    <w:rsid w:val="00C93A78"/>
    <w:rsid w:val="00CA08D2"/>
    <w:rsid w:val="00CA4FDB"/>
    <w:rsid w:val="00CB2898"/>
    <w:rsid w:val="00CB6702"/>
    <w:rsid w:val="00CB7A68"/>
    <w:rsid w:val="00CC542A"/>
    <w:rsid w:val="00CC62E9"/>
    <w:rsid w:val="00CD0E5F"/>
    <w:rsid w:val="00CD2D31"/>
    <w:rsid w:val="00CD3FCC"/>
    <w:rsid w:val="00CD49B8"/>
    <w:rsid w:val="00CD5B8A"/>
    <w:rsid w:val="00CD5C82"/>
    <w:rsid w:val="00CE3153"/>
    <w:rsid w:val="00CE5C87"/>
    <w:rsid w:val="00CF020F"/>
    <w:rsid w:val="00CF0388"/>
    <w:rsid w:val="00CF0696"/>
    <w:rsid w:val="00CF3E00"/>
    <w:rsid w:val="00CF52A1"/>
    <w:rsid w:val="00CF7E5A"/>
    <w:rsid w:val="00D03145"/>
    <w:rsid w:val="00D05648"/>
    <w:rsid w:val="00D07F0C"/>
    <w:rsid w:val="00D55593"/>
    <w:rsid w:val="00D61438"/>
    <w:rsid w:val="00D61CEC"/>
    <w:rsid w:val="00D62E38"/>
    <w:rsid w:val="00D64A97"/>
    <w:rsid w:val="00D6558F"/>
    <w:rsid w:val="00D76FC9"/>
    <w:rsid w:val="00DA012A"/>
    <w:rsid w:val="00DB44A7"/>
    <w:rsid w:val="00DB5C4D"/>
    <w:rsid w:val="00DC080D"/>
    <w:rsid w:val="00DC2EA2"/>
    <w:rsid w:val="00DC7FEA"/>
    <w:rsid w:val="00DD2496"/>
    <w:rsid w:val="00DD380C"/>
    <w:rsid w:val="00DE55A0"/>
    <w:rsid w:val="00DE79C4"/>
    <w:rsid w:val="00DF072D"/>
    <w:rsid w:val="00DF45AA"/>
    <w:rsid w:val="00E11255"/>
    <w:rsid w:val="00E12FBE"/>
    <w:rsid w:val="00E22B04"/>
    <w:rsid w:val="00E23B34"/>
    <w:rsid w:val="00E252F4"/>
    <w:rsid w:val="00E265B3"/>
    <w:rsid w:val="00E268A8"/>
    <w:rsid w:val="00E41B07"/>
    <w:rsid w:val="00E447F9"/>
    <w:rsid w:val="00E5051B"/>
    <w:rsid w:val="00E523F5"/>
    <w:rsid w:val="00E568DC"/>
    <w:rsid w:val="00E61D5C"/>
    <w:rsid w:val="00E66F79"/>
    <w:rsid w:val="00E7039A"/>
    <w:rsid w:val="00E707B9"/>
    <w:rsid w:val="00E740F1"/>
    <w:rsid w:val="00E847EE"/>
    <w:rsid w:val="00E877EE"/>
    <w:rsid w:val="00E908A6"/>
    <w:rsid w:val="00E9762B"/>
    <w:rsid w:val="00EA363A"/>
    <w:rsid w:val="00EA5D95"/>
    <w:rsid w:val="00EB1FA8"/>
    <w:rsid w:val="00ED126F"/>
    <w:rsid w:val="00ED4CFA"/>
    <w:rsid w:val="00ED5F7F"/>
    <w:rsid w:val="00EE096C"/>
    <w:rsid w:val="00EE5596"/>
    <w:rsid w:val="00EE6138"/>
    <w:rsid w:val="00EE641B"/>
    <w:rsid w:val="00F02090"/>
    <w:rsid w:val="00F02222"/>
    <w:rsid w:val="00F033AF"/>
    <w:rsid w:val="00F03B4F"/>
    <w:rsid w:val="00F33A66"/>
    <w:rsid w:val="00F34395"/>
    <w:rsid w:val="00F418C4"/>
    <w:rsid w:val="00F5129E"/>
    <w:rsid w:val="00F55BB6"/>
    <w:rsid w:val="00F57545"/>
    <w:rsid w:val="00F73A31"/>
    <w:rsid w:val="00F812E8"/>
    <w:rsid w:val="00F8183D"/>
    <w:rsid w:val="00F8519A"/>
    <w:rsid w:val="00F862D2"/>
    <w:rsid w:val="00F90CA5"/>
    <w:rsid w:val="00F94F6B"/>
    <w:rsid w:val="00FA1B39"/>
    <w:rsid w:val="00FA63B4"/>
    <w:rsid w:val="00FA750B"/>
    <w:rsid w:val="00FA7ADD"/>
    <w:rsid w:val="00FB5A24"/>
    <w:rsid w:val="00FC233C"/>
    <w:rsid w:val="00FC34D9"/>
    <w:rsid w:val="00FD490E"/>
    <w:rsid w:val="00FE4EC5"/>
    <w:rsid w:val="00FF1882"/>
    <w:rsid w:val="00FF2B83"/>
    <w:rsid w:val="00FF4BD1"/>
    <w:rsid w:val="00FF69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93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E7"/>
  </w:style>
  <w:style w:type="paragraph" w:styleId="Heading1">
    <w:name w:val="heading 1"/>
    <w:basedOn w:val="Normal"/>
    <w:next w:val="Normal"/>
    <w:link w:val="Heading1Char"/>
    <w:qFormat/>
    <w:rsid w:val="00871911"/>
    <w:pPr>
      <w:keepNext/>
      <w:spacing w:before="240" w:after="60" w:line="240" w:lineRule="auto"/>
      <w:outlineLvl w:val="0"/>
    </w:pPr>
    <w:rPr>
      <w:rFonts w:ascii="Cambria" w:eastAsia="Times New Roman" w:hAnsi="Cambria" w:cs="Times New Roman"/>
      <w:b/>
      <w:bCs/>
      <w:kern w:val="32"/>
      <w:sz w:val="32"/>
      <w:szCs w:val="32"/>
      <w:lang w:val="en-US" w:eastAsia="en-US"/>
    </w:rPr>
  </w:style>
  <w:style w:type="paragraph" w:styleId="Heading2">
    <w:name w:val="heading 2"/>
    <w:basedOn w:val="Normal"/>
    <w:next w:val="Normal"/>
    <w:link w:val="Heading2Char"/>
    <w:uiPriority w:val="9"/>
    <w:semiHidden/>
    <w:unhideWhenUsed/>
    <w:qFormat/>
    <w:rsid w:val="00871911"/>
    <w:pPr>
      <w:keepNext/>
      <w:keepLines/>
      <w:spacing w:before="200" w:after="0"/>
      <w:outlineLvl w:val="1"/>
    </w:pPr>
    <w:rPr>
      <w:rFonts w:asciiTheme="majorHAnsi" w:eastAsiaTheme="majorEastAsia" w:hAnsiTheme="majorHAnsi" w:cstheme="majorBidi"/>
      <w:b/>
      <w:bCs/>
      <w:color w:val="DDDDD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1911"/>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rsid w:val="00871911"/>
    <w:rPr>
      <w:rFonts w:asciiTheme="majorHAnsi" w:eastAsiaTheme="majorEastAsia" w:hAnsiTheme="majorHAnsi" w:cstheme="majorBidi"/>
      <w:b/>
      <w:bCs/>
      <w:color w:val="DDDDDD" w:themeColor="accent1"/>
      <w:sz w:val="26"/>
      <w:szCs w:val="26"/>
    </w:rPr>
  </w:style>
  <w:style w:type="paragraph" w:styleId="NoSpacing">
    <w:name w:val="No Spacing"/>
    <w:uiPriority w:val="1"/>
    <w:qFormat/>
    <w:rsid w:val="00A832C1"/>
    <w:pPr>
      <w:spacing w:after="0" w:line="240" w:lineRule="auto"/>
    </w:pPr>
  </w:style>
  <w:style w:type="paragraph" w:styleId="FootnoteText">
    <w:name w:val="footnote text"/>
    <w:basedOn w:val="Normal"/>
    <w:link w:val="FootnoteTextChar"/>
    <w:uiPriority w:val="99"/>
    <w:unhideWhenUsed/>
    <w:rsid w:val="00874B5B"/>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uiPriority w:val="99"/>
    <w:rsid w:val="00874B5B"/>
    <w:rPr>
      <w:rFonts w:ascii="Times New Roman" w:eastAsia="Times New Roman" w:hAnsi="Times New Roman" w:cs="Times New Roman"/>
      <w:sz w:val="20"/>
      <w:szCs w:val="20"/>
      <w:lang w:val="en-GB" w:eastAsia="en-US"/>
    </w:rPr>
  </w:style>
  <w:style w:type="paragraph" w:styleId="ListParagraph">
    <w:name w:val="List Paragraph"/>
    <w:basedOn w:val="Normal"/>
    <w:uiPriority w:val="34"/>
    <w:qFormat/>
    <w:rsid w:val="00874B5B"/>
    <w:pPr>
      <w:spacing w:after="0" w:line="240" w:lineRule="auto"/>
      <w:ind w:left="720"/>
      <w:contextualSpacing/>
    </w:pPr>
    <w:rPr>
      <w:rFonts w:ascii="Times New Roman" w:eastAsia="Times New Roman" w:hAnsi="Times New Roman" w:cs="Times New Roman"/>
      <w:sz w:val="24"/>
      <w:szCs w:val="20"/>
      <w:lang w:val="en-GB" w:eastAsia="en-US"/>
    </w:rPr>
  </w:style>
  <w:style w:type="character" w:styleId="FootnoteReference">
    <w:name w:val="footnote reference"/>
    <w:basedOn w:val="DefaultParagraphFont"/>
    <w:uiPriority w:val="99"/>
    <w:unhideWhenUsed/>
    <w:rsid w:val="00874B5B"/>
    <w:rPr>
      <w:vertAlign w:val="superscript"/>
    </w:rPr>
  </w:style>
  <w:style w:type="character" w:styleId="CommentReference">
    <w:name w:val="annotation reference"/>
    <w:basedOn w:val="DefaultParagraphFont"/>
    <w:uiPriority w:val="99"/>
    <w:semiHidden/>
    <w:unhideWhenUsed/>
    <w:rsid w:val="00F033AF"/>
    <w:rPr>
      <w:sz w:val="16"/>
      <w:szCs w:val="16"/>
    </w:rPr>
  </w:style>
  <w:style w:type="paragraph" w:styleId="CommentText">
    <w:name w:val="annotation text"/>
    <w:basedOn w:val="Normal"/>
    <w:link w:val="CommentTextChar"/>
    <w:uiPriority w:val="99"/>
    <w:unhideWhenUsed/>
    <w:rsid w:val="00F033AF"/>
    <w:pPr>
      <w:spacing w:line="240" w:lineRule="auto"/>
    </w:pPr>
    <w:rPr>
      <w:sz w:val="20"/>
      <w:szCs w:val="20"/>
    </w:rPr>
  </w:style>
  <w:style w:type="character" w:customStyle="1" w:styleId="CommentTextChar">
    <w:name w:val="Comment Text Char"/>
    <w:basedOn w:val="DefaultParagraphFont"/>
    <w:link w:val="CommentText"/>
    <w:uiPriority w:val="99"/>
    <w:rsid w:val="00F033AF"/>
    <w:rPr>
      <w:sz w:val="20"/>
      <w:szCs w:val="20"/>
    </w:rPr>
  </w:style>
  <w:style w:type="paragraph" w:styleId="CommentSubject">
    <w:name w:val="annotation subject"/>
    <w:basedOn w:val="CommentText"/>
    <w:next w:val="CommentText"/>
    <w:link w:val="CommentSubjectChar"/>
    <w:uiPriority w:val="99"/>
    <w:semiHidden/>
    <w:unhideWhenUsed/>
    <w:rsid w:val="00F033AF"/>
    <w:rPr>
      <w:b/>
      <w:bCs/>
    </w:rPr>
  </w:style>
  <w:style w:type="character" w:customStyle="1" w:styleId="CommentSubjectChar">
    <w:name w:val="Comment Subject Char"/>
    <w:basedOn w:val="CommentTextChar"/>
    <w:link w:val="CommentSubject"/>
    <w:uiPriority w:val="99"/>
    <w:semiHidden/>
    <w:rsid w:val="00F033AF"/>
    <w:rPr>
      <w:b/>
      <w:bCs/>
      <w:sz w:val="20"/>
      <w:szCs w:val="20"/>
    </w:rPr>
  </w:style>
  <w:style w:type="paragraph" w:styleId="BalloonText">
    <w:name w:val="Balloon Text"/>
    <w:basedOn w:val="Normal"/>
    <w:link w:val="BalloonTextChar"/>
    <w:uiPriority w:val="99"/>
    <w:semiHidden/>
    <w:unhideWhenUsed/>
    <w:rsid w:val="00F03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3AF"/>
    <w:rPr>
      <w:rFonts w:ascii="Tahoma" w:hAnsi="Tahoma" w:cs="Tahoma"/>
      <w:sz w:val="16"/>
      <w:szCs w:val="16"/>
    </w:rPr>
  </w:style>
  <w:style w:type="character" w:customStyle="1" w:styleId="q">
    <w:name w:val="q"/>
    <w:basedOn w:val="DefaultParagraphFont"/>
    <w:rsid w:val="006D4CE1"/>
  </w:style>
  <w:style w:type="character" w:customStyle="1" w:styleId="label">
    <w:name w:val="label"/>
    <w:basedOn w:val="DefaultParagraphFont"/>
    <w:rsid w:val="006D4CE1"/>
  </w:style>
  <w:style w:type="character" w:customStyle="1" w:styleId="spc1">
    <w:name w:val="spc1"/>
    <w:basedOn w:val="DefaultParagraphFont"/>
    <w:rsid w:val="006D4CE1"/>
    <w:rPr>
      <w:strike w:val="0"/>
      <w:dstrike w:val="0"/>
      <w:u w:val="none"/>
      <w:effect w:val="none"/>
    </w:rPr>
  </w:style>
  <w:style w:type="character" w:customStyle="1" w:styleId="q1">
    <w:name w:val="q1"/>
    <w:basedOn w:val="DefaultParagraphFont"/>
    <w:rsid w:val="006D4CE1"/>
    <w:rPr>
      <w:b w:val="0"/>
      <w:bCs w:val="0"/>
      <w:i w:val="0"/>
      <w:iCs w:val="0"/>
      <w:spacing w:val="15"/>
    </w:rPr>
  </w:style>
  <w:style w:type="paragraph" w:customStyle="1" w:styleId="label9">
    <w:name w:val="label9"/>
    <w:basedOn w:val="Normal"/>
    <w:rsid w:val="006D4CE1"/>
    <w:pPr>
      <w:spacing w:after="0" w:line="288" w:lineRule="atLeast"/>
    </w:pPr>
    <w:rPr>
      <w:rFonts w:ascii="Times New Roman" w:eastAsia="Times New Roman" w:hAnsi="Times New Roman" w:cs="Times New Roman"/>
      <w:color w:val="000000"/>
      <w:sz w:val="24"/>
      <w:szCs w:val="24"/>
    </w:rPr>
  </w:style>
  <w:style w:type="paragraph" w:customStyle="1" w:styleId="labelled4">
    <w:name w:val="labelled4"/>
    <w:basedOn w:val="Normal"/>
    <w:rsid w:val="006D4CE1"/>
    <w:pPr>
      <w:spacing w:after="0" w:line="288" w:lineRule="atLeast"/>
      <w:ind w:right="240"/>
    </w:pPr>
    <w:rPr>
      <w:rFonts w:ascii="Times New Roman" w:eastAsia="Times New Roman" w:hAnsi="Times New Roman" w:cs="Times New Roman"/>
      <w:color w:val="000000"/>
      <w:sz w:val="24"/>
      <w:szCs w:val="24"/>
    </w:rPr>
  </w:style>
  <w:style w:type="paragraph" w:styleId="Title">
    <w:name w:val="Title"/>
    <w:basedOn w:val="Normal"/>
    <w:next w:val="Normal"/>
    <w:link w:val="TitleChar"/>
    <w:qFormat/>
    <w:rsid w:val="001141A7"/>
    <w:pPr>
      <w:pBdr>
        <w:bottom w:val="single" w:sz="8" w:space="4" w:color="DDDDDD" w:themeColor="accent1"/>
      </w:pBdr>
      <w:spacing w:after="300" w:line="240" w:lineRule="auto"/>
      <w:contextualSpacing/>
      <w:jc w:val="both"/>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rsid w:val="001141A7"/>
    <w:rPr>
      <w:rFonts w:asciiTheme="majorHAnsi" w:eastAsiaTheme="majorEastAsia" w:hAnsiTheme="majorHAnsi" w:cstheme="majorBidi"/>
      <w:color w:val="000000" w:themeColor="text2" w:themeShade="BF"/>
      <w:spacing w:val="5"/>
      <w:kern w:val="28"/>
      <w:sz w:val="52"/>
      <w:szCs w:val="52"/>
    </w:rPr>
  </w:style>
  <w:style w:type="character" w:styleId="Hyperlink">
    <w:name w:val="Hyperlink"/>
    <w:basedOn w:val="DefaultParagraphFont"/>
    <w:uiPriority w:val="99"/>
    <w:unhideWhenUsed/>
    <w:rsid w:val="00CD0E5F"/>
    <w:rPr>
      <w:color w:val="5F5F5F" w:themeColor="hyperlink"/>
      <w:u w:val="single"/>
    </w:rPr>
  </w:style>
  <w:style w:type="character" w:customStyle="1" w:styleId="EndnoteTextChar">
    <w:name w:val="Endnote Text Char"/>
    <w:basedOn w:val="DefaultParagraphFont"/>
    <w:link w:val="EndnoteText"/>
    <w:uiPriority w:val="99"/>
    <w:semiHidden/>
    <w:rsid w:val="00871911"/>
    <w:rPr>
      <w:sz w:val="20"/>
      <w:szCs w:val="20"/>
    </w:rPr>
  </w:style>
  <w:style w:type="paragraph" w:styleId="EndnoteText">
    <w:name w:val="endnote text"/>
    <w:basedOn w:val="Normal"/>
    <w:link w:val="EndnoteTextChar"/>
    <w:uiPriority w:val="99"/>
    <w:semiHidden/>
    <w:unhideWhenUsed/>
    <w:rsid w:val="00871911"/>
    <w:pPr>
      <w:spacing w:after="0" w:line="240" w:lineRule="auto"/>
    </w:pPr>
    <w:rPr>
      <w:sz w:val="20"/>
      <w:szCs w:val="20"/>
    </w:rPr>
  </w:style>
  <w:style w:type="paragraph" w:styleId="Header">
    <w:name w:val="header"/>
    <w:basedOn w:val="Normal"/>
    <w:link w:val="HeaderChar"/>
    <w:uiPriority w:val="99"/>
    <w:unhideWhenUsed/>
    <w:rsid w:val="00082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CF4"/>
  </w:style>
  <w:style w:type="paragraph" w:styleId="Footer">
    <w:name w:val="footer"/>
    <w:basedOn w:val="Normal"/>
    <w:link w:val="FooterChar"/>
    <w:uiPriority w:val="99"/>
    <w:unhideWhenUsed/>
    <w:rsid w:val="00082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CF4"/>
  </w:style>
  <w:style w:type="paragraph" w:styleId="TOCHeading">
    <w:name w:val="TOC Heading"/>
    <w:basedOn w:val="Heading1"/>
    <w:next w:val="Normal"/>
    <w:uiPriority w:val="39"/>
    <w:unhideWhenUsed/>
    <w:qFormat/>
    <w:rsid w:val="00891CE0"/>
    <w:pPr>
      <w:keepLines/>
      <w:spacing w:before="480" w:after="0" w:line="276" w:lineRule="auto"/>
      <w:outlineLvl w:val="9"/>
    </w:pPr>
    <w:rPr>
      <w:rFonts w:asciiTheme="majorHAnsi" w:eastAsiaTheme="majorEastAsia" w:hAnsiTheme="majorHAnsi" w:cstheme="majorBidi"/>
      <w:color w:val="A5A5A5" w:themeColor="accent1" w:themeShade="BF"/>
      <w:kern w:val="0"/>
      <w:sz w:val="28"/>
      <w:szCs w:val="28"/>
    </w:rPr>
  </w:style>
  <w:style w:type="paragraph" w:styleId="TOC1">
    <w:name w:val="toc 1"/>
    <w:basedOn w:val="Normal"/>
    <w:next w:val="Normal"/>
    <w:autoRedefine/>
    <w:uiPriority w:val="39"/>
    <w:unhideWhenUsed/>
    <w:rsid w:val="00891CE0"/>
    <w:pPr>
      <w:spacing w:after="100"/>
    </w:pPr>
  </w:style>
  <w:style w:type="paragraph" w:styleId="TOC2">
    <w:name w:val="toc 2"/>
    <w:basedOn w:val="Normal"/>
    <w:next w:val="Normal"/>
    <w:autoRedefine/>
    <w:uiPriority w:val="39"/>
    <w:unhideWhenUsed/>
    <w:rsid w:val="004509A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E7"/>
  </w:style>
  <w:style w:type="paragraph" w:styleId="Heading1">
    <w:name w:val="heading 1"/>
    <w:basedOn w:val="Normal"/>
    <w:next w:val="Normal"/>
    <w:link w:val="Heading1Char"/>
    <w:qFormat/>
    <w:rsid w:val="00871911"/>
    <w:pPr>
      <w:keepNext/>
      <w:spacing w:before="240" w:after="60" w:line="240" w:lineRule="auto"/>
      <w:outlineLvl w:val="0"/>
    </w:pPr>
    <w:rPr>
      <w:rFonts w:ascii="Cambria" w:eastAsia="Times New Roman" w:hAnsi="Cambria" w:cs="Times New Roman"/>
      <w:b/>
      <w:bCs/>
      <w:kern w:val="32"/>
      <w:sz w:val="32"/>
      <w:szCs w:val="32"/>
      <w:lang w:val="en-US" w:eastAsia="en-US"/>
    </w:rPr>
  </w:style>
  <w:style w:type="paragraph" w:styleId="Heading2">
    <w:name w:val="heading 2"/>
    <w:basedOn w:val="Normal"/>
    <w:next w:val="Normal"/>
    <w:link w:val="Heading2Char"/>
    <w:uiPriority w:val="9"/>
    <w:semiHidden/>
    <w:unhideWhenUsed/>
    <w:qFormat/>
    <w:rsid w:val="00871911"/>
    <w:pPr>
      <w:keepNext/>
      <w:keepLines/>
      <w:spacing w:before="200" w:after="0"/>
      <w:outlineLvl w:val="1"/>
    </w:pPr>
    <w:rPr>
      <w:rFonts w:asciiTheme="majorHAnsi" w:eastAsiaTheme="majorEastAsia" w:hAnsiTheme="majorHAnsi" w:cstheme="majorBidi"/>
      <w:b/>
      <w:bCs/>
      <w:color w:val="DDDDD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1911"/>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rsid w:val="00871911"/>
    <w:rPr>
      <w:rFonts w:asciiTheme="majorHAnsi" w:eastAsiaTheme="majorEastAsia" w:hAnsiTheme="majorHAnsi" w:cstheme="majorBidi"/>
      <w:b/>
      <w:bCs/>
      <w:color w:val="DDDDDD" w:themeColor="accent1"/>
      <w:sz w:val="26"/>
      <w:szCs w:val="26"/>
    </w:rPr>
  </w:style>
  <w:style w:type="paragraph" w:styleId="NoSpacing">
    <w:name w:val="No Spacing"/>
    <w:uiPriority w:val="1"/>
    <w:qFormat/>
    <w:rsid w:val="00A832C1"/>
    <w:pPr>
      <w:spacing w:after="0" w:line="240" w:lineRule="auto"/>
    </w:pPr>
  </w:style>
  <w:style w:type="paragraph" w:styleId="FootnoteText">
    <w:name w:val="footnote text"/>
    <w:basedOn w:val="Normal"/>
    <w:link w:val="FootnoteTextChar"/>
    <w:uiPriority w:val="99"/>
    <w:unhideWhenUsed/>
    <w:rsid w:val="00874B5B"/>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uiPriority w:val="99"/>
    <w:rsid w:val="00874B5B"/>
    <w:rPr>
      <w:rFonts w:ascii="Times New Roman" w:eastAsia="Times New Roman" w:hAnsi="Times New Roman" w:cs="Times New Roman"/>
      <w:sz w:val="20"/>
      <w:szCs w:val="20"/>
      <w:lang w:val="en-GB" w:eastAsia="en-US"/>
    </w:rPr>
  </w:style>
  <w:style w:type="paragraph" w:styleId="ListParagraph">
    <w:name w:val="List Paragraph"/>
    <w:basedOn w:val="Normal"/>
    <w:uiPriority w:val="34"/>
    <w:qFormat/>
    <w:rsid w:val="00874B5B"/>
    <w:pPr>
      <w:spacing w:after="0" w:line="240" w:lineRule="auto"/>
      <w:ind w:left="720"/>
      <w:contextualSpacing/>
    </w:pPr>
    <w:rPr>
      <w:rFonts w:ascii="Times New Roman" w:eastAsia="Times New Roman" w:hAnsi="Times New Roman" w:cs="Times New Roman"/>
      <w:sz w:val="24"/>
      <w:szCs w:val="20"/>
      <w:lang w:val="en-GB" w:eastAsia="en-US"/>
    </w:rPr>
  </w:style>
  <w:style w:type="character" w:styleId="FootnoteReference">
    <w:name w:val="footnote reference"/>
    <w:basedOn w:val="DefaultParagraphFont"/>
    <w:uiPriority w:val="99"/>
    <w:unhideWhenUsed/>
    <w:rsid w:val="00874B5B"/>
    <w:rPr>
      <w:vertAlign w:val="superscript"/>
    </w:rPr>
  </w:style>
  <w:style w:type="character" w:styleId="CommentReference">
    <w:name w:val="annotation reference"/>
    <w:basedOn w:val="DefaultParagraphFont"/>
    <w:uiPriority w:val="99"/>
    <w:semiHidden/>
    <w:unhideWhenUsed/>
    <w:rsid w:val="00F033AF"/>
    <w:rPr>
      <w:sz w:val="16"/>
      <w:szCs w:val="16"/>
    </w:rPr>
  </w:style>
  <w:style w:type="paragraph" w:styleId="CommentText">
    <w:name w:val="annotation text"/>
    <w:basedOn w:val="Normal"/>
    <w:link w:val="CommentTextChar"/>
    <w:uiPriority w:val="99"/>
    <w:semiHidden/>
    <w:unhideWhenUsed/>
    <w:rsid w:val="00F033AF"/>
    <w:pPr>
      <w:spacing w:line="240" w:lineRule="auto"/>
    </w:pPr>
    <w:rPr>
      <w:sz w:val="20"/>
      <w:szCs w:val="20"/>
    </w:rPr>
  </w:style>
  <w:style w:type="character" w:customStyle="1" w:styleId="CommentTextChar">
    <w:name w:val="Comment Text Char"/>
    <w:basedOn w:val="DefaultParagraphFont"/>
    <w:link w:val="CommentText"/>
    <w:uiPriority w:val="99"/>
    <w:semiHidden/>
    <w:rsid w:val="00F033AF"/>
    <w:rPr>
      <w:sz w:val="20"/>
      <w:szCs w:val="20"/>
    </w:rPr>
  </w:style>
  <w:style w:type="paragraph" w:styleId="CommentSubject">
    <w:name w:val="annotation subject"/>
    <w:basedOn w:val="CommentText"/>
    <w:next w:val="CommentText"/>
    <w:link w:val="CommentSubjectChar"/>
    <w:uiPriority w:val="99"/>
    <w:semiHidden/>
    <w:unhideWhenUsed/>
    <w:rsid w:val="00F033AF"/>
    <w:rPr>
      <w:b/>
      <w:bCs/>
    </w:rPr>
  </w:style>
  <w:style w:type="character" w:customStyle="1" w:styleId="CommentSubjectChar">
    <w:name w:val="Comment Subject Char"/>
    <w:basedOn w:val="CommentTextChar"/>
    <w:link w:val="CommentSubject"/>
    <w:uiPriority w:val="99"/>
    <w:semiHidden/>
    <w:rsid w:val="00F033AF"/>
    <w:rPr>
      <w:b/>
      <w:bCs/>
      <w:sz w:val="20"/>
      <w:szCs w:val="20"/>
    </w:rPr>
  </w:style>
  <w:style w:type="paragraph" w:styleId="BalloonText">
    <w:name w:val="Balloon Text"/>
    <w:basedOn w:val="Normal"/>
    <w:link w:val="BalloonTextChar"/>
    <w:uiPriority w:val="99"/>
    <w:semiHidden/>
    <w:unhideWhenUsed/>
    <w:rsid w:val="00F03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3AF"/>
    <w:rPr>
      <w:rFonts w:ascii="Tahoma" w:hAnsi="Tahoma" w:cs="Tahoma"/>
      <w:sz w:val="16"/>
      <w:szCs w:val="16"/>
    </w:rPr>
  </w:style>
  <w:style w:type="character" w:customStyle="1" w:styleId="q">
    <w:name w:val="q"/>
    <w:basedOn w:val="DefaultParagraphFont"/>
    <w:rsid w:val="006D4CE1"/>
  </w:style>
  <w:style w:type="character" w:customStyle="1" w:styleId="label">
    <w:name w:val="label"/>
    <w:basedOn w:val="DefaultParagraphFont"/>
    <w:rsid w:val="006D4CE1"/>
  </w:style>
  <w:style w:type="character" w:customStyle="1" w:styleId="spc1">
    <w:name w:val="spc1"/>
    <w:basedOn w:val="DefaultParagraphFont"/>
    <w:rsid w:val="006D4CE1"/>
    <w:rPr>
      <w:strike w:val="0"/>
      <w:dstrike w:val="0"/>
      <w:u w:val="none"/>
      <w:effect w:val="none"/>
    </w:rPr>
  </w:style>
  <w:style w:type="character" w:customStyle="1" w:styleId="q1">
    <w:name w:val="q1"/>
    <w:basedOn w:val="DefaultParagraphFont"/>
    <w:rsid w:val="006D4CE1"/>
    <w:rPr>
      <w:b w:val="0"/>
      <w:bCs w:val="0"/>
      <w:i w:val="0"/>
      <w:iCs w:val="0"/>
      <w:spacing w:val="15"/>
    </w:rPr>
  </w:style>
  <w:style w:type="paragraph" w:customStyle="1" w:styleId="label9">
    <w:name w:val="label9"/>
    <w:basedOn w:val="Normal"/>
    <w:rsid w:val="006D4CE1"/>
    <w:pPr>
      <w:spacing w:after="0" w:line="288" w:lineRule="atLeast"/>
    </w:pPr>
    <w:rPr>
      <w:rFonts w:ascii="Times New Roman" w:eastAsia="Times New Roman" w:hAnsi="Times New Roman" w:cs="Times New Roman"/>
      <w:color w:val="000000"/>
      <w:sz w:val="24"/>
      <w:szCs w:val="24"/>
    </w:rPr>
  </w:style>
  <w:style w:type="paragraph" w:customStyle="1" w:styleId="labelled4">
    <w:name w:val="labelled4"/>
    <w:basedOn w:val="Normal"/>
    <w:rsid w:val="006D4CE1"/>
    <w:pPr>
      <w:spacing w:after="0" w:line="288" w:lineRule="atLeast"/>
      <w:ind w:right="240"/>
    </w:pPr>
    <w:rPr>
      <w:rFonts w:ascii="Times New Roman" w:eastAsia="Times New Roman" w:hAnsi="Times New Roman" w:cs="Times New Roman"/>
      <w:color w:val="000000"/>
      <w:sz w:val="24"/>
      <w:szCs w:val="24"/>
    </w:rPr>
  </w:style>
  <w:style w:type="paragraph" w:styleId="Title">
    <w:name w:val="Title"/>
    <w:basedOn w:val="Normal"/>
    <w:next w:val="Normal"/>
    <w:link w:val="TitleChar"/>
    <w:qFormat/>
    <w:rsid w:val="001141A7"/>
    <w:pPr>
      <w:pBdr>
        <w:bottom w:val="single" w:sz="8" w:space="4" w:color="DDDDDD" w:themeColor="accent1"/>
      </w:pBdr>
      <w:spacing w:after="300" w:line="240" w:lineRule="auto"/>
      <w:contextualSpacing/>
      <w:jc w:val="both"/>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rsid w:val="001141A7"/>
    <w:rPr>
      <w:rFonts w:asciiTheme="majorHAnsi" w:eastAsiaTheme="majorEastAsia" w:hAnsiTheme="majorHAnsi" w:cstheme="majorBidi"/>
      <w:color w:val="000000" w:themeColor="text2" w:themeShade="BF"/>
      <w:spacing w:val="5"/>
      <w:kern w:val="28"/>
      <w:sz w:val="52"/>
      <w:szCs w:val="52"/>
    </w:rPr>
  </w:style>
  <w:style w:type="character" w:styleId="Hyperlink">
    <w:name w:val="Hyperlink"/>
    <w:basedOn w:val="DefaultParagraphFont"/>
    <w:uiPriority w:val="99"/>
    <w:unhideWhenUsed/>
    <w:rsid w:val="00CD0E5F"/>
    <w:rPr>
      <w:color w:val="5F5F5F" w:themeColor="hyperlink"/>
      <w:u w:val="single"/>
    </w:rPr>
  </w:style>
  <w:style w:type="character" w:customStyle="1" w:styleId="EndnoteTextChar">
    <w:name w:val="Endnote Text Char"/>
    <w:basedOn w:val="DefaultParagraphFont"/>
    <w:link w:val="EndnoteText"/>
    <w:uiPriority w:val="99"/>
    <w:semiHidden/>
    <w:rsid w:val="00871911"/>
    <w:rPr>
      <w:sz w:val="20"/>
      <w:szCs w:val="20"/>
    </w:rPr>
  </w:style>
  <w:style w:type="paragraph" w:styleId="EndnoteText">
    <w:name w:val="endnote text"/>
    <w:basedOn w:val="Normal"/>
    <w:link w:val="EndnoteTextChar"/>
    <w:uiPriority w:val="99"/>
    <w:semiHidden/>
    <w:unhideWhenUsed/>
    <w:rsid w:val="00871911"/>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05813">
      <w:bodyDiv w:val="1"/>
      <w:marLeft w:val="0"/>
      <w:marRight w:val="0"/>
      <w:marTop w:val="0"/>
      <w:marBottom w:val="0"/>
      <w:divBdr>
        <w:top w:val="none" w:sz="0" w:space="0" w:color="auto"/>
        <w:left w:val="none" w:sz="0" w:space="0" w:color="auto"/>
        <w:bottom w:val="none" w:sz="0" w:space="0" w:color="auto"/>
        <w:right w:val="none" w:sz="0" w:space="0" w:color="auto"/>
      </w:divBdr>
    </w:div>
    <w:div w:id="980694479">
      <w:bodyDiv w:val="1"/>
      <w:marLeft w:val="0"/>
      <w:marRight w:val="0"/>
      <w:marTop w:val="0"/>
      <w:marBottom w:val="0"/>
      <w:divBdr>
        <w:top w:val="none" w:sz="0" w:space="0" w:color="auto"/>
        <w:left w:val="none" w:sz="0" w:space="0" w:color="auto"/>
        <w:bottom w:val="none" w:sz="0" w:space="0" w:color="auto"/>
        <w:right w:val="none" w:sz="0" w:space="0" w:color="auto"/>
      </w:divBdr>
      <w:divsChild>
        <w:div w:id="1674331467">
          <w:marLeft w:val="0"/>
          <w:marRight w:val="0"/>
          <w:marTop w:val="0"/>
          <w:marBottom w:val="0"/>
          <w:divBdr>
            <w:top w:val="none" w:sz="0" w:space="0" w:color="auto"/>
            <w:left w:val="none" w:sz="0" w:space="0" w:color="auto"/>
            <w:bottom w:val="none" w:sz="0" w:space="0" w:color="auto"/>
            <w:right w:val="none" w:sz="0" w:space="0" w:color="auto"/>
          </w:divBdr>
        </w:div>
        <w:div w:id="2031293573">
          <w:marLeft w:val="0"/>
          <w:marRight w:val="0"/>
          <w:marTop w:val="0"/>
          <w:marBottom w:val="0"/>
          <w:divBdr>
            <w:top w:val="none" w:sz="0" w:space="0" w:color="auto"/>
            <w:left w:val="none" w:sz="0" w:space="0" w:color="auto"/>
            <w:bottom w:val="none" w:sz="0" w:space="0" w:color="auto"/>
            <w:right w:val="none" w:sz="0" w:space="0" w:color="auto"/>
          </w:divBdr>
        </w:div>
        <w:div w:id="1045524525">
          <w:marLeft w:val="0"/>
          <w:marRight w:val="0"/>
          <w:marTop w:val="0"/>
          <w:marBottom w:val="0"/>
          <w:divBdr>
            <w:top w:val="none" w:sz="0" w:space="0" w:color="auto"/>
            <w:left w:val="none" w:sz="0" w:space="0" w:color="auto"/>
            <w:bottom w:val="none" w:sz="0" w:space="0" w:color="auto"/>
            <w:right w:val="none" w:sz="0" w:space="0" w:color="auto"/>
          </w:divBdr>
        </w:div>
        <w:div w:id="97681095">
          <w:marLeft w:val="0"/>
          <w:marRight w:val="0"/>
          <w:marTop w:val="0"/>
          <w:marBottom w:val="0"/>
          <w:divBdr>
            <w:top w:val="none" w:sz="0" w:space="0" w:color="auto"/>
            <w:left w:val="none" w:sz="0" w:space="0" w:color="auto"/>
            <w:bottom w:val="none" w:sz="0" w:space="0" w:color="auto"/>
            <w:right w:val="none" w:sz="0" w:space="0" w:color="auto"/>
          </w:divBdr>
        </w:div>
      </w:divsChild>
    </w:div>
    <w:div w:id="1000426895">
      <w:bodyDiv w:val="1"/>
      <w:marLeft w:val="0"/>
      <w:marRight w:val="0"/>
      <w:marTop w:val="0"/>
      <w:marBottom w:val="0"/>
      <w:divBdr>
        <w:top w:val="none" w:sz="0" w:space="0" w:color="auto"/>
        <w:left w:val="none" w:sz="0" w:space="0" w:color="auto"/>
        <w:bottom w:val="none" w:sz="0" w:space="0" w:color="auto"/>
        <w:right w:val="none" w:sz="0" w:space="0" w:color="auto"/>
      </w:divBdr>
      <w:divsChild>
        <w:div w:id="381445876">
          <w:marLeft w:val="0"/>
          <w:marRight w:val="0"/>
          <w:marTop w:val="0"/>
          <w:marBottom w:val="0"/>
          <w:divBdr>
            <w:top w:val="none" w:sz="0" w:space="0" w:color="auto"/>
            <w:left w:val="none" w:sz="0" w:space="0" w:color="auto"/>
            <w:bottom w:val="none" w:sz="0" w:space="0" w:color="auto"/>
            <w:right w:val="none" w:sz="0" w:space="0" w:color="auto"/>
          </w:divBdr>
          <w:divsChild>
            <w:div w:id="1432894218">
              <w:marLeft w:val="0"/>
              <w:marRight w:val="0"/>
              <w:marTop w:val="0"/>
              <w:marBottom w:val="0"/>
              <w:divBdr>
                <w:top w:val="none" w:sz="0" w:space="0" w:color="auto"/>
                <w:left w:val="none" w:sz="0" w:space="0" w:color="auto"/>
                <w:bottom w:val="none" w:sz="0" w:space="0" w:color="auto"/>
                <w:right w:val="none" w:sz="0" w:space="0" w:color="auto"/>
              </w:divBdr>
              <w:divsChild>
                <w:div w:id="1820338261">
                  <w:marLeft w:val="0"/>
                  <w:marRight w:val="0"/>
                  <w:marTop w:val="105"/>
                  <w:marBottom w:val="0"/>
                  <w:divBdr>
                    <w:top w:val="none" w:sz="0" w:space="0" w:color="auto"/>
                    <w:left w:val="none" w:sz="0" w:space="0" w:color="auto"/>
                    <w:bottom w:val="none" w:sz="0" w:space="0" w:color="auto"/>
                    <w:right w:val="none" w:sz="0" w:space="0" w:color="auto"/>
                  </w:divBdr>
                  <w:divsChild>
                    <w:div w:id="933320633">
                      <w:marLeft w:val="450"/>
                      <w:marRight w:val="225"/>
                      <w:marTop w:val="0"/>
                      <w:marBottom w:val="0"/>
                      <w:divBdr>
                        <w:top w:val="none" w:sz="0" w:space="0" w:color="auto"/>
                        <w:left w:val="none" w:sz="0" w:space="0" w:color="auto"/>
                        <w:bottom w:val="none" w:sz="0" w:space="0" w:color="auto"/>
                        <w:right w:val="none" w:sz="0" w:space="0" w:color="auto"/>
                      </w:divBdr>
                      <w:divsChild>
                        <w:div w:id="236524707">
                          <w:marLeft w:val="0"/>
                          <w:marRight w:val="0"/>
                          <w:marTop w:val="0"/>
                          <w:marBottom w:val="600"/>
                          <w:divBdr>
                            <w:top w:val="single" w:sz="6" w:space="0" w:color="314664"/>
                            <w:left w:val="single" w:sz="6" w:space="0" w:color="314664"/>
                            <w:bottom w:val="single" w:sz="6" w:space="0" w:color="314664"/>
                            <w:right w:val="single" w:sz="6" w:space="0" w:color="314664"/>
                          </w:divBdr>
                          <w:divsChild>
                            <w:div w:id="398553957">
                              <w:marLeft w:val="0"/>
                              <w:marRight w:val="0"/>
                              <w:marTop w:val="0"/>
                              <w:marBottom w:val="0"/>
                              <w:divBdr>
                                <w:top w:val="none" w:sz="0" w:space="0" w:color="auto"/>
                                <w:left w:val="none" w:sz="0" w:space="0" w:color="auto"/>
                                <w:bottom w:val="none" w:sz="0" w:space="0" w:color="auto"/>
                                <w:right w:val="none" w:sz="0" w:space="0" w:color="auto"/>
                              </w:divBdr>
                              <w:divsChild>
                                <w:div w:id="2047559639">
                                  <w:marLeft w:val="0"/>
                                  <w:marRight w:val="0"/>
                                  <w:marTop w:val="0"/>
                                  <w:marBottom w:val="0"/>
                                  <w:divBdr>
                                    <w:top w:val="none" w:sz="0" w:space="0" w:color="auto"/>
                                    <w:left w:val="none" w:sz="0" w:space="0" w:color="auto"/>
                                    <w:bottom w:val="none" w:sz="0" w:space="0" w:color="auto"/>
                                    <w:right w:val="none" w:sz="0" w:space="0" w:color="auto"/>
                                  </w:divBdr>
                                  <w:divsChild>
                                    <w:div w:id="134958986">
                                      <w:marLeft w:val="0"/>
                                      <w:marRight w:val="0"/>
                                      <w:marTop w:val="0"/>
                                      <w:marBottom w:val="0"/>
                                      <w:divBdr>
                                        <w:top w:val="none" w:sz="0" w:space="0" w:color="auto"/>
                                        <w:left w:val="none" w:sz="0" w:space="0" w:color="auto"/>
                                        <w:bottom w:val="none" w:sz="0" w:space="0" w:color="auto"/>
                                        <w:right w:val="none" w:sz="0" w:space="0" w:color="auto"/>
                                      </w:divBdr>
                                      <w:divsChild>
                                        <w:div w:id="2030837525">
                                          <w:marLeft w:val="0"/>
                                          <w:marRight w:val="0"/>
                                          <w:marTop w:val="0"/>
                                          <w:marBottom w:val="0"/>
                                          <w:divBdr>
                                            <w:top w:val="none" w:sz="0" w:space="0" w:color="auto"/>
                                            <w:left w:val="none" w:sz="0" w:space="0" w:color="auto"/>
                                            <w:bottom w:val="none" w:sz="0" w:space="0" w:color="auto"/>
                                            <w:right w:val="none" w:sz="0" w:space="0" w:color="auto"/>
                                          </w:divBdr>
                                          <w:divsChild>
                                            <w:div w:id="1347515120">
                                              <w:marLeft w:val="0"/>
                                              <w:marRight w:val="0"/>
                                              <w:marTop w:val="0"/>
                                              <w:marBottom w:val="0"/>
                                              <w:divBdr>
                                                <w:top w:val="none" w:sz="0" w:space="0" w:color="auto"/>
                                                <w:left w:val="none" w:sz="0" w:space="0" w:color="auto"/>
                                                <w:bottom w:val="none" w:sz="0" w:space="0" w:color="auto"/>
                                                <w:right w:val="none" w:sz="0" w:space="0" w:color="auto"/>
                                              </w:divBdr>
                                              <w:divsChild>
                                                <w:div w:id="209266219">
                                                  <w:marLeft w:val="0"/>
                                                  <w:marRight w:val="0"/>
                                                  <w:marTop w:val="0"/>
                                                  <w:marBottom w:val="0"/>
                                                  <w:divBdr>
                                                    <w:top w:val="none" w:sz="0" w:space="0" w:color="auto"/>
                                                    <w:left w:val="none" w:sz="0" w:space="0" w:color="auto"/>
                                                    <w:bottom w:val="none" w:sz="0" w:space="0" w:color="auto"/>
                                                    <w:right w:val="none" w:sz="0" w:space="0" w:color="auto"/>
                                                  </w:divBdr>
                                                  <w:divsChild>
                                                    <w:div w:id="1766342984">
                                                      <w:marLeft w:val="-720"/>
                                                      <w:marRight w:val="0"/>
                                                      <w:marTop w:val="0"/>
                                                      <w:marBottom w:val="0"/>
                                                      <w:divBdr>
                                                        <w:top w:val="none" w:sz="0" w:space="0" w:color="auto"/>
                                                        <w:left w:val="none" w:sz="0" w:space="0" w:color="auto"/>
                                                        <w:bottom w:val="none" w:sz="0" w:space="0" w:color="auto"/>
                                                        <w:right w:val="none" w:sz="0" w:space="0" w:color="auto"/>
                                                      </w:divBdr>
                                                      <w:divsChild>
                                                        <w:div w:id="3670303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58999">
                                              <w:marLeft w:val="0"/>
                                              <w:marRight w:val="0"/>
                                              <w:marTop w:val="0"/>
                                              <w:marBottom w:val="0"/>
                                              <w:divBdr>
                                                <w:top w:val="none" w:sz="0" w:space="0" w:color="auto"/>
                                                <w:left w:val="none" w:sz="0" w:space="0" w:color="auto"/>
                                                <w:bottom w:val="none" w:sz="0" w:space="0" w:color="auto"/>
                                                <w:right w:val="none" w:sz="0" w:space="0" w:color="auto"/>
                                              </w:divBdr>
                                              <w:divsChild>
                                                <w:div w:id="368797557">
                                                  <w:marLeft w:val="0"/>
                                                  <w:marRight w:val="0"/>
                                                  <w:marTop w:val="0"/>
                                                  <w:marBottom w:val="0"/>
                                                  <w:divBdr>
                                                    <w:top w:val="none" w:sz="0" w:space="0" w:color="auto"/>
                                                    <w:left w:val="none" w:sz="0" w:space="0" w:color="auto"/>
                                                    <w:bottom w:val="none" w:sz="0" w:space="0" w:color="auto"/>
                                                    <w:right w:val="none" w:sz="0" w:space="0" w:color="auto"/>
                                                  </w:divBdr>
                                                </w:div>
                                              </w:divsChild>
                                            </w:div>
                                            <w:div w:id="473453373">
                                              <w:marLeft w:val="0"/>
                                              <w:marRight w:val="0"/>
                                              <w:marTop w:val="0"/>
                                              <w:marBottom w:val="0"/>
                                              <w:divBdr>
                                                <w:top w:val="none" w:sz="0" w:space="0" w:color="auto"/>
                                                <w:left w:val="none" w:sz="0" w:space="0" w:color="auto"/>
                                                <w:bottom w:val="none" w:sz="0" w:space="0" w:color="auto"/>
                                                <w:right w:val="none" w:sz="0" w:space="0" w:color="auto"/>
                                              </w:divBdr>
                                              <w:divsChild>
                                                <w:div w:id="18012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91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A368D5A7</Template>
  <TotalTime>0</TotalTime>
  <Pages>38</Pages>
  <Words>12072</Words>
  <Characters>68814</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2014-07-30T21:33:00Z</dcterms:created>
  <dcterms:modified xsi:type="dcterms:W3CDTF">2014-08-03T22:45:00Z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