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bookmarkStart w:id="0" w:name="_GoBack"/>
      <w:bookmarkEnd w:id="0"/>
    </w:p>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 xml:space="preserve">Complaints to HDC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540FA4">
      <w:pPr>
        <w:pStyle w:val="NoSpacing"/>
        <w:jc w:val="center"/>
        <w:rPr>
          <w:rFonts w:eastAsiaTheme="majorEastAsia" w:cstheme="majorBidi"/>
          <w:b/>
          <w:sz w:val="40"/>
          <w:szCs w:val="40"/>
          <w:lang w:val="en-NZ"/>
        </w:rPr>
      </w:pPr>
    </w:p>
    <w:p w:rsidR="00540FA4" w:rsidRPr="009F7E9D" w:rsidRDefault="00540FA4" w:rsidP="00540FA4">
      <w:pPr>
        <w:pStyle w:val="NoSpacing"/>
        <w:jc w:val="center"/>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and Analysis for period 1 January to 30 June 2016</w:t>
      </w: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540FA4" w:rsidRDefault="00540FA4" w:rsidP="00540FA4">
      <w:pPr>
        <w:jc w:val="center"/>
        <w:sectPr w:rsidR="00540FA4"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540FA4" w:rsidRDefault="00540FA4" w:rsidP="00540FA4">
      <w:pPr>
        <w:sectPr w:rsidR="00540FA4" w:rsidSect="00635635">
          <w:pgSz w:w="11906" w:h="16838" w:code="9"/>
          <w:pgMar w:top="1140" w:right="1412" w:bottom="851" w:left="1412" w:header="720" w:footer="590" w:gutter="0"/>
          <w:pgNumType w:start="0"/>
          <w:cols w:space="720"/>
          <w:titlePg/>
          <w:docGrid w:linePitch="360"/>
        </w:sectPr>
      </w:pPr>
      <w:r>
        <w:lastRenderedPageBreak/>
        <w:br w:type="page"/>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65498A"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464718894" w:history="1">
        <w:r w:rsidR="0065498A" w:rsidRPr="00F6639B">
          <w:rPr>
            <w:rStyle w:val="Hyperlink"/>
            <w:noProof/>
          </w:rPr>
          <w:t>Commissioner’s Foreword</w:t>
        </w:r>
        <w:r w:rsidR="0065498A">
          <w:rPr>
            <w:noProof/>
            <w:webHidden/>
          </w:rPr>
          <w:tab/>
        </w:r>
        <w:r w:rsidR="0065498A">
          <w:rPr>
            <w:noProof/>
            <w:webHidden/>
          </w:rPr>
          <w:fldChar w:fldCharType="begin"/>
        </w:r>
        <w:r w:rsidR="0065498A">
          <w:rPr>
            <w:noProof/>
            <w:webHidden/>
          </w:rPr>
          <w:instrText xml:space="preserve"> PAGEREF _Toc464718894 \h </w:instrText>
        </w:r>
        <w:r w:rsidR="0065498A">
          <w:rPr>
            <w:noProof/>
            <w:webHidden/>
          </w:rPr>
        </w:r>
        <w:r w:rsidR="0065498A">
          <w:rPr>
            <w:noProof/>
            <w:webHidden/>
          </w:rPr>
          <w:fldChar w:fldCharType="separate"/>
        </w:r>
        <w:r w:rsidR="00CD5546">
          <w:rPr>
            <w:noProof/>
            <w:webHidden/>
          </w:rPr>
          <w:t>ii</w:t>
        </w:r>
        <w:r w:rsidR="0065498A">
          <w:rPr>
            <w:noProof/>
            <w:webHidden/>
          </w:rPr>
          <w:fldChar w:fldCharType="end"/>
        </w:r>
      </w:hyperlink>
    </w:p>
    <w:p w:rsidR="0065498A" w:rsidRDefault="005E7693">
      <w:pPr>
        <w:pStyle w:val="TOC1"/>
        <w:tabs>
          <w:tab w:val="right" w:leader="dot" w:pos="9072"/>
        </w:tabs>
        <w:rPr>
          <w:rFonts w:eastAsiaTheme="minorEastAsia" w:cstheme="minorBidi"/>
          <w:b w:val="0"/>
          <w:noProof/>
          <w:sz w:val="22"/>
          <w:szCs w:val="22"/>
          <w:lang w:eastAsia="en-NZ" w:bidi="ar-SA"/>
        </w:rPr>
      </w:pPr>
      <w:hyperlink w:anchor="_Toc464718895" w:history="1">
        <w:r w:rsidR="0065498A" w:rsidRPr="00F6639B">
          <w:rPr>
            <w:rStyle w:val="Hyperlink"/>
            <w:noProof/>
          </w:rPr>
          <w:t>National Data for all District Health Boards</w:t>
        </w:r>
        <w:r w:rsidR="0065498A">
          <w:rPr>
            <w:noProof/>
            <w:webHidden/>
          </w:rPr>
          <w:tab/>
        </w:r>
        <w:r w:rsidR="0065498A">
          <w:rPr>
            <w:noProof/>
            <w:webHidden/>
          </w:rPr>
          <w:fldChar w:fldCharType="begin"/>
        </w:r>
        <w:r w:rsidR="0065498A">
          <w:rPr>
            <w:noProof/>
            <w:webHidden/>
          </w:rPr>
          <w:instrText xml:space="preserve"> PAGEREF _Toc464718895 \h </w:instrText>
        </w:r>
        <w:r w:rsidR="0065498A">
          <w:rPr>
            <w:noProof/>
            <w:webHidden/>
          </w:rPr>
        </w:r>
        <w:r w:rsidR="0065498A">
          <w:rPr>
            <w:noProof/>
            <w:webHidden/>
          </w:rPr>
          <w:fldChar w:fldCharType="separate"/>
        </w:r>
        <w:r w:rsidR="00CD5546">
          <w:rPr>
            <w:noProof/>
            <w:webHidden/>
          </w:rPr>
          <w:t>1</w:t>
        </w:r>
        <w:r w:rsidR="0065498A">
          <w:rPr>
            <w:noProof/>
            <w:webHidden/>
          </w:rPr>
          <w:fldChar w:fldCharType="end"/>
        </w:r>
      </w:hyperlink>
    </w:p>
    <w:p w:rsidR="0065498A" w:rsidRDefault="005E7693">
      <w:pPr>
        <w:pStyle w:val="TOC2"/>
        <w:tabs>
          <w:tab w:val="left" w:pos="880"/>
          <w:tab w:val="right" w:leader="dot" w:pos="9072"/>
        </w:tabs>
        <w:rPr>
          <w:rFonts w:eastAsiaTheme="minorEastAsia" w:cstheme="minorBidi"/>
          <w:b w:val="0"/>
          <w:noProof/>
          <w:lang w:eastAsia="en-NZ" w:bidi="ar-SA"/>
        </w:rPr>
      </w:pPr>
      <w:hyperlink w:anchor="_Toc464718896" w:history="1">
        <w:r w:rsidR="0065498A" w:rsidRPr="00F6639B">
          <w:rPr>
            <w:rStyle w:val="Hyperlink"/>
            <w:noProof/>
          </w:rPr>
          <w:t>1.0</w:t>
        </w:r>
        <w:r w:rsidR="0065498A">
          <w:rPr>
            <w:rFonts w:eastAsiaTheme="minorEastAsia" w:cstheme="minorBidi"/>
            <w:b w:val="0"/>
            <w:noProof/>
            <w:lang w:eastAsia="en-NZ" w:bidi="ar-SA"/>
          </w:rPr>
          <w:tab/>
        </w:r>
        <w:r w:rsidR="0065498A" w:rsidRPr="00F6639B">
          <w:rPr>
            <w:rStyle w:val="Hyperlink"/>
            <w:noProof/>
          </w:rPr>
          <w:t>Number of complaints received</w:t>
        </w:r>
        <w:r w:rsidR="0065498A">
          <w:rPr>
            <w:noProof/>
            <w:webHidden/>
          </w:rPr>
          <w:tab/>
        </w:r>
        <w:r w:rsidR="0065498A">
          <w:rPr>
            <w:noProof/>
            <w:webHidden/>
          </w:rPr>
          <w:fldChar w:fldCharType="begin"/>
        </w:r>
        <w:r w:rsidR="0065498A">
          <w:rPr>
            <w:noProof/>
            <w:webHidden/>
          </w:rPr>
          <w:instrText xml:space="preserve"> PAGEREF _Toc464718896 \h </w:instrText>
        </w:r>
        <w:r w:rsidR="0065498A">
          <w:rPr>
            <w:noProof/>
            <w:webHidden/>
          </w:rPr>
        </w:r>
        <w:r w:rsidR="0065498A">
          <w:rPr>
            <w:noProof/>
            <w:webHidden/>
          </w:rPr>
          <w:fldChar w:fldCharType="separate"/>
        </w:r>
        <w:r w:rsidR="00CD5546">
          <w:rPr>
            <w:noProof/>
            <w:webHidden/>
          </w:rPr>
          <w:t>1</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897" w:history="1">
        <w:r w:rsidR="0065498A" w:rsidRPr="00F6639B">
          <w:rPr>
            <w:rStyle w:val="Hyperlink"/>
            <w:noProof/>
          </w:rPr>
          <w:t xml:space="preserve">1.1 </w:t>
        </w:r>
        <w:r w:rsidR="0065498A">
          <w:rPr>
            <w:rFonts w:eastAsiaTheme="minorEastAsia" w:cstheme="minorBidi"/>
            <w:noProof/>
            <w:lang w:eastAsia="en-NZ" w:bidi="ar-SA"/>
          </w:rPr>
          <w:tab/>
        </w:r>
        <w:r w:rsidR="0065498A" w:rsidRPr="00F6639B">
          <w:rPr>
            <w:rStyle w:val="Hyperlink"/>
            <w:noProof/>
          </w:rPr>
          <w:t>Raw number of complaints received</w:t>
        </w:r>
        <w:r w:rsidR="0065498A">
          <w:rPr>
            <w:noProof/>
            <w:webHidden/>
          </w:rPr>
          <w:tab/>
        </w:r>
        <w:r w:rsidR="0065498A">
          <w:rPr>
            <w:noProof/>
            <w:webHidden/>
          </w:rPr>
          <w:fldChar w:fldCharType="begin"/>
        </w:r>
        <w:r w:rsidR="0065498A">
          <w:rPr>
            <w:noProof/>
            <w:webHidden/>
          </w:rPr>
          <w:instrText xml:space="preserve"> PAGEREF _Toc464718897 \h </w:instrText>
        </w:r>
        <w:r w:rsidR="0065498A">
          <w:rPr>
            <w:noProof/>
            <w:webHidden/>
          </w:rPr>
        </w:r>
        <w:r w:rsidR="0065498A">
          <w:rPr>
            <w:noProof/>
            <w:webHidden/>
          </w:rPr>
          <w:fldChar w:fldCharType="separate"/>
        </w:r>
        <w:r w:rsidR="00CD5546">
          <w:rPr>
            <w:noProof/>
            <w:webHidden/>
          </w:rPr>
          <w:t>1</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898" w:history="1">
        <w:r w:rsidR="0065498A" w:rsidRPr="00F6639B">
          <w:rPr>
            <w:rStyle w:val="Hyperlink"/>
            <w:noProof/>
          </w:rPr>
          <w:t>1.2</w:t>
        </w:r>
        <w:r w:rsidR="0065498A">
          <w:rPr>
            <w:rFonts w:eastAsiaTheme="minorEastAsia" w:cstheme="minorBidi"/>
            <w:noProof/>
            <w:lang w:eastAsia="en-NZ" w:bidi="ar-SA"/>
          </w:rPr>
          <w:tab/>
        </w:r>
        <w:r w:rsidR="0065498A" w:rsidRPr="00F6639B">
          <w:rPr>
            <w:rStyle w:val="Hyperlink"/>
            <w:noProof/>
          </w:rPr>
          <w:t>Rate of complaints received</w:t>
        </w:r>
        <w:r w:rsidR="0065498A">
          <w:rPr>
            <w:noProof/>
            <w:webHidden/>
          </w:rPr>
          <w:tab/>
        </w:r>
        <w:r w:rsidR="0065498A">
          <w:rPr>
            <w:noProof/>
            <w:webHidden/>
          </w:rPr>
          <w:fldChar w:fldCharType="begin"/>
        </w:r>
        <w:r w:rsidR="0065498A">
          <w:rPr>
            <w:noProof/>
            <w:webHidden/>
          </w:rPr>
          <w:instrText xml:space="preserve"> PAGEREF _Toc464718898 \h </w:instrText>
        </w:r>
        <w:r w:rsidR="0065498A">
          <w:rPr>
            <w:noProof/>
            <w:webHidden/>
          </w:rPr>
        </w:r>
        <w:r w:rsidR="0065498A">
          <w:rPr>
            <w:noProof/>
            <w:webHidden/>
          </w:rPr>
          <w:fldChar w:fldCharType="separate"/>
        </w:r>
        <w:r w:rsidR="00CD5546">
          <w:rPr>
            <w:noProof/>
            <w:webHidden/>
          </w:rPr>
          <w:t>2</w:t>
        </w:r>
        <w:r w:rsidR="0065498A">
          <w:rPr>
            <w:noProof/>
            <w:webHidden/>
          </w:rPr>
          <w:fldChar w:fldCharType="end"/>
        </w:r>
      </w:hyperlink>
    </w:p>
    <w:p w:rsidR="0065498A" w:rsidRDefault="005E7693">
      <w:pPr>
        <w:pStyle w:val="TOC2"/>
        <w:tabs>
          <w:tab w:val="left" w:pos="880"/>
          <w:tab w:val="right" w:leader="dot" w:pos="9072"/>
        </w:tabs>
        <w:rPr>
          <w:rFonts w:eastAsiaTheme="minorEastAsia" w:cstheme="minorBidi"/>
          <w:b w:val="0"/>
          <w:noProof/>
          <w:lang w:eastAsia="en-NZ" w:bidi="ar-SA"/>
        </w:rPr>
      </w:pPr>
      <w:hyperlink w:anchor="_Toc464718899" w:history="1">
        <w:r w:rsidR="0065498A" w:rsidRPr="00F6639B">
          <w:rPr>
            <w:rStyle w:val="Hyperlink"/>
            <w:noProof/>
          </w:rPr>
          <w:t>2.0</w:t>
        </w:r>
        <w:r w:rsidR="0065498A">
          <w:rPr>
            <w:rFonts w:eastAsiaTheme="minorEastAsia" w:cstheme="minorBidi"/>
            <w:b w:val="0"/>
            <w:noProof/>
            <w:lang w:eastAsia="en-NZ" w:bidi="ar-SA"/>
          </w:rPr>
          <w:tab/>
        </w:r>
        <w:r w:rsidR="0065498A" w:rsidRPr="00F6639B">
          <w:rPr>
            <w:rStyle w:val="Hyperlink"/>
            <w:noProof/>
          </w:rPr>
          <w:t>Service types complained about</w:t>
        </w:r>
        <w:r w:rsidR="0065498A">
          <w:rPr>
            <w:noProof/>
            <w:webHidden/>
          </w:rPr>
          <w:tab/>
        </w:r>
        <w:r w:rsidR="0065498A">
          <w:rPr>
            <w:noProof/>
            <w:webHidden/>
          </w:rPr>
          <w:fldChar w:fldCharType="begin"/>
        </w:r>
        <w:r w:rsidR="0065498A">
          <w:rPr>
            <w:noProof/>
            <w:webHidden/>
          </w:rPr>
          <w:instrText xml:space="preserve"> PAGEREF _Toc464718899 \h </w:instrText>
        </w:r>
        <w:r w:rsidR="0065498A">
          <w:rPr>
            <w:noProof/>
            <w:webHidden/>
          </w:rPr>
        </w:r>
        <w:r w:rsidR="0065498A">
          <w:rPr>
            <w:noProof/>
            <w:webHidden/>
          </w:rPr>
          <w:fldChar w:fldCharType="separate"/>
        </w:r>
        <w:r w:rsidR="00CD5546">
          <w:rPr>
            <w:noProof/>
            <w:webHidden/>
          </w:rPr>
          <w:t>4</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0" w:history="1">
        <w:r w:rsidR="0065498A" w:rsidRPr="00F6639B">
          <w:rPr>
            <w:rStyle w:val="Hyperlink"/>
            <w:noProof/>
          </w:rPr>
          <w:t>2.1</w:t>
        </w:r>
        <w:r w:rsidR="0065498A">
          <w:rPr>
            <w:rFonts w:eastAsiaTheme="minorEastAsia" w:cstheme="minorBidi"/>
            <w:noProof/>
            <w:lang w:eastAsia="en-NZ" w:bidi="ar-SA"/>
          </w:rPr>
          <w:tab/>
        </w:r>
        <w:r w:rsidR="0065498A" w:rsidRPr="00F6639B">
          <w:rPr>
            <w:rStyle w:val="Hyperlink"/>
            <w:noProof/>
          </w:rPr>
          <w:t>Service type category</w:t>
        </w:r>
        <w:r w:rsidR="0065498A">
          <w:rPr>
            <w:noProof/>
            <w:webHidden/>
          </w:rPr>
          <w:tab/>
        </w:r>
        <w:r w:rsidR="0065498A">
          <w:rPr>
            <w:noProof/>
            <w:webHidden/>
          </w:rPr>
          <w:fldChar w:fldCharType="begin"/>
        </w:r>
        <w:r w:rsidR="0065498A">
          <w:rPr>
            <w:noProof/>
            <w:webHidden/>
          </w:rPr>
          <w:instrText xml:space="preserve"> PAGEREF _Toc464718900 \h </w:instrText>
        </w:r>
        <w:r w:rsidR="0065498A">
          <w:rPr>
            <w:noProof/>
            <w:webHidden/>
          </w:rPr>
        </w:r>
        <w:r w:rsidR="0065498A">
          <w:rPr>
            <w:noProof/>
            <w:webHidden/>
          </w:rPr>
          <w:fldChar w:fldCharType="separate"/>
        </w:r>
        <w:r w:rsidR="00CD5546">
          <w:rPr>
            <w:noProof/>
            <w:webHidden/>
          </w:rPr>
          <w:t>4</w:t>
        </w:r>
        <w:r w:rsidR="0065498A">
          <w:rPr>
            <w:noProof/>
            <w:webHidden/>
          </w:rPr>
          <w:fldChar w:fldCharType="end"/>
        </w:r>
      </w:hyperlink>
    </w:p>
    <w:p w:rsidR="0065498A" w:rsidRDefault="005E7693">
      <w:pPr>
        <w:pStyle w:val="TOC2"/>
        <w:tabs>
          <w:tab w:val="left" w:pos="880"/>
          <w:tab w:val="right" w:leader="dot" w:pos="9072"/>
        </w:tabs>
        <w:rPr>
          <w:rFonts w:eastAsiaTheme="minorEastAsia" w:cstheme="minorBidi"/>
          <w:b w:val="0"/>
          <w:noProof/>
          <w:lang w:eastAsia="en-NZ" w:bidi="ar-SA"/>
        </w:rPr>
      </w:pPr>
      <w:hyperlink w:anchor="_Toc464718901" w:history="1">
        <w:r w:rsidR="0065498A" w:rsidRPr="00F6639B">
          <w:rPr>
            <w:rStyle w:val="Hyperlink"/>
            <w:noProof/>
          </w:rPr>
          <w:t>3.0</w:t>
        </w:r>
        <w:r w:rsidR="0065498A">
          <w:rPr>
            <w:rFonts w:eastAsiaTheme="minorEastAsia" w:cstheme="minorBidi"/>
            <w:b w:val="0"/>
            <w:noProof/>
            <w:lang w:eastAsia="en-NZ" w:bidi="ar-SA"/>
          </w:rPr>
          <w:tab/>
        </w:r>
        <w:r w:rsidR="0065498A" w:rsidRPr="00F6639B">
          <w:rPr>
            <w:rStyle w:val="Hyperlink"/>
            <w:noProof/>
          </w:rPr>
          <w:t>Issues complained about</w:t>
        </w:r>
        <w:r w:rsidR="0065498A">
          <w:rPr>
            <w:noProof/>
            <w:webHidden/>
          </w:rPr>
          <w:tab/>
        </w:r>
        <w:r w:rsidR="0065498A">
          <w:rPr>
            <w:noProof/>
            <w:webHidden/>
          </w:rPr>
          <w:fldChar w:fldCharType="begin"/>
        </w:r>
        <w:r w:rsidR="0065498A">
          <w:rPr>
            <w:noProof/>
            <w:webHidden/>
          </w:rPr>
          <w:instrText xml:space="preserve"> PAGEREF _Toc464718901 \h </w:instrText>
        </w:r>
        <w:r w:rsidR="0065498A">
          <w:rPr>
            <w:noProof/>
            <w:webHidden/>
          </w:rPr>
        </w:r>
        <w:r w:rsidR="0065498A">
          <w:rPr>
            <w:noProof/>
            <w:webHidden/>
          </w:rPr>
          <w:fldChar w:fldCharType="separate"/>
        </w:r>
        <w:r w:rsidR="00CD5546">
          <w:rPr>
            <w:noProof/>
            <w:webHidden/>
          </w:rPr>
          <w:t>5</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2" w:history="1">
        <w:r w:rsidR="0065498A" w:rsidRPr="00F6639B">
          <w:rPr>
            <w:rStyle w:val="Hyperlink"/>
            <w:noProof/>
          </w:rPr>
          <w:t>3.1</w:t>
        </w:r>
        <w:r w:rsidR="0065498A">
          <w:rPr>
            <w:rFonts w:eastAsiaTheme="minorEastAsia" w:cstheme="minorBidi"/>
            <w:noProof/>
            <w:lang w:eastAsia="en-NZ" w:bidi="ar-SA"/>
          </w:rPr>
          <w:tab/>
        </w:r>
        <w:r w:rsidR="0065498A" w:rsidRPr="00F6639B">
          <w:rPr>
            <w:rStyle w:val="Hyperlink"/>
            <w:noProof/>
          </w:rPr>
          <w:t>Primary complaint issues</w:t>
        </w:r>
        <w:r w:rsidR="0065498A">
          <w:rPr>
            <w:noProof/>
            <w:webHidden/>
          </w:rPr>
          <w:tab/>
        </w:r>
        <w:r w:rsidR="0065498A">
          <w:rPr>
            <w:noProof/>
            <w:webHidden/>
          </w:rPr>
          <w:fldChar w:fldCharType="begin"/>
        </w:r>
        <w:r w:rsidR="0065498A">
          <w:rPr>
            <w:noProof/>
            <w:webHidden/>
          </w:rPr>
          <w:instrText xml:space="preserve"> PAGEREF _Toc464718902 \h </w:instrText>
        </w:r>
        <w:r w:rsidR="0065498A">
          <w:rPr>
            <w:noProof/>
            <w:webHidden/>
          </w:rPr>
        </w:r>
        <w:r w:rsidR="0065498A">
          <w:rPr>
            <w:noProof/>
            <w:webHidden/>
          </w:rPr>
          <w:fldChar w:fldCharType="separate"/>
        </w:r>
        <w:r w:rsidR="00CD5546">
          <w:rPr>
            <w:noProof/>
            <w:webHidden/>
          </w:rPr>
          <w:t>5</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3" w:history="1">
        <w:r w:rsidR="0065498A" w:rsidRPr="00F6639B">
          <w:rPr>
            <w:rStyle w:val="Hyperlink"/>
            <w:noProof/>
          </w:rPr>
          <w:t>3.2</w:t>
        </w:r>
        <w:r w:rsidR="0065498A">
          <w:rPr>
            <w:rFonts w:eastAsiaTheme="minorEastAsia" w:cstheme="minorBidi"/>
            <w:noProof/>
            <w:lang w:eastAsia="en-NZ" w:bidi="ar-SA"/>
          </w:rPr>
          <w:tab/>
        </w:r>
        <w:r w:rsidR="0065498A" w:rsidRPr="00F6639B">
          <w:rPr>
            <w:rStyle w:val="Hyperlink"/>
            <w:noProof/>
          </w:rPr>
          <w:t>All complaint  issues</w:t>
        </w:r>
        <w:r w:rsidR="0065498A">
          <w:rPr>
            <w:noProof/>
            <w:webHidden/>
          </w:rPr>
          <w:tab/>
        </w:r>
        <w:r w:rsidR="0065498A">
          <w:rPr>
            <w:noProof/>
            <w:webHidden/>
          </w:rPr>
          <w:fldChar w:fldCharType="begin"/>
        </w:r>
        <w:r w:rsidR="0065498A">
          <w:rPr>
            <w:noProof/>
            <w:webHidden/>
          </w:rPr>
          <w:instrText xml:space="preserve"> PAGEREF _Toc464718903 \h </w:instrText>
        </w:r>
        <w:r w:rsidR="0065498A">
          <w:rPr>
            <w:noProof/>
            <w:webHidden/>
          </w:rPr>
        </w:r>
        <w:r w:rsidR="0065498A">
          <w:rPr>
            <w:noProof/>
            <w:webHidden/>
          </w:rPr>
          <w:fldChar w:fldCharType="separate"/>
        </w:r>
        <w:r w:rsidR="00CD5546">
          <w:rPr>
            <w:noProof/>
            <w:webHidden/>
          </w:rPr>
          <w:t>7</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4" w:history="1">
        <w:r w:rsidR="0065498A" w:rsidRPr="00F6639B">
          <w:rPr>
            <w:rStyle w:val="Hyperlink"/>
            <w:noProof/>
          </w:rPr>
          <w:t>3.3</w:t>
        </w:r>
        <w:r w:rsidR="0065498A">
          <w:rPr>
            <w:rFonts w:eastAsiaTheme="minorEastAsia" w:cstheme="minorBidi"/>
            <w:noProof/>
            <w:lang w:eastAsia="en-NZ" w:bidi="ar-SA"/>
          </w:rPr>
          <w:tab/>
        </w:r>
        <w:r w:rsidR="0065498A" w:rsidRPr="00F6639B">
          <w:rPr>
            <w:rStyle w:val="Hyperlink"/>
            <w:noProof/>
          </w:rPr>
          <w:t>Service type and primary issues</w:t>
        </w:r>
        <w:r w:rsidR="0065498A">
          <w:rPr>
            <w:noProof/>
            <w:webHidden/>
          </w:rPr>
          <w:tab/>
        </w:r>
        <w:r w:rsidR="0065498A">
          <w:rPr>
            <w:noProof/>
            <w:webHidden/>
          </w:rPr>
          <w:fldChar w:fldCharType="begin"/>
        </w:r>
        <w:r w:rsidR="0065498A">
          <w:rPr>
            <w:noProof/>
            <w:webHidden/>
          </w:rPr>
          <w:instrText xml:space="preserve"> PAGEREF _Toc464718904 \h </w:instrText>
        </w:r>
        <w:r w:rsidR="0065498A">
          <w:rPr>
            <w:noProof/>
            <w:webHidden/>
          </w:rPr>
        </w:r>
        <w:r w:rsidR="0065498A">
          <w:rPr>
            <w:noProof/>
            <w:webHidden/>
          </w:rPr>
          <w:fldChar w:fldCharType="separate"/>
        </w:r>
        <w:r w:rsidR="00CD5546">
          <w:rPr>
            <w:noProof/>
            <w:webHidden/>
          </w:rPr>
          <w:t>10</w:t>
        </w:r>
        <w:r w:rsidR="0065498A">
          <w:rPr>
            <w:noProof/>
            <w:webHidden/>
          </w:rPr>
          <w:fldChar w:fldCharType="end"/>
        </w:r>
      </w:hyperlink>
    </w:p>
    <w:p w:rsidR="0065498A" w:rsidRDefault="005E7693">
      <w:pPr>
        <w:pStyle w:val="TOC2"/>
        <w:tabs>
          <w:tab w:val="left" w:pos="880"/>
          <w:tab w:val="right" w:leader="dot" w:pos="9072"/>
        </w:tabs>
        <w:rPr>
          <w:rFonts w:eastAsiaTheme="minorEastAsia" w:cstheme="minorBidi"/>
          <w:b w:val="0"/>
          <w:noProof/>
          <w:lang w:eastAsia="en-NZ" w:bidi="ar-SA"/>
        </w:rPr>
      </w:pPr>
      <w:hyperlink w:anchor="_Toc464718905" w:history="1">
        <w:r w:rsidR="0065498A" w:rsidRPr="00F6639B">
          <w:rPr>
            <w:rStyle w:val="Hyperlink"/>
            <w:noProof/>
          </w:rPr>
          <w:t>4.0</w:t>
        </w:r>
        <w:r w:rsidR="0065498A">
          <w:rPr>
            <w:rFonts w:eastAsiaTheme="minorEastAsia" w:cstheme="minorBidi"/>
            <w:b w:val="0"/>
            <w:noProof/>
            <w:lang w:eastAsia="en-NZ" w:bidi="ar-SA"/>
          </w:rPr>
          <w:tab/>
        </w:r>
        <w:r w:rsidR="0065498A" w:rsidRPr="00F6639B">
          <w:rPr>
            <w:rStyle w:val="Hyperlink"/>
            <w:noProof/>
          </w:rPr>
          <w:t>Complaints closed</w:t>
        </w:r>
        <w:r w:rsidR="0065498A">
          <w:rPr>
            <w:noProof/>
            <w:webHidden/>
          </w:rPr>
          <w:tab/>
        </w:r>
        <w:r w:rsidR="0065498A">
          <w:rPr>
            <w:noProof/>
            <w:webHidden/>
          </w:rPr>
          <w:fldChar w:fldCharType="begin"/>
        </w:r>
        <w:r w:rsidR="0065498A">
          <w:rPr>
            <w:noProof/>
            <w:webHidden/>
          </w:rPr>
          <w:instrText xml:space="preserve"> PAGEREF _Toc464718905 \h </w:instrText>
        </w:r>
        <w:r w:rsidR="0065498A">
          <w:rPr>
            <w:noProof/>
            <w:webHidden/>
          </w:rPr>
        </w:r>
        <w:r w:rsidR="0065498A">
          <w:rPr>
            <w:noProof/>
            <w:webHidden/>
          </w:rPr>
          <w:fldChar w:fldCharType="separate"/>
        </w:r>
        <w:r w:rsidR="00CD5546">
          <w:rPr>
            <w:noProof/>
            <w:webHidden/>
          </w:rPr>
          <w:t>11</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6" w:history="1">
        <w:r w:rsidR="0065498A" w:rsidRPr="00F6639B">
          <w:rPr>
            <w:rStyle w:val="Hyperlink"/>
            <w:noProof/>
          </w:rPr>
          <w:t>4.1</w:t>
        </w:r>
        <w:r w:rsidR="0065498A">
          <w:rPr>
            <w:rFonts w:eastAsiaTheme="minorEastAsia" w:cstheme="minorBidi"/>
            <w:noProof/>
            <w:lang w:eastAsia="en-NZ" w:bidi="ar-SA"/>
          </w:rPr>
          <w:tab/>
        </w:r>
        <w:r w:rsidR="0065498A" w:rsidRPr="00F6639B">
          <w:rPr>
            <w:rStyle w:val="Hyperlink"/>
            <w:noProof/>
          </w:rPr>
          <w:t>Number of complaints closed</w:t>
        </w:r>
        <w:r w:rsidR="0065498A">
          <w:rPr>
            <w:noProof/>
            <w:webHidden/>
          </w:rPr>
          <w:tab/>
        </w:r>
        <w:r w:rsidR="0065498A">
          <w:rPr>
            <w:noProof/>
            <w:webHidden/>
          </w:rPr>
          <w:fldChar w:fldCharType="begin"/>
        </w:r>
        <w:r w:rsidR="0065498A">
          <w:rPr>
            <w:noProof/>
            <w:webHidden/>
          </w:rPr>
          <w:instrText xml:space="preserve"> PAGEREF _Toc464718906 \h </w:instrText>
        </w:r>
        <w:r w:rsidR="0065498A">
          <w:rPr>
            <w:noProof/>
            <w:webHidden/>
          </w:rPr>
        </w:r>
        <w:r w:rsidR="0065498A">
          <w:rPr>
            <w:noProof/>
            <w:webHidden/>
          </w:rPr>
          <w:fldChar w:fldCharType="separate"/>
        </w:r>
        <w:r w:rsidR="00CD5546">
          <w:rPr>
            <w:noProof/>
            <w:webHidden/>
          </w:rPr>
          <w:t>11</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7" w:history="1">
        <w:r w:rsidR="0065498A" w:rsidRPr="00F6639B">
          <w:rPr>
            <w:rStyle w:val="Hyperlink"/>
            <w:noProof/>
          </w:rPr>
          <w:t>4.2</w:t>
        </w:r>
        <w:r w:rsidR="0065498A">
          <w:rPr>
            <w:rFonts w:eastAsiaTheme="minorEastAsia" w:cstheme="minorBidi"/>
            <w:noProof/>
            <w:lang w:eastAsia="en-NZ" w:bidi="ar-SA"/>
          </w:rPr>
          <w:tab/>
        </w:r>
        <w:r w:rsidR="0065498A" w:rsidRPr="00F6639B">
          <w:rPr>
            <w:rStyle w:val="Hyperlink"/>
            <w:noProof/>
          </w:rPr>
          <w:t>Outcomes of complaints closed</w:t>
        </w:r>
        <w:r w:rsidR="0065498A">
          <w:rPr>
            <w:noProof/>
            <w:webHidden/>
          </w:rPr>
          <w:tab/>
        </w:r>
        <w:r w:rsidR="0065498A">
          <w:rPr>
            <w:noProof/>
            <w:webHidden/>
          </w:rPr>
          <w:fldChar w:fldCharType="begin"/>
        </w:r>
        <w:r w:rsidR="0065498A">
          <w:rPr>
            <w:noProof/>
            <w:webHidden/>
          </w:rPr>
          <w:instrText xml:space="preserve"> PAGEREF _Toc464718907 \h </w:instrText>
        </w:r>
        <w:r w:rsidR="0065498A">
          <w:rPr>
            <w:noProof/>
            <w:webHidden/>
          </w:rPr>
        </w:r>
        <w:r w:rsidR="0065498A">
          <w:rPr>
            <w:noProof/>
            <w:webHidden/>
          </w:rPr>
          <w:fldChar w:fldCharType="separate"/>
        </w:r>
        <w:r w:rsidR="00CD5546">
          <w:rPr>
            <w:noProof/>
            <w:webHidden/>
          </w:rPr>
          <w:t>11</w:t>
        </w:r>
        <w:r w:rsidR="0065498A">
          <w:rPr>
            <w:noProof/>
            <w:webHidden/>
          </w:rPr>
          <w:fldChar w:fldCharType="end"/>
        </w:r>
      </w:hyperlink>
    </w:p>
    <w:p w:rsidR="0065498A" w:rsidRDefault="005E7693">
      <w:pPr>
        <w:pStyle w:val="TOC3"/>
        <w:tabs>
          <w:tab w:val="left" w:pos="1100"/>
          <w:tab w:val="right" w:leader="dot" w:pos="9072"/>
        </w:tabs>
        <w:rPr>
          <w:rFonts w:eastAsiaTheme="minorEastAsia" w:cstheme="minorBidi"/>
          <w:noProof/>
          <w:lang w:eastAsia="en-NZ" w:bidi="ar-SA"/>
        </w:rPr>
      </w:pPr>
      <w:hyperlink w:anchor="_Toc464718908" w:history="1">
        <w:r w:rsidR="0065498A" w:rsidRPr="00F6639B">
          <w:rPr>
            <w:rStyle w:val="Hyperlink"/>
            <w:noProof/>
            <w:lang w:eastAsia="en-NZ"/>
          </w:rPr>
          <w:t xml:space="preserve">4.3 </w:t>
        </w:r>
        <w:r w:rsidR="0065498A">
          <w:rPr>
            <w:rFonts w:eastAsiaTheme="minorEastAsia" w:cstheme="minorBidi"/>
            <w:noProof/>
            <w:lang w:eastAsia="en-NZ" w:bidi="ar-SA"/>
          </w:rPr>
          <w:tab/>
        </w:r>
        <w:r w:rsidR="0065498A" w:rsidRPr="00F6639B">
          <w:rPr>
            <w:rStyle w:val="Hyperlink"/>
            <w:noProof/>
          </w:rPr>
          <w:t>Recommendations</w:t>
        </w:r>
        <w:r w:rsidR="0065498A" w:rsidRPr="00F6639B">
          <w:rPr>
            <w:rStyle w:val="Hyperlink"/>
            <w:noProof/>
            <w:lang w:eastAsia="en-NZ"/>
          </w:rPr>
          <w:t xml:space="preserve"> made to DHBs following a complaint</w:t>
        </w:r>
        <w:r w:rsidR="0065498A">
          <w:rPr>
            <w:noProof/>
            <w:webHidden/>
          </w:rPr>
          <w:tab/>
        </w:r>
        <w:r w:rsidR="0065498A">
          <w:rPr>
            <w:noProof/>
            <w:webHidden/>
          </w:rPr>
          <w:fldChar w:fldCharType="begin"/>
        </w:r>
        <w:r w:rsidR="0065498A">
          <w:rPr>
            <w:noProof/>
            <w:webHidden/>
          </w:rPr>
          <w:instrText xml:space="preserve"> PAGEREF _Toc464718908 \h </w:instrText>
        </w:r>
        <w:r w:rsidR="0065498A">
          <w:rPr>
            <w:noProof/>
            <w:webHidden/>
          </w:rPr>
        </w:r>
        <w:r w:rsidR="0065498A">
          <w:rPr>
            <w:noProof/>
            <w:webHidden/>
          </w:rPr>
          <w:fldChar w:fldCharType="separate"/>
        </w:r>
        <w:r w:rsidR="00CD5546">
          <w:rPr>
            <w:noProof/>
            <w:webHidden/>
          </w:rPr>
          <w:t>13</w:t>
        </w:r>
        <w:r w:rsidR="0065498A">
          <w:rPr>
            <w:noProof/>
            <w:webHidden/>
          </w:rPr>
          <w:fldChar w:fldCharType="end"/>
        </w:r>
      </w:hyperlink>
    </w:p>
    <w:p w:rsidR="0065498A" w:rsidRDefault="005E7693">
      <w:pPr>
        <w:pStyle w:val="TOC2"/>
        <w:tabs>
          <w:tab w:val="left" w:pos="880"/>
          <w:tab w:val="right" w:leader="dot" w:pos="9072"/>
        </w:tabs>
        <w:rPr>
          <w:rFonts w:eastAsiaTheme="minorEastAsia" w:cstheme="minorBidi"/>
          <w:b w:val="0"/>
          <w:noProof/>
          <w:lang w:eastAsia="en-NZ" w:bidi="ar-SA"/>
        </w:rPr>
      </w:pPr>
      <w:hyperlink w:anchor="_Toc464718909" w:history="1">
        <w:r w:rsidR="0065498A" w:rsidRPr="00F6639B">
          <w:rPr>
            <w:rStyle w:val="Hyperlink"/>
            <w:noProof/>
          </w:rPr>
          <w:t>5.0</w:t>
        </w:r>
        <w:r w:rsidR="0065498A">
          <w:rPr>
            <w:rFonts w:eastAsiaTheme="minorEastAsia" w:cstheme="minorBidi"/>
            <w:b w:val="0"/>
            <w:noProof/>
            <w:lang w:eastAsia="en-NZ" w:bidi="ar-SA"/>
          </w:rPr>
          <w:tab/>
        </w:r>
        <w:r w:rsidR="0065498A" w:rsidRPr="00F6639B">
          <w:rPr>
            <w:rStyle w:val="Hyperlink"/>
            <w:noProof/>
          </w:rPr>
          <w:t>Learning from complaints — HDC case reports</w:t>
        </w:r>
        <w:r w:rsidR="0065498A">
          <w:rPr>
            <w:noProof/>
            <w:webHidden/>
          </w:rPr>
          <w:tab/>
        </w:r>
        <w:r w:rsidR="0065498A">
          <w:rPr>
            <w:noProof/>
            <w:webHidden/>
          </w:rPr>
          <w:fldChar w:fldCharType="begin"/>
        </w:r>
        <w:r w:rsidR="0065498A">
          <w:rPr>
            <w:noProof/>
            <w:webHidden/>
          </w:rPr>
          <w:instrText xml:space="preserve"> PAGEREF _Toc464718909 \h </w:instrText>
        </w:r>
        <w:r w:rsidR="0065498A">
          <w:rPr>
            <w:noProof/>
            <w:webHidden/>
          </w:rPr>
        </w:r>
        <w:r w:rsidR="0065498A">
          <w:rPr>
            <w:noProof/>
            <w:webHidden/>
          </w:rPr>
          <w:fldChar w:fldCharType="separate"/>
        </w:r>
        <w:r w:rsidR="00CD5546">
          <w:rPr>
            <w:noProof/>
            <w:webHidden/>
          </w:rPr>
          <w:t>14</w:t>
        </w:r>
        <w:r w:rsidR="0065498A">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540962">
          <w:headerReference w:type="default" r:id="rId16"/>
          <w:footerReference w:type="default" r:id="rId17"/>
          <w:headerReference w:type="first" r:id="rId18"/>
          <w:footerReference w:type="first" r:id="rId19"/>
          <w:pgSz w:w="11906" w:h="16838" w:code="9"/>
          <w:pgMar w:top="1140" w:right="1412" w:bottom="851" w:left="1412" w:header="720" w:footer="590" w:gutter="0"/>
          <w:pgNumType w:fmt="lowerRoman" w:start="1"/>
          <w:cols w:space="720"/>
          <w:titlePg/>
          <w:docGrid w:linePitch="360"/>
        </w:sectPr>
      </w:pPr>
    </w:p>
    <w:p w:rsidR="00540FA4" w:rsidRDefault="00540FA4" w:rsidP="00540FA4">
      <w:pPr>
        <w:pStyle w:val="Heading1"/>
        <w:spacing w:before="240"/>
        <w:rPr>
          <w:lang w:val="en-NZ"/>
        </w:rPr>
      </w:pPr>
      <w:bookmarkStart w:id="1" w:name="_Toc426462625"/>
      <w:bookmarkStart w:id="2" w:name="_Toc384047606"/>
      <w:bookmarkStart w:id="3" w:name="_Toc443992220"/>
      <w:bookmarkStart w:id="4" w:name="_Toc447291466"/>
      <w:bookmarkStart w:id="5" w:name="_Toc447527523"/>
      <w:bookmarkStart w:id="6" w:name="_Toc464718894"/>
      <w:bookmarkStart w:id="7" w:name="_Toc426462636"/>
      <w:bookmarkStart w:id="8" w:name="_Toc415221218"/>
      <w:bookmarkStart w:id="9" w:name="_Toc415153517"/>
      <w:bookmarkStart w:id="10" w:name="_Toc415147243"/>
      <w:bookmarkStart w:id="11" w:name="_Toc415135529"/>
      <w:bookmarkStart w:id="12" w:name="_Toc415046457"/>
      <w:bookmarkStart w:id="13" w:name="_Toc415039801"/>
      <w:bookmarkStart w:id="14" w:name="_Toc414952830"/>
      <w:bookmarkStart w:id="15" w:name="_Toc414886545"/>
      <w:bookmarkStart w:id="16" w:name="_Toc414875835"/>
      <w:bookmarkStart w:id="17" w:name="_Toc414461837"/>
      <w:bookmarkStart w:id="18" w:name="_Toc414442656"/>
      <w:bookmarkStart w:id="19" w:name="_Toc383707794"/>
      <w:r>
        <w:rPr>
          <w:lang w:val="en-NZ"/>
        </w:rPr>
        <w:lastRenderedPageBreak/>
        <w:t>Commissioner’s Foreword</w:t>
      </w:r>
      <w:bookmarkEnd w:id="1"/>
      <w:bookmarkEnd w:id="2"/>
      <w:bookmarkEnd w:id="3"/>
      <w:bookmarkEnd w:id="4"/>
      <w:bookmarkEnd w:id="5"/>
      <w:bookmarkEnd w:id="6"/>
    </w:p>
    <w:p w:rsidR="00540FA4" w:rsidRDefault="00612B65" w:rsidP="00540FA4">
      <w:r>
        <w:t>I am pleased to present you with HDC’s second six monthly DHB complaint report for the 2015/2016 year.</w:t>
      </w:r>
    </w:p>
    <w:p w:rsidR="00612B65" w:rsidRDefault="00612B65" w:rsidP="00540FA4"/>
    <w:p w:rsidR="00612B65" w:rsidRDefault="00612B65" w:rsidP="00540FA4">
      <w:r>
        <w:t xml:space="preserve">Complaints to HDC about DHBs decreased by 10% in the second half of 2015/2016. However, the trends in regards to the services and issues complained about are broadly consistent with what was seen in the first half of 2015/2016. Surgical services continued to be the most commonly complained about service type at DHBs, accounting for around 27% of </w:t>
      </w:r>
      <w:r w:rsidR="00096C3C">
        <w:t xml:space="preserve">all </w:t>
      </w:r>
      <w:r>
        <w:t>services complained</w:t>
      </w:r>
      <w:r w:rsidR="00096C3C">
        <w:t xml:space="preserve"> about. A</w:t>
      </w:r>
      <w:r>
        <w:t xml:space="preserve"> missed, delayed or incorrect diagnosis remained the most common primary </w:t>
      </w:r>
      <w:r w:rsidR="00096C3C">
        <w:t>issue complained</w:t>
      </w:r>
      <w:r>
        <w:t xml:space="preserve"> about</w:t>
      </w:r>
      <w:r w:rsidR="00CF0A76">
        <w:t>, being</w:t>
      </w:r>
      <w:r w:rsidR="00096C3C">
        <w:t xml:space="preserve"> the primary issue for 15% of complaints about DHBs</w:t>
      </w:r>
    </w:p>
    <w:p w:rsidR="00612B65" w:rsidRDefault="00612B65" w:rsidP="00540FA4"/>
    <w:p w:rsidR="00612B65" w:rsidRDefault="00612B65" w:rsidP="00540FA4">
      <w:r>
        <w:t>What was</w:t>
      </w:r>
      <w:r w:rsidR="00CF0A76">
        <w:t xml:space="preserve"> notable to</w:t>
      </w:r>
      <w:r>
        <w:t xml:space="preserve"> me</w:t>
      </w:r>
      <w:r w:rsidR="00CF0A76">
        <w:t>,</w:t>
      </w:r>
      <w:r>
        <w:t xml:space="preserve"> on reading this report, was </w:t>
      </w:r>
      <w:r w:rsidR="00096C3C">
        <w:t>the prominence of communication issues</w:t>
      </w:r>
      <w:r>
        <w:t>.</w:t>
      </w:r>
      <w:r w:rsidR="00096C3C">
        <w:t xml:space="preserve"> 42% of consumers </w:t>
      </w:r>
      <w:r w:rsidR="00FA53A4">
        <w:t>complaining about DHB services were concerned with how staff at the DHB had communicated with them</w:t>
      </w:r>
      <w:r w:rsidR="00096C3C">
        <w:t xml:space="preserve">. </w:t>
      </w:r>
      <w:r w:rsidR="001C6444">
        <w:t>This is a timely reminder of the importance of</w:t>
      </w:r>
      <w:r w:rsidR="00A36126">
        <w:t xml:space="preserve"> consumer</w:t>
      </w:r>
      <w:r w:rsidR="001C6444">
        <w:t xml:space="preserve"> en</w:t>
      </w:r>
      <w:r w:rsidR="00A36126">
        <w:t>gagement</w:t>
      </w:r>
      <w:r w:rsidR="00FA53A4">
        <w:t xml:space="preserve"> and informed consumers</w:t>
      </w:r>
      <w:r w:rsidR="00A36126">
        <w:t>. An engaged cons</w:t>
      </w:r>
      <w:r w:rsidR="00FA53A4">
        <w:t xml:space="preserve">umer is </w:t>
      </w:r>
      <w:r w:rsidR="00BC5B89">
        <w:t xml:space="preserve">an empowered consumer. </w:t>
      </w:r>
      <w:r w:rsidR="00A36126">
        <w:t>Clear, open and</w:t>
      </w:r>
      <w:r w:rsidR="00422532">
        <w:t xml:space="preserve"> honest communication with consumers </w:t>
      </w:r>
      <w:r w:rsidR="00A36126">
        <w:t xml:space="preserve">is vital to the principles of patient autonomy and informed consent. </w:t>
      </w:r>
    </w:p>
    <w:p w:rsidR="00FA53A4" w:rsidRDefault="00FA53A4" w:rsidP="00540FA4">
      <w:pPr>
        <w:jc w:val="left"/>
        <w:rPr>
          <w:lang w:bidi="ar-SA"/>
        </w:rPr>
      </w:pPr>
    </w:p>
    <w:p w:rsidR="00FA53A4" w:rsidRDefault="00FA53A4" w:rsidP="00540FA4">
      <w:pPr>
        <w:jc w:val="left"/>
        <w:rPr>
          <w:lang w:bidi="ar-SA"/>
        </w:rPr>
      </w:pPr>
    </w:p>
    <w:p w:rsidR="00FA53A4" w:rsidRDefault="00FA53A4" w:rsidP="00FA53A4">
      <w:pPr>
        <w:jc w:val="left"/>
        <w:rPr>
          <w:lang w:val="en-US"/>
        </w:rPr>
      </w:pPr>
      <w:r>
        <w:rPr>
          <w:lang w:val="en-US"/>
        </w:rPr>
        <w:t>Anthony Hill</w:t>
      </w:r>
      <w:r>
        <w:rPr>
          <w:lang w:val="en-US"/>
        </w:rPr>
        <w:br/>
        <w:t>Health and Disability Commissioner</w:t>
      </w:r>
    </w:p>
    <w:p w:rsidR="00FA53A4" w:rsidRDefault="00FA53A4" w:rsidP="00540FA4">
      <w:pPr>
        <w:jc w:val="left"/>
        <w:sectPr w:rsidR="00FA53A4">
          <w:pgSz w:w="11906" w:h="16838"/>
          <w:pgMar w:top="1140" w:right="1412" w:bottom="851" w:left="1412" w:header="720" w:footer="590" w:gutter="0"/>
          <w:pgNumType w:fmt="lowerRoman"/>
          <w:cols w:space="720"/>
        </w:sectPr>
      </w:pPr>
    </w:p>
    <w:p w:rsidR="00540FA4" w:rsidRDefault="00540FA4" w:rsidP="00540FA4">
      <w:pPr>
        <w:pStyle w:val="Heading1"/>
        <w:spacing w:before="240"/>
        <w:rPr>
          <w:lang w:val="en-NZ"/>
        </w:rPr>
      </w:pPr>
      <w:bookmarkStart w:id="20" w:name="_Toc426462626"/>
      <w:bookmarkStart w:id="21" w:name="_Toc443992221"/>
      <w:bookmarkStart w:id="22" w:name="_Toc447291467"/>
      <w:bookmarkStart w:id="23" w:name="_Toc447527524"/>
      <w:bookmarkStart w:id="24" w:name="_Toc464718895"/>
      <w:r>
        <w:rPr>
          <w:lang w:val="en-NZ"/>
        </w:rPr>
        <w:lastRenderedPageBreak/>
        <w:t>National Data for all District Health Boards</w:t>
      </w:r>
      <w:bookmarkEnd w:id="20"/>
      <w:bookmarkEnd w:id="21"/>
      <w:bookmarkEnd w:id="22"/>
      <w:bookmarkEnd w:id="23"/>
      <w:bookmarkEnd w:id="24"/>
    </w:p>
    <w:p w:rsidR="00540FA4" w:rsidRDefault="00540FA4" w:rsidP="00540FA4">
      <w:pPr>
        <w:pStyle w:val="Heading2"/>
        <w:spacing w:before="120"/>
        <w:rPr>
          <w:lang w:val="en-NZ"/>
        </w:rPr>
      </w:pPr>
      <w:bookmarkStart w:id="25" w:name="_Toc426462627"/>
      <w:bookmarkStart w:id="26" w:name="_Toc443992222"/>
      <w:bookmarkStart w:id="27" w:name="_Toc447291468"/>
      <w:bookmarkStart w:id="28" w:name="_Toc447527525"/>
      <w:bookmarkStart w:id="29" w:name="_Toc464718896"/>
      <w:r>
        <w:rPr>
          <w:lang w:val="en-NZ"/>
        </w:rPr>
        <w:t>1.0</w:t>
      </w:r>
      <w:r>
        <w:rPr>
          <w:lang w:val="en-NZ"/>
        </w:rPr>
        <w:tab/>
        <w:t>Number of complaints received</w:t>
      </w:r>
      <w:bookmarkEnd w:id="25"/>
      <w:bookmarkEnd w:id="26"/>
      <w:bookmarkEnd w:id="27"/>
      <w:bookmarkEnd w:id="28"/>
      <w:bookmarkEnd w:id="29"/>
    </w:p>
    <w:p w:rsidR="00540FA4" w:rsidRDefault="00540FA4" w:rsidP="00540FA4">
      <w:pPr>
        <w:pStyle w:val="Heading3"/>
        <w:spacing w:after="120"/>
      </w:pPr>
      <w:bookmarkStart w:id="30" w:name="_Toc426462628"/>
      <w:bookmarkStart w:id="31" w:name="_Toc443992223"/>
      <w:bookmarkStart w:id="32" w:name="_Toc447291469"/>
      <w:bookmarkStart w:id="33" w:name="_Toc447527526"/>
      <w:bookmarkStart w:id="34" w:name="_Toc464718897"/>
      <w:r>
        <w:t xml:space="preserve">1.1 </w:t>
      </w:r>
      <w:r>
        <w:tab/>
        <w:t>Raw number of complaints received</w:t>
      </w:r>
      <w:bookmarkEnd w:id="30"/>
      <w:bookmarkEnd w:id="31"/>
      <w:bookmarkEnd w:id="32"/>
      <w:bookmarkEnd w:id="33"/>
      <w:bookmarkEnd w:id="34"/>
      <w:r>
        <w:t xml:space="preserve"> </w:t>
      </w:r>
    </w:p>
    <w:p w:rsidR="00540FA4" w:rsidRDefault="00540FA4" w:rsidP="00540FA4">
      <w:r>
        <w:t xml:space="preserve">In the period </w:t>
      </w:r>
      <w:r>
        <w:rPr>
          <w:lang w:eastAsia="en-NZ" w:bidi="ar-SA"/>
        </w:rPr>
        <w:t>Jan–Jun 2016</w:t>
      </w:r>
      <w:r>
        <w:t xml:space="preserve">, HDC received a total of </w:t>
      </w:r>
      <w:r>
        <w:rPr>
          <w:b/>
        </w:rPr>
        <w:t>38</w:t>
      </w:r>
      <w:r w:rsidR="00322AB8">
        <w:rPr>
          <w:b/>
        </w:rPr>
        <w:t>3</w:t>
      </w:r>
      <w:r>
        <w:rPr>
          <w:rStyle w:val="FootnoteReference"/>
          <w:b/>
        </w:rPr>
        <w:footnoteReference w:id="1"/>
      </w:r>
      <w:r>
        <w:t xml:space="preserve"> complaints about care provided by all District Health Boards. Numbers of complaints received in previous six month periods are reported in Table 1.</w:t>
      </w:r>
    </w:p>
    <w:p w:rsidR="00540FA4" w:rsidRDefault="00540FA4" w:rsidP="00540FA4"/>
    <w:p w:rsidR="00540FA4" w:rsidRDefault="00540FA4" w:rsidP="00540FA4">
      <w:pPr>
        <w:spacing w:after="120"/>
        <w:rPr>
          <w:b/>
        </w:rPr>
      </w:pPr>
      <w:r>
        <w:rPr>
          <w:b/>
        </w:rPr>
        <w:t xml:space="preserve">Table 1. </w:t>
      </w:r>
      <w:r>
        <w:t>Number of complaints received</w:t>
      </w:r>
      <w:r>
        <w:rPr>
          <w:rStyle w:val="NoSpacingChar"/>
        </w:rPr>
        <w:t xml:space="preserve"> in last five financial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7"/>
        <w:gridCol w:w="703"/>
        <w:gridCol w:w="588"/>
        <w:gridCol w:w="700"/>
        <w:gridCol w:w="701"/>
        <w:gridCol w:w="701"/>
        <w:gridCol w:w="701"/>
        <w:gridCol w:w="703"/>
        <w:gridCol w:w="701"/>
        <w:gridCol w:w="701"/>
        <w:gridCol w:w="995"/>
        <w:gridCol w:w="691"/>
      </w:tblGrid>
      <w:tr w:rsidR="00540FA4" w:rsidTr="00E2296F">
        <w:tc>
          <w:tcPr>
            <w:tcW w:w="675"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left"/>
              <w:rPr>
                <w:rFonts w:ascii="Calibri" w:hAnsi="Calibri"/>
                <w:b/>
                <w:sz w:val="20"/>
                <w:szCs w:val="20"/>
              </w:rPr>
            </w:pPr>
          </w:p>
          <w:p w:rsidR="00540FA4" w:rsidRDefault="00540FA4" w:rsidP="00E2296F">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Jul–Dec 11</w:t>
            </w:r>
          </w:p>
        </w:tc>
        <w:tc>
          <w:tcPr>
            <w:tcW w:w="30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Jan–Jun 12</w:t>
            </w:r>
          </w:p>
        </w:tc>
        <w:tc>
          <w:tcPr>
            <w:tcW w:w="385"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54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20"/>
              <w:jc w:val="center"/>
              <w:rPr>
                <w:rFonts w:ascii="Calibri" w:hAnsi="Calibri"/>
                <w:b/>
                <w:sz w:val="20"/>
                <w:szCs w:val="20"/>
              </w:rPr>
            </w:pPr>
            <w:r>
              <w:rPr>
                <w:rFonts w:ascii="Calibri" w:hAnsi="Calibri"/>
                <w:b/>
                <w:sz w:val="20"/>
                <w:szCs w:val="20"/>
              </w:rPr>
              <w:t xml:space="preserve">Average of last 4  </w:t>
            </w:r>
          </w:p>
          <w:p w:rsidR="00540FA4" w:rsidRDefault="00540FA4" w:rsidP="00E2296F">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w:t>
            </w:r>
          </w:p>
          <w:p w:rsidR="00540FA4" w:rsidRDefault="00540FA4" w:rsidP="00E2296F">
            <w:pPr>
              <w:keepNext/>
              <w:keepLines/>
              <w:jc w:val="center"/>
              <w:rPr>
                <w:rFonts w:ascii="Calibri" w:hAnsi="Calibri"/>
                <w:b/>
                <w:sz w:val="20"/>
                <w:szCs w:val="20"/>
              </w:rPr>
            </w:pPr>
            <w:r>
              <w:rPr>
                <w:rFonts w:ascii="Calibri" w:hAnsi="Calibri"/>
                <w:b/>
                <w:sz w:val="20"/>
                <w:szCs w:val="20"/>
              </w:rPr>
              <w:t>16</w:t>
            </w:r>
          </w:p>
        </w:tc>
      </w:tr>
      <w:tr w:rsidR="00540FA4" w:rsidTr="00E2296F">
        <w:tc>
          <w:tcPr>
            <w:tcW w:w="67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255</w:t>
            </w:r>
          </w:p>
        </w:tc>
        <w:tc>
          <w:tcPr>
            <w:tcW w:w="30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355</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292</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324</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330</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330</w:t>
            </w: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368</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389</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422</w:t>
            </w:r>
          </w:p>
        </w:tc>
        <w:tc>
          <w:tcPr>
            <w:tcW w:w="54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377</w:t>
            </w:r>
          </w:p>
        </w:tc>
        <w:tc>
          <w:tcPr>
            <w:tcW w:w="380" w:type="pct"/>
            <w:tcBorders>
              <w:top w:val="single" w:sz="4" w:space="0" w:color="auto"/>
              <w:left w:val="single" w:sz="4" w:space="0" w:color="auto"/>
              <w:bottom w:val="single" w:sz="4" w:space="0" w:color="auto"/>
              <w:right w:val="single" w:sz="4" w:space="0" w:color="auto"/>
            </w:tcBorders>
            <w:vAlign w:val="center"/>
            <w:hideMark/>
          </w:tcPr>
          <w:p w:rsidR="00540FA4" w:rsidRDefault="00322AB8" w:rsidP="00E2296F">
            <w:pPr>
              <w:keepNext/>
              <w:keepLines/>
              <w:jc w:val="center"/>
              <w:rPr>
                <w:rFonts w:ascii="Calibri" w:hAnsi="Calibri"/>
                <w:b/>
                <w:sz w:val="20"/>
                <w:szCs w:val="20"/>
              </w:rPr>
            </w:pPr>
            <w:r>
              <w:rPr>
                <w:rFonts w:ascii="Calibri" w:hAnsi="Calibri"/>
                <w:b/>
                <w:sz w:val="20"/>
                <w:szCs w:val="20"/>
              </w:rPr>
              <w:t>383</w:t>
            </w:r>
          </w:p>
        </w:tc>
      </w:tr>
    </w:tbl>
    <w:p w:rsidR="00540FA4" w:rsidRDefault="00540FA4" w:rsidP="00540FA4"/>
    <w:p w:rsidR="00540FA4" w:rsidRDefault="00540FA4" w:rsidP="00540FA4">
      <w:r>
        <w:t xml:space="preserve">The total number of complaints received in </w:t>
      </w:r>
      <w:r>
        <w:rPr>
          <w:lang w:eastAsia="en-NZ" w:bidi="ar-SA"/>
        </w:rPr>
        <w:t xml:space="preserve">Jan–Jun 2016 </w:t>
      </w:r>
      <w:r w:rsidR="00322AB8">
        <w:t>(383) shows a very small increase</w:t>
      </w:r>
      <w:r>
        <w:t xml:space="preserve"> over the average number of complaints received in the previous four periods, but a 10% decrease over the number of complaints received in the previous six month period.</w:t>
      </w:r>
    </w:p>
    <w:p w:rsidR="00540FA4" w:rsidRDefault="00540FA4" w:rsidP="00540FA4"/>
    <w:p w:rsidR="00540FA4" w:rsidRDefault="00540FA4" w:rsidP="00540FA4">
      <w:r>
        <w:t xml:space="preserve">The number of complaints received in </w:t>
      </w:r>
      <w:r>
        <w:rPr>
          <w:lang w:eastAsia="en-NZ" w:bidi="ar-SA"/>
        </w:rPr>
        <w:t xml:space="preserve">Jan–Jun 2016 </w:t>
      </w:r>
      <w:r>
        <w:t xml:space="preserve">and previous six month periods are also displayed below in Figure 1. </w:t>
      </w:r>
    </w:p>
    <w:p w:rsidR="00540FA4" w:rsidRDefault="00540FA4" w:rsidP="00540FA4"/>
    <w:p w:rsidR="00540FA4" w:rsidRDefault="00540FA4" w:rsidP="00540FA4">
      <w:pPr>
        <w:spacing w:after="120"/>
        <w:rPr>
          <w:b/>
        </w:rPr>
      </w:pPr>
      <w:r>
        <w:rPr>
          <w:b/>
        </w:rPr>
        <w:t xml:space="preserve">Figure 1. </w:t>
      </w:r>
      <w:r>
        <w:t>Number of complaints received</w:t>
      </w:r>
    </w:p>
    <w:p w:rsidR="00540FA4" w:rsidRDefault="00540FA4" w:rsidP="00540FA4">
      <w:pPr>
        <w:spacing w:after="120"/>
        <w:jc w:val="center"/>
        <w:rPr>
          <w:rFonts w:ascii="Calibri" w:hAnsi="Calibri"/>
          <w:szCs w:val="22"/>
        </w:rPr>
      </w:pPr>
      <w:r>
        <w:rPr>
          <w:noProof/>
          <w:lang w:eastAsia="en-NZ" w:bidi="ar-SA"/>
        </w:rPr>
        <w:drawing>
          <wp:inline distT="0" distB="0" distL="0" distR="0" wp14:anchorId="4D0875C9" wp14:editId="589B75A9">
            <wp:extent cx="5187142" cy="3483033"/>
            <wp:effectExtent l="0" t="0" r="1397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0FA4" w:rsidRDefault="00540FA4" w:rsidP="00540FA4"/>
    <w:p w:rsidR="00540FA4" w:rsidRDefault="00540FA4" w:rsidP="00540FA4">
      <w:pPr>
        <w:pStyle w:val="Heading3"/>
      </w:pPr>
      <w:bookmarkStart w:id="35" w:name="_Toc447291470"/>
      <w:bookmarkStart w:id="36" w:name="_Toc447527527"/>
      <w:bookmarkStart w:id="37" w:name="_Toc464718898"/>
      <w:r>
        <w:lastRenderedPageBreak/>
        <w:t>1.2</w:t>
      </w:r>
      <w:r>
        <w:tab/>
        <w:t>Rate of complaints received</w:t>
      </w:r>
      <w:bookmarkEnd w:id="35"/>
      <w:bookmarkEnd w:id="36"/>
      <w:bookmarkEnd w:id="37"/>
      <w:r>
        <w:t xml:space="preserve"> </w:t>
      </w:r>
    </w:p>
    <w:p w:rsidR="00540FA4" w:rsidRDefault="00540FA4" w:rsidP="00540FA4">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rsidR="00540FA4" w:rsidRDefault="00540FA4" w:rsidP="00540FA4"/>
    <w:p w:rsidR="00540FA4" w:rsidRDefault="00540FA4" w:rsidP="00540FA4">
      <w:r>
        <w:t xml:space="preserve">Frequency calculations are made using discharge data provided by the Ministry of Health (provisional as at the date of extraction, 25 August 2016). It should be noted that this discharge data excludes short stay emergency department discharges and patients attending outpatient clinics. </w:t>
      </w:r>
    </w:p>
    <w:p w:rsidR="00540FA4" w:rsidRDefault="00540FA4" w:rsidP="00540FA4"/>
    <w:p w:rsidR="00540FA4" w:rsidRDefault="00540FA4" w:rsidP="00540FA4">
      <w:pPr>
        <w:spacing w:after="120"/>
        <w:rPr>
          <w:b/>
        </w:rPr>
      </w:pPr>
      <w:r>
        <w:rPr>
          <w:b/>
        </w:rPr>
        <w:t xml:space="preserve">Table 2. </w:t>
      </w:r>
      <w:r>
        <w:t xml:space="preserve">Rate of complaints received per 100,000 discharges during </w:t>
      </w:r>
      <w:r>
        <w:rPr>
          <w:lang w:eastAsia="en-NZ" w:bidi="ar-SA"/>
        </w:rPr>
        <w:t>Jan–Jun 2016</w:t>
      </w:r>
    </w:p>
    <w:tbl>
      <w:tblPr>
        <w:tblStyle w:val="TableGrid"/>
        <w:tblW w:w="0" w:type="auto"/>
        <w:tblInd w:w="108" w:type="dxa"/>
        <w:tblLook w:val="04A0" w:firstRow="1" w:lastRow="0" w:firstColumn="1" w:lastColumn="0" w:noHBand="0" w:noVBand="1"/>
      </w:tblPr>
      <w:tblGrid>
        <w:gridCol w:w="1809"/>
        <w:gridCol w:w="1701"/>
        <w:gridCol w:w="1701"/>
      </w:tblGrid>
      <w:tr w:rsidR="00540FA4" w:rsidTr="00E2296F">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540FA4" w:rsidTr="00E2296F">
        <w:tc>
          <w:tcPr>
            <w:tcW w:w="1809"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tabs>
                <w:tab w:val="left" w:pos="1440"/>
                <w:tab w:val="left" w:pos="2610"/>
              </w:tabs>
              <w:spacing w:before="120" w:after="240"/>
              <w:jc w:val="center"/>
              <w:outlineLvl w:val="0"/>
              <w:rPr>
                <w:rFonts w:ascii="Calibri" w:hAnsi="Calibri"/>
                <w:b/>
                <w:iCs/>
                <w:szCs w:val="22"/>
              </w:rPr>
            </w:pPr>
            <w:r>
              <w:rPr>
                <w:rFonts w:ascii="Calibri" w:hAnsi="Calibri"/>
                <w:szCs w:val="22"/>
              </w:rPr>
              <w:t>38</w:t>
            </w:r>
            <w:r w:rsidR="00322AB8">
              <w:rPr>
                <w:rFonts w:ascii="Calibri" w:hAnsi="Calibri"/>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540FA4" w:rsidRDefault="00540FA4" w:rsidP="00E2296F">
            <w:pPr>
              <w:tabs>
                <w:tab w:val="left" w:pos="1440"/>
                <w:tab w:val="left" w:pos="2610"/>
              </w:tabs>
              <w:spacing w:before="120" w:after="240"/>
              <w:jc w:val="center"/>
              <w:outlineLvl w:val="0"/>
              <w:rPr>
                <w:rFonts w:ascii="Calibri" w:hAnsi="Calibri"/>
                <w:iCs/>
                <w:szCs w:val="22"/>
              </w:rPr>
            </w:pPr>
            <w:r>
              <w:rPr>
                <w:rFonts w:ascii="Calibri" w:hAnsi="Calibri"/>
                <w:iCs/>
                <w:szCs w:val="22"/>
              </w:rPr>
              <w:t>470,202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0FA4" w:rsidRDefault="00322AB8" w:rsidP="00E2296F">
            <w:pPr>
              <w:tabs>
                <w:tab w:val="left" w:pos="1440"/>
                <w:tab w:val="left" w:pos="2610"/>
              </w:tabs>
              <w:spacing w:before="120" w:after="240"/>
              <w:jc w:val="center"/>
              <w:outlineLvl w:val="0"/>
              <w:rPr>
                <w:rFonts w:ascii="Calibri" w:hAnsi="Calibri"/>
                <w:b/>
                <w:szCs w:val="22"/>
              </w:rPr>
            </w:pPr>
            <w:r>
              <w:rPr>
                <w:rFonts w:ascii="Calibri" w:hAnsi="Calibri"/>
                <w:b/>
                <w:szCs w:val="22"/>
              </w:rPr>
              <w:t>81.45</w:t>
            </w:r>
          </w:p>
        </w:tc>
      </w:tr>
    </w:tbl>
    <w:p w:rsidR="00540FA4" w:rsidRDefault="00540FA4" w:rsidP="00540FA4"/>
    <w:p w:rsidR="00540FA4" w:rsidRDefault="00540FA4" w:rsidP="00540FA4">
      <w:pPr>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Pr>
          <w:lang w:eastAsia="en-NZ" w:bidi="ar-SA"/>
        </w:rPr>
        <w:t xml:space="preserve">Jan–Jun 2016 </w:t>
      </w:r>
      <w:r>
        <w:rPr>
          <w:rFonts w:ascii="Calibri" w:hAnsi="Calibri"/>
          <w:szCs w:val="22"/>
          <w:lang w:eastAsia="en-NZ" w:bidi="ar-SA"/>
        </w:rPr>
        <w:t xml:space="preserve">and previous six month periods. </w:t>
      </w:r>
    </w:p>
    <w:p w:rsidR="00540FA4" w:rsidRDefault="00540FA4" w:rsidP="00540FA4">
      <w:pPr>
        <w:rPr>
          <w:rFonts w:ascii="Calibri" w:hAnsi="Calibri"/>
          <w:szCs w:val="22"/>
          <w:lang w:eastAsia="en-NZ" w:bidi="ar-SA"/>
        </w:rPr>
      </w:pPr>
    </w:p>
    <w:p w:rsidR="00540FA4" w:rsidRDefault="00540FA4" w:rsidP="00540FA4">
      <w:pPr>
        <w:spacing w:after="120"/>
        <w:rPr>
          <w:b/>
        </w:rPr>
      </w:pPr>
      <w:r>
        <w:rPr>
          <w:b/>
        </w:rPr>
        <w:t xml:space="preserve">Table 3. </w:t>
      </w:r>
      <w:r>
        <w:t>Rate of complaints received in last five financial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540FA4" w:rsidTr="00E2296F">
        <w:tc>
          <w:tcPr>
            <w:tcW w:w="601"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left"/>
              <w:rPr>
                <w:rFonts w:ascii="Calibri" w:hAnsi="Calibri"/>
                <w:b/>
                <w:sz w:val="20"/>
                <w:szCs w:val="20"/>
              </w:rPr>
            </w:pPr>
          </w:p>
          <w:p w:rsidR="00540FA4" w:rsidRDefault="00540FA4" w:rsidP="00E2296F">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Jul–Dec 11</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Jan–Jun 12</w:t>
            </w:r>
          </w:p>
        </w:tc>
        <w:tc>
          <w:tcPr>
            <w:tcW w:w="385"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 14</w:t>
            </w:r>
          </w:p>
        </w:tc>
        <w:tc>
          <w:tcPr>
            <w:tcW w:w="38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14</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r>
              <w:rPr>
                <w:rStyle w:val="FootnoteReference"/>
                <w:rFonts w:ascii="Calibri" w:hAnsi="Calibri"/>
                <w:szCs w:val="22"/>
                <w:lang w:eastAsia="en-NZ"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20"/>
              <w:jc w:val="center"/>
              <w:rPr>
                <w:rFonts w:ascii="Calibri" w:hAnsi="Calibri"/>
                <w:b/>
                <w:sz w:val="20"/>
                <w:szCs w:val="20"/>
              </w:rPr>
            </w:pPr>
            <w:r>
              <w:rPr>
                <w:rFonts w:ascii="Calibri" w:hAnsi="Calibri"/>
                <w:b/>
                <w:sz w:val="20"/>
                <w:szCs w:val="20"/>
              </w:rPr>
              <w:t xml:space="preserve">Average of last 4  </w:t>
            </w:r>
          </w:p>
          <w:p w:rsidR="00540FA4" w:rsidRDefault="00540FA4" w:rsidP="00E2296F">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w:t>
            </w:r>
          </w:p>
          <w:p w:rsidR="00540FA4" w:rsidRDefault="00540FA4" w:rsidP="00E2296F">
            <w:pPr>
              <w:keepNext/>
              <w:keepLines/>
              <w:jc w:val="center"/>
              <w:rPr>
                <w:rFonts w:ascii="Calibri" w:hAnsi="Calibri"/>
                <w:b/>
                <w:sz w:val="20"/>
                <w:szCs w:val="20"/>
              </w:rPr>
            </w:pPr>
            <w:r>
              <w:rPr>
                <w:rFonts w:ascii="Calibri" w:hAnsi="Calibri"/>
                <w:b/>
                <w:sz w:val="20"/>
                <w:szCs w:val="20"/>
              </w:rPr>
              <w:t>16</w:t>
            </w:r>
          </w:p>
        </w:tc>
      </w:tr>
      <w:tr w:rsidR="00540FA4" w:rsidTr="00E2296F">
        <w:tc>
          <w:tcPr>
            <w:tcW w:w="601"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55.86</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80.22</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62.59</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72.67</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71.15</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72.99</w:t>
            </w: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76.65</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84.60</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87.57</w:t>
            </w:r>
          </w:p>
        </w:tc>
        <w:tc>
          <w:tcPr>
            <w:tcW w:w="54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80.45</w:t>
            </w:r>
          </w:p>
        </w:tc>
        <w:tc>
          <w:tcPr>
            <w:tcW w:w="380" w:type="pct"/>
            <w:tcBorders>
              <w:top w:val="single" w:sz="4" w:space="0" w:color="auto"/>
              <w:left w:val="single" w:sz="4" w:space="0" w:color="auto"/>
              <w:bottom w:val="single" w:sz="4" w:space="0" w:color="auto"/>
              <w:right w:val="single" w:sz="4" w:space="0" w:color="auto"/>
            </w:tcBorders>
            <w:vAlign w:val="center"/>
            <w:hideMark/>
          </w:tcPr>
          <w:p w:rsidR="00540FA4" w:rsidRDefault="00322AB8" w:rsidP="00E2296F">
            <w:pPr>
              <w:keepNext/>
              <w:keepLines/>
              <w:jc w:val="center"/>
              <w:rPr>
                <w:rFonts w:ascii="Calibri" w:hAnsi="Calibri"/>
                <w:b/>
                <w:sz w:val="20"/>
                <w:szCs w:val="20"/>
              </w:rPr>
            </w:pPr>
            <w:r>
              <w:rPr>
                <w:rFonts w:ascii="Calibri" w:hAnsi="Calibri"/>
                <w:b/>
                <w:sz w:val="20"/>
                <w:szCs w:val="20"/>
              </w:rPr>
              <w:t>81.45</w:t>
            </w:r>
          </w:p>
        </w:tc>
      </w:tr>
    </w:tbl>
    <w:p w:rsidR="00540FA4" w:rsidRDefault="00540FA4" w:rsidP="00540FA4">
      <w:pPr>
        <w:jc w:val="left"/>
        <w:rPr>
          <w:rFonts w:ascii="Calibri" w:hAnsi="Calibri"/>
          <w:szCs w:val="22"/>
        </w:rPr>
      </w:pPr>
      <w:r>
        <w:rPr>
          <w:lang w:eastAsia="en-NZ" w:bidi="ar-SA"/>
        </w:rPr>
        <w:br/>
        <w:t>The rate of complaints rec</w:t>
      </w:r>
      <w:r w:rsidR="00322AB8">
        <w:rPr>
          <w:lang w:eastAsia="en-NZ" w:bidi="ar-SA"/>
        </w:rPr>
        <w:t>eived during Jan–Jun 2016 (81.45</w:t>
      </w:r>
      <w:r>
        <w:rPr>
          <w:lang w:eastAsia="en-NZ" w:bidi="ar-SA"/>
        </w:rPr>
        <w:t xml:space="preserve">) shows a very small  increase </w:t>
      </w:r>
      <w:r>
        <w:t xml:space="preserve">over the average rate of complaints received for the previous four periods, but a 7% decrease over the rate of complaints received in the previous six-month period. </w:t>
      </w:r>
      <w:r>
        <w:rPr>
          <w:lang w:eastAsia="en-NZ" w:bidi="ar-SA"/>
        </w:rPr>
        <w:br/>
      </w:r>
      <w:r>
        <w:rPr>
          <w:lang w:eastAsia="en-NZ" w:bidi="ar-SA"/>
        </w:rPr>
        <w:br/>
      </w:r>
      <w:r>
        <w:rPr>
          <w:rFonts w:ascii="Calibri" w:hAnsi="Calibri"/>
          <w:szCs w:val="22"/>
        </w:rPr>
        <w:t>Table 4 shows the number and rate of complaints received by HDC for each DHB</w:t>
      </w:r>
      <w:r>
        <w:rPr>
          <w:rStyle w:val="FootnoteReference"/>
          <w:rFonts w:ascii="Calibri" w:hAnsi="Calibri"/>
          <w:szCs w:val="22"/>
        </w:rPr>
        <w:footnoteReference w:id="3"/>
      </w:r>
      <w:r>
        <w:rPr>
          <w:rFonts w:ascii="Calibri" w:hAnsi="Calibri"/>
          <w:szCs w:val="22"/>
        </w:rPr>
        <w:t>.</w:t>
      </w:r>
    </w:p>
    <w:p w:rsidR="00540FA4" w:rsidRDefault="00540FA4" w:rsidP="00540FA4">
      <w:pPr>
        <w:jc w:val="left"/>
        <w:rPr>
          <w:lang w:eastAsia="en-NZ" w:bidi="ar-SA"/>
        </w:rPr>
      </w:pPr>
    </w:p>
    <w:p w:rsidR="00540FA4" w:rsidRDefault="00540FA4" w:rsidP="00540FA4"/>
    <w:p w:rsidR="00540FA4" w:rsidRDefault="00540FA4" w:rsidP="00540FA4"/>
    <w:p w:rsidR="00540FA4" w:rsidRDefault="00540FA4" w:rsidP="00540FA4"/>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rPr>
          <w:highlight w:val="yellow"/>
        </w:rPr>
      </w:pPr>
    </w:p>
    <w:p w:rsidR="00540FA4" w:rsidRDefault="00540FA4" w:rsidP="00540FA4">
      <w:pPr>
        <w:spacing w:after="120"/>
        <w:rPr>
          <w:szCs w:val="22"/>
        </w:rPr>
      </w:pPr>
      <w:r>
        <w:rPr>
          <w:b/>
          <w:szCs w:val="22"/>
        </w:rPr>
        <w:lastRenderedPageBreak/>
        <w:t>Table 4.</w:t>
      </w:r>
      <w:r>
        <w:rPr>
          <w:szCs w:val="22"/>
        </w:rPr>
        <w:t xml:space="preserve"> Number and rate of complaints received for each DHB in Jan-Jun 2016</w:t>
      </w:r>
    </w:p>
    <w:tbl>
      <w:tblPr>
        <w:tblStyle w:val="TableGrid"/>
        <w:tblW w:w="0" w:type="auto"/>
        <w:tblLook w:val="04A0" w:firstRow="1" w:lastRow="0" w:firstColumn="1" w:lastColumn="0" w:noHBand="0" w:noVBand="1"/>
      </w:tblPr>
      <w:tblGrid>
        <w:gridCol w:w="2310"/>
        <w:gridCol w:w="2310"/>
        <w:gridCol w:w="2311"/>
        <w:gridCol w:w="2311"/>
      </w:tblGrid>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spacing w:after="120"/>
              <w:jc w:val="center"/>
              <w:rPr>
                <w:b/>
                <w:szCs w:val="22"/>
              </w:rPr>
            </w:pPr>
            <w:r>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spacing w:after="120"/>
              <w:jc w:val="center"/>
              <w:rPr>
                <w:b/>
                <w:szCs w:val="22"/>
              </w:rPr>
            </w:pPr>
            <w:r>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540FA4" w:rsidRDefault="00540FA4" w:rsidP="00E2296F">
            <w:pPr>
              <w:spacing w:after="120"/>
              <w:jc w:val="center"/>
              <w:rPr>
                <w:b/>
                <w:szCs w:val="22"/>
              </w:rPr>
            </w:pPr>
            <w:r>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540FA4" w:rsidRDefault="00540FA4" w:rsidP="00E2296F">
            <w:pPr>
              <w:spacing w:after="120"/>
              <w:jc w:val="center"/>
              <w:rPr>
                <w:b/>
                <w:szCs w:val="22"/>
              </w:rPr>
            </w:pPr>
            <w:r>
              <w:rPr>
                <w:b/>
                <w:szCs w:val="22"/>
              </w:rPr>
              <w:t>Rate of complaints to HDC per 100,000 discharges</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Auckland</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49</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59564</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82.26</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Bay of Plenty</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24159</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66.23</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Canterbury</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45</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54884</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81.99</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Capital and Coast</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29</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31772</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91.28</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Counties Manukau</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45</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50540</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89.04</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Hawke’s Bay</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7</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16619</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42.12</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Hutt Valley</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21</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15832</w:t>
            </w:r>
          </w:p>
        </w:tc>
        <w:tc>
          <w:tcPr>
            <w:tcW w:w="2311" w:type="dxa"/>
            <w:tcBorders>
              <w:top w:val="single" w:sz="4" w:space="0" w:color="auto"/>
              <w:left w:val="single" w:sz="4" w:space="0" w:color="auto"/>
              <w:bottom w:val="single" w:sz="4" w:space="0" w:color="auto"/>
              <w:right w:val="single" w:sz="4" w:space="0" w:color="auto"/>
            </w:tcBorders>
          </w:tcPr>
          <w:p w:rsidR="00540FA4" w:rsidRDefault="001E3AF4" w:rsidP="00E2296F">
            <w:pPr>
              <w:jc w:val="center"/>
              <w:rPr>
                <w:szCs w:val="22"/>
              </w:rPr>
            </w:pPr>
            <w:r>
              <w:rPr>
                <w:szCs w:val="22"/>
              </w:rPr>
              <w:t>132.64</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Lakes</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11526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138.82</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MidCentral</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20</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15695</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127.43</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Nelson Marlborough</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12088</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5E5AF9">
            <w:pPr>
              <w:jc w:val="center"/>
              <w:rPr>
                <w:szCs w:val="22"/>
              </w:rPr>
            </w:pPr>
            <w:r>
              <w:rPr>
                <w:szCs w:val="22"/>
              </w:rPr>
              <w:t>132.36</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Northland</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19844</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65.51</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South Canterbury</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7</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5910</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118.44</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Southern</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20</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25833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77.42</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Tairawhiti</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5143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58.33</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Taranaki</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8</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12037</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66.46</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Waikato</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30</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45003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66.66</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Wairarapa</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3466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173.11</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Waitemata</w:t>
            </w:r>
          </w:p>
        </w:tc>
        <w:tc>
          <w:tcPr>
            <w:tcW w:w="2310" w:type="dxa"/>
            <w:tcBorders>
              <w:top w:val="single" w:sz="4" w:space="0" w:color="auto"/>
              <w:left w:val="single" w:sz="4" w:space="0" w:color="auto"/>
              <w:bottom w:val="single" w:sz="4" w:space="0" w:color="auto"/>
              <w:right w:val="single" w:sz="4" w:space="0" w:color="auto"/>
            </w:tcBorders>
          </w:tcPr>
          <w:p w:rsidR="00540FA4" w:rsidRDefault="00322AB8" w:rsidP="00E2296F">
            <w:pPr>
              <w:jc w:val="center"/>
              <w:rPr>
                <w:szCs w:val="22"/>
              </w:rPr>
            </w:pPr>
            <w:r>
              <w:rPr>
                <w:szCs w:val="22"/>
              </w:rPr>
              <w:t>42</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50886</w:t>
            </w:r>
          </w:p>
        </w:tc>
        <w:tc>
          <w:tcPr>
            <w:tcW w:w="2311" w:type="dxa"/>
            <w:tcBorders>
              <w:top w:val="single" w:sz="4" w:space="0" w:color="auto"/>
              <w:left w:val="single" w:sz="4" w:space="0" w:color="auto"/>
              <w:bottom w:val="single" w:sz="4" w:space="0" w:color="auto"/>
              <w:right w:val="single" w:sz="4" w:space="0" w:color="auto"/>
            </w:tcBorders>
          </w:tcPr>
          <w:p w:rsidR="00540FA4" w:rsidRDefault="00322AB8" w:rsidP="00E2296F">
            <w:pPr>
              <w:jc w:val="center"/>
              <w:rPr>
                <w:szCs w:val="22"/>
              </w:rPr>
            </w:pPr>
            <w:r>
              <w:rPr>
                <w:szCs w:val="22"/>
              </w:rPr>
              <w:t>82.54</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West Coast</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2</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3438</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58.17</w:t>
            </w:r>
          </w:p>
        </w:tc>
      </w:tr>
      <w:tr w:rsidR="00540FA4" w:rsidTr="00E2296F">
        <w:tc>
          <w:tcPr>
            <w:tcW w:w="2310"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szCs w:val="22"/>
              </w:rPr>
            </w:pPr>
            <w:r>
              <w:rPr>
                <w:szCs w:val="22"/>
              </w:rPr>
              <w:t>Whanganui</w:t>
            </w:r>
          </w:p>
        </w:tc>
        <w:tc>
          <w:tcPr>
            <w:tcW w:w="2310"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6</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sidRPr="005E5AF9">
              <w:rPr>
                <w:szCs w:val="22"/>
              </w:rPr>
              <w:t>5963</w:t>
            </w:r>
          </w:p>
        </w:tc>
        <w:tc>
          <w:tcPr>
            <w:tcW w:w="2311" w:type="dxa"/>
            <w:tcBorders>
              <w:top w:val="single" w:sz="4" w:space="0" w:color="auto"/>
              <w:left w:val="single" w:sz="4" w:space="0" w:color="auto"/>
              <w:bottom w:val="single" w:sz="4" w:space="0" w:color="auto"/>
              <w:right w:val="single" w:sz="4" w:space="0" w:color="auto"/>
            </w:tcBorders>
          </w:tcPr>
          <w:p w:rsidR="00540FA4" w:rsidRDefault="005E5AF9" w:rsidP="00E2296F">
            <w:pPr>
              <w:jc w:val="center"/>
              <w:rPr>
                <w:szCs w:val="22"/>
              </w:rPr>
            </w:pPr>
            <w:r>
              <w:rPr>
                <w:szCs w:val="22"/>
              </w:rPr>
              <w:t>100.62</w:t>
            </w:r>
          </w:p>
        </w:tc>
      </w:tr>
    </w:tbl>
    <w:p w:rsidR="00540FA4" w:rsidRDefault="00540FA4" w:rsidP="00540FA4"/>
    <w:p w:rsidR="00540FA4" w:rsidRDefault="00540FA4" w:rsidP="00540FA4"/>
    <w:tbl>
      <w:tblPr>
        <w:tblStyle w:val="TableGrid"/>
        <w:tblW w:w="0" w:type="auto"/>
        <w:tblLook w:val="04A0" w:firstRow="1" w:lastRow="0" w:firstColumn="1" w:lastColumn="0" w:noHBand="0" w:noVBand="1"/>
      </w:tblPr>
      <w:tblGrid>
        <w:gridCol w:w="9298"/>
      </w:tblGrid>
      <w:tr w:rsidR="00540FA4" w:rsidTr="00E2296F">
        <w:tc>
          <w:tcPr>
            <w:tcW w:w="9298" w:type="dxa"/>
          </w:tcPr>
          <w:p w:rsidR="00540FA4" w:rsidRDefault="00540FA4" w:rsidP="00E2296F">
            <w:pPr>
              <w:spacing w:line="360" w:lineRule="auto"/>
              <w:jc w:val="center"/>
              <w:rPr>
                <w:b/>
                <w:szCs w:val="22"/>
              </w:rPr>
            </w:pPr>
            <w:r>
              <w:rPr>
                <w:b/>
                <w:szCs w:val="22"/>
              </w:rPr>
              <w:t>Notes on DHB’s n</w:t>
            </w:r>
            <w:r w:rsidRPr="008C3A00">
              <w:rPr>
                <w:b/>
                <w:szCs w:val="22"/>
              </w:rPr>
              <w:t>umber and rate of complaints</w:t>
            </w:r>
          </w:p>
          <w:p w:rsidR="00540FA4" w:rsidRDefault="00540FA4" w:rsidP="00E2296F">
            <w:pPr>
              <w:rPr>
                <w:szCs w:val="22"/>
              </w:rPr>
            </w:pPr>
            <w:r w:rsidRPr="008C3A00">
              <w:rPr>
                <w:szCs w:val="22"/>
                <w:lang w:bidi="ar-SA"/>
              </w:rPr>
              <w:t>It should be noted that a DHB’s number and rate of complaints can vary considerably from one six month period to the next. Therefore, care should be taken before drawing conclusions on the basis of one six month period. For smaller DHBs, a very small absolute increase or decrease in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emerge which may point to areas which require further attention.</w:t>
            </w:r>
          </w:p>
          <w:p w:rsidR="00540FA4" w:rsidRDefault="00540FA4" w:rsidP="00E2296F">
            <w:pPr>
              <w:rPr>
                <w:szCs w:val="22"/>
              </w:rPr>
            </w:pPr>
          </w:p>
          <w:p w:rsidR="00540FA4" w:rsidRPr="008C3A00" w:rsidRDefault="00540FA4" w:rsidP="00E2296F">
            <w:pPr>
              <w:rPr>
                <w:szCs w:val="22"/>
                <w:lang w:bidi="ar-SA"/>
              </w:rPr>
            </w:pPr>
            <w:r w:rsidRPr="008C3A00">
              <w:rPr>
                <w:szCs w:val="22"/>
                <w:lang w:bidi="ar-SA"/>
              </w:rPr>
              <w:t>It is also important to note that numbers of complaints received by HDC is not always a good proxy for quality of care provided and may instead, for example, be an indicator of the effectiveness of a DHB’s complaint system or features of the consumer population in a particular area.  Additionally,</w:t>
            </w:r>
            <w:r>
              <w:rPr>
                <w:szCs w:val="22"/>
                <w:lang w:bidi="ar-SA"/>
              </w:rPr>
              <w:t xml:space="preserve"> complaints received within a single 6 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p w:rsidR="00540FA4" w:rsidRDefault="00540FA4" w:rsidP="00E2296F"/>
        </w:tc>
      </w:tr>
    </w:tbl>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Pr>
        <w:rPr>
          <w:lang w:bidi="ar-SA"/>
        </w:rPr>
      </w:pPr>
    </w:p>
    <w:p w:rsidR="00540FA4" w:rsidRDefault="00540FA4" w:rsidP="00540FA4">
      <w:pPr>
        <w:pStyle w:val="Heading2"/>
        <w:spacing w:before="120"/>
        <w:rPr>
          <w:lang w:val="en-NZ"/>
        </w:rPr>
      </w:pPr>
      <w:bookmarkStart w:id="38" w:name="_Toc426462630"/>
      <w:bookmarkStart w:id="39" w:name="_Toc443992225"/>
      <w:bookmarkStart w:id="40" w:name="_Toc445910049"/>
      <w:bookmarkStart w:id="41" w:name="_Toc447291333"/>
      <w:bookmarkStart w:id="42" w:name="_Toc447291471"/>
      <w:bookmarkStart w:id="43" w:name="_Toc447527528"/>
      <w:bookmarkStart w:id="44" w:name="_Toc464718899"/>
      <w:r>
        <w:rPr>
          <w:lang w:val="en-NZ"/>
        </w:rPr>
        <w:lastRenderedPageBreak/>
        <w:t>2.0</w:t>
      </w:r>
      <w:r>
        <w:rPr>
          <w:lang w:val="en-NZ"/>
        </w:rPr>
        <w:tab/>
        <w:t>Service types complained about</w:t>
      </w:r>
      <w:bookmarkEnd w:id="38"/>
      <w:bookmarkEnd w:id="39"/>
      <w:bookmarkEnd w:id="40"/>
      <w:bookmarkEnd w:id="41"/>
      <w:bookmarkEnd w:id="42"/>
      <w:bookmarkEnd w:id="43"/>
      <w:bookmarkEnd w:id="44"/>
      <w:r>
        <w:rPr>
          <w:lang w:val="en-NZ"/>
        </w:rPr>
        <w:t xml:space="preserve"> </w:t>
      </w:r>
    </w:p>
    <w:p w:rsidR="00540FA4" w:rsidRDefault="00540FA4" w:rsidP="00540FA4">
      <w:pPr>
        <w:pStyle w:val="Heading3"/>
      </w:pPr>
      <w:bookmarkStart w:id="45" w:name="_Toc426462631"/>
      <w:bookmarkStart w:id="46" w:name="_Toc443992226"/>
      <w:bookmarkStart w:id="47" w:name="_Toc445910050"/>
      <w:bookmarkStart w:id="48" w:name="_Toc447291334"/>
      <w:bookmarkStart w:id="49" w:name="_Toc447291472"/>
      <w:bookmarkStart w:id="50" w:name="_Toc447527529"/>
      <w:bookmarkStart w:id="51" w:name="_Toc464718900"/>
      <w:r>
        <w:t>2.1</w:t>
      </w:r>
      <w:r>
        <w:tab/>
        <w:t>Service type category</w:t>
      </w:r>
      <w:bookmarkEnd w:id="45"/>
      <w:bookmarkEnd w:id="46"/>
      <w:bookmarkEnd w:id="47"/>
      <w:bookmarkEnd w:id="48"/>
      <w:bookmarkEnd w:id="49"/>
      <w:bookmarkEnd w:id="50"/>
      <w:bookmarkEnd w:id="51"/>
    </w:p>
    <w:p w:rsidR="00540FA4" w:rsidRDefault="00540FA4" w:rsidP="00540FA4">
      <w:pPr>
        <w:rPr>
          <w:i/>
        </w:rPr>
      </w:pPr>
      <w:r>
        <w:t>Complaints to HDC are shown by service type in Table 5. Please note that some complaints involve more than one DHB and/or more than one hospital, th</w:t>
      </w:r>
      <w:r w:rsidR="00322AB8">
        <w:t>erefore, although there were 383 complaints about DHBs, 401</w:t>
      </w:r>
      <w:r>
        <w:t xml:space="preserve"> services were complained about.</w:t>
      </w:r>
    </w:p>
    <w:p w:rsidR="00540FA4" w:rsidRDefault="00540FA4" w:rsidP="00540FA4"/>
    <w:p w:rsidR="00540FA4" w:rsidRDefault="00540FA4" w:rsidP="00540FA4">
      <w:pPr>
        <w:spacing w:after="120"/>
        <w:rPr>
          <w:b/>
        </w:rPr>
      </w:pPr>
      <w:r>
        <w:rPr>
          <w:b/>
        </w:rPr>
        <w:t xml:space="preserve">Table 5.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985"/>
      </w:tblGrid>
      <w:tr w:rsidR="00540FA4" w:rsidTr="00E2296F">
        <w:trPr>
          <w:trHeight w:val="624"/>
          <w:tblHeader/>
        </w:trPr>
        <w:tc>
          <w:tcPr>
            <w:tcW w:w="4678" w:type="dxa"/>
            <w:tcBorders>
              <w:top w:val="single" w:sz="4" w:space="0" w:color="auto"/>
              <w:left w:val="single" w:sz="4" w:space="0" w:color="auto"/>
              <w:bottom w:val="single" w:sz="4" w:space="0" w:color="auto"/>
              <w:right w:val="single" w:sz="4" w:space="0" w:color="auto"/>
            </w:tcBorders>
            <w:hideMark/>
          </w:tcPr>
          <w:p w:rsidR="00540FA4" w:rsidRDefault="00540FA4" w:rsidP="00E2296F">
            <w:pPr>
              <w:tabs>
                <w:tab w:val="left" w:pos="1440"/>
                <w:tab w:val="decimal" w:pos="4320"/>
              </w:tabs>
              <w:spacing w:before="120" w:after="120"/>
              <w:jc w:val="center"/>
              <w:outlineLvl w:val="0"/>
              <w:rPr>
                <w:rFonts w:ascii="Calibri" w:hAnsi="Calibri"/>
                <w:b/>
                <w:szCs w:val="22"/>
                <w:vertAlign w:val="superscript"/>
              </w:rPr>
            </w:pPr>
            <w:r>
              <w:rPr>
                <w:rFonts w:ascii="Calibri" w:hAnsi="Calibri"/>
                <w:b/>
                <w:szCs w:val="22"/>
              </w:rPr>
              <w:t>Service type</w:t>
            </w:r>
          </w:p>
        </w:tc>
        <w:tc>
          <w:tcPr>
            <w:tcW w:w="1701" w:type="dxa"/>
            <w:tcBorders>
              <w:top w:val="single" w:sz="4" w:space="0" w:color="auto"/>
              <w:left w:val="single" w:sz="4" w:space="0" w:color="auto"/>
              <w:bottom w:val="single" w:sz="4" w:space="0" w:color="auto"/>
              <w:right w:val="single" w:sz="4" w:space="0" w:color="auto"/>
            </w:tcBorders>
            <w:hideMark/>
          </w:tcPr>
          <w:p w:rsidR="00540FA4" w:rsidRDefault="00540FA4" w:rsidP="00E2296F">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540FA4" w:rsidRDefault="00540FA4" w:rsidP="00E2296F">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540FA4" w:rsidTr="00E2296F">
        <w:trPr>
          <w:trHeight w:val="252"/>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Alcohol and drug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7</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1.7</w:t>
            </w:r>
            <w:r w:rsidR="00540FA4">
              <w:rPr>
                <w:rFonts w:ascii="Calibri" w:hAnsi="Calibri"/>
                <w:b/>
                <w:color w:val="000000"/>
                <w:szCs w:val="22"/>
              </w:rPr>
              <w:t>%</w:t>
            </w:r>
          </w:p>
        </w:tc>
      </w:tr>
      <w:tr w:rsidR="00540FA4" w:rsidTr="00E2296F">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Anaesthetics/pain medicine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1.6</w:t>
            </w:r>
            <w:r w:rsidR="00540FA4">
              <w:rPr>
                <w:rFonts w:ascii="Calibri" w:hAnsi="Calibri"/>
                <w:b/>
                <w:color w:val="000000"/>
                <w:szCs w:val="22"/>
              </w:rPr>
              <w:t>%</w:t>
            </w:r>
          </w:p>
        </w:tc>
      </w:tr>
      <w:tr w:rsidR="00540FA4" w:rsidTr="00E2296F">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 xml:space="preserve">Dental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5</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1.2</w:t>
            </w:r>
            <w:r w:rsidR="00540FA4">
              <w:rPr>
                <w:rFonts w:ascii="Calibri" w:hAnsi="Calibri"/>
                <w:b/>
                <w:color w:val="000000"/>
                <w:szCs w:val="22"/>
              </w:rPr>
              <w:t>%</w:t>
            </w:r>
          </w:p>
        </w:tc>
      </w:tr>
      <w:tr w:rsidR="00540FA4" w:rsidTr="00E2296F">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Diagnostics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1.6</w:t>
            </w:r>
            <w:r w:rsidR="00540FA4">
              <w:rPr>
                <w:rFonts w:ascii="Calibri" w:hAnsi="Calibri"/>
                <w:b/>
                <w:color w:val="000000"/>
                <w:szCs w:val="22"/>
              </w:rPr>
              <w:t>%</w:t>
            </w:r>
          </w:p>
        </w:tc>
      </w:tr>
      <w:tr w:rsidR="00540FA4" w:rsidTr="00E2296F">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Disability services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0.7</w:t>
            </w:r>
            <w:r w:rsidR="00540FA4">
              <w:rPr>
                <w:rFonts w:ascii="Calibri" w:hAnsi="Calibri"/>
                <w:b/>
                <w:color w:val="000000"/>
                <w:szCs w:val="22"/>
              </w:rPr>
              <w:t>%</w:t>
            </w:r>
          </w:p>
        </w:tc>
      </w:tr>
      <w:tr w:rsidR="00540FA4" w:rsidTr="00E2296F">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 xml:space="preserve">District nursing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5</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1.2</w:t>
            </w:r>
            <w:r w:rsidR="00540FA4">
              <w:rPr>
                <w:rFonts w:ascii="Calibri" w:hAnsi="Calibri"/>
                <w:b/>
                <w:color w:val="000000"/>
                <w:szCs w:val="22"/>
              </w:rPr>
              <w:t>%</w:t>
            </w:r>
          </w:p>
        </w:tc>
      </w:tr>
      <w:tr w:rsidR="00540FA4" w:rsidTr="00E2296F">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jc w:val="left"/>
              <w:rPr>
                <w:rFonts w:ascii="Calibri" w:hAnsi="Calibri" w:cs="Calibri"/>
                <w:b/>
                <w:color w:val="000000"/>
                <w:szCs w:val="22"/>
              </w:rPr>
            </w:pPr>
            <w:r>
              <w:rPr>
                <w:rFonts w:ascii="Calibri" w:hAnsi="Calibri" w:cs="Calibri"/>
                <w:b/>
                <w:color w:val="000000"/>
                <w:szCs w:val="22"/>
              </w:rPr>
              <w:t>Emergency department (including paramedics)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49</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12.2</w:t>
            </w:r>
            <w:r w:rsidR="00540FA4">
              <w:rPr>
                <w:rFonts w:ascii="Calibri" w:hAnsi="Calibri"/>
                <w:b/>
                <w:color w:val="000000"/>
                <w:szCs w:val="22"/>
              </w:rPr>
              <w:t>%</w:t>
            </w:r>
          </w:p>
        </w:tc>
      </w:tr>
      <w:tr w:rsidR="00540FA4" w:rsidTr="00E2296F">
        <w:trPr>
          <w:trHeight w:val="337"/>
        </w:trPr>
        <w:tc>
          <w:tcPr>
            <w:tcW w:w="4678" w:type="dxa"/>
            <w:tcBorders>
              <w:top w:val="single" w:sz="4" w:space="0" w:color="auto"/>
              <w:left w:val="single" w:sz="4" w:space="0" w:color="auto"/>
              <w:bottom w:val="single" w:sz="4" w:space="0" w:color="auto"/>
              <w:right w:val="single" w:sz="4" w:space="0" w:color="auto"/>
            </w:tcBorders>
            <w:hideMark/>
          </w:tcPr>
          <w:p w:rsidR="00540FA4" w:rsidRDefault="00540FA4" w:rsidP="00E2296F">
            <w:pPr>
              <w:jc w:val="left"/>
              <w:rPr>
                <w:rFonts w:ascii="Calibri" w:hAnsi="Calibri" w:cs="Calibri"/>
                <w:b/>
                <w:color w:val="000000"/>
                <w:szCs w:val="22"/>
              </w:rPr>
            </w:pPr>
            <w:r>
              <w:rPr>
                <w:rFonts w:ascii="Calibri" w:hAnsi="Calibri" w:cs="Calibri"/>
                <w:b/>
                <w:color w:val="000000"/>
                <w:szCs w:val="22"/>
              </w:rPr>
              <w:t>General medicine</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Cardiology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Dermatology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Endocrinology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Gastroenterology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Geriatric medicine</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Neurology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Oncology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Palliative care</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Renal/nephrology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Respiratory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Rheumatology</w:t>
            </w:r>
          </w:p>
          <w:p w:rsidR="00540FA4" w:rsidRDefault="00540FA4" w:rsidP="00E2296F">
            <w:pPr>
              <w:jc w:val="left"/>
              <w:rPr>
                <w:rFonts w:ascii="Calibri" w:hAnsi="Calibri" w:cs="Calibri"/>
                <w:color w:val="000000"/>
                <w:szCs w:val="22"/>
              </w:rPr>
            </w:pPr>
            <w:r>
              <w:rPr>
                <w:rFonts w:ascii="Calibri" w:hAnsi="Calibri" w:cs="Calibri"/>
                <w:color w:val="000000"/>
                <w:szCs w:val="22"/>
              </w:rPr>
              <w:t xml:space="preserve">  Other/unspecified</w:t>
            </w:r>
          </w:p>
        </w:tc>
        <w:tc>
          <w:tcPr>
            <w:tcW w:w="1701" w:type="dxa"/>
            <w:tcBorders>
              <w:top w:val="single" w:sz="4" w:space="0" w:color="auto"/>
              <w:left w:val="single" w:sz="4" w:space="0" w:color="auto"/>
              <w:bottom w:val="single" w:sz="4" w:space="0" w:color="auto"/>
              <w:right w:val="single" w:sz="4" w:space="0" w:color="auto"/>
            </w:tcBorders>
          </w:tcPr>
          <w:p w:rsidR="00540FA4" w:rsidRPr="00A21706" w:rsidRDefault="00540FA4" w:rsidP="00E2296F">
            <w:pPr>
              <w:jc w:val="center"/>
              <w:rPr>
                <w:rFonts w:ascii="Calibri" w:hAnsi="Calibri"/>
                <w:b/>
                <w:color w:val="000000"/>
                <w:szCs w:val="22"/>
              </w:rPr>
            </w:pPr>
            <w:r w:rsidRPr="00A21706">
              <w:rPr>
                <w:rFonts w:ascii="Calibri" w:hAnsi="Calibri"/>
                <w:b/>
                <w:color w:val="000000"/>
                <w:szCs w:val="22"/>
              </w:rPr>
              <w:t>71</w:t>
            </w:r>
          </w:p>
          <w:p w:rsidR="00540FA4" w:rsidRDefault="00540FA4" w:rsidP="00E2296F">
            <w:pPr>
              <w:jc w:val="center"/>
              <w:rPr>
                <w:rFonts w:ascii="Calibri" w:hAnsi="Calibri"/>
                <w:color w:val="000000"/>
                <w:szCs w:val="22"/>
              </w:rPr>
            </w:pPr>
            <w:r>
              <w:rPr>
                <w:rFonts w:ascii="Calibri" w:hAnsi="Calibri"/>
                <w:color w:val="000000"/>
                <w:szCs w:val="22"/>
              </w:rPr>
              <w:t>11</w:t>
            </w:r>
          </w:p>
          <w:p w:rsidR="00540FA4" w:rsidRDefault="00540FA4" w:rsidP="00E2296F">
            <w:pPr>
              <w:jc w:val="center"/>
              <w:rPr>
                <w:rFonts w:ascii="Calibri" w:hAnsi="Calibri"/>
                <w:color w:val="000000"/>
                <w:szCs w:val="22"/>
              </w:rPr>
            </w:pPr>
            <w:r>
              <w:rPr>
                <w:rFonts w:ascii="Calibri" w:hAnsi="Calibri"/>
                <w:color w:val="000000"/>
                <w:szCs w:val="22"/>
              </w:rPr>
              <w:t>1</w:t>
            </w:r>
          </w:p>
          <w:p w:rsidR="00540FA4" w:rsidRDefault="00540FA4" w:rsidP="00E2296F">
            <w:pPr>
              <w:jc w:val="center"/>
              <w:rPr>
                <w:rFonts w:ascii="Calibri" w:hAnsi="Calibri"/>
                <w:color w:val="000000"/>
                <w:szCs w:val="22"/>
              </w:rPr>
            </w:pPr>
            <w:r>
              <w:rPr>
                <w:rFonts w:ascii="Calibri" w:hAnsi="Calibri"/>
                <w:color w:val="000000"/>
                <w:szCs w:val="22"/>
              </w:rPr>
              <w:t>3</w:t>
            </w:r>
          </w:p>
          <w:p w:rsidR="00540FA4" w:rsidRDefault="00540FA4" w:rsidP="00E2296F">
            <w:pPr>
              <w:jc w:val="center"/>
              <w:rPr>
                <w:rFonts w:ascii="Calibri" w:hAnsi="Calibri"/>
                <w:color w:val="000000"/>
                <w:szCs w:val="22"/>
              </w:rPr>
            </w:pPr>
            <w:r>
              <w:rPr>
                <w:rFonts w:ascii="Calibri" w:hAnsi="Calibri"/>
                <w:color w:val="000000"/>
                <w:szCs w:val="22"/>
              </w:rPr>
              <w:t>4</w:t>
            </w:r>
          </w:p>
          <w:p w:rsidR="00540FA4" w:rsidRDefault="00540FA4" w:rsidP="00E2296F">
            <w:pPr>
              <w:jc w:val="center"/>
              <w:rPr>
                <w:rFonts w:ascii="Calibri" w:hAnsi="Calibri"/>
                <w:color w:val="000000"/>
                <w:szCs w:val="22"/>
              </w:rPr>
            </w:pPr>
            <w:r>
              <w:rPr>
                <w:rFonts w:ascii="Calibri" w:hAnsi="Calibri"/>
                <w:color w:val="000000"/>
                <w:szCs w:val="22"/>
              </w:rPr>
              <w:t>5</w:t>
            </w:r>
          </w:p>
          <w:p w:rsidR="00540FA4" w:rsidRDefault="00540FA4" w:rsidP="00E2296F">
            <w:pPr>
              <w:jc w:val="center"/>
              <w:rPr>
                <w:rFonts w:ascii="Calibri" w:hAnsi="Calibri"/>
                <w:color w:val="000000"/>
                <w:szCs w:val="22"/>
              </w:rPr>
            </w:pPr>
            <w:r>
              <w:rPr>
                <w:rFonts w:ascii="Calibri" w:hAnsi="Calibri"/>
                <w:color w:val="000000"/>
                <w:szCs w:val="22"/>
              </w:rPr>
              <w:t>9</w:t>
            </w:r>
          </w:p>
          <w:p w:rsidR="00540FA4" w:rsidRDefault="00540FA4" w:rsidP="00E2296F">
            <w:pPr>
              <w:jc w:val="center"/>
              <w:rPr>
                <w:rFonts w:ascii="Calibri" w:hAnsi="Calibri"/>
                <w:color w:val="000000"/>
                <w:szCs w:val="22"/>
              </w:rPr>
            </w:pPr>
            <w:r>
              <w:rPr>
                <w:rFonts w:ascii="Calibri" w:hAnsi="Calibri"/>
                <w:color w:val="000000"/>
                <w:szCs w:val="22"/>
              </w:rPr>
              <w:t>10</w:t>
            </w:r>
          </w:p>
          <w:p w:rsidR="00540FA4" w:rsidRDefault="00540FA4" w:rsidP="00E2296F">
            <w:pPr>
              <w:jc w:val="center"/>
              <w:rPr>
                <w:rFonts w:ascii="Calibri" w:hAnsi="Calibri"/>
                <w:color w:val="000000"/>
                <w:szCs w:val="22"/>
              </w:rPr>
            </w:pPr>
            <w:r>
              <w:rPr>
                <w:rFonts w:ascii="Calibri" w:hAnsi="Calibri"/>
                <w:color w:val="000000"/>
                <w:szCs w:val="22"/>
              </w:rPr>
              <w:t>4</w:t>
            </w:r>
          </w:p>
          <w:p w:rsidR="00540FA4" w:rsidRDefault="00540FA4" w:rsidP="00E2296F">
            <w:pPr>
              <w:jc w:val="center"/>
              <w:rPr>
                <w:rFonts w:ascii="Calibri" w:hAnsi="Calibri"/>
                <w:color w:val="000000"/>
                <w:szCs w:val="22"/>
              </w:rPr>
            </w:pPr>
            <w:r>
              <w:rPr>
                <w:rFonts w:ascii="Calibri" w:hAnsi="Calibri"/>
                <w:color w:val="000000"/>
                <w:szCs w:val="22"/>
              </w:rPr>
              <w:t>2</w:t>
            </w:r>
          </w:p>
          <w:p w:rsidR="00540FA4" w:rsidRDefault="00540FA4" w:rsidP="00E2296F">
            <w:pPr>
              <w:jc w:val="center"/>
              <w:rPr>
                <w:rFonts w:ascii="Calibri" w:hAnsi="Calibri"/>
                <w:color w:val="000000"/>
                <w:szCs w:val="22"/>
              </w:rPr>
            </w:pPr>
            <w:r>
              <w:rPr>
                <w:rFonts w:ascii="Calibri" w:hAnsi="Calibri"/>
                <w:color w:val="000000"/>
                <w:szCs w:val="22"/>
              </w:rPr>
              <w:t>8</w:t>
            </w:r>
          </w:p>
          <w:p w:rsidR="00540FA4" w:rsidRDefault="00540FA4" w:rsidP="00E2296F">
            <w:pPr>
              <w:jc w:val="center"/>
              <w:rPr>
                <w:rFonts w:ascii="Calibri" w:hAnsi="Calibri"/>
                <w:color w:val="000000"/>
                <w:szCs w:val="22"/>
              </w:rPr>
            </w:pPr>
            <w:r>
              <w:rPr>
                <w:rFonts w:ascii="Calibri" w:hAnsi="Calibri"/>
                <w:color w:val="000000"/>
                <w:szCs w:val="22"/>
              </w:rPr>
              <w:t>3</w:t>
            </w:r>
          </w:p>
          <w:p w:rsidR="00540FA4" w:rsidRDefault="00540FA4" w:rsidP="00E2296F">
            <w:pPr>
              <w:jc w:val="center"/>
              <w:rPr>
                <w:rFonts w:ascii="Calibri" w:hAnsi="Calibri"/>
                <w:color w:val="000000"/>
                <w:szCs w:val="22"/>
              </w:rPr>
            </w:pPr>
            <w:r>
              <w:rPr>
                <w:rFonts w:ascii="Calibri" w:hAnsi="Calibri"/>
                <w:color w:val="000000"/>
                <w:szCs w:val="22"/>
              </w:rPr>
              <w:t>11</w:t>
            </w:r>
          </w:p>
        </w:tc>
        <w:tc>
          <w:tcPr>
            <w:tcW w:w="1985" w:type="dxa"/>
            <w:tcBorders>
              <w:top w:val="single" w:sz="4" w:space="0" w:color="auto"/>
              <w:left w:val="single" w:sz="4" w:space="0" w:color="auto"/>
              <w:bottom w:val="single" w:sz="4" w:space="0" w:color="auto"/>
              <w:right w:val="single" w:sz="4" w:space="0" w:color="auto"/>
            </w:tcBorders>
          </w:tcPr>
          <w:p w:rsidR="00540FA4" w:rsidRDefault="00322AB8" w:rsidP="00E2296F">
            <w:pPr>
              <w:jc w:val="center"/>
              <w:rPr>
                <w:rFonts w:ascii="Calibri" w:hAnsi="Calibri"/>
                <w:b/>
                <w:color w:val="000000"/>
                <w:szCs w:val="22"/>
              </w:rPr>
            </w:pPr>
            <w:r>
              <w:rPr>
                <w:rFonts w:ascii="Calibri" w:hAnsi="Calibri"/>
                <w:b/>
                <w:color w:val="000000"/>
                <w:szCs w:val="22"/>
              </w:rPr>
              <w:t>17.7</w:t>
            </w:r>
            <w:r w:rsidR="00540FA4" w:rsidRPr="008B322C">
              <w:rPr>
                <w:rFonts w:ascii="Calibri" w:hAnsi="Calibri"/>
                <w:b/>
                <w:color w:val="000000"/>
                <w:szCs w:val="22"/>
              </w:rPr>
              <w:t>%</w:t>
            </w:r>
          </w:p>
          <w:p w:rsidR="00540FA4" w:rsidRDefault="00322AB8" w:rsidP="00E2296F">
            <w:pPr>
              <w:jc w:val="center"/>
              <w:rPr>
                <w:rFonts w:ascii="Calibri" w:hAnsi="Calibri"/>
                <w:color w:val="000000"/>
                <w:szCs w:val="22"/>
              </w:rPr>
            </w:pPr>
            <w:r>
              <w:rPr>
                <w:rFonts w:ascii="Calibri" w:hAnsi="Calibri"/>
                <w:color w:val="000000"/>
                <w:szCs w:val="22"/>
              </w:rPr>
              <w:t>2.7</w:t>
            </w:r>
            <w:r w:rsidR="00540FA4">
              <w:rPr>
                <w:rFonts w:ascii="Calibri" w:hAnsi="Calibri"/>
                <w:color w:val="000000"/>
                <w:szCs w:val="22"/>
              </w:rPr>
              <w:t>%</w:t>
            </w:r>
          </w:p>
          <w:p w:rsidR="00540FA4" w:rsidRDefault="00322AB8" w:rsidP="00E2296F">
            <w:pPr>
              <w:jc w:val="center"/>
              <w:rPr>
                <w:rFonts w:ascii="Calibri" w:hAnsi="Calibri"/>
                <w:color w:val="000000"/>
                <w:szCs w:val="22"/>
              </w:rPr>
            </w:pPr>
            <w:r>
              <w:rPr>
                <w:rFonts w:ascii="Calibri" w:hAnsi="Calibri"/>
                <w:color w:val="000000"/>
                <w:szCs w:val="22"/>
              </w:rPr>
              <w:t>0.2</w:t>
            </w:r>
            <w:r w:rsidR="00540FA4">
              <w:rPr>
                <w:rFonts w:ascii="Calibri" w:hAnsi="Calibri"/>
                <w:color w:val="000000"/>
                <w:szCs w:val="22"/>
              </w:rPr>
              <w:t>%</w:t>
            </w:r>
          </w:p>
          <w:p w:rsidR="00540FA4" w:rsidRDefault="00322AB8" w:rsidP="00E2296F">
            <w:pPr>
              <w:jc w:val="center"/>
              <w:rPr>
                <w:rFonts w:ascii="Calibri" w:hAnsi="Calibri"/>
                <w:color w:val="000000"/>
                <w:szCs w:val="22"/>
              </w:rPr>
            </w:pPr>
            <w:r>
              <w:rPr>
                <w:rFonts w:ascii="Calibri" w:hAnsi="Calibri"/>
                <w:color w:val="000000"/>
                <w:szCs w:val="22"/>
              </w:rPr>
              <w:t>0.7</w:t>
            </w:r>
            <w:r w:rsidR="00540FA4">
              <w:rPr>
                <w:rFonts w:ascii="Calibri" w:hAnsi="Calibri"/>
                <w:color w:val="000000"/>
                <w:szCs w:val="22"/>
              </w:rPr>
              <w:t>%</w:t>
            </w:r>
          </w:p>
          <w:p w:rsidR="00540FA4" w:rsidRDefault="00540FA4" w:rsidP="00E2296F">
            <w:pPr>
              <w:jc w:val="center"/>
              <w:rPr>
                <w:rFonts w:ascii="Calibri" w:hAnsi="Calibri"/>
                <w:color w:val="000000"/>
                <w:szCs w:val="22"/>
              </w:rPr>
            </w:pPr>
            <w:r>
              <w:rPr>
                <w:rFonts w:ascii="Calibri" w:hAnsi="Calibri"/>
                <w:color w:val="000000"/>
                <w:szCs w:val="22"/>
              </w:rPr>
              <w:t>1.0%</w:t>
            </w:r>
          </w:p>
          <w:p w:rsidR="00540FA4" w:rsidRDefault="00322AB8" w:rsidP="00E2296F">
            <w:pPr>
              <w:jc w:val="center"/>
              <w:rPr>
                <w:rFonts w:ascii="Calibri" w:hAnsi="Calibri"/>
                <w:color w:val="000000"/>
                <w:szCs w:val="22"/>
              </w:rPr>
            </w:pPr>
            <w:r>
              <w:rPr>
                <w:rFonts w:ascii="Calibri" w:hAnsi="Calibri"/>
                <w:color w:val="000000"/>
                <w:szCs w:val="22"/>
              </w:rPr>
              <w:t>1.2</w:t>
            </w:r>
            <w:r w:rsidR="00540FA4">
              <w:rPr>
                <w:rFonts w:ascii="Calibri" w:hAnsi="Calibri"/>
                <w:color w:val="000000"/>
                <w:szCs w:val="22"/>
              </w:rPr>
              <w:t>%</w:t>
            </w:r>
          </w:p>
          <w:p w:rsidR="00540FA4" w:rsidRDefault="00322AB8" w:rsidP="00E2296F">
            <w:pPr>
              <w:jc w:val="center"/>
              <w:rPr>
                <w:rFonts w:ascii="Calibri" w:hAnsi="Calibri"/>
                <w:color w:val="000000"/>
                <w:szCs w:val="22"/>
              </w:rPr>
            </w:pPr>
            <w:r>
              <w:rPr>
                <w:rFonts w:ascii="Calibri" w:hAnsi="Calibri"/>
                <w:color w:val="000000"/>
                <w:szCs w:val="22"/>
              </w:rPr>
              <w:t>2.2</w:t>
            </w:r>
            <w:r w:rsidR="00540FA4">
              <w:rPr>
                <w:rFonts w:ascii="Calibri" w:hAnsi="Calibri"/>
                <w:color w:val="000000"/>
                <w:szCs w:val="22"/>
              </w:rPr>
              <w:t>%</w:t>
            </w:r>
          </w:p>
          <w:p w:rsidR="00540FA4" w:rsidRDefault="00540FA4" w:rsidP="00E2296F">
            <w:pPr>
              <w:jc w:val="center"/>
              <w:rPr>
                <w:rFonts w:ascii="Calibri" w:hAnsi="Calibri"/>
                <w:color w:val="000000"/>
                <w:szCs w:val="22"/>
              </w:rPr>
            </w:pPr>
            <w:r>
              <w:rPr>
                <w:rFonts w:ascii="Calibri" w:hAnsi="Calibri"/>
                <w:color w:val="000000"/>
                <w:szCs w:val="22"/>
              </w:rPr>
              <w:t>2.5%</w:t>
            </w:r>
          </w:p>
          <w:p w:rsidR="00540FA4" w:rsidRDefault="00540FA4" w:rsidP="00E2296F">
            <w:pPr>
              <w:jc w:val="center"/>
              <w:rPr>
                <w:rFonts w:ascii="Calibri" w:hAnsi="Calibri"/>
                <w:color w:val="000000"/>
                <w:szCs w:val="22"/>
              </w:rPr>
            </w:pPr>
            <w:r>
              <w:rPr>
                <w:rFonts w:ascii="Calibri" w:hAnsi="Calibri"/>
                <w:color w:val="000000"/>
                <w:szCs w:val="22"/>
              </w:rPr>
              <w:t>1.0%</w:t>
            </w:r>
          </w:p>
          <w:p w:rsidR="00540FA4" w:rsidRDefault="00540FA4" w:rsidP="00E2296F">
            <w:pPr>
              <w:jc w:val="center"/>
              <w:rPr>
                <w:rFonts w:ascii="Calibri" w:hAnsi="Calibri"/>
                <w:color w:val="000000"/>
                <w:szCs w:val="22"/>
              </w:rPr>
            </w:pPr>
            <w:r>
              <w:rPr>
                <w:rFonts w:ascii="Calibri" w:hAnsi="Calibri"/>
                <w:color w:val="000000"/>
                <w:szCs w:val="22"/>
              </w:rPr>
              <w:t>0.5%</w:t>
            </w:r>
          </w:p>
          <w:p w:rsidR="00540FA4" w:rsidRDefault="00540FA4" w:rsidP="00E2296F">
            <w:pPr>
              <w:jc w:val="center"/>
              <w:rPr>
                <w:rFonts w:ascii="Calibri" w:hAnsi="Calibri"/>
                <w:color w:val="000000"/>
                <w:szCs w:val="22"/>
              </w:rPr>
            </w:pPr>
            <w:r>
              <w:rPr>
                <w:rFonts w:ascii="Calibri" w:hAnsi="Calibri"/>
                <w:color w:val="000000"/>
                <w:szCs w:val="22"/>
              </w:rPr>
              <w:t>2.0%</w:t>
            </w:r>
          </w:p>
          <w:p w:rsidR="00540FA4" w:rsidRDefault="00322AB8" w:rsidP="00E2296F">
            <w:pPr>
              <w:jc w:val="center"/>
              <w:rPr>
                <w:rFonts w:ascii="Calibri" w:hAnsi="Calibri"/>
                <w:color w:val="000000"/>
                <w:szCs w:val="22"/>
              </w:rPr>
            </w:pPr>
            <w:r>
              <w:rPr>
                <w:rFonts w:ascii="Calibri" w:hAnsi="Calibri"/>
                <w:color w:val="000000"/>
                <w:szCs w:val="22"/>
              </w:rPr>
              <w:t>0.7</w:t>
            </w:r>
            <w:r w:rsidR="00540FA4">
              <w:rPr>
                <w:rFonts w:ascii="Calibri" w:hAnsi="Calibri"/>
                <w:color w:val="000000"/>
                <w:szCs w:val="22"/>
              </w:rPr>
              <w:t>%</w:t>
            </w:r>
          </w:p>
          <w:p w:rsidR="00540FA4" w:rsidRPr="008B322C" w:rsidRDefault="00322AB8" w:rsidP="00E2296F">
            <w:pPr>
              <w:jc w:val="center"/>
              <w:rPr>
                <w:rFonts w:ascii="Calibri" w:hAnsi="Calibri"/>
                <w:color w:val="000000"/>
                <w:szCs w:val="22"/>
              </w:rPr>
            </w:pPr>
            <w:r>
              <w:rPr>
                <w:rFonts w:ascii="Calibri" w:hAnsi="Calibri"/>
                <w:color w:val="000000"/>
                <w:szCs w:val="22"/>
              </w:rPr>
              <w:t>2.7</w:t>
            </w:r>
            <w:r w:rsidR="00540FA4">
              <w:rPr>
                <w:rFonts w:ascii="Calibri" w:hAnsi="Calibri"/>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jc w:val="left"/>
              <w:rPr>
                <w:rFonts w:ascii="Calibri" w:hAnsi="Calibri" w:cs="Calibri"/>
                <w:b/>
                <w:color w:val="000000"/>
                <w:szCs w:val="22"/>
              </w:rPr>
            </w:pPr>
            <w:r>
              <w:rPr>
                <w:rFonts w:ascii="Calibri" w:hAnsi="Calibri" w:cs="Calibri"/>
                <w:b/>
                <w:color w:val="000000"/>
                <w:szCs w:val="22"/>
              </w:rPr>
              <w:t>Hearing services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0.2</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Intensive care/critical care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0.7</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Maternity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29</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7.2</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 xml:space="preserve">Mental health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91</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22.7</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Occupational therapy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0.2</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Paediatrics (not surgical)</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2.0%</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tcPr>
          <w:p w:rsidR="00540FA4" w:rsidRDefault="00540FA4" w:rsidP="00E2296F">
            <w:pPr>
              <w:rPr>
                <w:rFonts w:ascii="Calibri" w:hAnsi="Calibri" w:cs="Calibri"/>
                <w:b/>
                <w:color w:val="000000"/>
                <w:szCs w:val="22"/>
              </w:rPr>
            </w:pPr>
            <w:r>
              <w:rPr>
                <w:rFonts w:ascii="Calibri" w:hAnsi="Calibri" w:cs="Calibri"/>
                <w:b/>
                <w:color w:val="000000"/>
                <w:szCs w:val="22"/>
              </w:rPr>
              <w:t>Physiotherapy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322AB8" w:rsidP="00E2296F">
            <w:pPr>
              <w:jc w:val="center"/>
              <w:rPr>
                <w:rFonts w:ascii="Calibri" w:hAnsi="Calibri"/>
                <w:b/>
                <w:color w:val="000000"/>
                <w:szCs w:val="22"/>
              </w:rPr>
            </w:pPr>
            <w:r>
              <w:rPr>
                <w:rFonts w:ascii="Calibri" w:hAnsi="Calibri"/>
                <w:b/>
                <w:color w:val="000000"/>
                <w:szCs w:val="22"/>
              </w:rPr>
              <w:t>0.2</w:t>
            </w:r>
            <w:r w:rsidR="00540FA4">
              <w:rPr>
                <w:rFonts w:ascii="Calibri" w:hAnsi="Calibri"/>
                <w:b/>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 xml:space="preserve">Rehabilitation services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0.5%</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Sexual health</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0.5%</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ascii="Calibri" w:hAnsi="Calibri" w:cs="Calibri"/>
                <w:b/>
                <w:color w:val="000000"/>
                <w:szCs w:val="22"/>
              </w:rPr>
            </w:pPr>
            <w:r>
              <w:rPr>
                <w:rFonts w:ascii="Calibri" w:hAnsi="Calibri" w:cs="Calibri"/>
                <w:b/>
                <w:color w:val="000000"/>
                <w:szCs w:val="22"/>
              </w:rPr>
              <w:t>Surgery</w:t>
            </w:r>
          </w:p>
          <w:p w:rsidR="00540FA4" w:rsidRDefault="00540FA4" w:rsidP="00E2296F">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540FA4" w:rsidRDefault="00540FA4" w:rsidP="00E2296F">
            <w:pPr>
              <w:rPr>
                <w:rFonts w:ascii="Calibri" w:hAnsi="Calibri" w:cs="Calibri"/>
                <w:color w:val="000000"/>
                <w:szCs w:val="22"/>
              </w:rPr>
            </w:pPr>
            <w:r>
              <w:rPr>
                <w:rFonts w:ascii="Calibri" w:hAnsi="Calibri" w:cs="Calibri"/>
                <w:color w:val="000000"/>
                <w:szCs w:val="22"/>
              </w:rPr>
              <w:t xml:space="preserve">  General</w:t>
            </w:r>
          </w:p>
          <w:p w:rsidR="00540FA4" w:rsidRDefault="00540FA4" w:rsidP="00E2296F">
            <w:pPr>
              <w:rPr>
                <w:rFonts w:ascii="Calibri" w:hAnsi="Calibri" w:cs="Calibri"/>
                <w:color w:val="000000"/>
                <w:szCs w:val="22"/>
              </w:rPr>
            </w:pPr>
            <w:r>
              <w:rPr>
                <w:rFonts w:ascii="Calibri" w:hAnsi="Calibri" w:cs="Calibri"/>
                <w:color w:val="000000"/>
                <w:szCs w:val="22"/>
              </w:rPr>
              <w:t xml:space="preserve">  Gynaecology</w:t>
            </w:r>
          </w:p>
          <w:p w:rsidR="00540FA4" w:rsidRDefault="00540FA4" w:rsidP="00E2296F">
            <w:pPr>
              <w:rPr>
                <w:rFonts w:ascii="Calibri" w:hAnsi="Calibri" w:cs="Calibri"/>
                <w:color w:val="000000"/>
                <w:szCs w:val="22"/>
              </w:rPr>
            </w:pPr>
            <w:r>
              <w:rPr>
                <w:rFonts w:ascii="Calibri" w:hAnsi="Calibri" w:cs="Calibri"/>
                <w:color w:val="000000"/>
                <w:szCs w:val="22"/>
              </w:rPr>
              <w:t xml:space="preserve">  Neurosurgery</w:t>
            </w:r>
          </w:p>
          <w:p w:rsidR="00540FA4" w:rsidRDefault="00540FA4" w:rsidP="00E2296F">
            <w:pPr>
              <w:rPr>
                <w:rFonts w:ascii="Calibri" w:hAnsi="Calibri" w:cs="Calibri"/>
                <w:color w:val="000000"/>
                <w:szCs w:val="22"/>
              </w:rPr>
            </w:pPr>
            <w:r>
              <w:rPr>
                <w:rFonts w:ascii="Calibri" w:hAnsi="Calibri" w:cs="Calibri"/>
                <w:color w:val="000000"/>
                <w:szCs w:val="22"/>
              </w:rPr>
              <w:t xml:space="preserve">  Ophthalmology</w:t>
            </w:r>
          </w:p>
          <w:p w:rsidR="00540FA4" w:rsidRDefault="00540FA4" w:rsidP="00E2296F">
            <w:pPr>
              <w:rPr>
                <w:rFonts w:ascii="Calibri" w:hAnsi="Calibri" w:cs="Calibri"/>
                <w:color w:val="000000"/>
                <w:szCs w:val="22"/>
              </w:rPr>
            </w:pPr>
            <w:r>
              <w:rPr>
                <w:rFonts w:ascii="Calibri" w:hAnsi="Calibri" w:cs="Calibri"/>
                <w:color w:val="000000"/>
                <w:szCs w:val="22"/>
              </w:rPr>
              <w:t xml:space="preserve">  Orthopaedics</w:t>
            </w:r>
          </w:p>
          <w:p w:rsidR="00540FA4" w:rsidRDefault="00540FA4" w:rsidP="00E2296F">
            <w:pPr>
              <w:rPr>
                <w:rFonts w:ascii="Calibri" w:hAnsi="Calibri" w:cs="Calibri"/>
                <w:color w:val="000000"/>
                <w:szCs w:val="22"/>
              </w:rPr>
            </w:pPr>
            <w:r>
              <w:rPr>
                <w:rFonts w:ascii="Calibri" w:hAnsi="Calibri" w:cs="Calibri"/>
                <w:color w:val="000000"/>
                <w:szCs w:val="22"/>
              </w:rPr>
              <w:t xml:space="preserve">  Otolaryngology</w:t>
            </w:r>
          </w:p>
          <w:p w:rsidR="00540FA4" w:rsidRDefault="00540FA4" w:rsidP="00E2296F">
            <w:pPr>
              <w:rPr>
                <w:rFonts w:ascii="Calibri" w:hAnsi="Calibri" w:cs="Calibri"/>
                <w:color w:val="000000"/>
                <w:szCs w:val="22"/>
              </w:rPr>
            </w:pPr>
            <w:r>
              <w:rPr>
                <w:rFonts w:ascii="Calibri" w:hAnsi="Calibri" w:cs="Calibri"/>
                <w:color w:val="000000"/>
                <w:szCs w:val="22"/>
              </w:rPr>
              <w:t xml:space="preserve">  Plastic and Reconstructive</w:t>
            </w:r>
          </w:p>
          <w:p w:rsidR="00540FA4" w:rsidRDefault="00540FA4" w:rsidP="00E2296F">
            <w:pPr>
              <w:rPr>
                <w:rFonts w:ascii="Calibri" w:hAnsi="Calibri" w:cs="Calibri"/>
                <w:color w:val="000000"/>
                <w:szCs w:val="22"/>
              </w:rPr>
            </w:pPr>
            <w:r>
              <w:rPr>
                <w:rFonts w:ascii="Calibri" w:hAnsi="Calibri" w:cs="Calibri"/>
                <w:color w:val="000000"/>
                <w:szCs w:val="22"/>
              </w:rPr>
              <w:t xml:space="preserve">  Urology</w:t>
            </w:r>
          </w:p>
          <w:p w:rsidR="00540FA4" w:rsidRDefault="00540FA4" w:rsidP="00E2296F">
            <w:pPr>
              <w:rPr>
                <w:rFonts w:ascii="Calibri" w:hAnsi="Calibri" w:cs="Calibri"/>
                <w:color w:val="000000"/>
                <w:szCs w:val="22"/>
              </w:rPr>
            </w:pPr>
            <w:r>
              <w:rPr>
                <w:rFonts w:ascii="Calibri" w:hAnsi="Calibri" w:cs="Calibri"/>
                <w:color w:val="000000"/>
                <w:szCs w:val="22"/>
              </w:rPr>
              <w:t xml:space="preserve">  Unknown</w:t>
            </w:r>
          </w:p>
        </w:tc>
        <w:tc>
          <w:tcPr>
            <w:tcW w:w="1701" w:type="dxa"/>
            <w:tcBorders>
              <w:top w:val="single" w:sz="4" w:space="0" w:color="auto"/>
              <w:left w:val="single" w:sz="4" w:space="0" w:color="auto"/>
              <w:bottom w:val="single" w:sz="4" w:space="0" w:color="auto"/>
              <w:right w:val="single" w:sz="4" w:space="0" w:color="auto"/>
            </w:tcBorders>
          </w:tcPr>
          <w:p w:rsidR="00540FA4" w:rsidRPr="008B322C" w:rsidRDefault="00322AB8" w:rsidP="00E2296F">
            <w:pPr>
              <w:jc w:val="center"/>
              <w:rPr>
                <w:rFonts w:ascii="Calibri" w:hAnsi="Calibri"/>
                <w:b/>
                <w:color w:val="000000"/>
                <w:szCs w:val="22"/>
              </w:rPr>
            </w:pPr>
            <w:r>
              <w:rPr>
                <w:rFonts w:ascii="Calibri" w:hAnsi="Calibri"/>
                <w:b/>
                <w:color w:val="000000"/>
                <w:szCs w:val="22"/>
              </w:rPr>
              <w:t>107</w:t>
            </w:r>
          </w:p>
          <w:p w:rsidR="00540FA4" w:rsidRDefault="00540FA4" w:rsidP="00E2296F">
            <w:pPr>
              <w:jc w:val="center"/>
              <w:rPr>
                <w:rFonts w:ascii="Calibri" w:hAnsi="Calibri"/>
                <w:color w:val="000000"/>
                <w:szCs w:val="22"/>
              </w:rPr>
            </w:pPr>
            <w:r>
              <w:rPr>
                <w:rFonts w:ascii="Calibri" w:hAnsi="Calibri"/>
                <w:color w:val="000000"/>
                <w:szCs w:val="22"/>
              </w:rPr>
              <w:t>2</w:t>
            </w:r>
          </w:p>
          <w:p w:rsidR="00540FA4" w:rsidRDefault="00322AB8" w:rsidP="00E2296F">
            <w:pPr>
              <w:jc w:val="center"/>
              <w:rPr>
                <w:rFonts w:ascii="Calibri" w:hAnsi="Calibri"/>
                <w:color w:val="000000"/>
                <w:szCs w:val="22"/>
              </w:rPr>
            </w:pPr>
            <w:r>
              <w:rPr>
                <w:rFonts w:ascii="Calibri" w:hAnsi="Calibri"/>
                <w:color w:val="000000"/>
                <w:szCs w:val="22"/>
              </w:rPr>
              <w:t>24</w:t>
            </w:r>
          </w:p>
          <w:p w:rsidR="00540FA4" w:rsidRDefault="00540FA4" w:rsidP="00E2296F">
            <w:pPr>
              <w:jc w:val="center"/>
              <w:rPr>
                <w:rFonts w:ascii="Calibri" w:hAnsi="Calibri"/>
                <w:color w:val="000000"/>
                <w:szCs w:val="22"/>
              </w:rPr>
            </w:pPr>
            <w:r>
              <w:rPr>
                <w:rFonts w:ascii="Calibri" w:hAnsi="Calibri"/>
                <w:color w:val="000000"/>
                <w:szCs w:val="22"/>
              </w:rPr>
              <w:t>22</w:t>
            </w:r>
          </w:p>
          <w:p w:rsidR="00540FA4" w:rsidRDefault="00540FA4" w:rsidP="00E2296F">
            <w:pPr>
              <w:jc w:val="center"/>
              <w:rPr>
                <w:rFonts w:ascii="Calibri" w:hAnsi="Calibri"/>
                <w:color w:val="000000"/>
                <w:szCs w:val="22"/>
              </w:rPr>
            </w:pPr>
            <w:r>
              <w:rPr>
                <w:rFonts w:ascii="Calibri" w:hAnsi="Calibri"/>
                <w:color w:val="000000"/>
                <w:szCs w:val="22"/>
              </w:rPr>
              <w:t>2</w:t>
            </w:r>
          </w:p>
          <w:p w:rsidR="00540FA4" w:rsidRDefault="00540FA4" w:rsidP="00E2296F">
            <w:pPr>
              <w:jc w:val="center"/>
              <w:rPr>
                <w:rFonts w:ascii="Calibri" w:hAnsi="Calibri"/>
                <w:color w:val="000000"/>
                <w:szCs w:val="22"/>
              </w:rPr>
            </w:pPr>
            <w:r>
              <w:rPr>
                <w:rFonts w:ascii="Calibri" w:hAnsi="Calibri"/>
                <w:color w:val="000000"/>
                <w:szCs w:val="22"/>
              </w:rPr>
              <w:t>6</w:t>
            </w:r>
          </w:p>
          <w:p w:rsidR="00540FA4" w:rsidRDefault="00540FA4" w:rsidP="00E2296F">
            <w:pPr>
              <w:jc w:val="center"/>
              <w:rPr>
                <w:rFonts w:ascii="Calibri" w:hAnsi="Calibri"/>
                <w:color w:val="000000"/>
                <w:szCs w:val="22"/>
              </w:rPr>
            </w:pPr>
            <w:r>
              <w:rPr>
                <w:rFonts w:ascii="Calibri" w:hAnsi="Calibri"/>
                <w:color w:val="000000"/>
                <w:szCs w:val="22"/>
              </w:rPr>
              <w:t>28</w:t>
            </w:r>
          </w:p>
          <w:p w:rsidR="00540FA4" w:rsidRDefault="00540FA4" w:rsidP="00E2296F">
            <w:pPr>
              <w:jc w:val="center"/>
              <w:rPr>
                <w:rFonts w:ascii="Calibri" w:hAnsi="Calibri"/>
                <w:color w:val="000000"/>
                <w:szCs w:val="22"/>
              </w:rPr>
            </w:pPr>
            <w:r>
              <w:rPr>
                <w:rFonts w:ascii="Calibri" w:hAnsi="Calibri"/>
                <w:color w:val="000000"/>
                <w:szCs w:val="22"/>
              </w:rPr>
              <w:t>7</w:t>
            </w:r>
          </w:p>
          <w:p w:rsidR="00540FA4" w:rsidRDefault="00540FA4" w:rsidP="00E2296F">
            <w:pPr>
              <w:jc w:val="center"/>
              <w:rPr>
                <w:rFonts w:ascii="Calibri" w:hAnsi="Calibri"/>
                <w:color w:val="000000"/>
                <w:szCs w:val="22"/>
              </w:rPr>
            </w:pPr>
            <w:r>
              <w:rPr>
                <w:rFonts w:ascii="Calibri" w:hAnsi="Calibri"/>
                <w:color w:val="000000"/>
                <w:szCs w:val="22"/>
              </w:rPr>
              <w:t>10</w:t>
            </w:r>
          </w:p>
          <w:p w:rsidR="00540FA4" w:rsidRDefault="00540FA4" w:rsidP="00E2296F">
            <w:pPr>
              <w:jc w:val="center"/>
              <w:rPr>
                <w:rFonts w:ascii="Calibri" w:hAnsi="Calibri"/>
                <w:color w:val="000000"/>
                <w:szCs w:val="22"/>
              </w:rPr>
            </w:pPr>
            <w:r>
              <w:rPr>
                <w:rFonts w:ascii="Calibri" w:hAnsi="Calibri"/>
                <w:color w:val="000000"/>
                <w:szCs w:val="22"/>
              </w:rPr>
              <w:t>5</w:t>
            </w:r>
          </w:p>
          <w:p w:rsidR="00540FA4" w:rsidRDefault="00540FA4" w:rsidP="00E2296F">
            <w:pPr>
              <w:jc w:val="center"/>
              <w:rPr>
                <w:rFonts w:ascii="Calibri" w:hAnsi="Calibri"/>
                <w:color w:val="000000"/>
                <w:szCs w:val="22"/>
              </w:rPr>
            </w:pPr>
            <w:r>
              <w:rPr>
                <w:rFonts w:ascii="Calibri" w:hAnsi="Calibri"/>
                <w:color w:val="000000"/>
                <w:szCs w:val="22"/>
              </w:rPr>
              <w:t>1</w:t>
            </w:r>
          </w:p>
        </w:tc>
        <w:tc>
          <w:tcPr>
            <w:tcW w:w="1985" w:type="dxa"/>
            <w:tcBorders>
              <w:top w:val="single" w:sz="4" w:space="0" w:color="auto"/>
              <w:left w:val="single" w:sz="4" w:space="0" w:color="auto"/>
              <w:bottom w:val="single" w:sz="4" w:space="0" w:color="auto"/>
              <w:right w:val="single" w:sz="4" w:space="0" w:color="auto"/>
            </w:tcBorders>
          </w:tcPr>
          <w:p w:rsidR="00540FA4" w:rsidRDefault="00322AB8" w:rsidP="00E2296F">
            <w:pPr>
              <w:jc w:val="center"/>
              <w:rPr>
                <w:rFonts w:ascii="Calibri" w:hAnsi="Calibri"/>
                <w:b/>
                <w:color w:val="000000"/>
                <w:szCs w:val="22"/>
              </w:rPr>
            </w:pPr>
            <w:r>
              <w:rPr>
                <w:rFonts w:ascii="Calibri" w:hAnsi="Calibri"/>
                <w:b/>
                <w:color w:val="000000"/>
                <w:szCs w:val="22"/>
              </w:rPr>
              <w:t>26.7</w:t>
            </w:r>
            <w:r w:rsidR="00540FA4" w:rsidRPr="00D27F89">
              <w:rPr>
                <w:rFonts w:ascii="Calibri" w:hAnsi="Calibri"/>
                <w:b/>
                <w:color w:val="000000"/>
                <w:szCs w:val="22"/>
              </w:rPr>
              <w:t>%</w:t>
            </w:r>
          </w:p>
          <w:p w:rsidR="00540FA4" w:rsidRDefault="00540FA4" w:rsidP="00E2296F">
            <w:pPr>
              <w:jc w:val="center"/>
              <w:rPr>
                <w:rFonts w:ascii="Calibri" w:hAnsi="Calibri"/>
                <w:color w:val="000000"/>
                <w:szCs w:val="22"/>
              </w:rPr>
            </w:pPr>
            <w:r>
              <w:rPr>
                <w:rFonts w:ascii="Calibri" w:hAnsi="Calibri"/>
                <w:color w:val="000000"/>
                <w:szCs w:val="22"/>
              </w:rPr>
              <w:t>0.5%</w:t>
            </w:r>
          </w:p>
          <w:p w:rsidR="00540FA4" w:rsidRDefault="00322AB8" w:rsidP="00E2296F">
            <w:pPr>
              <w:jc w:val="center"/>
              <w:rPr>
                <w:rFonts w:ascii="Calibri" w:hAnsi="Calibri"/>
                <w:color w:val="000000"/>
                <w:szCs w:val="22"/>
              </w:rPr>
            </w:pPr>
            <w:r>
              <w:rPr>
                <w:rFonts w:ascii="Calibri" w:hAnsi="Calibri"/>
                <w:color w:val="000000"/>
                <w:szCs w:val="22"/>
              </w:rPr>
              <w:t>6.0</w:t>
            </w:r>
            <w:r w:rsidR="00540FA4">
              <w:rPr>
                <w:rFonts w:ascii="Calibri" w:hAnsi="Calibri"/>
                <w:color w:val="000000"/>
                <w:szCs w:val="22"/>
              </w:rPr>
              <w:t>%</w:t>
            </w:r>
          </w:p>
          <w:p w:rsidR="00540FA4" w:rsidRDefault="00540FA4" w:rsidP="00E2296F">
            <w:pPr>
              <w:jc w:val="center"/>
              <w:rPr>
                <w:rFonts w:ascii="Calibri" w:hAnsi="Calibri"/>
                <w:color w:val="000000"/>
                <w:szCs w:val="22"/>
              </w:rPr>
            </w:pPr>
            <w:r>
              <w:rPr>
                <w:rFonts w:ascii="Calibri" w:hAnsi="Calibri"/>
                <w:color w:val="000000"/>
                <w:szCs w:val="22"/>
              </w:rPr>
              <w:t>5.5%</w:t>
            </w:r>
          </w:p>
          <w:p w:rsidR="00540FA4" w:rsidRDefault="00540FA4" w:rsidP="00E2296F">
            <w:pPr>
              <w:jc w:val="center"/>
              <w:rPr>
                <w:rFonts w:ascii="Calibri" w:hAnsi="Calibri"/>
                <w:color w:val="000000"/>
                <w:szCs w:val="22"/>
              </w:rPr>
            </w:pPr>
            <w:r>
              <w:rPr>
                <w:rFonts w:ascii="Calibri" w:hAnsi="Calibri"/>
                <w:color w:val="000000"/>
                <w:szCs w:val="22"/>
              </w:rPr>
              <w:t>0.5%</w:t>
            </w:r>
          </w:p>
          <w:p w:rsidR="00540FA4" w:rsidRDefault="00540FA4" w:rsidP="00E2296F">
            <w:pPr>
              <w:jc w:val="center"/>
              <w:rPr>
                <w:rFonts w:ascii="Calibri" w:hAnsi="Calibri"/>
                <w:color w:val="000000"/>
                <w:szCs w:val="22"/>
              </w:rPr>
            </w:pPr>
            <w:r>
              <w:rPr>
                <w:rFonts w:ascii="Calibri" w:hAnsi="Calibri"/>
                <w:color w:val="000000"/>
                <w:szCs w:val="22"/>
              </w:rPr>
              <w:t>1.5%</w:t>
            </w:r>
          </w:p>
          <w:p w:rsidR="00540FA4" w:rsidRDefault="00322AB8" w:rsidP="00E2296F">
            <w:pPr>
              <w:jc w:val="center"/>
              <w:rPr>
                <w:rFonts w:ascii="Calibri" w:hAnsi="Calibri"/>
                <w:color w:val="000000"/>
                <w:szCs w:val="22"/>
              </w:rPr>
            </w:pPr>
            <w:r>
              <w:rPr>
                <w:rFonts w:ascii="Calibri" w:hAnsi="Calibri"/>
                <w:color w:val="000000"/>
                <w:szCs w:val="22"/>
              </w:rPr>
              <w:t>7.0%</w:t>
            </w:r>
            <w:r>
              <w:rPr>
                <w:rFonts w:ascii="Calibri" w:hAnsi="Calibri"/>
                <w:color w:val="000000"/>
                <w:szCs w:val="22"/>
              </w:rPr>
              <w:br/>
              <w:t>1.7</w:t>
            </w:r>
            <w:r w:rsidR="00540FA4">
              <w:rPr>
                <w:rFonts w:ascii="Calibri" w:hAnsi="Calibri"/>
                <w:color w:val="000000"/>
                <w:szCs w:val="22"/>
              </w:rPr>
              <w:t>%</w:t>
            </w:r>
          </w:p>
          <w:p w:rsidR="00540FA4" w:rsidRDefault="00540FA4" w:rsidP="00E2296F">
            <w:pPr>
              <w:jc w:val="center"/>
              <w:rPr>
                <w:rFonts w:ascii="Calibri" w:hAnsi="Calibri"/>
                <w:color w:val="000000"/>
                <w:szCs w:val="22"/>
              </w:rPr>
            </w:pPr>
            <w:r>
              <w:rPr>
                <w:rFonts w:ascii="Calibri" w:hAnsi="Calibri"/>
                <w:color w:val="000000"/>
                <w:szCs w:val="22"/>
              </w:rPr>
              <w:t>2.5%</w:t>
            </w:r>
          </w:p>
          <w:p w:rsidR="00540FA4" w:rsidRDefault="00322AB8" w:rsidP="00E2296F">
            <w:pPr>
              <w:jc w:val="center"/>
              <w:rPr>
                <w:rFonts w:ascii="Calibri" w:hAnsi="Calibri"/>
                <w:color w:val="000000"/>
                <w:szCs w:val="22"/>
              </w:rPr>
            </w:pPr>
            <w:r>
              <w:rPr>
                <w:rFonts w:ascii="Calibri" w:hAnsi="Calibri"/>
                <w:color w:val="000000"/>
                <w:szCs w:val="22"/>
              </w:rPr>
              <w:t>1.2</w:t>
            </w:r>
            <w:r w:rsidR="00540FA4">
              <w:rPr>
                <w:rFonts w:ascii="Calibri" w:hAnsi="Calibri"/>
                <w:color w:val="000000"/>
                <w:szCs w:val="22"/>
              </w:rPr>
              <w:t>%</w:t>
            </w:r>
          </w:p>
          <w:p w:rsidR="00540FA4" w:rsidRPr="00D27F89" w:rsidRDefault="00322AB8" w:rsidP="00E2296F">
            <w:pPr>
              <w:jc w:val="center"/>
              <w:rPr>
                <w:rFonts w:ascii="Calibri" w:hAnsi="Calibri"/>
                <w:color w:val="000000"/>
                <w:szCs w:val="22"/>
              </w:rPr>
            </w:pPr>
            <w:r>
              <w:rPr>
                <w:rFonts w:ascii="Calibri" w:hAnsi="Calibri"/>
                <w:color w:val="000000"/>
                <w:szCs w:val="22"/>
              </w:rPr>
              <w:t>0.2</w:t>
            </w:r>
            <w:r w:rsidR="00540FA4">
              <w:rPr>
                <w:rFonts w:ascii="Calibri" w:hAnsi="Calibri"/>
                <w:color w:val="000000"/>
                <w:szCs w:val="22"/>
              </w:rPr>
              <w:t>%</w:t>
            </w:r>
          </w:p>
        </w:tc>
      </w:tr>
      <w:tr w:rsidR="00540FA4" w:rsidTr="00E2296F">
        <w:tc>
          <w:tcPr>
            <w:tcW w:w="4678"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rPr>
                <w:rFonts w:cs="Arial"/>
                <w:b/>
                <w:szCs w:val="22"/>
              </w:rPr>
            </w:pPr>
            <w:r>
              <w:rPr>
                <w:rFonts w:cs="Arial"/>
                <w:b/>
                <w:szCs w:val="22"/>
              </w:rPr>
              <w:t>Other health service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b/>
                <w:color w:val="000000"/>
                <w:szCs w:val="22"/>
              </w:rPr>
            </w:pPr>
            <w:r>
              <w:rPr>
                <w:rFonts w:ascii="Calibri" w:hAnsi="Calibri"/>
                <w:b/>
                <w:color w:val="000000"/>
                <w:szCs w:val="22"/>
              </w:rPr>
              <w:t>1.0%</w:t>
            </w:r>
          </w:p>
        </w:tc>
      </w:tr>
      <w:tr w:rsidR="00540FA4" w:rsidTr="00E2296F">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tabs>
                <w:tab w:val="left" w:pos="1440"/>
                <w:tab w:val="decimal" w:pos="4320"/>
              </w:tabs>
              <w:spacing w:before="100" w:beforeAutospacing="1" w:after="100" w:afterAutospacing="1"/>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322AB8" w:rsidP="00E2296F">
            <w:pPr>
              <w:jc w:val="center"/>
              <w:rPr>
                <w:rFonts w:ascii="Calibri" w:hAnsi="Calibri" w:cs="Calibri"/>
                <w:b/>
                <w:color w:val="000000"/>
                <w:szCs w:val="22"/>
              </w:rPr>
            </w:pPr>
            <w:r>
              <w:rPr>
                <w:rFonts w:ascii="Calibri" w:hAnsi="Calibri" w:cs="Calibri"/>
                <w:b/>
                <w:color w:val="000000"/>
                <w:szCs w:val="22"/>
              </w:rPr>
              <w:t>401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jc w:val="center"/>
              <w:rPr>
                <w:rFonts w:ascii="Calibri" w:hAnsi="Calibri" w:cs="Calibri"/>
                <w:color w:val="000000"/>
                <w:szCs w:val="22"/>
              </w:rPr>
            </w:pPr>
          </w:p>
        </w:tc>
      </w:tr>
    </w:tbl>
    <w:p w:rsidR="00540FA4" w:rsidRDefault="00322AB8" w:rsidP="00540FA4">
      <w:bookmarkStart w:id="52" w:name="_Toc426462632"/>
      <w:r>
        <w:lastRenderedPageBreak/>
        <w:t>Surgical services (26.7</w:t>
      </w:r>
      <w:r w:rsidR="00540FA4">
        <w:t>%) received the greatest number of complaints in Jan-Jun 2016, with orthopaedics (7.0%), general surgery (</w:t>
      </w:r>
      <w:r>
        <w:t>6.0</w:t>
      </w:r>
      <w:r w:rsidR="00540FA4">
        <w:t>%) and gynaecology (5.5%) being the most commonly complained about surgical specialties. Other commonly complained about servi</w:t>
      </w:r>
      <w:r>
        <w:t>ces included mental health (22.7%), general medicine (17.7%), emergency departments (12.2%) and maternity services (7.2</w:t>
      </w:r>
      <w:r w:rsidR="00540FA4">
        <w:t xml:space="preserve">%). This is broadly similar to what was seen last period. </w:t>
      </w:r>
    </w:p>
    <w:p w:rsidR="00540FA4" w:rsidRDefault="00540FA4" w:rsidP="00540FA4">
      <w:pPr>
        <w:pStyle w:val="Heading2"/>
        <w:rPr>
          <w:lang w:val="en-NZ"/>
        </w:rPr>
      </w:pPr>
      <w:bookmarkStart w:id="53" w:name="_Toc443992227"/>
      <w:bookmarkStart w:id="54" w:name="_Toc445910051"/>
      <w:bookmarkStart w:id="55" w:name="_Toc447291335"/>
      <w:bookmarkStart w:id="56" w:name="_Toc447291473"/>
      <w:bookmarkStart w:id="57" w:name="_Toc447527530"/>
      <w:bookmarkStart w:id="58" w:name="_Toc464718901"/>
      <w:r>
        <w:rPr>
          <w:lang w:val="en-NZ"/>
        </w:rPr>
        <w:t>3.0</w:t>
      </w:r>
      <w:r>
        <w:rPr>
          <w:lang w:val="en-NZ"/>
        </w:rPr>
        <w:tab/>
        <w:t>Issues complained about</w:t>
      </w:r>
      <w:bookmarkEnd w:id="52"/>
      <w:bookmarkEnd w:id="53"/>
      <w:bookmarkEnd w:id="54"/>
      <w:bookmarkEnd w:id="55"/>
      <w:bookmarkEnd w:id="56"/>
      <w:bookmarkEnd w:id="57"/>
      <w:bookmarkEnd w:id="58"/>
      <w:r>
        <w:rPr>
          <w:lang w:val="en-NZ"/>
        </w:rPr>
        <w:t xml:space="preserve"> </w:t>
      </w:r>
    </w:p>
    <w:p w:rsidR="00540FA4" w:rsidRDefault="00540FA4" w:rsidP="00540FA4">
      <w:pPr>
        <w:pStyle w:val="Heading3"/>
        <w:spacing w:before="120" w:after="120"/>
      </w:pPr>
      <w:bookmarkStart w:id="59" w:name="_Toc426462633"/>
      <w:bookmarkStart w:id="60" w:name="_Toc443992228"/>
      <w:bookmarkStart w:id="61" w:name="_Toc445910052"/>
      <w:bookmarkStart w:id="62" w:name="_Toc447291336"/>
      <w:bookmarkStart w:id="63" w:name="_Toc447291474"/>
      <w:bookmarkStart w:id="64" w:name="_Toc447527531"/>
      <w:bookmarkStart w:id="65" w:name="_Toc464718902"/>
      <w:r>
        <w:t>3.1</w:t>
      </w:r>
      <w:r>
        <w:tab/>
        <w:t>Primary complaint issues</w:t>
      </w:r>
      <w:bookmarkEnd w:id="59"/>
      <w:bookmarkEnd w:id="60"/>
      <w:bookmarkEnd w:id="61"/>
      <w:bookmarkEnd w:id="62"/>
      <w:bookmarkEnd w:id="63"/>
      <w:bookmarkEnd w:id="64"/>
      <w:bookmarkEnd w:id="65"/>
    </w:p>
    <w:p w:rsidR="00540FA4" w:rsidRDefault="00540FA4" w:rsidP="00540FA4">
      <w:r>
        <w:t xml:space="preserve">For each complaint received by HDC, one primary complaint issue is identified. Those complaint issues identified in only one complaint are classified as ‘other’. The primary issues identified in complaints received in </w:t>
      </w:r>
      <w:r>
        <w:rPr>
          <w:lang w:eastAsia="en-NZ" w:bidi="ar-SA"/>
        </w:rPr>
        <w:t xml:space="preserve">Jan–Jun 2016 </w:t>
      </w:r>
      <w:r>
        <w:t xml:space="preserve">are listed in Table 6. </w:t>
      </w:r>
    </w:p>
    <w:p w:rsidR="00540FA4" w:rsidRDefault="00540FA4" w:rsidP="00540FA4">
      <w:pPr>
        <w:spacing w:before="120"/>
      </w:pPr>
      <w:r>
        <w:t>The most common primary issue categor</w:t>
      </w:r>
      <w:r w:rsidR="00C13E8A">
        <w:t>ies concerned care/treatment (57.2</w:t>
      </w:r>
      <w:r>
        <w:t>%), access/funding (12.3%), communication (10.2%) and consent/information (8.7%). Among these, the most common specific primary issues in complaints about DHBs were ‘missed/in</w:t>
      </w:r>
      <w:r w:rsidR="00C13E8A">
        <w:t>correct/delayed diagnosis’ (15.7</w:t>
      </w:r>
      <w:r>
        <w:t>%), ‘inadequate/inappr</w:t>
      </w:r>
      <w:r w:rsidR="00C13E8A">
        <w:t>opriate clinical treatment’ (8.6</w:t>
      </w:r>
      <w:r>
        <w:t>%), ‘unexpected treatment outcome’ (7.9%), ‘lack of access to services’ (6.0%), ‘waiting list/prioritisation issue’ (5.2%) and ‘inadequate/inappropriate examination/assessment’ (5.0%). This is broadly similar to what was seen in Jul-Dec 2015.</w:t>
      </w:r>
    </w:p>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Pr>
        <w:spacing w:after="120"/>
        <w:rPr>
          <w:b/>
        </w:rPr>
      </w:pPr>
      <w:r>
        <w:rPr>
          <w:b/>
        </w:rPr>
        <w:lastRenderedPageBreak/>
        <w:t xml:space="preserve">Table 6.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540FA4" w:rsidTr="00E2296F">
        <w:trPr>
          <w:tblHeader/>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r>
              <w:rPr>
                <w:rFonts w:ascii="Calibri" w:hAnsi="Calibri" w:cs="Calibri"/>
                <w:b/>
                <w:i/>
                <w:color w:val="000000"/>
                <w:szCs w:val="22"/>
              </w:rPr>
              <w:t>47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r>
              <w:rPr>
                <w:rFonts w:ascii="Calibri" w:hAnsi="Calibri" w:cs="Calibri"/>
                <w:b/>
                <w:i/>
                <w:color w:val="000000"/>
                <w:szCs w:val="22"/>
              </w:rPr>
              <w:t>12.3%</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6.0%</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0.8%</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5.2%</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r>
              <w:rPr>
                <w:rFonts w:ascii="Calibri" w:hAnsi="Calibri" w:cs="Calibri"/>
                <w:b/>
                <w:i/>
                <w:color w:val="000000"/>
                <w:szCs w:val="22"/>
              </w:rPr>
              <w:t>0.8%</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Inappropriate non-sexual relationship</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0.5%</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physical contact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0.3%</w:t>
            </w: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C13E8A" w:rsidP="00E2296F">
            <w:pPr>
              <w:keepNext/>
              <w:keepLines/>
              <w:jc w:val="center"/>
              <w:rPr>
                <w:rFonts w:ascii="Calibri" w:hAnsi="Calibri" w:cs="Calibri"/>
                <w:b/>
                <w:i/>
                <w:color w:val="000000"/>
                <w:szCs w:val="22"/>
              </w:rPr>
            </w:pPr>
            <w:r>
              <w:rPr>
                <w:rFonts w:ascii="Calibri" w:hAnsi="Calibri" w:cs="Calibri"/>
                <w:b/>
                <w:i/>
                <w:color w:val="000000"/>
                <w:szCs w:val="22"/>
              </w:rPr>
              <w:t>219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C13E8A" w:rsidP="00E2296F">
            <w:pPr>
              <w:keepNext/>
              <w:keepLines/>
              <w:jc w:val="center"/>
              <w:rPr>
                <w:rFonts w:ascii="Calibri" w:hAnsi="Calibri" w:cs="Calibri"/>
                <w:b/>
                <w:i/>
                <w:color w:val="000000"/>
                <w:szCs w:val="22"/>
              </w:rPr>
            </w:pPr>
            <w:r>
              <w:rPr>
                <w:rFonts w:ascii="Calibri" w:hAnsi="Calibri" w:cs="Calibri"/>
                <w:b/>
                <w:i/>
                <w:color w:val="000000"/>
                <w:szCs w:val="22"/>
              </w:rPr>
              <w:t>57.2</w:t>
            </w:r>
            <w:r w:rsidR="00540FA4">
              <w:rPr>
                <w:rFonts w:ascii="Calibri" w:hAnsi="Calibri" w:cs="Calibri"/>
                <w:b/>
                <w: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2.3</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2.1</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2.1%</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8.6</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5.0%</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2.3</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1.0%</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1.6%</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0.5%</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3.7%</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1.3%</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15.7</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1.3%</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7.9%</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10.2%</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4.7%</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2.9%</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8.7%</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4.7%</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1.3%</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0.3%</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3.9%</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lastRenderedPageBreak/>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2.3</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2.1%</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Failure to disclose/properly manage a conflict of interest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0.2%</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Pr="007B5F83" w:rsidRDefault="00540FA4" w:rsidP="00E2296F">
            <w:pPr>
              <w:widowControl w:val="0"/>
              <w:tabs>
                <w:tab w:val="left" w:pos="176"/>
                <w:tab w:val="left" w:pos="1440"/>
                <w:tab w:val="decimal" w:pos="4320"/>
              </w:tabs>
              <w:jc w:val="left"/>
              <w:outlineLvl w:val="0"/>
              <w:rPr>
                <w:rFonts w:ascii="Calibri" w:hAnsi="Calibri"/>
                <w:b/>
                <w:szCs w:val="22"/>
              </w:rPr>
            </w:pPr>
            <w:r w:rsidRPr="007B5F83">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Pr="007B5F83" w:rsidRDefault="00322AB8" w:rsidP="00E2296F">
            <w:pPr>
              <w:widowControl w:val="0"/>
              <w:jc w:val="center"/>
              <w:rPr>
                <w:rFonts w:ascii="Calibri" w:hAnsi="Calibri" w:cs="Calibri"/>
                <w:b/>
                <w:color w:val="000000"/>
                <w:szCs w:val="22"/>
              </w:rPr>
            </w:pPr>
            <w:r>
              <w:rPr>
                <w:rFonts w:ascii="Calibri" w:hAnsi="Calibri" w:cs="Calibri"/>
                <w:b/>
                <w:color w:val="000000"/>
                <w:szCs w:val="22"/>
              </w:rPr>
              <w:t>383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Pr="007B5F83" w:rsidRDefault="00540FA4" w:rsidP="00E2296F">
            <w:pPr>
              <w:widowControl w:val="0"/>
              <w:jc w:val="center"/>
              <w:rPr>
                <w:rFonts w:ascii="Calibri" w:hAnsi="Calibri" w:cs="Calibri"/>
                <w:b/>
                <w:color w:val="000000"/>
                <w:szCs w:val="22"/>
              </w:rPr>
            </w:pPr>
          </w:p>
        </w:tc>
      </w:tr>
    </w:tbl>
    <w:p w:rsidR="00540FA4" w:rsidRDefault="00540FA4" w:rsidP="00540FA4"/>
    <w:p w:rsidR="00540FA4" w:rsidRDefault="00540FA4" w:rsidP="00540FA4">
      <w:r>
        <w:t xml:space="preserve">Table 7 shows a comparison over time for the top five primary issues complained about. The top five primary issues in </w:t>
      </w:r>
      <w:r>
        <w:rPr>
          <w:lang w:eastAsia="en-NZ" w:bidi="ar-SA"/>
        </w:rPr>
        <w:t xml:space="preserve">Jan–Jun 2016 </w:t>
      </w:r>
      <w:r>
        <w:t>are similar to primary issues reported in previous periods.</w:t>
      </w:r>
    </w:p>
    <w:p w:rsidR="00540FA4" w:rsidRDefault="00540FA4" w:rsidP="00540FA4">
      <w:pPr>
        <w:spacing w:after="120"/>
        <w:rPr>
          <w:b/>
        </w:rPr>
      </w:pPr>
    </w:p>
    <w:p w:rsidR="00540FA4" w:rsidRDefault="00540FA4" w:rsidP="00540FA4">
      <w:pPr>
        <w:spacing w:after="120"/>
        <w:rPr>
          <w:b/>
        </w:rPr>
      </w:pPr>
      <w:r>
        <w:rPr>
          <w:b/>
        </w:rPr>
        <w:t xml:space="preserve">Table 7. </w:t>
      </w:r>
      <w:r>
        <w:t>Top five primary issues in complaints received over last four six 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540FA4" w:rsidTr="00E2296F">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540FA4" w:rsidTr="00E2296F">
        <w:tc>
          <w:tcPr>
            <w:tcW w:w="1225"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jc w:val="center"/>
              <w:rPr>
                <w:rFonts w:ascii="Calibri" w:hAnsi="Calibri"/>
                <w:b/>
                <w:szCs w:val="22"/>
              </w:rPr>
            </w:pPr>
            <w:r>
              <w:rPr>
                <w:rFonts w:ascii="Calibri" w:hAnsi="Calibri"/>
                <w:b/>
                <w:szCs w:val="22"/>
              </w:rPr>
              <w:t>Jul–Dec 14</w:t>
            </w:r>
          </w:p>
          <w:p w:rsidR="00540FA4" w:rsidRDefault="00540FA4" w:rsidP="00E2296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n=368</w:t>
            </w:r>
          </w:p>
        </w:tc>
        <w:tc>
          <w:tcPr>
            <w:tcW w:w="1222"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firstLine="152"/>
              <w:jc w:val="center"/>
              <w:outlineLvl w:val="0"/>
              <w:rPr>
                <w:rFonts w:ascii="Calibri" w:hAnsi="Calibri"/>
                <w:b/>
              </w:rPr>
            </w:pPr>
            <w:r>
              <w:rPr>
                <w:rFonts w:ascii="Calibri" w:hAnsi="Calibri"/>
                <w:b/>
                <w:szCs w:val="22"/>
              </w:rPr>
              <w:t>Jan–Jun 15</w:t>
            </w:r>
          </w:p>
          <w:p w:rsidR="00540FA4" w:rsidRDefault="00540FA4" w:rsidP="00E2296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n=389</w:t>
            </w:r>
          </w:p>
        </w:tc>
        <w:tc>
          <w:tcPr>
            <w:tcW w:w="1224"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firstLine="152"/>
              <w:jc w:val="center"/>
              <w:outlineLvl w:val="0"/>
              <w:rPr>
                <w:rFonts w:ascii="Calibri" w:hAnsi="Calibri"/>
                <w:b/>
              </w:rPr>
            </w:pPr>
            <w:r>
              <w:rPr>
                <w:rFonts w:ascii="Calibri" w:hAnsi="Calibri"/>
                <w:b/>
                <w:szCs w:val="22"/>
              </w:rPr>
              <w:t>Jul–Dec 15</w:t>
            </w:r>
          </w:p>
          <w:p w:rsidR="00540FA4" w:rsidRDefault="004C74AC" w:rsidP="00E2296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n=422</w:t>
            </w:r>
          </w:p>
        </w:tc>
        <w:tc>
          <w:tcPr>
            <w:tcW w:w="1329"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firstLine="152"/>
              <w:jc w:val="center"/>
              <w:outlineLvl w:val="0"/>
              <w:rPr>
                <w:rFonts w:ascii="Calibri" w:hAnsi="Calibri"/>
                <w:b/>
              </w:rPr>
            </w:pPr>
            <w:r>
              <w:rPr>
                <w:rFonts w:ascii="Calibri" w:hAnsi="Calibri"/>
                <w:b/>
                <w:szCs w:val="22"/>
              </w:rPr>
              <w:t>Jan–Jun 16</w:t>
            </w:r>
          </w:p>
          <w:p w:rsidR="00540FA4" w:rsidRDefault="00540FA4" w:rsidP="00E2296F">
            <w:pPr>
              <w:jc w:val="center"/>
              <w:rPr>
                <w:rFonts w:ascii="Calibri" w:hAnsi="Calibri"/>
                <w:b/>
                <w:szCs w:val="22"/>
              </w:rPr>
            </w:pPr>
            <w:r>
              <w:rPr>
                <w:rFonts w:ascii="Calibri" w:hAnsi="Calibri"/>
                <w:b/>
                <w:szCs w:val="22"/>
              </w:rPr>
              <w:t>n=381</w:t>
            </w:r>
          </w:p>
        </w:tc>
      </w:tr>
      <w:tr w:rsidR="00540FA4" w:rsidTr="00E2296F">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p>
        </w:tc>
        <w:tc>
          <w:tcPr>
            <w:tcW w:w="91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20%</w:t>
            </w:r>
          </w:p>
        </w:tc>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16%</w:t>
            </w:r>
          </w:p>
        </w:tc>
        <w:tc>
          <w:tcPr>
            <w:tcW w:w="94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16%</w:t>
            </w:r>
          </w:p>
        </w:tc>
      </w:tr>
      <w:tr w:rsidR="00540FA4" w:rsidTr="00E2296F">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91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12%</w:t>
            </w:r>
          </w:p>
        </w:tc>
        <w:tc>
          <w:tcPr>
            <w:tcW w:w="94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9%</w:t>
            </w:r>
          </w:p>
        </w:tc>
      </w:tr>
      <w:tr w:rsidR="00540FA4" w:rsidTr="00E2296F">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91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9%</w:t>
            </w:r>
          </w:p>
        </w:tc>
        <w:tc>
          <w:tcPr>
            <w:tcW w:w="94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8%</w:t>
            </w:r>
          </w:p>
        </w:tc>
      </w:tr>
      <w:tr w:rsidR="00540FA4" w:rsidTr="00E2296F">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Waiting list/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manner/attitude</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4%</w:t>
            </w:r>
          </w:p>
        </w:tc>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Waiting list/</w:t>
            </w:r>
          </w:p>
          <w:p w:rsidR="00540FA4" w:rsidRDefault="00540FA4" w:rsidP="00E2296F">
            <w:pPr>
              <w:jc w:val="left"/>
              <w:rPr>
                <w:rFonts w:ascii="Calibri" w:hAnsi="Calibri"/>
                <w:sz w:val="20"/>
                <w:szCs w:val="20"/>
              </w:rPr>
            </w:pPr>
            <w:r>
              <w:rPr>
                <w:rFonts w:ascii="Calibri" w:hAnsi="Calibri"/>
                <w:sz w:val="20"/>
                <w:szCs w:val="20"/>
              </w:rPr>
              <w:t>prioritisation</w:t>
            </w:r>
          </w:p>
        </w:tc>
        <w:tc>
          <w:tcPr>
            <w:tcW w:w="30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7%</w:t>
            </w:r>
          </w:p>
        </w:tc>
        <w:tc>
          <w:tcPr>
            <w:tcW w:w="94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 xml:space="preserve">6% </w:t>
            </w:r>
          </w:p>
        </w:tc>
      </w:tr>
      <w:tr w:rsidR="00540FA4" w:rsidTr="00E2296F">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manner/attitude</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5%</w:t>
            </w:r>
          </w:p>
        </w:tc>
        <w:tc>
          <w:tcPr>
            <w:tcW w:w="91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4%</w:t>
            </w:r>
          </w:p>
        </w:tc>
        <w:tc>
          <w:tcPr>
            <w:tcW w:w="918"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6%</w:t>
            </w:r>
          </w:p>
        </w:tc>
        <w:tc>
          <w:tcPr>
            <w:tcW w:w="94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left"/>
              <w:rPr>
                <w:rFonts w:ascii="Calibri" w:hAnsi="Calibri"/>
                <w:sz w:val="20"/>
                <w:szCs w:val="20"/>
              </w:rPr>
            </w:pPr>
            <w:r>
              <w:rPr>
                <w:rFonts w:ascii="Calibri" w:hAnsi="Calibri"/>
                <w:sz w:val="20"/>
                <w:szCs w:val="20"/>
              </w:rPr>
              <w:t>Waiting list/</w:t>
            </w:r>
          </w:p>
          <w:p w:rsidR="00540FA4" w:rsidRDefault="00540FA4" w:rsidP="00E2296F">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jc w:val="center"/>
              <w:rPr>
                <w:rFonts w:ascii="Calibri" w:hAnsi="Calibri"/>
                <w:sz w:val="20"/>
                <w:szCs w:val="20"/>
              </w:rPr>
            </w:pPr>
            <w:r>
              <w:rPr>
                <w:rFonts w:ascii="Calibri" w:hAnsi="Calibri"/>
                <w:sz w:val="20"/>
                <w:szCs w:val="20"/>
              </w:rPr>
              <w:t xml:space="preserve">5% </w:t>
            </w:r>
          </w:p>
        </w:tc>
      </w:tr>
    </w:tbl>
    <w:p w:rsidR="00540FA4" w:rsidRDefault="00540FA4" w:rsidP="00540FA4"/>
    <w:p w:rsidR="00540FA4" w:rsidRDefault="00540FA4" w:rsidP="00540FA4"/>
    <w:p w:rsidR="00540FA4" w:rsidRDefault="00540FA4" w:rsidP="00540FA4">
      <w:pPr>
        <w:pStyle w:val="Heading3"/>
      </w:pPr>
      <w:bookmarkStart w:id="66" w:name="_Toc426462634"/>
      <w:bookmarkStart w:id="67" w:name="_Toc443992229"/>
      <w:bookmarkStart w:id="68" w:name="_Toc445910053"/>
      <w:bookmarkStart w:id="69" w:name="_Toc447291337"/>
      <w:bookmarkStart w:id="70" w:name="_Toc447291475"/>
      <w:bookmarkStart w:id="71" w:name="_Toc447527532"/>
      <w:bookmarkStart w:id="72" w:name="_Toc464718903"/>
      <w:r>
        <w:t>3.2</w:t>
      </w:r>
      <w:r>
        <w:tab/>
        <w:t>All complaint  issues</w:t>
      </w:r>
      <w:bookmarkEnd w:id="66"/>
      <w:bookmarkEnd w:id="67"/>
      <w:bookmarkEnd w:id="68"/>
      <w:bookmarkEnd w:id="69"/>
      <w:bookmarkEnd w:id="70"/>
      <w:bookmarkEnd w:id="71"/>
      <w:bookmarkEnd w:id="72"/>
    </w:p>
    <w:p w:rsidR="00540FA4" w:rsidRDefault="00540FA4" w:rsidP="00540FA4">
      <w:pPr>
        <w:rPr>
          <w:rFonts w:ascii="Calibri" w:hAnsi="Calibri"/>
          <w:szCs w:val="22"/>
        </w:rPr>
      </w:pPr>
      <w:r>
        <w:rPr>
          <w:rFonts w:ascii="Calibri" w:hAnsi="Calibri"/>
          <w:szCs w:val="22"/>
        </w:rPr>
        <w:t>As well as the primary complaint issue, up to six additional other complaint issues are identified for each complaint received by HDC. Table 8 includes these additional complaint issues as well as the primary complaint issues to show all issues identified in complaints received. Complaint issues identified in only one complaint are classified as ‘other’.</w:t>
      </w:r>
    </w:p>
    <w:p w:rsidR="00540FA4" w:rsidRDefault="00540FA4" w:rsidP="00540FA4">
      <w:pPr>
        <w:rPr>
          <w:rFonts w:ascii="Calibri" w:hAnsi="Calibri"/>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Default="00540FA4" w:rsidP="00540FA4">
      <w:pPr>
        <w:widowControl w:val="0"/>
        <w:rPr>
          <w:rFonts w:ascii="Calibri" w:hAnsi="Calibri"/>
          <w:b/>
          <w:szCs w:val="22"/>
        </w:rPr>
      </w:pPr>
    </w:p>
    <w:p w:rsidR="00540FA4" w:rsidRPr="000A129B" w:rsidRDefault="00540FA4" w:rsidP="00540FA4">
      <w:pPr>
        <w:widowControl w:val="0"/>
        <w:spacing w:after="120"/>
        <w:rPr>
          <w:rFonts w:ascii="Calibri" w:hAnsi="Calibri"/>
          <w:szCs w:val="22"/>
        </w:rPr>
      </w:pPr>
      <w:r>
        <w:rPr>
          <w:rFonts w:ascii="Calibri" w:hAnsi="Calibri"/>
          <w:b/>
          <w:szCs w:val="22"/>
        </w:rPr>
        <w:lastRenderedPageBreak/>
        <w:t xml:space="preserve">Table 8.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540FA4" w:rsidTr="00E2296F">
        <w:trPr>
          <w:tblHeader/>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10.2%</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2.1%</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7.9%</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Inappropriate non-sexual relationship</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0.5%</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physical contact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0.5%</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center"/>
              <w:rPr>
                <w:rFonts w:ascii="Calibri" w:hAnsi="Calibri" w:cs="Calibri"/>
                <w:color w:val="000000"/>
                <w:szCs w:val="22"/>
              </w:rPr>
            </w:pPr>
            <w:r>
              <w:rPr>
                <w:rFonts w:ascii="Calibri" w:hAnsi="Calibri" w:cs="Calibri"/>
                <w:color w:val="000000"/>
                <w:szCs w:val="22"/>
              </w:rPr>
              <w:t>0.3%</w:t>
            </w: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40FA4" w:rsidRDefault="00540FA4" w:rsidP="00E2296F">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jc w:val="center"/>
              <w:rPr>
                <w:rFonts w:ascii="Calibri" w:hAnsi="Calibri" w:cs="Calibri"/>
                <w:b/>
                <w: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66</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17.2</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keepNext/>
              <w:keepLines/>
              <w:jc w:val="center"/>
              <w:rPr>
                <w:rFonts w:ascii="Calibri" w:hAnsi="Calibri" w:cs="Calibri"/>
                <w:color w:val="000000"/>
                <w:szCs w:val="22"/>
              </w:rPr>
            </w:pPr>
            <w:r>
              <w:rPr>
                <w:rFonts w:ascii="Calibri" w:hAnsi="Calibri" w:cs="Calibri"/>
                <w:color w:val="000000"/>
                <w:szCs w:val="22"/>
              </w:rPr>
              <w:t>7.6</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93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24.3</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145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37.9</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106</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27.7</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15.7%</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7.6%</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7.6%</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64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16.7</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2.9%</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64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16.7</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vAlign w:val="bottom"/>
            <w:hideMark/>
          </w:tcPr>
          <w:p w:rsidR="00540FA4" w:rsidRDefault="00540FA4" w:rsidP="00E2296F">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jc w:val="center"/>
              <w:rPr>
                <w:rFonts w:ascii="Calibri" w:hAnsi="Calibri" w:cs="Calibri"/>
                <w:color w:val="000000"/>
                <w:szCs w:val="22"/>
              </w:rPr>
            </w:pPr>
            <w:r>
              <w:rPr>
                <w:rFonts w:ascii="Calibri" w:hAnsi="Calibri" w:cs="Calibri"/>
                <w:color w:val="000000"/>
                <w:szCs w:val="22"/>
              </w:rPr>
              <w:t>2.3</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81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21.2%</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3.1%</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3.9%</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4.7%</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63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16.4</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2.1%</w:t>
            </w:r>
          </w:p>
        </w:tc>
      </w:tr>
      <w:tr w:rsidR="00540FA4" w:rsidTr="00E2296F">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81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21.1</w:t>
            </w:r>
            <w:r w:rsidR="00540FA4">
              <w:rPr>
                <w:rFonts w:ascii="Calibri" w:hAnsi="Calibri" w:cs="Calibri"/>
                <w:color w:val="000000"/>
                <w:szCs w:val="22"/>
              </w:rPr>
              <w:t>%</w:t>
            </w:r>
          </w:p>
        </w:tc>
      </w:tr>
      <w:tr w:rsidR="00540FA4" w:rsidTr="00E2296F">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2.9%</w:t>
            </w:r>
          </w:p>
        </w:tc>
      </w:tr>
      <w:tr w:rsidR="00540FA4" w:rsidTr="00E2296F">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161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42.0</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91</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23.8</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6.8%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complaints process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18.8</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3.9%</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2.6%</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4.7%</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2.6%</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2.1%</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41</w:t>
            </w:r>
          </w:p>
        </w:tc>
        <w:tc>
          <w:tcPr>
            <w:tcW w:w="1418" w:type="dxa"/>
            <w:tcBorders>
              <w:top w:val="single" w:sz="4" w:space="0" w:color="auto"/>
              <w:left w:val="single" w:sz="4" w:space="0" w:color="auto"/>
              <w:bottom w:val="single" w:sz="4" w:space="0" w:color="auto"/>
              <w:right w:val="single" w:sz="4" w:space="0" w:color="auto"/>
            </w:tcBorders>
          </w:tcPr>
          <w:p w:rsidR="00540FA4" w:rsidRDefault="00C13E8A" w:rsidP="00E2296F">
            <w:pPr>
              <w:jc w:val="center"/>
            </w:pPr>
            <w:r>
              <w:t>10.7</w:t>
            </w:r>
            <w:r w:rsidR="00540FA4">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2.6%</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5.0%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5.7</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1.6%</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tcPr>
          <w:p w:rsidR="00540FA4" w:rsidRDefault="00C13E8A" w:rsidP="00E2296F">
            <w:pPr>
              <w:jc w:val="center"/>
            </w:pPr>
            <w:r>
              <w:t>6.8</w:t>
            </w:r>
            <w:r w:rsidR="00540FA4">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4.2%</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tcPr>
          <w:p w:rsidR="00540FA4" w:rsidRDefault="00C13E8A" w:rsidP="00E2296F">
            <w:pPr>
              <w:jc w:val="center"/>
            </w:pPr>
            <w:r>
              <w:t>4.4</w:t>
            </w:r>
            <w:r w:rsidR="00540FA4">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1.3%</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C13E8A" w:rsidP="00E2296F">
            <w:pPr>
              <w:widowControl w:val="0"/>
              <w:jc w:val="center"/>
              <w:rPr>
                <w:rFonts w:ascii="Calibri" w:hAnsi="Calibri" w:cs="Calibri"/>
                <w:color w:val="000000"/>
                <w:szCs w:val="22"/>
              </w:rPr>
            </w:pPr>
            <w:r>
              <w:rPr>
                <w:rFonts w:ascii="Calibri" w:hAnsi="Calibri" w:cs="Calibri"/>
                <w:color w:val="000000"/>
                <w:szCs w:val="22"/>
              </w:rPr>
              <w:t>6.5</w:t>
            </w:r>
            <w:r w:rsidR="00540FA4">
              <w:rPr>
                <w:rFonts w:ascii="Calibri" w:hAnsi="Calibri" w:cs="Calibri"/>
                <w:color w:val="000000"/>
                <w:szCs w:val="22"/>
              </w:rPr>
              <w:t>%</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1.0%</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r>
              <w:t>3.7%</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540FA4" w:rsidRDefault="00540FA4" w:rsidP="00E2296F">
            <w:pPr>
              <w:jc w:val="cente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Delayed/inadequate/inappropriate handover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FA4" w:rsidRPr="006B3135"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40FA4" w:rsidRPr="00F65BEF" w:rsidRDefault="00540FA4" w:rsidP="00E2296F">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0FA4" w:rsidRPr="006B3135" w:rsidRDefault="00540FA4" w:rsidP="00E2296F">
            <w:pPr>
              <w:widowControl w:val="0"/>
              <w:jc w:val="center"/>
              <w:rPr>
                <w:rFonts w:ascii="Calibri" w:hAnsi="Calibri" w:cs="Calibri"/>
                <w:color w:val="000000"/>
                <w:szCs w:val="22"/>
              </w:rPr>
            </w:pPr>
            <w:r>
              <w:rPr>
                <w:rFonts w:ascii="Calibri" w:hAnsi="Calibri" w:cs="Calibri"/>
                <w:color w:val="000000"/>
                <w:szCs w:val="22"/>
              </w:rPr>
              <w:t>2.6%</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1.8%</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Failure to disclose/properly manage a conflict of interest</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0.5%</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hideMark/>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3.1%</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1.3%</w:t>
            </w: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tcPr>
          <w:p w:rsidR="00540FA4" w:rsidRDefault="00540FA4" w:rsidP="00E2296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widowControl w:val="0"/>
              <w:jc w:val="center"/>
              <w:rPr>
                <w:rFonts w:ascii="Calibri" w:hAnsi="Calibri" w:cs="Calibri"/>
                <w:color w:val="000000"/>
                <w:szCs w:val="22"/>
              </w:rPr>
            </w:pPr>
          </w:p>
        </w:tc>
      </w:tr>
      <w:tr w:rsidR="00540FA4" w:rsidTr="00E2296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FA4" w:rsidRDefault="00540FA4" w:rsidP="00E2296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r>
              <w:rPr>
                <w:rFonts w:ascii="Calibri" w:hAnsi="Calibri" w:cs="Calibri"/>
                <w:b/>
                <w:i/>
                <w:color w:val="000000"/>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widowControl w:val="0"/>
              <w:jc w:val="center"/>
              <w:rPr>
                <w:rFonts w:ascii="Calibri" w:hAnsi="Calibri" w:cs="Calibri"/>
                <w:b/>
                <w:i/>
                <w:color w:val="000000"/>
                <w:szCs w:val="22"/>
              </w:rPr>
            </w:pPr>
          </w:p>
        </w:tc>
      </w:tr>
    </w:tbl>
    <w:p w:rsidR="00540FA4" w:rsidRDefault="00540FA4" w:rsidP="00540FA4"/>
    <w:p w:rsidR="00E2296F" w:rsidRDefault="00540FA4" w:rsidP="00E2296F">
      <w:pPr>
        <w:rPr>
          <w:rFonts w:ascii="Calibri" w:hAnsi="Calibri"/>
          <w:szCs w:val="22"/>
        </w:rPr>
      </w:pPr>
      <w:r>
        <w:rPr>
          <w:rFonts w:ascii="Calibri" w:hAnsi="Calibri"/>
          <w:szCs w:val="22"/>
        </w:rPr>
        <w:t xml:space="preserve">On analysis of all issues identified in complaints about DHBs, the most common issues were ‘failure to communicate </w:t>
      </w:r>
      <w:r w:rsidR="00E14D5C">
        <w:rPr>
          <w:rFonts w:ascii="Calibri" w:hAnsi="Calibri"/>
          <w:szCs w:val="22"/>
        </w:rPr>
        <w:t>effectively with consumer’ (42.0</w:t>
      </w:r>
      <w:r>
        <w:rPr>
          <w:rFonts w:ascii="Calibri" w:hAnsi="Calibri"/>
          <w:szCs w:val="22"/>
        </w:rPr>
        <w:t>%), ‘inadequate/inapp</w:t>
      </w:r>
      <w:r w:rsidR="00E14D5C">
        <w:rPr>
          <w:rFonts w:ascii="Calibri" w:hAnsi="Calibri"/>
          <w:szCs w:val="22"/>
        </w:rPr>
        <w:t>ropriate clinical treatment’ (37.9</w:t>
      </w:r>
      <w:r>
        <w:rPr>
          <w:rFonts w:ascii="Calibri" w:hAnsi="Calibri"/>
          <w:szCs w:val="22"/>
        </w:rPr>
        <w:t>%) ‘inadequate/inappropria</w:t>
      </w:r>
      <w:r w:rsidR="00E14D5C">
        <w:rPr>
          <w:rFonts w:ascii="Calibri" w:hAnsi="Calibri"/>
          <w:szCs w:val="22"/>
        </w:rPr>
        <w:t>te examination/assessment’ (27.7</w:t>
      </w:r>
      <w:r>
        <w:rPr>
          <w:rFonts w:ascii="Calibri" w:hAnsi="Calibri"/>
          <w:szCs w:val="22"/>
        </w:rPr>
        <w:t>%), ‘inadequate coord</w:t>
      </w:r>
      <w:r w:rsidR="00E14D5C">
        <w:rPr>
          <w:rFonts w:ascii="Calibri" w:hAnsi="Calibri"/>
          <w:szCs w:val="22"/>
        </w:rPr>
        <w:t>ination of care/treatment’ (24.3</w:t>
      </w:r>
      <w:r>
        <w:rPr>
          <w:rFonts w:ascii="Calibri" w:hAnsi="Calibri"/>
          <w:szCs w:val="22"/>
        </w:rPr>
        <w:t>%), ‘failure to communicate effectively with fam</w:t>
      </w:r>
      <w:r w:rsidR="00E14D5C">
        <w:rPr>
          <w:rFonts w:ascii="Calibri" w:hAnsi="Calibri"/>
          <w:szCs w:val="22"/>
        </w:rPr>
        <w:t>ily’ (23.8</w:t>
      </w:r>
      <w:r>
        <w:rPr>
          <w:rFonts w:ascii="Calibri" w:hAnsi="Calibri"/>
          <w:szCs w:val="22"/>
        </w:rPr>
        <w:t>%) ‘disr</w:t>
      </w:r>
      <w:r w:rsidR="00E14D5C">
        <w:rPr>
          <w:rFonts w:ascii="Calibri" w:hAnsi="Calibri"/>
          <w:szCs w:val="22"/>
        </w:rPr>
        <w:t>espectful manner/attitude’ (21.1</w:t>
      </w:r>
      <w:r>
        <w:rPr>
          <w:rFonts w:ascii="Calibri" w:hAnsi="Calibri"/>
          <w:szCs w:val="22"/>
        </w:rPr>
        <w:t>%), ‘missed/incorrect/delayed diagnosis’ (21.2%), and ‘inadequate response to the consum</w:t>
      </w:r>
      <w:r w:rsidR="00E14D5C">
        <w:rPr>
          <w:rFonts w:ascii="Calibri" w:hAnsi="Calibri"/>
          <w:szCs w:val="22"/>
        </w:rPr>
        <w:t>er’s complaint by the DHB’ (18.8</w:t>
      </w:r>
      <w:r>
        <w:rPr>
          <w:rFonts w:ascii="Calibri" w:hAnsi="Calibri"/>
          <w:szCs w:val="22"/>
        </w:rPr>
        <w:t xml:space="preserve">%). This is broadly similar to what was seen in </w:t>
      </w:r>
      <w:r>
        <w:rPr>
          <w:lang w:eastAsia="en-NZ" w:bidi="ar-SA"/>
        </w:rPr>
        <w:t xml:space="preserve">Jul–Dec 2015. </w:t>
      </w:r>
    </w:p>
    <w:p w:rsidR="00540FA4" w:rsidRPr="00E60936" w:rsidRDefault="00540FA4" w:rsidP="00E2296F">
      <w:pPr>
        <w:rPr>
          <w:rFonts w:ascii="Calibri" w:hAnsi="Calibri"/>
          <w:szCs w:val="22"/>
        </w:rPr>
      </w:pPr>
      <w:r>
        <w:rPr>
          <w:rFonts w:ascii="Calibri" w:hAnsi="Calibri"/>
          <w:szCs w:val="22"/>
        </w:rPr>
        <w:lastRenderedPageBreak/>
        <w:t>Also similar to the last six-month period, many complaints involved issues with a consumer’s care/treatment, su</w:t>
      </w:r>
      <w:r w:rsidR="00E14D5C">
        <w:rPr>
          <w:rFonts w:ascii="Calibri" w:hAnsi="Calibri"/>
          <w:szCs w:val="22"/>
        </w:rPr>
        <w:t>ch as ‘delay in treatment’ (17.2</w:t>
      </w:r>
      <w:r>
        <w:rPr>
          <w:rFonts w:ascii="Calibri" w:hAnsi="Calibri"/>
          <w:szCs w:val="22"/>
        </w:rPr>
        <w:t>%), ‘inappropriate/d</w:t>
      </w:r>
      <w:r w:rsidR="00E14D5C">
        <w:rPr>
          <w:rFonts w:ascii="Calibri" w:hAnsi="Calibri"/>
          <w:szCs w:val="22"/>
        </w:rPr>
        <w:t>elayed discharge/transfer’ (16.7</w:t>
      </w:r>
      <w:r>
        <w:rPr>
          <w:rFonts w:ascii="Calibri" w:hAnsi="Calibri"/>
          <w:szCs w:val="22"/>
        </w:rPr>
        <w:t>%), ‘inadequ</w:t>
      </w:r>
      <w:r w:rsidR="00E14D5C">
        <w:rPr>
          <w:rFonts w:ascii="Calibri" w:hAnsi="Calibri"/>
          <w:szCs w:val="22"/>
        </w:rPr>
        <w:t>ate/inappropriate testing’ (16.7</w:t>
      </w:r>
      <w:r>
        <w:rPr>
          <w:rFonts w:ascii="Calibri" w:hAnsi="Calibri"/>
          <w:szCs w:val="22"/>
        </w:rPr>
        <w:t>%), ‘une</w:t>
      </w:r>
      <w:r w:rsidR="00E14D5C">
        <w:rPr>
          <w:rFonts w:ascii="Calibri" w:hAnsi="Calibri"/>
          <w:szCs w:val="22"/>
        </w:rPr>
        <w:t>xpected treatment outcome’ (16.4</w:t>
      </w:r>
      <w:r>
        <w:rPr>
          <w:rFonts w:ascii="Calibri" w:hAnsi="Calibri"/>
          <w:szCs w:val="22"/>
        </w:rPr>
        <w:t>%) and ‘inadequate/inappropriate follow-up’ (15.7%).</w:t>
      </w:r>
    </w:p>
    <w:p w:rsidR="00540FA4" w:rsidRDefault="00540FA4" w:rsidP="00540FA4"/>
    <w:p w:rsidR="00540FA4" w:rsidRDefault="00540FA4" w:rsidP="00540FA4">
      <w:pPr>
        <w:pStyle w:val="Heading3"/>
        <w:keepNext w:val="0"/>
        <w:widowControl w:val="0"/>
        <w:jc w:val="left"/>
        <w:rPr>
          <w:rFonts w:ascii="Calibri" w:hAnsi="Calibri"/>
          <w:b/>
          <w:vanish/>
          <w:szCs w:val="22"/>
        </w:rPr>
      </w:pPr>
    </w:p>
    <w:p w:rsidR="00540FA4" w:rsidRDefault="00540FA4" w:rsidP="00540FA4">
      <w:pPr>
        <w:pStyle w:val="Heading3"/>
        <w:keepNext w:val="0"/>
        <w:widowControl w:val="0"/>
        <w:jc w:val="left"/>
      </w:pPr>
      <w:r>
        <w:rPr>
          <w:rFonts w:ascii="Calibri" w:hAnsi="Calibri"/>
          <w:b/>
          <w:vanish/>
          <w:szCs w:val="22"/>
          <w:highlight w:val="yellow"/>
        </w:rPr>
        <w:t>nappropriate/unlawful to ommon primary issues were inadequate/inappropriate treatment and missed/incorrect/delayed diagnosis</w:t>
      </w:r>
      <w:bookmarkStart w:id="73" w:name="_Toc426462635"/>
      <w:bookmarkStart w:id="74" w:name="_Toc443992230"/>
      <w:bookmarkStart w:id="75" w:name="_Toc445910054"/>
      <w:bookmarkStart w:id="76" w:name="_Toc447291338"/>
      <w:bookmarkStart w:id="77" w:name="_Toc447291476"/>
      <w:bookmarkStart w:id="78" w:name="_Toc447527533"/>
      <w:bookmarkStart w:id="79" w:name="_Toc464718904"/>
      <w:r>
        <w:t>3.3</w:t>
      </w:r>
      <w:r>
        <w:tab/>
        <w:t>Service type and primary issues</w:t>
      </w:r>
      <w:bookmarkEnd w:id="73"/>
      <w:bookmarkEnd w:id="74"/>
      <w:bookmarkEnd w:id="75"/>
      <w:bookmarkEnd w:id="76"/>
      <w:bookmarkEnd w:id="77"/>
      <w:bookmarkEnd w:id="78"/>
      <w:bookmarkEnd w:id="79"/>
    </w:p>
    <w:p w:rsidR="00540FA4" w:rsidRDefault="00540FA4" w:rsidP="00540FA4">
      <w:pPr>
        <w:keepNext/>
        <w:keepLines/>
        <w:spacing w:after="240"/>
      </w:pPr>
      <w:r>
        <w:t>Table 9 shows the top three primary issues in complaints concerning the most commonly complained about service types. This is broadly similar to what was seen in the last six-month period.</w:t>
      </w:r>
    </w:p>
    <w:p w:rsidR="00540FA4" w:rsidRDefault="00540FA4" w:rsidP="00540FA4">
      <w:pPr>
        <w:keepNext/>
        <w:keepLines/>
        <w:spacing w:after="120"/>
        <w:rPr>
          <w:szCs w:val="22"/>
        </w:rPr>
      </w:pPr>
      <w:r>
        <w:rPr>
          <w:b/>
          <w:szCs w:val="22"/>
        </w:rPr>
        <w:t xml:space="preserve">Table 9. </w:t>
      </w:r>
      <w:r>
        <w:rPr>
          <w:szCs w:val="22"/>
        </w:rPr>
        <w:t>Three most common primary issues in complaints by service type</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68"/>
        <w:gridCol w:w="1411"/>
        <w:gridCol w:w="707"/>
        <w:gridCol w:w="1411"/>
        <w:gridCol w:w="707"/>
        <w:gridCol w:w="1411"/>
        <w:gridCol w:w="566"/>
        <w:gridCol w:w="1411"/>
        <w:gridCol w:w="566"/>
      </w:tblGrid>
      <w:tr w:rsidR="00540FA4" w:rsidTr="00E2296F">
        <w:tc>
          <w:tcPr>
            <w:tcW w:w="960"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540FA4" w:rsidRDefault="00E14D5C"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n=107</w:t>
            </w:r>
          </w:p>
        </w:tc>
        <w:tc>
          <w:tcPr>
            <w:tcW w:w="1045"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Mental health</w:t>
            </w:r>
          </w:p>
          <w:p w:rsidR="00540FA4" w:rsidRDefault="00E14D5C"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n=91</w:t>
            </w:r>
          </w:p>
        </w:tc>
        <w:tc>
          <w:tcPr>
            <w:tcW w:w="1045"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n=71</w:t>
            </w:r>
          </w:p>
        </w:tc>
        <w:tc>
          <w:tcPr>
            <w:tcW w:w="975"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Emergency department</w:t>
            </w:r>
          </w:p>
          <w:p w:rsidR="00540FA4" w:rsidRDefault="00540FA4" w:rsidP="00E2296F">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n=49</w:t>
            </w:r>
          </w:p>
        </w:tc>
        <w:tc>
          <w:tcPr>
            <w:tcW w:w="975" w:type="pct"/>
            <w:gridSpan w:val="2"/>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jc w:val="center"/>
              <w:rPr>
                <w:b/>
                <w:sz w:val="20"/>
                <w:szCs w:val="20"/>
              </w:rPr>
            </w:pPr>
            <w:r>
              <w:rPr>
                <w:b/>
                <w:sz w:val="20"/>
                <w:szCs w:val="20"/>
              </w:rPr>
              <w:t>Maternity</w:t>
            </w:r>
          </w:p>
          <w:p w:rsidR="00540FA4" w:rsidRDefault="00E14D5C" w:rsidP="00E2296F">
            <w:pPr>
              <w:keepNext/>
              <w:keepLines/>
              <w:jc w:val="center"/>
              <w:rPr>
                <w:b/>
                <w:sz w:val="20"/>
                <w:szCs w:val="20"/>
              </w:rPr>
            </w:pPr>
            <w:r>
              <w:rPr>
                <w:b/>
                <w:sz w:val="20"/>
                <w:szCs w:val="20"/>
              </w:rPr>
              <w:t>n=28</w:t>
            </w:r>
          </w:p>
        </w:tc>
      </w:tr>
      <w:tr w:rsidR="00540FA4" w:rsidTr="00E2296F">
        <w:tc>
          <w:tcPr>
            <w:tcW w:w="68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28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23%</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540FA4" w:rsidRDefault="00E14D5C"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24</w:t>
            </w:r>
            <w:r w:rsidR="00540FA4">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20%</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33%</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540FA4" w:rsidRDefault="00540FA4" w:rsidP="00E2296F">
            <w:pPr>
              <w:keepNext/>
              <w:keepLines/>
              <w:jc w:val="left"/>
              <w:rPr>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E14D5C" w:rsidP="00E2296F">
            <w:pPr>
              <w:keepNext/>
              <w:keepLines/>
              <w:rPr>
                <w:sz w:val="20"/>
                <w:szCs w:val="20"/>
              </w:rPr>
            </w:pPr>
            <w:r>
              <w:rPr>
                <w:sz w:val="20"/>
                <w:szCs w:val="20"/>
              </w:rPr>
              <w:t>21</w:t>
            </w:r>
            <w:r w:rsidR="00540FA4">
              <w:rPr>
                <w:sz w:val="20"/>
                <w:szCs w:val="20"/>
              </w:rPr>
              <w:t>%</w:t>
            </w:r>
          </w:p>
        </w:tc>
      </w:tr>
      <w:tr w:rsidR="00540FA4" w:rsidTr="00E2296F">
        <w:tc>
          <w:tcPr>
            <w:tcW w:w="68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8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14%</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 examination/</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540FA4" w:rsidRDefault="00540FA4" w:rsidP="00E2296F">
            <w:pPr>
              <w:keepNext/>
              <w:keepLines/>
              <w:jc w:val="left"/>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rPr>
                <w:sz w:val="20"/>
                <w:szCs w:val="20"/>
              </w:rPr>
            </w:pPr>
            <w:r>
              <w:rPr>
                <w:sz w:val="20"/>
                <w:szCs w:val="20"/>
              </w:rPr>
              <w:t>15%</w:t>
            </w:r>
          </w:p>
        </w:tc>
      </w:tr>
      <w:tr w:rsidR="00540FA4" w:rsidTr="00E2296F">
        <w:tc>
          <w:tcPr>
            <w:tcW w:w="68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80"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p w:rsidR="00540FA4" w:rsidRDefault="00540FA4" w:rsidP="00E2296F">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p w:rsidR="00540FA4" w:rsidRDefault="00540FA4" w:rsidP="00E2296F">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 &amp; inadequate coordination of care</w:t>
            </w:r>
          </w:p>
        </w:tc>
        <w:tc>
          <w:tcPr>
            <w:tcW w:w="349"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each</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w:t>
            </w:r>
          </w:p>
          <w:p w:rsidR="00540FA4" w:rsidRDefault="00540FA4" w:rsidP="00E2296F">
            <w:pPr>
              <w:keepNext/>
              <w:keepLines/>
              <w:tabs>
                <w:tab w:val="left" w:pos="1440"/>
                <w:tab w:val="decimal" w:pos="4320"/>
              </w:tabs>
              <w:jc w:val="left"/>
              <w:outlineLvl w:val="0"/>
              <w:rPr>
                <w:rFonts w:ascii="Calibri" w:hAnsi="Calibri"/>
                <w:sz w:val="20"/>
                <w:szCs w:val="20"/>
              </w:rPr>
            </w:pPr>
            <w:r>
              <w:rPr>
                <w:rFonts w:ascii="Calibri" w:hAnsi="Calibri"/>
                <w:sz w:val="20"/>
                <w:szCs w:val="20"/>
              </w:rPr>
              <w:t>attitude</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69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tabs>
                <w:tab w:val="left" w:pos="1440"/>
                <w:tab w:val="decimal" w:pos="4320"/>
              </w:tabs>
              <w:jc w:val="left"/>
              <w:outlineLvl w:val="0"/>
            </w:pPr>
            <w:r>
              <w:rPr>
                <w:rFonts w:ascii="Calibri" w:hAnsi="Calibri"/>
                <w:sz w:val="20"/>
                <w:szCs w:val="20"/>
              </w:rPr>
              <w:t>Unexpected treatment outcome</w:t>
            </w:r>
          </w:p>
        </w:tc>
        <w:tc>
          <w:tcPr>
            <w:tcW w:w="279"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rPr>
                <w:sz w:val="20"/>
                <w:szCs w:val="20"/>
              </w:rPr>
            </w:pPr>
            <w:r>
              <w:rPr>
                <w:sz w:val="20"/>
                <w:szCs w:val="20"/>
              </w:rPr>
              <w:t>11%</w:t>
            </w:r>
          </w:p>
        </w:tc>
      </w:tr>
    </w:tbl>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pStyle w:val="Heading2"/>
        <w:spacing w:before="360"/>
        <w:rPr>
          <w:lang w:val="en-NZ"/>
        </w:rPr>
      </w:pPr>
      <w:bookmarkStart w:id="80" w:name="_Toc443992231"/>
      <w:bookmarkStart w:id="81" w:name="_Toc464718905"/>
      <w:r>
        <w:rPr>
          <w:lang w:val="en-NZ"/>
        </w:rPr>
        <w:lastRenderedPageBreak/>
        <w:t>4.0</w:t>
      </w:r>
      <w:r>
        <w:rPr>
          <w:lang w:val="en-NZ"/>
        </w:rPr>
        <w:tab/>
        <w:t>Complaints closed</w:t>
      </w:r>
      <w:bookmarkEnd w:id="7"/>
      <w:bookmarkEnd w:id="8"/>
      <w:bookmarkEnd w:id="9"/>
      <w:bookmarkEnd w:id="10"/>
      <w:bookmarkEnd w:id="11"/>
      <w:bookmarkEnd w:id="12"/>
      <w:bookmarkEnd w:id="13"/>
      <w:bookmarkEnd w:id="14"/>
      <w:bookmarkEnd w:id="15"/>
      <w:bookmarkEnd w:id="16"/>
      <w:bookmarkEnd w:id="17"/>
      <w:bookmarkEnd w:id="18"/>
      <w:bookmarkEnd w:id="80"/>
      <w:bookmarkEnd w:id="81"/>
      <w:r>
        <w:rPr>
          <w:lang w:val="en-NZ"/>
        </w:rPr>
        <w:t xml:space="preserve"> </w:t>
      </w:r>
    </w:p>
    <w:p w:rsidR="00540FA4" w:rsidRDefault="00540FA4" w:rsidP="00540FA4">
      <w:pPr>
        <w:pStyle w:val="Heading3"/>
      </w:pPr>
      <w:bookmarkStart w:id="82" w:name="_Toc426462637"/>
      <w:bookmarkStart w:id="83" w:name="_Toc443992232"/>
      <w:bookmarkStart w:id="84" w:name="_Toc464718906"/>
      <w:r>
        <w:t>4.1</w:t>
      </w:r>
      <w:r>
        <w:tab/>
        <w:t>Number of complaints closed</w:t>
      </w:r>
      <w:bookmarkEnd w:id="82"/>
      <w:bookmarkEnd w:id="83"/>
      <w:bookmarkEnd w:id="84"/>
    </w:p>
    <w:p w:rsidR="00540FA4" w:rsidRDefault="00540FA4" w:rsidP="00540FA4">
      <w:r>
        <w:t xml:space="preserve">HDC closed </w:t>
      </w:r>
      <w:r>
        <w:rPr>
          <w:b/>
        </w:rPr>
        <w:t>4</w:t>
      </w:r>
      <w:r w:rsidR="006B2702">
        <w:rPr>
          <w:b/>
        </w:rPr>
        <w:t>82</w:t>
      </w:r>
      <w:r>
        <w:rPr>
          <w:rStyle w:val="FootnoteReference"/>
          <w:rFonts w:ascii="Calibri" w:hAnsi="Calibri"/>
          <w:szCs w:val="22"/>
        </w:rPr>
        <w:footnoteReference w:id="4"/>
      </w:r>
      <w:r>
        <w:rPr>
          <w:b/>
        </w:rPr>
        <w:t xml:space="preserve"> </w:t>
      </w:r>
      <w:r>
        <w:t>complaints involving DHBs in the period Jan–Jun 2016. Table 10 shows the number of complaints closed in previous six month periods.</w:t>
      </w:r>
    </w:p>
    <w:p w:rsidR="00540FA4" w:rsidRDefault="00540FA4" w:rsidP="00540FA4"/>
    <w:p w:rsidR="00540FA4" w:rsidRDefault="00540FA4" w:rsidP="00540FA4">
      <w:pPr>
        <w:spacing w:after="120"/>
      </w:pPr>
      <w:r>
        <w:rPr>
          <w:b/>
        </w:rPr>
        <w:t>Table 10.</w:t>
      </w:r>
      <w:r>
        <w:t xml:space="preserve"> Number of complaints about DHBs closed in last five financial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6"/>
        <w:gridCol w:w="703"/>
        <w:gridCol w:w="588"/>
        <w:gridCol w:w="698"/>
        <w:gridCol w:w="701"/>
        <w:gridCol w:w="701"/>
        <w:gridCol w:w="701"/>
        <w:gridCol w:w="703"/>
        <w:gridCol w:w="701"/>
        <w:gridCol w:w="702"/>
        <w:gridCol w:w="996"/>
        <w:gridCol w:w="692"/>
      </w:tblGrid>
      <w:tr w:rsidR="00540FA4" w:rsidTr="00E2296F">
        <w:tc>
          <w:tcPr>
            <w:tcW w:w="674" w:type="pct"/>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jc w:val="left"/>
              <w:rPr>
                <w:rFonts w:ascii="Calibri" w:hAnsi="Calibri"/>
                <w:b/>
                <w:sz w:val="20"/>
                <w:szCs w:val="20"/>
              </w:rPr>
            </w:pPr>
          </w:p>
          <w:p w:rsidR="00540FA4" w:rsidRDefault="00540FA4" w:rsidP="00E2296F">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Jul–Dec 11</w:t>
            </w:r>
          </w:p>
        </w:tc>
        <w:tc>
          <w:tcPr>
            <w:tcW w:w="31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Jan–Jun 12</w:t>
            </w:r>
          </w:p>
        </w:tc>
        <w:tc>
          <w:tcPr>
            <w:tcW w:w="384"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12</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547"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20"/>
              <w:jc w:val="center"/>
              <w:rPr>
                <w:rFonts w:ascii="Calibri" w:hAnsi="Calibri"/>
                <w:b/>
                <w:sz w:val="20"/>
                <w:szCs w:val="20"/>
              </w:rPr>
            </w:pPr>
            <w:r>
              <w:rPr>
                <w:rFonts w:ascii="Calibri" w:hAnsi="Calibri"/>
                <w:b/>
                <w:sz w:val="20"/>
                <w:szCs w:val="20"/>
              </w:rPr>
              <w:t xml:space="preserve">Average of last 4  </w:t>
            </w:r>
          </w:p>
          <w:p w:rsidR="00540FA4" w:rsidRDefault="00540FA4" w:rsidP="00E2296F">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spacing w:before="180"/>
              <w:jc w:val="center"/>
              <w:rPr>
                <w:rFonts w:ascii="Calibri" w:hAnsi="Calibri"/>
                <w:b/>
                <w:sz w:val="20"/>
                <w:szCs w:val="20"/>
              </w:rPr>
            </w:pPr>
            <w:r>
              <w:rPr>
                <w:rFonts w:ascii="Calibri" w:hAnsi="Calibri"/>
                <w:b/>
                <w:sz w:val="20"/>
                <w:szCs w:val="20"/>
              </w:rPr>
              <w:t>Jan–Jun</w:t>
            </w:r>
          </w:p>
          <w:p w:rsidR="00540FA4" w:rsidRDefault="00540FA4" w:rsidP="00E2296F">
            <w:pPr>
              <w:keepNext/>
              <w:keepLines/>
              <w:jc w:val="center"/>
              <w:rPr>
                <w:rFonts w:ascii="Calibri" w:hAnsi="Calibri"/>
                <w:b/>
                <w:sz w:val="20"/>
                <w:szCs w:val="20"/>
              </w:rPr>
            </w:pPr>
            <w:r>
              <w:rPr>
                <w:rFonts w:ascii="Calibri" w:hAnsi="Calibri"/>
                <w:b/>
                <w:sz w:val="20"/>
                <w:szCs w:val="20"/>
              </w:rPr>
              <w:t>16</w:t>
            </w:r>
          </w:p>
        </w:tc>
      </w:tr>
      <w:tr w:rsidR="00540FA4" w:rsidTr="00E2296F">
        <w:tc>
          <w:tcPr>
            <w:tcW w:w="67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217</w:t>
            </w:r>
          </w:p>
        </w:tc>
        <w:tc>
          <w:tcPr>
            <w:tcW w:w="310"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302</w:t>
            </w:r>
          </w:p>
        </w:tc>
        <w:tc>
          <w:tcPr>
            <w:tcW w:w="384"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254</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337</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280</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411</w:t>
            </w:r>
          </w:p>
        </w:tc>
        <w:tc>
          <w:tcPr>
            <w:tcW w:w="38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344</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410</w:t>
            </w:r>
          </w:p>
        </w:tc>
        <w:tc>
          <w:tcPr>
            <w:tcW w:w="386"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sz w:val="20"/>
                <w:szCs w:val="20"/>
              </w:rPr>
            </w:pPr>
            <w:r>
              <w:rPr>
                <w:rFonts w:ascii="Calibri" w:hAnsi="Calibri"/>
                <w:sz w:val="20"/>
                <w:szCs w:val="20"/>
              </w:rPr>
              <w:t>365</w:t>
            </w:r>
          </w:p>
        </w:tc>
        <w:tc>
          <w:tcPr>
            <w:tcW w:w="547" w:type="pct"/>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keepNext/>
              <w:keepLines/>
              <w:jc w:val="center"/>
              <w:rPr>
                <w:rFonts w:ascii="Calibri" w:hAnsi="Calibri"/>
                <w:b/>
                <w:sz w:val="20"/>
                <w:szCs w:val="20"/>
              </w:rPr>
            </w:pPr>
            <w:r>
              <w:rPr>
                <w:rFonts w:ascii="Calibri" w:hAnsi="Calibri"/>
                <w:b/>
                <w:sz w:val="20"/>
                <w:szCs w:val="20"/>
              </w:rPr>
              <w:t>383</w:t>
            </w:r>
          </w:p>
        </w:tc>
        <w:tc>
          <w:tcPr>
            <w:tcW w:w="380" w:type="pct"/>
            <w:tcBorders>
              <w:top w:val="single" w:sz="4" w:space="0" w:color="auto"/>
              <w:left w:val="single" w:sz="4" w:space="0" w:color="auto"/>
              <w:bottom w:val="single" w:sz="4" w:space="0" w:color="auto"/>
              <w:right w:val="single" w:sz="4" w:space="0" w:color="auto"/>
            </w:tcBorders>
            <w:vAlign w:val="center"/>
            <w:hideMark/>
          </w:tcPr>
          <w:p w:rsidR="00540FA4" w:rsidRDefault="006B2702" w:rsidP="00E2296F">
            <w:pPr>
              <w:keepNext/>
              <w:keepLines/>
              <w:jc w:val="center"/>
              <w:rPr>
                <w:rFonts w:ascii="Calibri" w:hAnsi="Calibri"/>
                <w:b/>
                <w:sz w:val="20"/>
                <w:szCs w:val="20"/>
              </w:rPr>
            </w:pPr>
            <w:r>
              <w:rPr>
                <w:rFonts w:ascii="Calibri" w:hAnsi="Calibri"/>
                <w:b/>
                <w:sz w:val="20"/>
                <w:szCs w:val="20"/>
              </w:rPr>
              <w:t>482</w:t>
            </w:r>
          </w:p>
        </w:tc>
      </w:tr>
    </w:tbl>
    <w:p w:rsidR="00540FA4" w:rsidRDefault="00540FA4" w:rsidP="00540FA4"/>
    <w:p w:rsidR="00540FA4" w:rsidRDefault="00540FA4" w:rsidP="00540FA4">
      <w:r>
        <w:t xml:space="preserve">The total number </w:t>
      </w:r>
      <w:r>
        <w:rPr>
          <w:rFonts w:cs="Calibri"/>
        </w:rPr>
        <w:t>of</w:t>
      </w:r>
      <w:r>
        <w:t xml:space="preserve"> complaints closed for Jan–Jun 2016 shows a</w:t>
      </w:r>
      <w:r w:rsidR="006B2702">
        <w:t xml:space="preserve"> 26</w:t>
      </w:r>
      <w:r>
        <w:t xml:space="preserve">% increase over the average of the last four six month periods. </w:t>
      </w:r>
    </w:p>
    <w:p w:rsidR="00540FA4" w:rsidRDefault="00540FA4" w:rsidP="00540FA4">
      <w:bookmarkStart w:id="85" w:name="_Toc415221219"/>
      <w:bookmarkStart w:id="86" w:name="_Toc415153518"/>
      <w:bookmarkStart w:id="87" w:name="_Toc415147244"/>
      <w:bookmarkStart w:id="88" w:name="_Toc415135530"/>
      <w:bookmarkStart w:id="89" w:name="_Toc415046458"/>
      <w:bookmarkStart w:id="90" w:name="_Toc415039802"/>
      <w:bookmarkStart w:id="91" w:name="_Toc414952831"/>
      <w:bookmarkStart w:id="92" w:name="_Toc414886546"/>
      <w:bookmarkStart w:id="93" w:name="_Toc414875836"/>
      <w:bookmarkStart w:id="94" w:name="_Toc414461838"/>
      <w:bookmarkStart w:id="95" w:name="_Toc414442657"/>
    </w:p>
    <w:p w:rsidR="00540FA4" w:rsidRDefault="00540FA4" w:rsidP="00540FA4">
      <w:pPr>
        <w:pStyle w:val="Heading3"/>
      </w:pPr>
      <w:bookmarkStart w:id="96" w:name="_Toc426462638"/>
      <w:bookmarkStart w:id="97" w:name="_Toc443992233"/>
      <w:bookmarkStart w:id="98" w:name="_Toc464718907"/>
      <w:r>
        <w:t>4.2</w:t>
      </w:r>
      <w:r>
        <w:tab/>
        <w:t>Outcomes of complaints closed</w:t>
      </w:r>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540FA4" w:rsidRDefault="00540FA4" w:rsidP="00540FA4">
      <w:pPr>
        <w:rPr>
          <w:lang w:eastAsia="en-NZ" w:bidi="ar-SA"/>
        </w:rPr>
      </w:pPr>
      <w:r>
        <w:t xml:space="preserve">Complaints that are within HDC’s jurisdiction are classified into two groups according to the manner of resolution </w:t>
      </w:r>
      <w:r>
        <w:rPr>
          <w:rFonts w:ascii="Calibri" w:hAnsi="Calibri"/>
        </w:rPr>
        <w:t>—</w:t>
      </w:r>
      <w:r>
        <w:t xml:space="preserve"> whether formal investigation or non-investigation. Within each classification, there is a variety of possible outcomes. Once HDC has notified a DHB that a complaint concerning that DHB is to be investigated, the complaint remains </w:t>
      </w:r>
      <w:r>
        <w:rPr>
          <w:rFonts w:cs="Calibri"/>
        </w:rPr>
        <w:t>classified</w:t>
      </w:r>
      <w:r>
        <w:t xml:space="preserve"> as an investigation, even though an alternative manner of resolution may subsequently be adopted. Notification of investigation generally indicates more serious or </w:t>
      </w:r>
      <w:r>
        <w:rPr>
          <w:lang w:eastAsia="en-NZ" w:bidi="ar-SA"/>
        </w:rPr>
        <w:t xml:space="preserve">complex issues. </w:t>
      </w:r>
    </w:p>
    <w:p w:rsidR="00540FA4" w:rsidRDefault="00540FA4" w:rsidP="00540FA4">
      <w:pPr>
        <w:rPr>
          <w:lang w:eastAsia="en-NZ" w:bidi="ar-SA"/>
        </w:rPr>
      </w:pPr>
    </w:p>
    <w:p w:rsidR="00540FA4" w:rsidRDefault="00540FA4" w:rsidP="00540FA4">
      <w:pPr>
        <w:rPr>
          <w:lang w:eastAsia="en-NZ"/>
        </w:rPr>
      </w:pPr>
      <w:r>
        <w:rPr>
          <w:lang w:eastAsia="en-NZ"/>
        </w:rPr>
        <w:t xml:space="preserve">In the </w:t>
      </w:r>
      <w:r w:rsidR="005E5AF9">
        <w:t>Jan–Jun 2016</w:t>
      </w:r>
      <w:r>
        <w:t xml:space="preserve"> </w:t>
      </w:r>
      <w:r>
        <w:rPr>
          <w:lang w:eastAsia="en-NZ"/>
        </w:rPr>
        <w:t>period,</w:t>
      </w:r>
      <w:r w:rsidR="005E5AF9">
        <w:rPr>
          <w:b/>
          <w:lang w:eastAsia="en-NZ"/>
        </w:rPr>
        <w:t xml:space="preserve"> 6</w:t>
      </w:r>
      <w:r>
        <w:rPr>
          <w:b/>
          <w:lang w:eastAsia="en-NZ"/>
        </w:rPr>
        <w:t xml:space="preserve"> </w:t>
      </w:r>
      <w:r>
        <w:rPr>
          <w:lang w:eastAsia="en-NZ"/>
        </w:rPr>
        <w:t>DHBs had no investigations closed,</w:t>
      </w:r>
      <w:r w:rsidR="005E5AF9">
        <w:rPr>
          <w:b/>
          <w:lang w:eastAsia="en-NZ"/>
        </w:rPr>
        <w:t xml:space="preserve"> 8</w:t>
      </w:r>
      <w:r>
        <w:rPr>
          <w:b/>
          <w:lang w:eastAsia="en-NZ"/>
        </w:rPr>
        <w:t xml:space="preserve"> </w:t>
      </w:r>
      <w:r>
        <w:rPr>
          <w:lang w:eastAsia="en-NZ"/>
        </w:rPr>
        <w:t xml:space="preserve">DHBs had one investigation closed, </w:t>
      </w:r>
      <w:r w:rsidR="005E5AF9">
        <w:rPr>
          <w:b/>
          <w:lang w:eastAsia="en-NZ"/>
        </w:rPr>
        <w:t>5</w:t>
      </w:r>
      <w:r>
        <w:rPr>
          <w:lang w:eastAsia="en-NZ"/>
        </w:rPr>
        <w:t xml:space="preserve"> DHB</w:t>
      </w:r>
      <w:r w:rsidR="005E5AF9">
        <w:rPr>
          <w:lang w:eastAsia="en-NZ"/>
        </w:rPr>
        <w:t>s</w:t>
      </w:r>
      <w:r>
        <w:rPr>
          <w:lang w:eastAsia="en-NZ"/>
        </w:rPr>
        <w:t xml:space="preserve"> had two investigations closed, and </w:t>
      </w:r>
      <w:r w:rsidR="005E5AF9">
        <w:rPr>
          <w:b/>
          <w:lang w:eastAsia="en-NZ"/>
        </w:rPr>
        <w:t xml:space="preserve">1 </w:t>
      </w:r>
      <w:r w:rsidR="005E5AF9">
        <w:rPr>
          <w:lang w:eastAsia="en-NZ"/>
        </w:rPr>
        <w:t>DHB had four</w:t>
      </w:r>
      <w:r>
        <w:rPr>
          <w:lang w:eastAsia="en-NZ"/>
        </w:rPr>
        <w:t xml:space="preserve"> investigations closed by HDC.</w:t>
      </w:r>
    </w:p>
    <w:p w:rsidR="00540FA4" w:rsidRDefault="00540FA4" w:rsidP="00540FA4">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DHB complaints closed in </w:t>
      </w:r>
      <w:r>
        <w:t xml:space="preserve">Jan–Jun 2016 </w:t>
      </w:r>
      <w:r>
        <w:rPr>
          <w:rFonts w:ascii="Calibri" w:hAnsi="Calibri"/>
        </w:rPr>
        <w:t xml:space="preserve">is shown in Table 11. </w:t>
      </w:r>
    </w:p>
    <w:p w:rsidR="00540FA4" w:rsidRDefault="00540FA4" w:rsidP="00540FA4">
      <w:pPr>
        <w:rPr>
          <w:rFonts w:ascii="Calibri" w:hAnsi="Calibri"/>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rFonts w:ascii="Calibri" w:hAnsi="Calibri"/>
          <w:b/>
          <w:szCs w:val="22"/>
        </w:rPr>
      </w:pPr>
    </w:p>
    <w:p w:rsidR="00540FA4" w:rsidRDefault="00540FA4" w:rsidP="00540FA4">
      <w:pPr>
        <w:spacing w:after="120"/>
        <w:rPr>
          <w:lang w:eastAsia="en-NZ"/>
        </w:rPr>
      </w:pPr>
      <w:r>
        <w:rPr>
          <w:rFonts w:ascii="Calibri" w:hAnsi="Calibri"/>
          <w:b/>
          <w:szCs w:val="22"/>
        </w:rPr>
        <w:lastRenderedPageBreak/>
        <w:t xml:space="preserve">Table 11.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spacing w:before="60"/>
              <w:jc w:val="left"/>
              <w:outlineLvl w:val="0"/>
              <w:rPr>
                <w:rFonts w:ascii="Calibri" w:hAnsi="Calibri"/>
                <w:b/>
                <w:szCs w:val="22"/>
              </w:rPr>
            </w:pPr>
            <w:r>
              <w:rPr>
                <w:rFonts w:ascii="Calibri" w:hAnsi="Calibri"/>
                <w:b/>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540FA4" w:rsidRDefault="00540FA4" w:rsidP="00E2296F">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540FA4" w:rsidRDefault="00540FA4" w:rsidP="00E2296F">
            <w:pPr>
              <w:keepNext/>
              <w:keepLines/>
              <w:tabs>
                <w:tab w:val="left" w:pos="1440"/>
                <w:tab w:val="decimal" w:pos="4320"/>
              </w:tabs>
              <w:jc w:val="center"/>
              <w:outlineLvl w:val="0"/>
              <w:rPr>
                <w:rFonts w:ascii="Calibri" w:hAnsi="Calibri"/>
                <w:b/>
                <w:sz w:val="16"/>
                <w:szCs w:val="16"/>
              </w:rPr>
            </w:pPr>
          </w:p>
        </w:tc>
      </w:tr>
      <w:tr w:rsidR="00540FA4" w:rsidTr="00E2296F">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tabs>
                <w:tab w:val="left" w:pos="1440"/>
                <w:tab w:val="decimal" w:pos="4320"/>
              </w:tabs>
              <w:jc w:val="center"/>
              <w:outlineLvl w:val="0"/>
              <w:rPr>
                <w:rFonts w:ascii="Calibri" w:hAnsi="Calibri"/>
                <w:b/>
                <w:i/>
                <w:szCs w:val="22"/>
              </w:rPr>
            </w:pPr>
            <w:r>
              <w:rPr>
                <w:rFonts w:ascii="Calibri" w:hAnsi="Calibri"/>
                <w:b/>
                <w:i/>
                <w:szCs w:val="22"/>
              </w:rPr>
              <w:t>21</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Cs w:val="22"/>
              </w:rPr>
            </w:pPr>
            <w:r>
              <w:rPr>
                <w:rFonts w:ascii="Calibri" w:hAnsi="Calibri"/>
                <w:szCs w:val="22"/>
              </w:rPr>
              <w:t>8</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No further action</w:t>
            </w:r>
            <w:r>
              <w:rPr>
                <w:rStyle w:val="FootnoteReference"/>
                <w:rFonts w:ascii="Calibri" w:hAnsi="Calibri"/>
                <w:szCs w:val="22"/>
              </w:rPr>
              <w:footnoteReference w:id="6"/>
            </w:r>
            <w:r>
              <w:rPr>
                <w:rFonts w:ascii="Calibri" w:hAnsi="Calibri"/>
                <w:szCs w:val="22"/>
              </w:rPr>
              <w:t xml:space="preserve">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Cs w:val="22"/>
              </w:rPr>
            </w:pPr>
            <w:r>
              <w:rPr>
                <w:rFonts w:ascii="Calibri" w:hAnsi="Calibri"/>
                <w:szCs w:val="22"/>
              </w:rPr>
              <w:t>8</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Cs w:val="22"/>
              </w:rPr>
            </w:pPr>
            <w:r>
              <w:rPr>
                <w:rFonts w:ascii="Calibri" w:hAnsi="Calibri"/>
                <w:szCs w:val="22"/>
              </w:rPr>
              <w:t>2</w:t>
            </w:r>
          </w:p>
        </w:tc>
      </w:tr>
      <w:tr w:rsidR="00540FA4" w:rsidTr="00E2296F">
        <w:tc>
          <w:tcPr>
            <w:tcW w:w="4111" w:type="dxa"/>
            <w:tcBorders>
              <w:top w:val="single" w:sz="4" w:space="0" w:color="auto"/>
              <w:left w:val="single" w:sz="4" w:space="0" w:color="auto"/>
              <w:bottom w:val="single" w:sz="4" w:space="0" w:color="auto"/>
              <w:right w:val="single" w:sz="4" w:space="0" w:color="auto"/>
            </w:tcBorders>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Cs w:val="22"/>
              </w:rPr>
            </w:pPr>
            <w:r>
              <w:rPr>
                <w:rFonts w:ascii="Calibri" w:hAnsi="Calibri"/>
                <w:szCs w:val="22"/>
              </w:rPr>
              <w:t>3</w:t>
            </w:r>
          </w:p>
        </w:tc>
      </w:tr>
      <w:tr w:rsidR="00540FA4" w:rsidTr="00E2296F">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keepNext/>
              <w:keepLines/>
              <w:tabs>
                <w:tab w:val="left" w:pos="1440"/>
                <w:tab w:val="decimal" w:pos="4320"/>
              </w:tabs>
              <w:jc w:val="left"/>
              <w:outlineLvl w:val="0"/>
              <w:rPr>
                <w:rFonts w:ascii="Calibri" w:hAnsi="Calibri"/>
                <w:b/>
                <w:i/>
                <w:szCs w:val="22"/>
              </w:rPr>
            </w:pPr>
            <w:r>
              <w:rPr>
                <w:rFonts w:ascii="Calibri" w:hAnsi="Calibri"/>
                <w:b/>
                <w:i/>
                <w:szCs w:val="22"/>
              </w:rPr>
              <w:t>Non-investigation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E14D5C" w:rsidP="00E2296F">
            <w:pPr>
              <w:keepNext/>
              <w:keepLines/>
              <w:tabs>
                <w:tab w:val="left" w:pos="1440"/>
                <w:tab w:val="decimal" w:pos="4320"/>
              </w:tabs>
              <w:jc w:val="center"/>
              <w:outlineLvl w:val="0"/>
              <w:rPr>
                <w:rFonts w:ascii="Calibri" w:hAnsi="Calibri"/>
                <w:b/>
                <w:i/>
                <w:szCs w:val="22"/>
              </w:rPr>
            </w:pPr>
            <w:r>
              <w:rPr>
                <w:rFonts w:ascii="Calibri" w:hAnsi="Calibri"/>
                <w:b/>
                <w:i/>
                <w:szCs w:val="22"/>
              </w:rPr>
              <w:t>442</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No further action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E14D5C" w:rsidP="00E2296F">
            <w:pPr>
              <w:keepNext/>
              <w:keepLines/>
              <w:tabs>
                <w:tab w:val="left" w:pos="1440"/>
                <w:tab w:val="decimal" w:pos="4320"/>
              </w:tabs>
              <w:jc w:val="center"/>
              <w:outlineLvl w:val="0"/>
              <w:rPr>
                <w:rFonts w:ascii="Calibri" w:hAnsi="Calibri"/>
                <w:szCs w:val="22"/>
              </w:rPr>
            </w:pPr>
            <w:r>
              <w:rPr>
                <w:rFonts w:ascii="Calibri" w:hAnsi="Calibri"/>
                <w:szCs w:val="22"/>
              </w:rPr>
              <w:t>112</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rFonts w:ascii="Calibri" w:hAnsi="Calibri" w:cs="Calibri"/>
                <w:color w:val="000000"/>
                <w:szCs w:val="22"/>
              </w:rPr>
            </w:pPr>
            <w:r>
              <w:rPr>
                <w:rFonts w:ascii="Calibri" w:hAnsi="Calibri" w:cs="Calibri"/>
                <w:color w:val="000000"/>
                <w:szCs w:val="22"/>
              </w:rPr>
              <w:t>Referred to Privacy Commissioner</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rPr>
                <w:rFonts w:ascii="Calibri" w:hAnsi="Calibri" w:cs="Calibri"/>
                <w:color w:val="000000"/>
                <w:szCs w:val="22"/>
              </w:rPr>
            </w:pPr>
            <w:r>
              <w:rPr>
                <w:rFonts w:ascii="Calibri" w:hAnsi="Calibri" w:cs="Calibri"/>
                <w:color w:val="000000"/>
                <w:szCs w:val="22"/>
              </w:rPr>
              <w:t xml:space="preserve">Referred to District Inspector </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14</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E14D5C" w:rsidP="00E2296F">
            <w:pPr>
              <w:keepNext/>
              <w:keepLines/>
              <w:tabs>
                <w:tab w:val="left" w:pos="1440"/>
                <w:tab w:val="decimal" w:pos="4320"/>
              </w:tabs>
              <w:jc w:val="center"/>
              <w:outlineLvl w:val="0"/>
              <w:rPr>
                <w:rFonts w:ascii="Calibri" w:hAnsi="Calibri"/>
                <w:szCs w:val="22"/>
              </w:rPr>
            </w:pPr>
            <w:r>
              <w:rPr>
                <w:rFonts w:ascii="Calibri" w:hAnsi="Calibri"/>
                <w:szCs w:val="22"/>
              </w:rPr>
              <w:t>108</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Referred to Advocacy</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keepNext/>
              <w:keepLines/>
              <w:tabs>
                <w:tab w:val="left" w:pos="1440"/>
                <w:tab w:val="decimal" w:pos="4320"/>
              </w:tabs>
              <w:jc w:val="center"/>
              <w:outlineLvl w:val="0"/>
              <w:rPr>
                <w:rFonts w:ascii="Calibri" w:hAnsi="Calibri"/>
                <w:szCs w:val="22"/>
              </w:rPr>
            </w:pPr>
            <w:r>
              <w:rPr>
                <w:rFonts w:ascii="Calibri" w:hAnsi="Calibri"/>
                <w:szCs w:val="22"/>
              </w:rPr>
              <w:t>27</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E14D5C" w:rsidP="00E2296F">
            <w:pPr>
              <w:jc w:val="center"/>
              <w:rPr>
                <w:rFonts w:ascii="Calibri" w:hAnsi="Calibri" w:cs="Calibri"/>
                <w:color w:val="000000"/>
                <w:szCs w:val="22"/>
              </w:rPr>
            </w:pPr>
            <w:r>
              <w:rPr>
                <w:rFonts w:ascii="Calibri" w:hAnsi="Calibri" w:cs="Calibri"/>
                <w:color w:val="000000"/>
                <w:szCs w:val="22"/>
              </w:rPr>
              <w:t>174</w:t>
            </w:r>
          </w:p>
        </w:tc>
      </w:tr>
      <w:tr w:rsidR="00540FA4" w:rsidTr="00E2296F">
        <w:tc>
          <w:tcPr>
            <w:tcW w:w="4111" w:type="dxa"/>
            <w:tcBorders>
              <w:top w:val="single" w:sz="4" w:space="0" w:color="auto"/>
              <w:left w:val="single" w:sz="4" w:space="0" w:color="auto"/>
              <w:bottom w:val="single" w:sz="4" w:space="0" w:color="auto"/>
              <w:right w:val="single" w:sz="4" w:space="0" w:color="auto"/>
            </w:tcBorders>
            <w:hideMark/>
          </w:tcPr>
          <w:p w:rsidR="00540FA4" w:rsidRDefault="00540FA4" w:rsidP="00E2296F">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jc w:val="center"/>
              <w:rPr>
                <w:rFonts w:ascii="Calibri" w:hAnsi="Calibri" w:cs="Calibri"/>
                <w:color w:val="000000"/>
                <w:szCs w:val="22"/>
              </w:rPr>
            </w:pPr>
            <w:r>
              <w:rPr>
                <w:rFonts w:ascii="Calibri" w:hAnsi="Calibri" w:cs="Calibri"/>
                <w:color w:val="000000"/>
                <w:szCs w:val="22"/>
              </w:rPr>
              <w:t>6</w:t>
            </w:r>
          </w:p>
        </w:tc>
      </w:tr>
      <w:tr w:rsidR="00540FA4" w:rsidTr="00E2296F">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FA4" w:rsidRDefault="00540FA4" w:rsidP="00E2296F">
            <w:pPr>
              <w:keepNext/>
              <w:keepLines/>
              <w:tabs>
                <w:tab w:val="left" w:pos="1440"/>
                <w:tab w:val="decimal" w:pos="4320"/>
              </w:tabs>
              <w:jc w:val="center"/>
              <w:outlineLvl w:val="0"/>
              <w:rPr>
                <w:rFonts w:ascii="Calibri" w:hAnsi="Calibri"/>
                <w:b/>
                <w:i/>
                <w:szCs w:val="22"/>
              </w:rPr>
            </w:pPr>
            <w:r>
              <w:rPr>
                <w:rFonts w:ascii="Calibri" w:hAnsi="Calibri"/>
                <w:b/>
                <w:i/>
                <w:szCs w:val="22"/>
              </w:rPr>
              <w:t>19</w:t>
            </w:r>
          </w:p>
        </w:tc>
      </w:tr>
      <w:tr w:rsidR="00540FA4" w:rsidTr="00E2296F">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FA4" w:rsidRDefault="00E14D5C" w:rsidP="00E2296F">
            <w:pPr>
              <w:jc w:val="center"/>
              <w:rPr>
                <w:rFonts w:ascii="Calibri" w:hAnsi="Calibri" w:cs="Calibri"/>
                <w:b/>
                <w:color w:val="000000"/>
                <w:szCs w:val="22"/>
              </w:rPr>
            </w:pPr>
            <w:r>
              <w:rPr>
                <w:rFonts w:ascii="Calibri" w:hAnsi="Calibri" w:cs="Calibri"/>
                <w:b/>
                <w:color w:val="000000"/>
                <w:szCs w:val="22"/>
              </w:rPr>
              <w:t>482</w:t>
            </w:r>
          </w:p>
        </w:tc>
      </w:tr>
    </w:tbl>
    <w:p w:rsidR="00540FA4" w:rsidRDefault="00540FA4" w:rsidP="00540FA4">
      <w:pPr>
        <w:rPr>
          <w:lang w:eastAsia="en-NZ"/>
        </w:rPr>
      </w:pPr>
      <w:bookmarkStart w:id="99" w:name="_Toc415221220"/>
      <w:bookmarkStart w:id="100" w:name="_Toc415153519"/>
      <w:bookmarkStart w:id="101" w:name="_Toc415147245"/>
      <w:bookmarkStart w:id="102" w:name="_Toc415135531"/>
      <w:bookmarkStart w:id="103" w:name="_Toc415046459"/>
      <w:bookmarkStart w:id="104" w:name="_Toc415039803"/>
      <w:bookmarkStart w:id="105" w:name="_Toc414952832"/>
      <w:bookmarkStart w:id="106" w:name="_Toc414886547"/>
      <w:bookmarkStart w:id="107" w:name="_Toc414875837"/>
      <w:bookmarkStart w:id="108" w:name="_Toc414461839"/>
      <w:bookmarkStart w:id="109" w:name="_Toc414442658"/>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rPr>
          <w:lang w:eastAsia="en-NZ"/>
        </w:rPr>
      </w:pPr>
    </w:p>
    <w:p w:rsidR="00540FA4" w:rsidRDefault="00540FA4" w:rsidP="00540FA4">
      <w:pPr>
        <w:pStyle w:val="Heading3"/>
        <w:spacing w:before="240"/>
        <w:rPr>
          <w:lang w:eastAsia="en-NZ"/>
        </w:rPr>
      </w:pPr>
      <w:bookmarkStart w:id="110" w:name="_Toc426462639"/>
      <w:bookmarkStart w:id="111" w:name="_Toc443992234"/>
      <w:bookmarkStart w:id="112" w:name="_Toc464718908"/>
      <w:r>
        <w:rPr>
          <w:lang w:eastAsia="en-NZ"/>
        </w:rPr>
        <w:lastRenderedPageBreak/>
        <w:t xml:space="preserve">4.3 </w:t>
      </w:r>
      <w:r>
        <w:rPr>
          <w:lang w:eastAsia="en-NZ"/>
        </w:rPr>
        <w:tab/>
      </w:r>
      <w:r>
        <w:t>Recommendations</w:t>
      </w:r>
      <w:r>
        <w:rPr>
          <w:lang w:eastAsia="en-NZ"/>
        </w:rPr>
        <w:t xml:space="preserve"> made to DHBs following a complaint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540FA4" w:rsidRDefault="00540FA4" w:rsidP="00540FA4">
      <w:pPr>
        <w:pStyle w:val="NoSpacing"/>
        <w:spacing w:after="12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DHBs in complaints closed in the current period. Please note that more than one recommendation may be made in relation to a single complaint. </w:t>
      </w:r>
    </w:p>
    <w:p w:rsidR="00540FA4" w:rsidRDefault="00540FA4" w:rsidP="00540FA4">
      <w:pPr>
        <w:pStyle w:val="NoSpacing"/>
        <w:spacing w:after="120"/>
        <w:rPr>
          <w:b/>
          <w:lang w:val="en-NZ" w:eastAsia="en-NZ"/>
        </w:rPr>
      </w:pPr>
      <w:r>
        <w:rPr>
          <w:b/>
          <w:lang w:val="en-NZ" w:eastAsia="en-NZ"/>
        </w:rPr>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540FA4" w:rsidTr="00E2296F">
        <w:tc>
          <w:tcPr>
            <w:tcW w:w="3686"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pStyle w:val="NoSpacing"/>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jc w:val="center"/>
              <w:rPr>
                <w:b/>
                <w:lang w:val="en-NZ" w:eastAsia="en-NZ"/>
              </w:rPr>
            </w:pPr>
            <w:r>
              <w:rPr>
                <w:b/>
                <w:lang w:val="en-NZ" w:eastAsia="en-NZ"/>
              </w:rPr>
              <w:t>Number of recommendations made</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lang w:val="en-NZ" w:eastAsia="en-NZ"/>
              </w:rPr>
            </w:pPr>
            <w:r>
              <w:rPr>
                <w:lang w:val="en-NZ" w:eastAsia="en-NZ"/>
              </w:rPr>
              <w:t>20</w:t>
            </w:r>
          </w:p>
        </w:tc>
      </w:tr>
      <w:tr w:rsidR="00540FA4" w:rsidTr="00E2296F">
        <w:trPr>
          <w:trHeight w:val="293"/>
        </w:trPr>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lang w:val="en-NZ" w:eastAsia="en-NZ"/>
              </w:rPr>
            </w:pPr>
            <w:r>
              <w:rPr>
                <w:lang w:val="en-NZ" w:eastAsia="en-NZ"/>
              </w:rPr>
              <w:t>31</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pStyle w:val="NoSpacing"/>
              <w:jc w:val="center"/>
              <w:rPr>
                <w:sz w:val="24"/>
                <w:szCs w:val="24"/>
                <w:lang w:val="en-NZ" w:eastAsia="en-NZ"/>
              </w:rPr>
            </w:pPr>
            <w:r>
              <w:rPr>
                <w:sz w:val="24"/>
                <w:szCs w:val="24"/>
                <w:lang w:val="en-NZ" w:eastAsia="en-NZ"/>
              </w:rPr>
              <w:t>14</w:t>
            </w:r>
          </w:p>
        </w:tc>
      </w:tr>
      <w:tr w:rsidR="00540FA4" w:rsidTr="00E2296F">
        <w:tc>
          <w:tcPr>
            <w:tcW w:w="3686" w:type="dxa"/>
            <w:tcBorders>
              <w:top w:val="single" w:sz="4" w:space="0" w:color="auto"/>
              <w:left w:val="single" w:sz="4" w:space="0" w:color="auto"/>
              <w:bottom w:val="single" w:sz="4" w:space="0" w:color="auto"/>
              <w:right w:val="single" w:sz="4" w:space="0" w:color="auto"/>
            </w:tcBorders>
            <w:vAlign w:val="center"/>
            <w:hideMark/>
          </w:tcPr>
          <w:p w:rsidR="00540FA4" w:rsidRDefault="00540FA4" w:rsidP="00E2296F">
            <w:pPr>
              <w:pStyle w:val="NoSpacing"/>
              <w:jc w:val="left"/>
              <w:rPr>
                <w:lang w:val="en-NZ" w:eastAsia="en-NZ"/>
              </w:rPr>
            </w:pPr>
            <w:r>
              <w:rPr>
                <w:lang w:val="en-NZ" w:eastAsia="en-NZ"/>
              </w:rPr>
              <w:t>Provision of information to other agency</w:t>
            </w:r>
          </w:p>
        </w:tc>
        <w:tc>
          <w:tcPr>
            <w:tcW w:w="1984" w:type="dxa"/>
            <w:tcBorders>
              <w:top w:val="single" w:sz="4" w:space="0" w:color="auto"/>
              <w:left w:val="single" w:sz="4" w:space="0" w:color="auto"/>
              <w:bottom w:val="single" w:sz="4" w:space="0" w:color="auto"/>
              <w:right w:val="single" w:sz="4" w:space="0" w:color="auto"/>
            </w:tcBorders>
            <w:vAlign w:val="center"/>
          </w:tcPr>
          <w:p w:rsidR="00540FA4" w:rsidRDefault="00540FA4" w:rsidP="00E2296F">
            <w:pPr>
              <w:pStyle w:val="NoSpacing"/>
              <w:jc w:val="center"/>
              <w:rPr>
                <w:sz w:val="24"/>
                <w:szCs w:val="24"/>
                <w:lang w:val="en-NZ" w:eastAsia="en-NZ"/>
              </w:rPr>
            </w:pPr>
            <w:r>
              <w:rPr>
                <w:sz w:val="24"/>
                <w:szCs w:val="24"/>
                <w:lang w:val="en-NZ" w:eastAsia="en-NZ"/>
              </w:rPr>
              <w:t>3</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rPr>
                <w:lang w:val="en-NZ" w:eastAsia="en-NZ"/>
              </w:rPr>
            </w:pPr>
            <w:r>
              <w:rPr>
                <w:lang w:val="en-NZ" w:eastAsia="en-NZ"/>
              </w:rPr>
              <w:t>Provision of information to HDC</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sz w:val="24"/>
                <w:szCs w:val="24"/>
                <w:lang w:val="en-NZ" w:eastAsia="en-NZ"/>
              </w:rPr>
            </w:pPr>
            <w:r>
              <w:rPr>
                <w:sz w:val="24"/>
                <w:szCs w:val="24"/>
                <w:lang w:val="en-NZ" w:eastAsia="en-NZ"/>
              </w:rPr>
              <w:t>36</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sz w:val="24"/>
                <w:szCs w:val="24"/>
                <w:lang w:val="en-NZ" w:eastAsia="en-NZ"/>
              </w:rPr>
            </w:pPr>
            <w:r>
              <w:rPr>
                <w:sz w:val="24"/>
                <w:szCs w:val="24"/>
                <w:lang w:val="en-NZ" w:eastAsia="en-NZ"/>
              </w:rPr>
              <w:t>6</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rPr>
                <w:lang w:val="en-NZ" w:eastAsia="en-NZ"/>
              </w:rPr>
            </w:pPr>
            <w:r>
              <w:rPr>
                <w:lang w:val="en-NZ" w:eastAsia="en-NZ"/>
              </w:rPr>
              <w:t>Review of policies/procedures</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sz w:val="24"/>
                <w:szCs w:val="24"/>
                <w:lang w:val="en-NZ" w:eastAsia="en-NZ"/>
              </w:rPr>
            </w:pPr>
            <w:r>
              <w:rPr>
                <w:sz w:val="24"/>
                <w:szCs w:val="24"/>
                <w:lang w:val="en-NZ" w:eastAsia="en-NZ"/>
              </w:rPr>
              <w:t>36</w:t>
            </w:r>
          </w:p>
        </w:tc>
      </w:tr>
      <w:tr w:rsidR="00540FA4" w:rsidTr="00E2296F">
        <w:tc>
          <w:tcPr>
            <w:tcW w:w="3686" w:type="dxa"/>
            <w:tcBorders>
              <w:top w:val="single" w:sz="4" w:space="0" w:color="auto"/>
              <w:left w:val="single" w:sz="4" w:space="0" w:color="auto"/>
              <w:bottom w:val="single" w:sz="4" w:space="0" w:color="auto"/>
              <w:right w:val="single" w:sz="4" w:space="0" w:color="auto"/>
            </w:tcBorders>
            <w:hideMark/>
          </w:tcPr>
          <w:p w:rsidR="00540FA4" w:rsidRDefault="00540FA4" w:rsidP="00E2296F">
            <w:pPr>
              <w:pStyle w:val="NoSpacing"/>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540FA4" w:rsidRDefault="00540FA4" w:rsidP="00E2296F">
            <w:pPr>
              <w:pStyle w:val="NoSpacing"/>
              <w:jc w:val="center"/>
              <w:rPr>
                <w:lang w:val="en-NZ" w:eastAsia="en-NZ"/>
              </w:rPr>
            </w:pPr>
            <w:r>
              <w:rPr>
                <w:lang w:val="en-NZ" w:eastAsia="en-NZ"/>
              </w:rPr>
              <w:t>28</w:t>
            </w:r>
          </w:p>
        </w:tc>
      </w:tr>
      <w:tr w:rsidR="00540FA4" w:rsidTr="00E2296F">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FA4" w:rsidRDefault="00540FA4" w:rsidP="00E2296F">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0FA4" w:rsidRDefault="00540FA4" w:rsidP="00E2296F">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174</w:t>
            </w:r>
            <w:r>
              <w:rPr>
                <w:b/>
                <w:lang w:val="en-NZ" w:eastAsia="en-NZ"/>
              </w:rPr>
              <w:fldChar w:fldCharType="end"/>
            </w:r>
          </w:p>
        </w:tc>
      </w:tr>
    </w:tbl>
    <w:p w:rsidR="00540FA4" w:rsidRDefault="00540FA4" w:rsidP="00540FA4">
      <w:pPr>
        <w:spacing w:before="240"/>
        <w:rPr>
          <w:b/>
        </w:rPr>
      </w:pPr>
      <w:r>
        <w:t>T</w:t>
      </w:r>
      <w:r>
        <w:rPr>
          <w:lang w:eastAsia="en-NZ"/>
        </w:rPr>
        <w:t xml:space="preserve">he most common recommendations made to DHBs were that they review their policies/procedures (36 recommendations) or that they provide information to HDC (36 recommendations). The provision of information to HDC was often in relation to HDC ensuring that DHBs had made the changes they reported that they would make in response to the complaint.  When audits were recommended, they were most commonly in relation to adherence to policies/procedures, followed by compliance with documentation requirements. Training/professional development was most often recommended in relation to clinical issues, followed by documentation and communication. </w:t>
      </w:r>
    </w:p>
    <w:bookmarkEnd w:id="19"/>
    <w:p w:rsidR="00540FA4" w:rsidRDefault="00540FA4" w:rsidP="00540FA4"/>
    <w:p w:rsidR="00540FA4" w:rsidRDefault="00540FA4" w:rsidP="00540FA4"/>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rPr>
          <w:lang w:bidi="ar-SA"/>
        </w:rPr>
      </w:pPr>
    </w:p>
    <w:p w:rsidR="00540FA4" w:rsidRDefault="00540FA4" w:rsidP="00540FA4">
      <w:pPr>
        <w:pStyle w:val="Heading2"/>
        <w:rPr>
          <w:lang w:val="en-NZ"/>
        </w:rPr>
      </w:pPr>
      <w:bookmarkStart w:id="113" w:name="_Toc426462640"/>
      <w:bookmarkStart w:id="114" w:name="_Toc443992235"/>
      <w:bookmarkStart w:id="115" w:name="_Toc464718909"/>
      <w:r>
        <w:rPr>
          <w:lang w:val="en-NZ"/>
        </w:rPr>
        <w:lastRenderedPageBreak/>
        <w:t>5.0</w:t>
      </w:r>
      <w:r>
        <w:rPr>
          <w:lang w:val="en-NZ"/>
        </w:rPr>
        <w:tab/>
        <w:t>Learning from complaints — HDC case reports</w:t>
      </w:r>
      <w:bookmarkEnd w:id="113"/>
      <w:bookmarkEnd w:id="114"/>
      <w:bookmarkEnd w:id="115"/>
    </w:p>
    <w:p w:rsidR="00540FA4" w:rsidRDefault="00A05844" w:rsidP="00540FA4">
      <w:pPr>
        <w:rPr>
          <w:b/>
          <w:szCs w:val="22"/>
        </w:rPr>
      </w:pPr>
      <w:r>
        <w:rPr>
          <w:b/>
          <w:szCs w:val="22"/>
        </w:rPr>
        <w:t>Assessment and treatment of young child with fever and respiratory symptoms</w:t>
      </w:r>
      <w:r w:rsidR="00540FA4">
        <w:rPr>
          <w:b/>
          <w:szCs w:val="22"/>
        </w:rPr>
        <w:t xml:space="preserve"> (</w:t>
      </w:r>
      <w:r w:rsidR="00540FA4">
        <w:rPr>
          <w:b/>
          <w:noProof/>
          <w:szCs w:val="22"/>
        </w:rPr>
        <w:t>14HDC0</w:t>
      </w:r>
      <w:r>
        <w:rPr>
          <w:b/>
          <w:noProof/>
          <w:szCs w:val="22"/>
        </w:rPr>
        <w:t>1187</w:t>
      </w:r>
      <w:r w:rsidR="00540FA4">
        <w:rPr>
          <w:b/>
          <w:szCs w:val="22"/>
        </w:rPr>
        <w:t>)</w:t>
      </w:r>
    </w:p>
    <w:p w:rsidR="00540FA4" w:rsidRDefault="00540FA4" w:rsidP="00540FA4">
      <w:pPr>
        <w:tabs>
          <w:tab w:val="left" w:pos="720"/>
          <w:tab w:val="left" w:pos="1134"/>
        </w:tabs>
        <w:spacing w:before="120" w:after="120"/>
        <w:rPr>
          <w:i/>
          <w:szCs w:val="22"/>
        </w:rPr>
      </w:pPr>
      <w:r>
        <w:rPr>
          <w:i/>
          <w:szCs w:val="22"/>
        </w:rPr>
        <w:t>Background</w:t>
      </w:r>
    </w:p>
    <w:p w:rsidR="00A05844" w:rsidRDefault="00A05844" w:rsidP="00A05844">
      <w:pPr>
        <w:tabs>
          <w:tab w:val="left" w:pos="720"/>
          <w:tab w:val="left" w:pos="1134"/>
        </w:tabs>
        <w:spacing w:before="120" w:after="120"/>
        <w:rPr>
          <w:szCs w:val="22"/>
        </w:rPr>
      </w:pPr>
      <w:r>
        <w:rPr>
          <w:szCs w:val="22"/>
        </w:rPr>
        <w:t>Miss A, a nearly three year old child, had a cough and a runny nose which worsened over s</w:t>
      </w:r>
      <w:r w:rsidR="00CF0A76">
        <w:rPr>
          <w:szCs w:val="22"/>
        </w:rPr>
        <w:t>everal days. On the fifth day, M</w:t>
      </w:r>
      <w:r>
        <w:rPr>
          <w:szCs w:val="22"/>
        </w:rPr>
        <w:t>iss A awoke with a fever shortly afte</w:t>
      </w:r>
      <w:r w:rsidR="00F649C1">
        <w:rPr>
          <w:szCs w:val="22"/>
        </w:rPr>
        <w:t>r midnight and her mother</w:t>
      </w:r>
      <w:r>
        <w:rPr>
          <w:szCs w:val="22"/>
        </w:rPr>
        <w:t xml:space="preserve"> took her to the Emergency Department (ED) of a public hospital. </w:t>
      </w:r>
    </w:p>
    <w:p w:rsidR="00A05844" w:rsidRDefault="00A05844" w:rsidP="00A05844">
      <w:pPr>
        <w:tabs>
          <w:tab w:val="left" w:pos="720"/>
          <w:tab w:val="left" w:pos="1134"/>
        </w:tabs>
        <w:spacing w:before="120" w:after="120"/>
      </w:pPr>
      <w:r>
        <w:rPr>
          <w:szCs w:val="22"/>
        </w:rPr>
        <w:t xml:space="preserve">On arrival, Miss A had a cough, a temperature of </w:t>
      </w:r>
      <w:r w:rsidRPr="008F1044">
        <w:t>38.5°C (which soon increased to 39.3°C),</w:t>
      </w:r>
      <w:r w:rsidR="00F649C1">
        <w:t xml:space="preserve"> and an increased heart rate. Miss A was assessed by two doctors, and following cooling techniques and the administration of paracetamol and ibuprofen, Miss A’s temperature reduced to </w:t>
      </w:r>
      <w:r w:rsidR="00F649C1" w:rsidRPr="008F1044">
        <w:t>37.4°C and her heart rate also reduced</w:t>
      </w:r>
      <w:r w:rsidR="00CF0A76">
        <w:t>. Miss A was discharged home and her parents were instructed to</w:t>
      </w:r>
      <w:r w:rsidR="00F649C1">
        <w:t xml:space="preserve"> return if there were any concerns. The discharging doctor requested that the paediatric department call the family to follow up, but this did not occur.</w:t>
      </w:r>
    </w:p>
    <w:p w:rsidR="00F649C1" w:rsidRDefault="00F649C1" w:rsidP="00A05844">
      <w:pPr>
        <w:tabs>
          <w:tab w:val="left" w:pos="720"/>
          <w:tab w:val="left" w:pos="1134"/>
        </w:tabs>
        <w:spacing w:before="120" w:after="120"/>
        <w:rPr>
          <w:szCs w:val="22"/>
        </w:rPr>
      </w:pPr>
      <w:r>
        <w:rPr>
          <w:szCs w:val="22"/>
        </w:rPr>
        <w:t xml:space="preserve">Miss A’s condition worsened over the next two days – she was lethargic, slept frequently, </w:t>
      </w:r>
      <w:r w:rsidR="00CF0A76">
        <w:rPr>
          <w:szCs w:val="22"/>
        </w:rPr>
        <w:t xml:space="preserve">and </w:t>
      </w:r>
      <w:r>
        <w:rPr>
          <w:szCs w:val="22"/>
        </w:rPr>
        <w:t>refused food, bu</w:t>
      </w:r>
      <w:r w:rsidR="00CF0A76">
        <w:rPr>
          <w:szCs w:val="22"/>
        </w:rPr>
        <w:t>t continued to drink water. Her</w:t>
      </w:r>
      <w:r>
        <w:rPr>
          <w:szCs w:val="22"/>
        </w:rPr>
        <w:t xml:space="preserve"> fever was managed with paracetamol and ibuprofen. On the second day, Miss A began to make wheezing noises when exhaling. Her wheezing worsened and her mother tool her back to the ED at 9.14pm.</w:t>
      </w:r>
    </w:p>
    <w:p w:rsidR="00F649C1" w:rsidRDefault="00F649C1" w:rsidP="00A05844">
      <w:pPr>
        <w:tabs>
          <w:tab w:val="left" w:pos="720"/>
          <w:tab w:val="left" w:pos="1134"/>
        </w:tabs>
        <w:spacing w:before="120" w:after="120"/>
      </w:pPr>
      <w:r>
        <w:rPr>
          <w:szCs w:val="22"/>
        </w:rPr>
        <w:t xml:space="preserve">On arrival Miss A was triaged as category two (to be seen within 10 minutes). Miss A’s temperature was </w:t>
      </w:r>
      <w:r w:rsidRPr="008F1044">
        <w:t xml:space="preserve">37.3°C, her heart rate was </w:t>
      </w:r>
      <w:r>
        <w:t>1</w:t>
      </w:r>
      <w:r w:rsidRPr="008F1044">
        <w:t>70</w:t>
      </w:r>
      <w:r>
        <w:t>-</w:t>
      </w:r>
      <w:r w:rsidRPr="008F1044">
        <w:t>175 b</w:t>
      </w:r>
      <w:r>
        <w:t xml:space="preserve">eats </w:t>
      </w:r>
      <w:r w:rsidRPr="008F1044">
        <w:t>p</w:t>
      </w:r>
      <w:r>
        <w:t>er minute</w:t>
      </w:r>
      <w:r w:rsidRPr="008F1044">
        <w:t>, and her respiratory rate was 44 breaths per minute</w:t>
      </w:r>
      <w:r>
        <w:t>. Miss A was assessed by a house officer, Dr C, who discussed her presentation with th</w:t>
      </w:r>
      <w:r w:rsidR="00B2768F">
        <w:t xml:space="preserve">e supervising consultant, Dr B. Dr B did not assess Miss A personally. Dr C recorded an impression of a viral illness, and Miss A was discharged home at 10:07pm. Dr C did not document any discharge information </w:t>
      </w:r>
      <w:r w:rsidR="00E0180A">
        <w:t>provided to</w:t>
      </w:r>
      <w:r w:rsidR="00B2768F">
        <w:t xml:space="preserve"> Miss A’s parents, and he did not request a follow-up telephone call from the Paediatric Department.</w:t>
      </w:r>
    </w:p>
    <w:p w:rsidR="00E0180A" w:rsidRPr="00A05844" w:rsidRDefault="00E0180A" w:rsidP="00A05844">
      <w:pPr>
        <w:tabs>
          <w:tab w:val="left" w:pos="720"/>
          <w:tab w:val="left" w:pos="1134"/>
        </w:tabs>
        <w:spacing w:before="120" w:after="120"/>
        <w:rPr>
          <w:szCs w:val="22"/>
        </w:rPr>
      </w:pPr>
      <w:r>
        <w:t xml:space="preserve">At 7am the following day, Miss A’s temperature had increased to </w:t>
      </w:r>
      <w:r w:rsidRPr="008F1044">
        <w:t xml:space="preserve">40.2°C and </w:t>
      </w:r>
      <w:r>
        <w:t xml:space="preserve">her mother </w:t>
      </w:r>
      <w:r w:rsidRPr="008F1044">
        <w:t xml:space="preserve">called the </w:t>
      </w:r>
      <w:r>
        <w:t>ED</w:t>
      </w:r>
      <w:r w:rsidRPr="008F1044">
        <w:t xml:space="preserve"> for advice. She was transferred to </w:t>
      </w:r>
      <w:r>
        <w:t>a</w:t>
      </w:r>
      <w:r w:rsidRPr="008F1044">
        <w:t xml:space="preserve"> telehealth service</w:t>
      </w:r>
      <w:r>
        <w:t xml:space="preserve">. The mother spoke with a registered nurse (RN). Miss A’s mother told the RN Miss A’s temperature, and that they had been to ED twice in two days. Miss A’s breathing was audible to the RN throughout the call. The mother ended the call after 3 minutes and 12 seconds, before the RN had completed triage, telling the RN that she was “going to go”. The RN did not call her back or contact the telehealth service’s resource nurse for advice. At approximately 1pm Miss A stopped breathing. Her mother called an ambulance and Miss A was taken to the ED. Attempts to resuscitate her were unsuccessful.  </w:t>
      </w:r>
    </w:p>
    <w:p w:rsidR="00540FA4" w:rsidRDefault="00540FA4" w:rsidP="00540FA4">
      <w:pPr>
        <w:tabs>
          <w:tab w:val="left" w:pos="720"/>
          <w:tab w:val="left" w:pos="1134"/>
        </w:tabs>
        <w:spacing w:before="120" w:after="120"/>
        <w:rPr>
          <w:i/>
          <w:szCs w:val="22"/>
        </w:rPr>
      </w:pPr>
      <w:r>
        <w:rPr>
          <w:i/>
          <w:szCs w:val="22"/>
        </w:rPr>
        <w:t>Findings</w:t>
      </w:r>
    </w:p>
    <w:p w:rsidR="001A5807" w:rsidRDefault="001A5807" w:rsidP="00540FA4">
      <w:pPr>
        <w:tabs>
          <w:tab w:val="left" w:pos="720"/>
          <w:tab w:val="left" w:pos="1134"/>
        </w:tabs>
        <w:spacing w:before="120" w:after="120"/>
        <w:rPr>
          <w:szCs w:val="22"/>
        </w:rPr>
      </w:pPr>
      <w:r>
        <w:t xml:space="preserve">The telehealth nurse </w:t>
      </w:r>
      <w:r w:rsidRPr="00AD5C2B">
        <w:t xml:space="preserve">did not rule out all of </w:t>
      </w:r>
      <w:r>
        <w:t>the girl</w:t>
      </w:r>
      <w:r w:rsidRPr="00AD5C2B">
        <w:t xml:space="preserve">’s relevant emergent symptoms, nor did he triage </w:t>
      </w:r>
      <w:r>
        <w:t>her</w:t>
      </w:r>
      <w:r w:rsidRPr="00AD5C2B">
        <w:t xml:space="preserve"> clinical presentation within an acceptable timeframe, and therefore did not provide appropriate advice to </w:t>
      </w:r>
      <w:r>
        <w:t>her mother</w:t>
      </w:r>
      <w:r w:rsidRPr="00AD5C2B">
        <w:t>.</w:t>
      </w:r>
      <w:r w:rsidR="00776BF0">
        <w:t xml:space="preserve"> Furthermore, he did not advise</w:t>
      </w:r>
      <w:r>
        <w:t xml:space="preserve"> Miss A’s</w:t>
      </w:r>
      <w:r w:rsidRPr="00AD5C2B">
        <w:t xml:space="preserve"> </w:t>
      </w:r>
      <w:r>
        <w:t xml:space="preserve">mother </w:t>
      </w:r>
      <w:r w:rsidRPr="00AD5C2B">
        <w:t xml:space="preserve">to take </w:t>
      </w:r>
      <w:r>
        <w:t>Miss A</w:t>
      </w:r>
      <w:r w:rsidRPr="00AD5C2B">
        <w:t xml:space="preserve"> back to </w:t>
      </w:r>
      <w:r>
        <w:t>ED</w:t>
      </w:r>
      <w:r w:rsidRPr="00AD5C2B">
        <w:t xml:space="preserve"> or verify that she intended to do so, and he failed to take appropriate steps when </w:t>
      </w:r>
      <w:r>
        <w:t>Miss A’s mother</w:t>
      </w:r>
      <w:r w:rsidRPr="00AD5C2B">
        <w:t xml:space="preserve"> ended the call. For these reasons</w:t>
      </w:r>
      <w:r>
        <w:t xml:space="preserve"> the Commissioner considered that</w:t>
      </w:r>
      <w:r w:rsidRPr="00AD5C2B">
        <w:t xml:space="preserve"> </w:t>
      </w:r>
      <w:r>
        <w:t>the telehealth nurse failed to provide services to Miss A with appropriate care and skill</w:t>
      </w:r>
      <w:r>
        <w:rPr>
          <w:szCs w:val="22"/>
        </w:rPr>
        <w:t xml:space="preserve"> in breach of Right 4(1) of the Code.</w:t>
      </w:r>
    </w:p>
    <w:p w:rsidR="00E0180A" w:rsidRDefault="00E0180A" w:rsidP="00540FA4">
      <w:pPr>
        <w:tabs>
          <w:tab w:val="left" w:pos="720"/>
          <w:tab w:val="left" w:pos="1134"/>
        </w:tabs>
        <w:spacing w:before="120" w:after="120"/>
        <w:rPr>
          <w:szCs w:val="22"/>
        </w:rPr>
      </w:pPr>
      <w:r>
        <w:rPr>
          <w:szCs w:val="22"/>
        </w:rPr>
        <w:t xml:space="preserve">The Commissioner considered that as the senior doctor supervising a house officer, and as the clinician with overall responsibility for Miss A’s care, it was Dr B’s duty to ensure that he had the relevant information about Miss A’s condition before agreeing with the decision to discharge her. By approving Miss A’s discharge home following her second presentation to ED without first taking sufficient steps to investigate the cause of her presenting symptoms, Dr B failed to provide Miss A with services with appropriate care and skill in breach of Right 4(1) of the Code. </w:t>
      </w:r>
      <w:r w:rsidR="00BC42EA">
        <w:rPr>
          <w:szCs w:val="22"/>
        </w:rPr>
        <w:t xml:space="preserve"> The Commissioner was also critical of Dr C for discharging Miss A home without further investigation and for the quality of his documentation.</w:t>
      </w:r>
    </w:p>
    <w:p w:rsidR="001A5807" w:rsidRDefault="00BC42EA" w:rsidP="001A5807">
      <w:pPr>
        <w:tabs>
          <w:tab w:val="left" w:pos="720"/>
          <w:tab w:val="left" w:pos="1134"/>
        </w:tabs>
        <w:spacing w:after="240"/>
      </w:pPr>
      <w:r>
        <w:rPr>
          <w:szCs w:val="22"/>
        </w:rPr>
        <w:t xml:space="preserve">The Commissioner considered that there were service failures in the care provided to Miss A that were directly attributable to the DHB as the service operator, and that the failures exhibited a pattern of suboptimal care. DHB staff inappropriately discharged Miss A home following her second </w:t>
      </w:r>
      <w:r>
        <w:rPr>
          <w:szCs w:val="22"/>
        </w:rPr>
        <w:lastRenderedPageBreak/>
        <w:t xml:space="preserve">presentation to ED without first taking steps to consider her history and investigate the cause of her presenting symptoms; staff also failed, on two occasions, to provide adequate discharge information to Miss A’s family. </w:t>
      </w:r>
      <w:r w:rsidR="001A5807">
        <w:rPr>
          <w:szCs w:val="22"/>
        </w:rPr>
        <w:t xml:space="preserve">The Commissioner also considered that the DHB’s system for paediatric follow-up was not sufficiently robust to ensure that follow-up would occur when requested. The DHB also failed to encourage a culture where staff felt comfortable questioning of challenging decisions and lacked a multi-disciplinary approach to Miss A’s care. </w:t>
      </w:r>
      <w:r w:rsidR="001A5807">
        <w:t>The Commissioner considered that t</w:t>
      </w:r>
      <w:r w:rsidR="001A5807" w:rsidRPr="008F1044">
        <w:t xml:space="preserve">he DHB team had sufficient information to provide </w:t>
      </w:r>
      <w:r w:rsidR="00776BF0">
        <w:t>Miss A</w:t>
      </w:r>
      <w:r w:rsidR="001A5807" w:rsidRPr="008F1044">
        <w:t xml:space="preserve"> with appropriate care</w:t>
      </w:r>
      <w:r w:rsidR="001A5807">
        <w:t>,</w:t>
      </w:r>
      <w:r w:rsidR="001A5807" w:rsidRPr="008F1044">
        <w:t xml:space="preserve"> </w:t>
      </w:r>
      <w:r w:rsidR="001A5807">
        <w:t>h</w:t>
      </w:r>
      <w:r w:rsidR="001A5807" w:rsidRPr="008F1044">
        <w:t xml:space="preserve">owever, a series of judgement and communication failures meant that it did not do so. Accordingly, </w:t>
      </w:r>
      <w:r w:rsidR="001A5807">
        <w:t xml:space="preserve">the Commissioner found that the </w:t>
      </w:r>
      <w:r w:rsidR="001A5807" w:rsidRPr="008F1044">
        <w:t xml:space="preserve">DHB failed to provide services to </w:t>
      </w:r>
      <w:r w:rsidR="001A5807">
        <w:t>the girl</w:t>
      </w:r>
      <w:r w:rsidR="001A5807" w:rsidRPr="008F1044">
        <w:t xml:space="preserve"> with reasonable care and skill</w:t>
      </w:r>
      <w:r w:rsidR="001A5807">
        <w:t xml:space="preserve"> in breach of Right 4(1) of the Code. </w:t>
      </w:r>
    </w:p>
    <w:p w:rsidR="00BC42EA" w:rsidRPr="00E0180A" w:rsidRDefault="001A5807" w:rsidP="00540FA4">
      <w:pPr>
        <w:tabs>
          <w:tab w:val="left" w:pos="720"/>
          <w:tab w:val="left" w:pos="1134"/>
        </w:tabs>
        <w:spacing w:before="120" w:after="120"/>
        <w:rPr>
          <w:szCs w:val="22"/>
        </w:rPr>
      </w:pPr>
      <w:r>
        <w:rPr>
          <w:szCs w:val="22"/>
        </w:rPr>
        <w:t>In response to this case, the Commissioner commented that “</w:t>
      </w:r>
      <w:r w:rsidRPr="000B6616">
        <w:t>Any individual in the clinical team should be able to ask questions or challenge decisions at any time, and it is important that employers such as DHBs encourage such a culture. Good support systems (including the safety net of vigilant senior nurses and readily available consultants) are also crucial</w:t>
      </w:r>
      <w:r>
        <w:t>”</w:t>
      </w:r>
    </w:p>
    <w:p w:rsidR="00540FA4" w:rsidRDefault="00540FA4" w:rsidP="00540FA4">
      <w:pPr>
        <w:pStyle w:val="NoSpacing"/>
        <w:spacing w:before="120" w:after="120"/>
        <w:rPr>
          <w:rFonts w:cs="Times New Roman"/>
          <w:i/>
          <w:lang w:val="en-NZ"/>
        </w:rPr>
      </w:pPr>
      <w:r>
        <w:rPr>
          <w:rFonts w:cs="Times New Roman"/>
          <w:i/>
          <w:lang w:val="en-NZ"/>
        </w:rPr>
        <w:t>Recommendations</w:t>
      </w:r>
    </w:p>
    <w:p w:rsidR="001A5807" w:rsidRDefault="001A5807" w:rsidP="00540FA4">
      <w:pPr>
        <w:pStyle w:val="NoSpacing"/>
        <w:spacing w:before="120" w:after="120"/>
        <w:rPr>
          <w:rFonts w:cs="Times New Roman"/>
          <w:lang w:val="en-NZ"/>
        </w:rPr>
      </w:pPr>
      <w:r>
        <w:rPr>
          <w:rFonts w:cs="Times New Roman"/>
          <w:lang w:val="en-NZ"/>
        </w:rPr>
        <w:t>The Commissioner made a number of recommendations to the DHB, including that it:</w:t>
      </w:r>
    </w:p>
    <w:p w:rsidR="001A5807" w:rsidRDefault="00776BF0" w:rsidP="001A5807">
      <w:pPr>
        <w:pStyle w:val="NoSpacing"/>
        <w:numPr>
          <w:ilvl w:val="0"/>
          <w:numId w:val="15"/>
        </w:numPr>
        <w:spacing w:before="120" w:after="120"/>
        <w:rPr>
          <w:rFonts w:cs="Times New Roman"/>
          <w:lang w:val="en-NZ"/>
        </w:rPr>
      </w:pPr>
      <w:r>
        <w:rPr>
          <w:rFonts w:cs="Times New Roman"/>
          <w:lang w:val="en-NZ"/>
        </w:rPr>
        <w:t>c</w:t>
      </w:r>
      <w:r w:rsidR="001A5807">
        <w:rPr>
          <w:rFonts w:cs="Times New Roman"/>
          <w:lang w:val="en-NZ"/>
        </w:rPr>
        <w:t>onduct an audit of all unplanned re-presentations to ED, by patients under 5 years of age, within 48 hours of discharge, to measure compliance with: the requirement for assessment by a consultant or senior registrar prior to discharge, the requirement for nursing/medical consultation prior to discharge, and the requirement for a follow-up phone call from paediatric staff to families following referral;</w:t>
      </w:r>
    </w:p>
    <w:p w:rsidR="001A5807" w:rsidRDefault="00776BF0" w:rsidP="001A5807">
      <w:pPr>
        <w:pStyle w:val="NoSpacing"/>
        <w:numPr>
          <w:ilvl w:val="0"/>
          <w:numId w:val="15"/>
        </w:numPr>
        <w:spacing w:before="120" w:after="120"/>
        <w:rPr>
          <w:rFonts w:cs="Times New Roman"/>
          <w:lang w:val="en-NZ"/>
        </w:rPr>
      </w:pPr>
      <w:r>
        <w:rPr>
          <w:rFonts w:cs="Times New Roman"/>
          <w:lang w:val="en-NZ"/>
        </w:rPr>
        <w:t>c</w:t>
      </w:r>
      <w:r w:rsidR="007C7EA9">
        <w:rPr>
          <w:rFonts w:cs="Times New Roman"/>
          <w:lang w:val="en-NZ"/>
        </w:rPr>
        <w:t>ommission an independent review of senior/junior staff rostering to establish whether sufficient levels of supervision are available for junior staff working in ED;</w:t>
      </w:r>
    </w:p>
    <w:p w:rsidR="007C7EA9" w:rsidRDefault="00776BF0" w:rsidP="001A5807">
      <w:pPr>
        <w:pStyle w:val="NoSpacing"/>
        <w:numPr>
          <w:ilvl w:val="0"/>
          <w:numId w:val="15"/>
        </w:numPr>
        <w:spacing w:before="120" w:after="120"/>
        <w:rPr>
          <w:rFonts w:cs="Times New Roman"/>
          <w:lang w:val="en-NZ"/>
        </w:rPr>
      </w:pPr>
      <w:r>
        <w:rPr>
          <w:rFonts w:cs="Times New Roman"/>
          <w:lang w:val="en-NZ"/>
        </w:rPr>
        <w:t>i</w:t>
      </w:r>
      <w:r w:rsidR="007C7EA9">
        <w:rPr>
          <w:rFonts w:cs="Times New Roman"/>
          <w:lang w:val="en-NZ"/>
        </w:rPr>
        <w:t>nclude in its training and induction for all staff, information that the practice at the DHB is that of asking questions and reporting of concerns is expected and accepted from all members of the multidisciplinary team;</w:t>
      </w:r>
    </w:p>
    <w:p w:rsidR="007C7EA9" w:rsidRDefault="00776BF0" w:rsidP="001A5807">
      <w:pPr>
        <w:pStyle w:val="NoSpacing"/>
        <w:numPr>
          <w:ilvl w:val="0"/>
          <w:numId w:val="15"/>
        </w:numPr>
        <w:spacing w:before="120" w:after="120"/>
        <w:rPr>
          <w:rFonts w:cs="Times New Roman"/>
          <w:lang w:val="en-NZ"/>
        </w:rPr>
      </w:pPr>
      <w:r>
        <w:rPr>
          <w:rFonts w:cs="Times New Roman"/>
          <w:lang w:val="en-NZ"/>
        </w:rPr>
        <w:t>u</w:t>
      </w:r>
      <w:r w:rsidR="007C7EA9">
        <w:rPr>
          <w:rFonts w:cs="Times New Roman"/>
          <w:lang w:val="en-NZ"/>
        </w:rPr>
        <w:t>pdate HDC on the completion of outstanding recommendations from its Serious Adverse Event Review, and monitoring of ongoing changes made</w:t>
      </w:r>
      <w:r>
        <w:rPr>
          <w:rFonts w:cs="Times New Roman"/>
          <w:lang w:val="en-NZ"/>
        </w:rPr>
        <w:t>; and</w:t>
      </w:r>
    </w:p>
    <w:p w:rsidR="007C7EA9" w:rsidRPr="001A5807" w:rsidRDefault="00776BF0" w:rsidP="001A5807">
      <w:pPr>
        <w:pStyle w:val="NoSpacing"/>
        <w:numPr>
          <w:ilvl w:val="0"/>
          <w:numId w:val="15"/>
        </w:numPr>
        <w:spacing w:before="120" w:after="120"/>
        <w:rPr>
          <w:rFonts w:cs="Times New Roman"/>
          <w:lang w:val="en-NZ"/>
        </w:rPr>
      </w:pPr>
      <w:r>
        <w:rPr>
          <w:rFonts w:cs="Times New Roman"/>
          <w:lang w:val="en-NZ"/>
        </w:rPr>
        <w:t>r</w:t>
      </w:r>
      <w:r w:rsidR="007C7EA9">
        <w:rPr>
          <w:rFonts w:cs="Times New Roman"/>
          <w:lang w:val="en-NZ"/>
        </w:rPr>
        <w:t xml:space="preserve">eview its Memorandum of Understanding between the Emergency Department and Paediatric Department and its policy for transfer to the telehealth service (particularly whether specific instructions should be included to cover the circumstance where a person has been discharged from ED and advised to return if symptoms persist). </w:t>
      </w:r>
    </w:p>
    <w:p w:rsidR="00540FA4" w:rsidRDefault="00540FA4"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65498A" w:rsidRDefault="0065498A" w:rsidP="00540FA4">
      <w:pPr>
        <w:rPr>
          <w:b/>
          <w:szCs w:val="22"/>
        </w:rPr>
      </w:pPr>
    </w:p>
    <w:p w:rsidR="00540FA4" w:rsidRDefault="00A61CAC" w:rsidP="00540FA4">
      <w:pPr>
        <w:rPr>
          <w:b/>
          <w:szCs w:val="22"/>
        </w:rPr>
      </w:pPr>
      <w:r>
        <w:rPr>
          <w:b/>
          <w:szCs w:val="22"/>
        </w:rPr>
        <w:lastRenderedPageBreak/>
        <w:t>Use of tenecteplase for thrombolysis of stroke patient</w:t>
      </w:r>
      <w:r w:rsidR="00540FA4">
        <w:rPr>
          <w:b/>
          <w:szCs w:val="22"/>
        </w:rPr>
        <w:t xml:space="preserve"> (</w:t>
      </w:r>
      <w:r w:rsidR="00540FA4">
        <w:rPr>
          <w:b/>
          <w:noProof/>
          <w:szCs w:val="22"/>
        </w:rPr>
        <w:t>13HDC0</w:t>
      </w:r>
      <w:r>
        <w:rPr>
          <w:b/>
          <w:noProof/>
          <w:szCs w:val="22"/>
        </w:rPr>
        <w:t>1676</w:t>
      </w:r>
      <w:r w:rsidR="00540FA4">
        <w:rPr>
          <w:b/>
          <w:szCs w:val="22"/>
        </w:rPr>
        <w:t>)</w:t>
      </w:r>
    </w:p>
    <w:p w:rsidR="00540FA4" w:rsidRDefault="00540FA4" w:rsidP="00540FA4">
      <w:pPr>
        <w:spacing w:before="120" w:after="120"/>
        <w:rPr>
          <w:i/>
          <w:szCs w:val="22"/>
        </w:rPr>
      </w:pPr>
      <w:r>
        <w:rPr>
          <w:i/>
          <w:szCs w:val="22"/>
        </w:rPr>
        <w:t>Background</w:t>
      </w:r>
    </w:p>
    <w:p w:rsidR="00A61CAC" w:rsidRDefault="00A61CAC" w:rsidP="00540FA4">
      <w:pPr>
        <w:spacing w:before="120" w:after="120"/>
        <w:rPr>
          <w:szCs w:val="22"/>
        </w:rPr>
      </w:pPr>
      <w:r>
        <w:rPr>
          <w:szCs w:val="22"/>
        </w:rPr>
        <w:t xml:space="preserve">Mr A, a 77 year old man, presented to an ED of a regional hospital after suffering an ischaemic stroke. Upon medical review, a decision was made by a house officer (Dr B) in consultation with the consultant on call (Dr C), that Mr A was an appropriate candidate for thrombolysis. </w:t>
      </w:r>
    </w:p>
    <w:p w:rsidR="00A61CAC" w:rsidRDefault="00A61CAC" w:rsidP="00A61CAC">
      <w:pPr>
        <w:spacing w:after="180"/>
      </w:pPr>
      <w:r>
        <w:t xml:space="preserve">Thrombolysis is the breakdown of blood clots using types of drugs called tissue plasminogen activator (tPA) drugs and can be used in patients who have suffered an ischaemic stroke or a heart attack. There are a number of risks associated with thrombolysis, including intracerebral haemorrhage (bleeding in the brain). </w:t>
      </w:r>
    </w:p>
    <w:p w:rsidR="00A61CAC" w:rsidRDefault="00A61CAC" w:rsidP="00A61CAC">
      <w:pPr>
        <w:spacing w:after="180"/>
      </w:pPr>
      <w:r>
        <w:rPr>
          <w:szCs w:val="22"/>
        </w:rPr>
        <w:t xml:space="preserve">Although it was usual practice for stroke thrombolysis to be administered in the Intensive Care Unit (ICU), Dr B decided to treat Mr A in the ED rather than the ICU. In addition, Dr B prescribed </w:t>
      </w:r>
      <w:r>
        <w:t xml:space="preserve">tenecteplase rather than alteplase. Both are tPA drugs but, in New Zealand, tenecteplase is used for treatment of a heart attack (myocardial infarction) rather than ischaemic stroke. Dr B prescribed tenecteplase because she understood from nursing staff that there was no alteplase available at the hospital and was aware of studies which supported the use of tenecteplase in stroke. </w:t>
      </w:r>
    </w:p>
    <w:p w:rsidR="00A61CAC" w:rsidRDefault="00A61CAC" w:rsidP="00A61CAC">
      <w:pPr>
        <w:spacing w:after="240"/>
      </w:pPr>
      <w:r>
        <w:t xml:space="preserve">Dr B followed the New Zealand Formulary guidelines for the use of tenecteplase in heart attack. In doing so, she prescribed at least twice the dose of tenecteplase recommended for treatment of ischaemic stroke. In addition, Dr B did not prescribe the correct mode of administration for tenecteplase. Dr B did not discuss her prescription of tenecteplase or the fact that the drug was administered in ED rather than the ICU with Dr C. </w:t>
      </w:r>
    </w:p>
    <w:p w:rsidR="00A61CAC" w:rsidRDefault="00A61CAC" w:rsidP="00A61CAC">
      <w:pPr>
        <w:spacing w:after="240"/>
      </w:pPr>
      <w:r w:rsidRPr="00DA7DE9">
        <w:t xml:space="preserve">Partway through the administration of tenecteplase, </w:t>
      </w:r>
      <w:r>
        <w:t>Dr B</w:t>
      </w:r>
      <w:r w:rsidRPr="00DA7DE9">
        <w:t xml:space="preserve"> was informed that alteplase was available at the hospital in the ICU. She telephoned </w:t>
      </w:r>
      <w:r>
        <w:t>Dr C</w:t>
      </w:r>
      <w:r w:rsidRPr="00DA7DE9">
        <w:t xml:space="preserve"> for advice about whether or not to continue the infusion</w:t>
      </w:r>
      <w:r>
        <w:t>, who</w:t>
      </w:r>
      <w:r w:rsidRPr="00DA7DE9">
        <w:t xml:space="preserve"> advised that the infusion should continue.</w:t>
      </w:r>
      <w:r>
        <w:t xml:space="preserve"> Following the infusion of tenecteplase </w:t>
      </w:r>
      <w:r w:rsidR="00F550ED">
        <w:t>Mr A</w:t>
      </w:r>
      <w:r>
        <w:t xml:space="preserve"> initially showed signs of improvement, but a computed tomography (CT) scan showed that he had suffered a brain bleed (intracerebral haemorrahage). </w:t>
      </w:r>
      <w:r w:rsidR="00F550ED">
        <w:t>Mr A</w:t>
      </w:r>
      <w:r>
        <w:t xml:space="preserve"> died a few days later. </w:t>
      </w:r>
    </w:p>
    <w:p w:rsidR="00F550ED" w:rsidRPr="00A61CAC" w:rsidRDefault="00F550ED" w:rsidP="00A61CAC">
      <w:pPr>
        <w:spacing w:after="240"/>
      </w:pPr>
      <w:r>
        <w:t>The DHB’s relevant policy titled “the Stroke Pathway” referred to alteplase in some places but did not explicitly specify alteplase as the tPA drug to be used in the case of stroke thrombolysis. In addition, “the Stroke Pathway” did not state that alteplase should be given only ICU. There was also confusion amongst nursing staff about the correct process for administering thrombolysis, and Dr B had not been oriented to “the Stroke Pathway” adequately.</w:t>
      </w:r>
    </w:p>
    <w:p w:rsidR="00540FA4" w:rsidRDefault="00540FA4" w:rsidP="00540FA4">
      <w:pPr>
        <w:spacing w:before="120" w:after="120"/>
        <w:rPr>
          <w:i/>
          <w:szCs w:val="22"/>
        </w:rPr>
      </w:pPr>
      <w:r>
        <w:rPr>
          <w:i/>
          <w:szCs w:val="22"/>
        </w:rPr>
        <w:t>Findings</w:t>
      </w:r>
    </w:p>
    <w:p w:rsidR="00F550ED" w:rsidRDefault="00F550ED" w:rsidP="00540FA4">
      <w:pPr>
        <w:spacing w:before="120" w:after="120"/>
        <w:rPr>
          <w:szCs w:val="22"/>
        </w:rPr>
      </w:pPr>
      <w:r>
        <w:rPr>
          <w:szCs w:val="22"/>
        </w:rPr>
        <w:t>The Commissioner acknowledged that Dr B was faced with time pressure, that she had never given thrombolysis treatment previously, that she was not orientated to the Stroke Pathway sufficiently, and that she was the only doctor working on site in the ED that night (and one of two doctors on site at the hospital). However advice from a senior colleague (Dr C) was available to Dr B over the telephone, and yet she made decisions to deviate from standard practice without seeking that person’s advice. The Commissioner considered that Dr B made significant errors of judgement in failing to transfer Mr A to ICU, in deciding to prescribe tenecteplase to him at the dose and via the mode of administration that she did, and in failing to consult Dr C about the use of tenecteplase. For these failings, the Commissioner held that Dr B breached Right 4(1) of the Code.</w:t>
      </w:r>
    </w:p>
    <w:p w:rsidR="00377893" w:rsidRPr="00377893" w:rsidRDefault="00377893" w:rsidP="00377893">
      <w:pPr>
        <w:spacing w:after="180"/>
      </w:pPr>
      <w:r>
        <w:t>The Commissioner was critical that Dr C did not appear to have provided Mr A or his wife with a timely and clear explanation of what had occurred. Open disclosure about the error and its potential consequences needed to occur, either to Mr A if he was competent, or to another appropriate person, in this case, his wife.</w:t>
      </w:r>
    </w:p>
    <w:p w:rsidR="00377893" w:rsidRPr="00F550ED" w:rsidRDefault="00F550ED" w:rsidP="00540FA4">
      <w:pPr>
        <w:spacing w:before="120" w:after="120"/>
        <w:rPr>
          <w:szCs w:val="22"/>
        </w:rPr>
      </w:pPr>
      <w:r>
        <w:rPr>
          <w:szCs w:val="22"/>
        </w:rPr>
        <w:t>The Commissioner considered that the DHB did not fulfil its responsibility to ensure its staff had the right tools, including adequate policies and training, to pro</w:t>
      </w:r>
      <w:r w:rsidR="00377893">
        <w:rPr>
          <w:szCs w:val="22"/>
        </w:rPr>
        <w:t xml:space="preserve">vide stroke thrombolysis safely. </w:t>
      </w:r>
      <w:r w:rsidR="00377893">
        <w:rPr>
          <w:szCs w:val="22"/>
        </w:rPr>
        <w:lastRenderedPageBreak/>
        <w:t>Accordingly, the DHB failed to provide Mr A with services of an appropriate standard, in breach of Right 4(1) of the Code.</w:t>
      </w:r>
      <w:r>
        <w:rPr>
          <w:szCs w:val="22"/>
        </w:rPr>
        <w:t xml:space="preserve"> </w:t>
      </w:r>
    </w:p>
    <w:p w:rsidR="00540FA4" w:rsidRDefault="00540FA4" w:rsidP="00540FA4">
      <w:pPr>
        <w:spacing w:before="120" w:after="120"/>
        <w:rPr>
          <w:i/>
          <w:szCs w:val="22"/>
        </w:rPr>
      </w:pPr>
      <w:r>
        <w:rPr>
          <w:i/>
          <w:szCs w:val="22"/>
        </w:rPr>
        <w:t>Recommendations</w:t>
      </w:r>
    </w:p>
    <w:p w:rsidR="00377893" w:rsidRDefault="00377893" w:rsidP="00377893">
      <w:pPr>
        <w:spacing w:after="240"/>
      </w:pPr>
      <w:r>
        <w:rPr>
          <w:szCs w:val="22"/>
        </w:rPr>
        <w:t xml:space="preserve">The Commissioner was thoughtful that this was not the first time that he had considered a case involving confusion between the use of alteplase and tenecteplase for thrombolysis of stroke patients </w:t>
      </w:r>
      <w:r w:rsidRPr="00884E16">
        <w:t>in circumstances where the relevant DHB’s protocol did not clearly identify the relevant drug, and the consultant was not called for advice when she should have been</w:t>
      </w:r>
      <w:r>
        <w:rPr>
          <w:szCs w:val="22"/>
        </w:rPr>
        <w:t xml:space="preserve">  (</w:t>
      </w:r>
      <w:r>
        <w:rPr>
          <w:lang w:val="en-US"/>
        </w:rPr>
        <w:t>11HDC01434)</w:t>
      </w:r>
      <w:r>
        <w:rPr>
          <w:szCs w:val="22"/>
        </w:rPr>
        <w:t>. The Commissioner commented that: “</w:t>
      </w:r>
      <w:r>
        <w:t>i</w:t>
      </w:r>
      <w:r w:rsidRPr="00884E16">
        <w:t>t is essential that these cases are used as learning opportunities, to prevent similar errors from occurring in other DHBs.</w:t>
      </w:r>
      <w:r>
        <w:t>”</w:t>
      </w:r>
      <w:r w:rsidRPr="00884E16">
        <w:t xml:space="preserve"> </w:t>
      </w:r>
      <w:r>
        <w:t>Accordingly, the Commissioner</w:t>
      </w:r>
      <w:r w:rsidRPr="00884E16">
        <w:t xml:space="preserve"> recommend</w:t>
      </w:r>
      <w:r>
        <w:t>ed</w:t>
      </w:r>
      <w:r w:rsidRPr="00884E16">
        <w:t xml:space="preserve"> to the National DHB CMO Group that it take steps to ensure that all DHBs’ policies/guidelines in relation to stroke thrombolysis are clear and </w:t>
      </w:r>
      <w:r>
        <w:t>consistent.</w:t>
      </w:r>
    </w:p>
    <w:p w:rsidR="00540FA4" w:rsidRPr="007214F6" w:rsidRDefault="00377893" w:rsidP="007214F6">
      <w:pPr>
        <w:spacing w:after="240"/>
      </w:pPr>
      <w:r>
        <w:t>The Commissi</w:t>
      </w:r>
      <w:r w:rsidR="007214F6">
        <w:t>oner also made a number of</w:t>
      </w:r>
      <w:r>
        <w:t xml:space="preserve"> recommendations to the DHB, including that it: provide HDC with the outcome of its audit regarding compliance with its updated Stroke Pathway and review the orientation training of junior and new staff to ensure they know how to access all medications within the DHB and who to contact with questions or queries.</w:t>
      </w:r>
    </w:p>
    <w:p w:rsidR="00540FA4" w:rsidRDefault="007214F6" w:rsidP="00540FA4">
      <w:pPr>
        <w:rPr>
          <w:b/>
          <w:szCs w:val="22"/>
        </w:rPr>
      </w:pPr>
      <w:r>
        <w:rPr>
          <w:b/>
          <w:szCs w:val="22"/>
        </w:rPr>
        <w:t>Wound management by district nursing service</w:t>
      </w:r>
      <w:r w:rsidR="00540FA4">
        <w:rPr>
          <w:b/>
          <w:szCs w:val="22"/>
        </w:rPr>
        <w:t xml:space="preserve"> (</w:t>
      </w:r>
      <w:r>
        <w:rPr>
          <w:b/>
          <w:noProof/>
          <w:szCs w:val="22"/>
        </w:rPr>
        <w:t>14HDC00766</w:t>
      </w:r>
      <w:r w:rsidR="00540FA4">
        <w:rPr>
          <w:b/>
          <w:szCs w:val="22"/>
        </w:rPr>
        <w:t>)</w:t>
      </w:r>
    </w:p>
    <w:p w:rsidR="00540FA4" w:rsidRDefault="00540FA4" w:rsidP="00540FA4">
      <w:pPr>
        <w:spacing w:before="120" w:after="120"/>
        <w:rPr>
          <w:i/>
          <w:szCs w:val="22"/>
        </w:rPr>
      </w:pPr>
      <w:r>
        <w:rPr>
          <w:i/>
          <w:szCs w:val="22"/>
        </w:rPr>
        <w:t>Background</w:t>
      </w:r>
    </w:p>
    <w:p w:rsidR="007214F6" w:rsidRDefault="007214F6" w:rsidP="00540FA4">
      <w:pPr>
        <w:spacing w:before="120" w:after="120"/>
        <w:rPr>
          <w:szCs w:val="22"/>
        </w:rPr>
      </w:pPr>
      <w:r>
        <w:rPr>
          <w:szCs w:val="22"/>
        </w:rPr>
        <w:t xml:space="preserve">Mrs A, who had recently given birth to her first child, developed an abscess in her breast. Mrs A underwent surgery to have the </w:t>
      </w:r>
      <w:r w:rsidR="00FE2D2A">
        <w:rPr>
          <w:szCs w:val="22"/>
        </w:rPr>
        <w:t>abscess</w:t>
      </w:r>
      <w:r>
        <w:rPr>
          <w:szCs w:val="22"/>
        </w:rPr>
        <w:t xml:space="preserve"> </w:t>
      </w:r>
      <w:r w:rsidR="00FE2D2A">
        <w:rPr>
          <w:szCs w:val="22"/>
        </w:rPr>
        <w:t>drained and was subsequently referred to the district nursing service for on-going management of her wound. The wound was packed with a dressing called Aquacel rope. The end of the rope would remain outside the wound. However, when the en</w:t>
      </w:r>
      <w:r w:rsidR="00776BF0">
        <w:rPr>
          <w:szCs w:val="22"/>
        </w:rPr>
        <w:t>d of the rope was not visible and it</w:t>
      </w:r>
      <w:r w:rsidR="00FE2D2A">
        <w:rPr>
          <w:szCs w:val="22"/>
        </w:rPr>
        <w:t xml:space="preserve"> was assumed that Mrs A had removed the rope herself, this was not the case.</w:t>
      </w:r>
    </w:p>
    <w:p w:rsidR="00FE2D2A" w:rsidRDefault="00FE2D2A" w:rsidP="00540FA4">
      <w:pPr>
        <w:spacing w:before="120" w:after="120"/>
        <w:rPr>
          <w:szCs w:val="22"/>
        </w:rPr>
      </w:pPr>
      <w:r>
        <w:rPr>
          <w:szCs w:val="22"/>
        </w:rPr>
        <w:t xml:space="preserve">The wound was slow to heal, but there was no objective record of the dimensions of the wound. The district nurses made regular changes to the products being used to treat the wound, but the reasons for each change of product were often not recorded. At times, the district nurses relied on Mrs A contacting her GP for review rather than making the contact for her. </w:t>
      </w:r>
    </w:p>
    <w:p w:rsidR="00FE2D2A" w:rsidRDefault="00FE2D2A" w:rsidP="00540FA4">
      <w:pPr>
        <w:spacing w:before="120" w:after="120"/>
        <w:rPr>
          <w:szCs w:val="22"/>
        </w:rPr>
      </w:pPr>
      <w:r>
        <w:rPr>
          <w:szCs w:val="22"/>
        </w:rPr>
        <w:t>When the wound was noted to have hypergranulated with an increased amount of green exudate, Mrs A was told to see her GP to obtain a referral to the surgical team. During surgical excision of the wound a 5cm piece of Aquacel rope dressing was discovered, which had prevented the wound from healing.</w:t>
      </w:r>
    </w:p>
    <w:p w:rsidR="00FE2D2A" w:rsidRPr="007214F6" w:rsidRDefault="00FE2D2A" w:rsidP="00540FA4">
      <w:pPr>
        <w:spacing w:before="120" w:after="120"/>
        <w:rPr>
          <w:szCs w:val="22"/>
        </w:rPr>
      </w:pPr>
      <w:r>
        <w:rPr>
          <w:szCs w:val="22"/>
        </w:rPr>
        <w:t>The district nursing service’s screening tool categorised patients according to complexity, but lacked the requirement for specific information that wo</w:t>
      </w:r>
      <w:r w:rsidR="00776BF0">
        <w:rPr>
          <w:szCs w:val="22"/>
        </w:rPr>
        <w:t>uld indicate potential problems and</w:t>
      </w:r>
      <w:r>
        <w:rPr>
          <w:szCs w:val="22"/>
        </w:rPr>
        <w:t xml:space="preserve"> the triage assessment lacked consideration of social or cultural factors that could impact on healing.</w:t>
      </w:r>
    </w:p>
    <w:p w:rsidR="00540FA4" w:rsidRDefault="00540FA4" w:rsidP="00540FA4">
      <w:pPr>
        <w:spacing w:before="120" w:after="120"/>
        <w:rPr>
          <w:i/>
          <w:szCs w:val="22"/>
        </w:rPr>
      </w:pPr>
      <w:r>
        <w:rPr>
          <w:i/>
          <w:szCs w:val="22"/>
        </w:rPr>
        <w:t>Findings</w:t>
      </w:r>
    </w:p>
    <w:p w:rsidR="00254D47" w:rsidRDefault="00FE2D2A" w:rsidP="00540FA4">
      <w:pPr>
        <w:spacing w:before="120" w:after="120"/>
        <w:rPr>
          <w:szCs w:val="22"/>
        </w:rPr>
      </w:pPr>
      <w:r>
        <w:rPr>
          <w:szCs w:val="22"/>
        </w:rPr>
        <w:t>The Commissioner found that the Aquacel rope was not used appropriately and the wound was not investigated adequately. The Commissioner was critical that the DHB wound assessment form was not designed to capture objective parameters that would indicat</w:t>
      </w:r>
      <w:r w:rsidR="00254D47">
        <w:rPr>
          <w:szCs w:val="22"/>
        </w:rPr>
        <w:t>e wound progress over time and</w:t>
      </w:r>
      <w:r>
        <w:rPr>
          <w:szCs w:val="22"/>
        </w:rPr>
        <w:t xml:space="preserve"> district nurses were not recording objective assessments</w:t>
      </w:r>
      <w:r w:rsidR="00254D47">
        <w:rPr>
          <w:szCs w:val="22"/>
        </w:rPr>
        <w:t xml:space="preserve"> for Mrs A’s wound consistently. Accordingly, the DHB failed to ensure services were provided with reasonable care and skill in breach of Right 4(1) of the Code</w:t>
      </w:r>
      <w:r w:rsidR="00F20676">
        <w:rPr>
          <w:szCs w:val="22"/>
        </w:rPr>
        <w:t>.</w:t>
      </w:r>
      <w:r>
        <w:rPr>
          <w:szCs w:val="22"/>
        </w:rPr>
        <w:t xml:space="preserve"> </w:t>
      </w:r>
    </w:p>
    <w:p w:rsidR="00FE2D2A" w:rsidRPr="00FE2D2A" w:rsidRDefault="00254D47" w:rsidP="00540FA4">
      <w:pPr>
        <w:spacing w:before="120" w:after="120"/>
        <w:rPr>
          <w:szCs w:val="22"/>
        </w:rPr>
      </w:pPr>
      <w:r>
        <w:rPr>
          <w:szCs w:val="22"/>
        </w:rPr>
        <w:t xml:space="preserve">The Commissioner also considered that district nurses failed to work together effectively, in particular the Commissioner was critical that district nurses: relied on Mrs A to contact her GP; made </w:t>
      </w:r>
      <w:r w:rsidR="00FE2D2A">
        <w:rPr>
          <w:szCs w:val="22"/>
        </w:rPr>
        <w:t xml:space="preserve">regular changes to the products used </w:t>
      </w:r>
      <w:r>
        <w:rPr>
          <w:szCs w:val="22"/>
        </w:rPr>
        <w:t xml:space="preserve">without documenting the reason and had no peer review and no recorded follow-up of the efficacy of the treatment provided. Accordingly the Commissioner found that the DHB failed to ensure cooperation among providers to ensure quality and continuity of care, in breach of Right 4(5) of the Code. </w:t>
      </w:r>
    </w:p>
    <w:p w:rsidR="00540FA4" w:rsidRDefault="00540FA4" w:rsidP="00540FA4">
      <w:pPr>
        <w:spacing w:before="120" w:after="120"/>
        <w:rPr>
          <w:i/>
          <w:szCs w:val="22"/>
        </w:rPr>
      </w:pPr>
      <w:r>
        <w:rPr>
          <w:i/>
          <w:szCs w:val="22"/>
        </w:rPr>
        <w:lastRenderedPageBreak/>
        <w:t>Recommendations</w:t>
      </w:r>
    </w:p>
    <w:p w:rsidR="00254D47" w:rsidRDefault="00254D47" w:rsidP="00540FA4">
      <w:pPr>
        <w:spacing w:before="120" w:after="120"/>
        <w:rPr>
          <w:szCs w:val="22"/>
        </w:rPr>
      </w:pPr>
      <w:r>
        <w:rPr>
          <w:szCs w:val="22"/>
        </w:rPr>
        <w:t>Following this event the DHB undertook a review of policy, standard op</w:t>
      </w:r>
      <w:r w:rsidR="00413CDE">
        <w:rPr>
          <w:szCs w:val="22"/>
        </w:rPr>
        <w:t>erating procedures and process</w:t>
      </w:r>
      <w:r>
        <w:rPr>
          <w:szCs w:val="22"/>
        </w:rPr>
        <w:t>, and implemented changes. The Commissioner made a</w:t>
      </w:r>
      <w:r w:rsidR="00413CDE">
        <w:rPr>
          <w:szCs w:val="22"/>
        </w:rPr>
        <w:t xml:space="preserve"> </w:t>
      </w:r>
      <w:r>
        <w:rPr>
          <w:szCs w:val="22"/>
        </w:rPr>
        <w:t>number of recommendations to the DHB, including that it:</w:t>
      </w:r>
    </w:p>
    <w:p w:rsidR="00540FA4" w:rsidRDefault="00776BF0" w:rsidP="00254D47">
      <w:pPr>
        <w:pStyle w:val="ListParagraph"/>
        <w:numPr>
          <w:ilvl w:val="0"/>
          <w:numId w:val="16"/>
        </w:numPr>
        <w:spacing w:before="120" w:after="120"/>
        <w:rPr>
          <w:szCs w:val="22"/>
        </w:rPr>
      </w:pPr>
      <w:r>
        <w:rPr>
          <w:szCs w:val="22"/>
        </w:rPr>
        <w:t>p</w:t>
      </w:r>
      <w:r w:rsidR="00413CDE">
        <w:rPr>
          <w:szCs w:val="22"/>
        </w:rPr>
        <w:t>rovide HDC with a report confirming the implementation of changes made following its reviews, including evidence of communication of these changes to staff and associated education provided;</w:t>
      </w:r>
    </w:p>
    <w:p w:rsidR="00413CDE" w:rsidRDefault="00776BF0" w:rsidP="00254D47">
      <w:pPr>
        <w:pStyle w:val="ListParagraph"/>
        <w:numPr>
          <w:ilvl w:val="0"/>
          <w:numId w:val="16"/>
        </w:numPr>
        <w:spacing w:before="120" w:after="120"/>
        <w:rPr>
          <w:szCs w:val="22"/>
        </w:rPr>
      </w:pPr>
      <w:r>
        <w:rPr>
          <w:szCs w:val="22"/>
        </w:rPr>
        <w:t>p</w:t>
      </w:r>
      <w:r w:rsidR="00413CDE">
        <w:rPr>
          <w:szCs w:val="22"/>
        </w:rPr>
        <w:t>rovide HDC with an update of progress regarding the possible introduction of electronic record-keeping with the District Nursing Service; and</w:t>
      </w:r>
    </w:p>
    <w:p w:rsidR="00413CDE" w:rsidRDefault="00776BF0" w:rsidP="00254D47">
      <w:pPr>
        <w:pStyle w:val="ListParagraph"/>
        <w:numPr>
          <w:ilvl w:val="0"/>
          <w:numId w:val="16"/>
        </w:numPr>
        <w:spacing w:before="120" w:after="120"/>
        <w:rPr>
          <w:szCs w:val="22"/>
        </w:rPr>
      </w:pPr>
      <w:r>
        <w:rPr>
          <w:szCs w:val="22"/>
        </w:rPr>
        <w:t>u</w:t>
      </w:r>
      <w:r w:rsidR="00413CDE">
        <w:rPr>
          <w:szCs w:val="22"/>
        </w:rPr>
        <w:t xml:space="preserve">ndertake an independent peer review of the quality of the District Nursing Service’s wound assessment and evaluation, and the documentation thereof, for a random selection of patients cared for in the last six months. </w:t>
      </w:r>
    </w:p>
    <w:p w:rsidR="00413CDE" w:rsidRPr="00254D47" w:rsidRDefault="00413CDE" w:rsidP="00413CDE">
      <w:pPr>
        <w:pStyle w:val="ListParagraph"/>
        <w:spacing w:before="120" w:after="120"/>
        <w:ind w:left="772"/>
        <w:rPr>
          <w:szCs w:val="22"/>
        </w:rPr>
      </w:pPr>
    </w:p>
    <w:p w:rsidR="00540FA4" w:rsidRDefault="00413CDE" w:rsidP="00540FA4">
      <w:pPr>
        <w:rPr>
          <w:b/>
          <w:szCs w:val="22"/>
        </w:rPr>
      </w:pPr>
      <w:r>
        <w:rPr>
          <w:b/>
          <w:szCs w:val="22"/>
        </w:rPr>
        <w:t>Care of patient with a complex medical history</w:t>
      </w:r>
      <w:r w:rsidR="00540FA4">
        <w:rPr>
          <w:b/>
          <w:szCs w:val="22"/>
        </w:rPr>
        <w:t xml:space="preserve"> (</w:t>
      </w:r>
      <w:r>
        <w:rPr>
          <w:b/>
          <w:noProof/>
          <w:szCs w:val="22"/>
        </w:rPr>
        <w:t>15</w:t>
      </w:r>
      <w:r w:rsidR="00540FA4">
        <w:rPr>
          <w:b/>
          <w:noProof/>
          <w:szCs w:val="22"/>
        </w:rPr>
        <w:t>HDC0</w:t>
      </w:r>
      <w:r>
        <w:rPr>
          <w:b/>
          <w:noProof/>
          <w:szCs w:val="22"/>
        </w:rPr>
        <w:t>0111</w:t>
      </w:r>
      <w:r w:rsidR="00540FA4">
        <w:rPr>
          <w:b/>
          <w:szCs w:val="22"/>
        </w:rPr>
        <w:t>)</w:t>
      </w:r>
    </w:p>
    <w:p w:rsidR="00540FA4" w:rsidRDefault="00540FA4" w:rsidP="00540FA4">
      <w:pPr>
        <w:spacing w:before="120" w:after="120"/>
        <w:rPr>
          <w:i/>
          <w:szCs w:val="22"/>
        </w:rPr>
      </w:pPr>
      <w:r>
        <w:rPr>
          <w:i/>
          <w:szCs w:val="22"/>
        </w:rPr>
        <w:t>Background</w:t>
      </w:r>
    </w:p>
    <w:p w:rsidR="00413CDE" w:rsidRDefault="00413CDE" w:rsidP="00540FA4">
      <w:pPr>
        <w:spacing w:before="120" w:after="120"/>
      </w:pPr>
      <w:r>
        <w:rPr>
          <w:szCs w:val="22"/>
        </w:rPr>
        <w:t>Mr A had experienced cardiac issues and had a family history of myocardial</w:t>
      </w:r>
      <w:r w:rsidR="006F520D">
        <w:rPr>
          <w:szCs w:val="22"/>
        </w:rPr>
        <w:t xml:space="preserve"> infraction (heart attack). Mr A presented to the ED of a public hospital for a mental health assessment and was discharged with a management plan in place. The followi</w:t>
      </w:r>
      <w:r w:rsidR="00776BF0">
        <w:rPr>
          <w:szCs w:val="22"/>
        </w:rPr>
        <w:t>ng day, Mr A presented to the ED</w:t>
      </w:r>
      <w:r w:rsidR="006F520D">
        <w:rPr>
          <w:szCs w:val="22"/>
        </w:rPr>
        <w:t xml:space="preserve"> again after an incident of self-harm. Mr A then had a cardiac event and was diagnosed with an</w:t>
      </w:r>
      <w:r w:rsidR="006F520D" w:rsidRPr="00EA6DDC">
        <w:t xml:space="preserve"> ST-segment elevation</w:t>
      </w:r>
      <w:r w:rsidR="006F520D">
        <w:t xml:space="preserve"> myocardial infarction </w:t>
      </w:r>
      <w:r w:rsidR="006F520D" w:rsidRPr="00EA6DDC">
        <w:t>and transferred to the intensive coronary care unit (ICCU) at another hospital.</w:t>
      </w:r>
    </w:p>
    <w:p w:rsidR="006F520D" w:rsidRDefault="006F520D" w:rsidP="00540FA4">
      <w:pPr>
        <w:spacing w:before="120" w:after="120"/>
      </w:pPr>
      <w:r>
        <w:t xml:space="preserve">Further investigations were undertaken and Mr A was considered to have </w:t>
      </w:r>
      <w:r w:rsidRPr="00EA6DDC">
        <w:t xml:space="preserve">Takotsubo cardiomyopathy. </w:t>
      </w:r>
      <w:r>
        <w:t>R</w:t>
      </w:r>
      <w:r w:rsidRPr="00EA6DDC">
        <w:t>outine blood tests showed a very abnormal troponin T result</w:t>
      </w:r>
      <w:r>
        <w:t xml:space="preserve">, but Mr A’s cardiologist was not aware that that test had been ordered and was not informed of the result. At the time, the DHB required patients to be declared medically fit for discharge so that they could be nursed at the mental health facility. </w:t>
      </w:r>
    </w:p>
    <w:p w:rsidR="006F520D" w:rsidRPr="00413CDE" w:rsidRDefault="006F520D" w:rsidP="00540FA4">
      <w:pPr>
        <w:spacing w:before="120" w:after="120"/>
        <w:rPr>
          <w:szCs w:val="22"/>
        </w:rPr>
      </w:pPr>
      <w:r>
        <w:t>The following day, the cardiologist reviewed Mr A and declared that he was medically fit for discharge. Mr A was transferred to the mental health facility where he was to be observed every ten minutes. The next morning Mr A was found deceased in his room. The mental health facility confirmed that the 10-minute observations were adhered to overnight. The Coroner found that the direct cause of death was cardiac arrhythmia and the antecedent cause was recent myocardial infarction.</w:t>
      </w:r>
    </w:p>
    <w:p w:rsidR="00540FA4" w:rsidRDefault="00540FA4" w:rsidP="00540FA4">
      <w:pPr>
        <w:spacing w:before="120" w:after="120"/>
        <w:rPr>
          <w:i/>
          <w:szCs w:val="22"/>
        </w:rPr>
      </w:pPr>
      <w:r>
        <w:rPr>
          <w:i/>
          <w:szCs w:val="22"/>
        </w:rPr>
        <w:t>Findings</w:t>
      </w:r>
    </w:p>
    <w:p w:rsidR="006F520D" w:rsidRDefault="006F520D" w:rsidP="00540FA4">
      <w:pPr>
        <w:spacing w:before="120" w:after="120"/>
      </w:pPr>
      <w:r>
        <w:rPr>
          <w:szCs w:val="22"/>
        </w:rPr>
        <w:t xml:space="preserve">The Commissioner held that Mr A’s discharge from the ICCU was inappropriate in the circumstances. The severity of damage to Mr A’s heart was not recognised and </w:t>
      </w:r>
      <w:r w:rsidRPr="00EA6DDC">
        <w:t>troponin T levels were not used</w:t>
      </w:r>
      <w:r>
        <w:t xml:space="preserve"> to guide Mr A’s further management. Accordingly, the Commissioner found that the DHB did not provide Mr A with services with reasonable care and skill in breach of Right 4(1) of the Code. </w:t>
      </w:r>
    </w:p>
    <w:p w:rsidR="006F520D" w:rsidRDefault="000F19F8" w:rsidP="00540FA4">
      <w:pPr>
        <w:spacing w:before="120" w:after="120"/>
      </w:pPr>
      <w:r>
        <w:t xml:space="preserve">The Commissioner was critical that the DHB’s process meant that Mr A needed to declared fit for discharge from the ICCU before he could receive appropriate mental health care and that the DHB’s systems failed to alert </w:t>
      </w:r>
      <w:r w:rsidR="00776BF0">
        <w:t>Mr A’s treating clinicians to his</w:t>
      </w:r>
      <w:r>
        <w:t xml:space="preserve"> repeat troponin T test, which had an abnormally high result. The Commissioner was also critical that mental health facility staff were not made aware of the seriousness of Mr A’s cardiac condition or risk of complications. </w:t>
      </w:r>
      <w:r w:rsidR="006F520D">
        <w:t xml:space="preserve">The Commissioner considered that the DHB’s processes meant that the providers involved in Mr A’s care did not cooperate appropriately to ensure quality and continuity of services, in breach of Right 4(5) of the Code. </w:t>
      </w:r>
    </w:p>
    <w:p w:rsidR="000F19F8" w:rsidRDefault="000F19F8" w:rsidP="00540FA4">
      <w:pPr>
        <w:spacing w:before="120" w:after="120"/>
      </w:pPr>
      <w:r>
        <w:t xml:space="preserve">In relation to the lack of continuity of care in this case, the Commissioner commented: “It is unacceptable that Mr A was discharged from the ICCU 24 hours after his cardiac event. I am critical </w:t>
      </w:r>
      <w:r>
        <w:lastRenderedPageBreak/>
        <w:t>that the decision to discharge Mr A was clearly influenced by a system where medical clearance was required in order for a patient to receive psychiatric care, despite the fact that a large number of patients suffer from both medical and mental illnesses. This process meant that staff were not able to coordinate to provide the most appropriate care for Mr A”</w:t>
      </w:r>
    </w:p>
    <w:p w:rsidR="006F520D" w:rsidRPr="006F520D" w:rsidRDefault="006F520D" w:rsidP="00540FA4">
      <w:pPr>
        <w:spacing w:before="120" w:after="120"/>
        <w:rPr>
          <w:szCs w:val="22"/>
        </w:rPr>
      </w:pPr>
      <w:r>
        <w:t>The documentation in this case was also suboptimal</w:t>
      </w:r>
      <w:r w:rsidR="000F19F8">
        <w:t xml:space="preserve">, particularly in relation to mental health facility staff observations of Mr A </w:t>
      </w:r>
      <w:r>
        <w:t>. Therefore, the</w:t>
      </w:r>
      <w:r w:rsidR="000F19F8">
        <w:t xml:space="preserve"> Commissioner considered that he</w:t>
      </w:r>
      <w:r>
        <w:t xml:space="preserve"> DHB failed to comply with legal standards</w:t>
      </w:r>
      <w:r w:rsidR="000F19F8">
        <w:t>,</w:t>
      </w:r>
      <w:r>
        <w:t xml:space="preserve"> in breach of Right 4(2) of the Code.</w:t>
      </w:r>
    </w:p>
    <w:p w:rsidR="00540FA4" w:rsidRDefault="00540FA4" w:rsidP="00540FA4">
      <w:pPr>
        <w:spacing w:before="120" w:after="120"/>
        <w:rPr>
          <w:i/>
          <w:szCs w:val="22"/>
        </w:rPr>
      </w:pPr>
      <w:r>
        <w:rPr>
          <w:i/>
          <w:szCs w:val="22"/>
        </w:rPr>
        <w:t>Recommendations</w:t>
      </w:r>
    </w:p>
    <w:p w:rsidR="00540FA4" w:rsidRDefault="000F19F8" w:rsidP="00540FA4">
      <w:pPr>
        <w:rPr>
          <w:szCs w:val="22"/>
        </w:rPr>
      </w:pPr>
      <w:r>
        <w:rPr>
          <w:szCs w:val="22"/>
        </w:rPr>
        <w:t>The Commissioner made a number of recommendations to the DHB, including that it:</w:t>
      </w:r>
    </w:p>
    <w:p w:rsidR="000F19F8" w:rsidRDefault="00776BF0" w:rsidP="000F19F8">
      <w:pPr>
        <w:pStyle w:val="ListParagraph"/>
        <w:numPr>
          <w:ilvl w:val="0"/>
          <w:numId w:val="17"/>
        </w:numPr>
        <w:rPr>
          <w:szCs w:val="22"/>
        </w:rPr>
      </w:pPr>
      <w:r>
        <w:rPr>
          <w:szCs w:val="22"/>
        </w:rPr>
        <w:t>p</w:t>
      </w:r>
      <w:r w:rsidR="000F19F8">
        <w:rPr>
          <w:szCs w:val="22"/>
        </w:rPr>
        <w:t>rovide HDC with a copy of the policy regarding the requirement of rise and satisfactory fall on troponin T levels prior to discharge from the ICCU;</w:t>
      </w:r>
    </w:p>
    <w:p w:rsidR="000F19F8" w:rsidRDefault="00776BF0" w:rsidP="000F19F8">
      <w:pPr>
        <w:pStyle w:val="ListParagraph"/>
        <w:numPr>
          <w:ilvl w:val="0"/>
          <w:numId w:val="17"/>
        </w:numPr>
        <w:rPr>
          <w:szCs w:val="22"/>
        </w:rPr>
      </w:pPr>
      <w:r>
        <w:rPr>
          <w:szCs w:val="22"/>
        </w:rPr>
        <w:t>i</w:t>
      </w:r>
      <w:r w:rsidR="000F19F8">
        <w:rPr>
          <w:szCs w:val="22"/>
        </w:rPr>
        <w:t xml:space="preserve">mplement a system that requires the laboratory to alert the patient’s treating </w:t>
      </w:r>
      <w:r w:rsidR="00B11123">
        <w:rPr>
          <w:szCs w:val="22"/>
        </w:rPr>
        <w:t>clinician</w:t>
      </w:r>
      <w:r w:rsidR="000F19F8">
        <w:rPr>
          <w:szCs w:val="22"/>
        </w:rPr>
        <w:t xml:space="preserve"> urgently when troponin T levels are abnormally high;</w:t>
      </w:r>
    </w:p>
    <w:p w:rsidR="000F19F8" w:rsidRDefault="00776BF0" w:rsidP="000F19F8">
      <w:pPr>
        <w:pStyle w:val="ListParagraph"/>
        <w:numPr>
          <w:ilvl w:val="0"/>
          <w:numId w:val="17"/>
        </w:numPr>
        <w:rPr>
          <w:szCs w:val="22"/>
        </w:rPr>
      </w:pPr>
      <w:r>
        <w:rPr>
          <w:szCs w:val="22"/>
        </w:rPr>
        <w:t>o</w:t>
      </w:r>
      <w:r w:rsidR="000F19F8">
        <w:rPr>
          <w:szCs w:val="22"/>
        </w:rPr>
        <w:t>ver</w:t>
      </w:r>
      <w:r w:rsidR="00B11123">
        <w:rPr>
          <w:szCs w:val="22"/>
        </w:rPr>
        <w:t xml:space="preserve"> the period of one month, in th</w:t>
      </w:r>
      <w:r w:rsidR="000F19F8">
        <w:rPr>
          <w:szCs w:val="22"/>
        </w:rPr>
        <w:t>e</w:t>
      </w:r>
      <w:r w:rsidR="00B11123">
        <w:rPr>
          <w:szCs w:val="22"/>
        </w:rPr>
        <w:t xml:space="preserve"> mental</w:t>
      </w:r>
      <w:r w:rsidR="000F19F8">
        <w:rPr>
          <w:szCs w:val="22"/>
        </w:rPr>
        <w:t xml:space="preserve"> health facility, audit the rate of cross-referencing information about overnight observations into the patient’s clinical records (in cases where the patient has been subject to a formalised level of observations overnight)</w:t>
      </w:r>
      <w:r>
        <w:rPr>
          <w:szCs w:val="22"/>
        </w:rPr>
        <w:t>;</w:t>
      </w:r>
      <w:r w:rsidR="00B11123">
        <w:rPr>
          <w:szCs w:val="22"/>
        </w:rPr>
        <w:t xml:space="preserve"> and</w:t>
      </w:r>
    </w:p>
    <w:p w:rsidR="00B11123" w:rsidRPr="000F19F8" w:rsidRDefault="00776BF0" w:rsidP="000F19F8">
      <w:pPr>
        <w:pStyle w:val="ListParagraph"/>
        <w:numPr>
          <w:ilvl w:val="0"/>
          <w:numId w:val="17"/>
        </w:numPr>
        <w:rPr>
          <w:szCs w:val="22"/>
        </w:rPr>
      </w:pPr>
      <w:r>
        <w:rPr>
          <w:szCs w:val="22"/>
        </w:rPr>
        <w:t>r</w:t>
      </w:r>
      <w:r w:rsidR="00B11123">
        <w:rPr>
          <w:szCs w:val="22"/>
        </w:rPr>
        <w:t>eview ED policies regarding the management of at-risk patients.</w:t>
      </w:r>
    </w:p>
    <w:p w:rsidR="00AC33D1" w:rsidRPr="009179EE" w:rsidRDefault="00AC33D1" w:rsidP="000D5D72"/>
    <w:p w:rsidR="00AC33D1" w:rsidRPr="009179EE" w:rsidRDefault="00AC33D1" w:rsidP="0079294B"/>
    <w:p w:rsidR="0013534C" w:rsidRPr="009179EE" w:rsidRDefault="0013534C" w:rsidP="0065498A"/>
    <w:sectPr w:rsidR="0013534C" w:rsidRPr="009179EE" w:rsidSect="00C84335">
      <w:footerReference w:type="even" r:id="rId21"/>
      <w:footerReference w:type="first" r:id="rId22"/>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F4" w:rsidRDefault="001E3AF4">
      <w:r>
        <w:separator/>
      </w:r>
    </w:p>
  </w:endnote>
  <w:endnote w:type="continuationSeparator" w:id="0">
    <w:p w:rsidR="001E3AF4" w:rsidRDefault="001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Default="001E3AF4"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5E7693">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3" w:rsidRDefault="005E7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Default="001E3AF4"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Pr="00323660" w:rsidRDefault="001E3AF4" w:rsidP="00E2296F">
    <w:pPr>
      <w:pStyle w:val="Footer"/>
      <w:spacing w:before="24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5E7693">
      <w:rPr>
        <w:noProof/>
        <w:szCs w:val="22"/>
      </w:rPr>
      <w:t>19</w:t>
    </w:r>
    <w:r w:rsidRPr="0073317F">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Pr="00F535C5" w:rsidRDefault="001E3AF4"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5E7693">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Pr="00C84335" w:rsidRDefault="001E3AF4" w:rsidP="000D6434">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5E7693">
      <w:rPr>
        <w:noProof/>
        <w:szCs w:val="22"/>
      </w:rPr>
      <w:t>18</w:t>
    </w:r>
    <w:r w:rsidRPr="0073317F">
      <w:rPr>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1E3AF4" w:rsidRPr="00C84335" w:rsidRDefault="001E3AF4" w:rsidP="000D6434">
        <w:pPr>
          <w:pStyle w:val="Footer"/>
          <w:jc w:val="center"/>
        </w:pPr>
        <w:r>
          <w:fldChar w:fldCharType="begin"/>
        </w:r>
        <w:r>
          <w:instrText xml:space="preserve"> PAGE   \* MERGEFORMAT </w:instrText>
        </w:r>
        <w:r>
          <w:fldChar w:fldCharType="separate"/>
        </w:r>
        <w:r w:rsidR="005E769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F4" w:rsidRDefault="001E3AF4">
      <w:r>
        <w:separator/>
      </w:r>
    </w:p>
  </w:footnote>
  <w:footnote w:type="continuationSeparator" w:id="0">
    <w:p w:rsidR="001E3AF4" w:rsidRDefault="001E3AF4">
      <w:r>
        <w:continuationSeparator/>
      </w:r>
    </w:p>
  </w:footnote>
  <w:footnote w:id="1">
    <w:p w:rsidR="001E3AF4" w:rsidRDefault="001E3AF4" w:rsidP="00540FA4">
      <w:pPr>
        <w:pStyle w:val="FootnoteText"/>
        <w:rPr>
          <w:lang w:val="en-US"/>
        </w:rPr>
      </w:pPr>
      <w:r>
        <w:rPr>
          <w:rStyle w:val="FootnoteReference"/>
        </w:rPr>
        <w:footnoteRef/>
      </w:r>
      <w:r>
        <w:t xml:space="preserve"> </w:t>
      </w:r>
      <w:r>
        <w:rPr>
          <w:lang w:val="en-US"/>
        </w:rPr>
        <w:t>Provisional as of date of extraction (1 August 2016).</w:t>
      </w:r>
    </w:p>
  </w:footnote>
  <w:footnote w:id="2">
    <w:p w:rsidR="001E3AF4" w:rsidRDefault="001E3AF4" w:rsidP="00540FA4">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2015 has been recalculated based on the most recent discharge data.</w:t>
      </w:r>
    </w:p>
  </w:footnote>
  <w:footnote w:id="3">
    <w:p w:rsidR="001E3AF4" w:rsidRDefault="001E3AF4" w:rsidP="00540FA4">
      <w:pPr>
        <w:pStyle w:val="FootnoteText"/>
        <w:rPr>
          <w:lang w:val="en-US"/>
        </w:rPr>
      </w:pPr>
      <w:r>
        <w:rPr>
          <w:rStyle w:val="FootnoteReference"/>
        </w:rPr>
        <w:footnoteRef/>
      </w:r>
      <w:r>
        <w:t xml:space="preserve"> </w:t>
      </w:r>
      <w:r>
        <w:rPr>
          <w:lang w:val="en-US"/>
        </w:rPr>
        <w:t>Please note that some complaints will involve more than one DHB, therefore the total number of complaints received for each DHB will be larger than the number of complaints received about care provided by DHBs.</w:t>
      </w:r>
    </w:p>
  </w:footnote>
  <w:footnote w:id="4">
    <w:p w:rsidR="001E3AF4" w:rsidRDefault="001E3AF4" w:rsidP="00540FA4">
      <w:pPr>
        <w:pStyle w:val="FootnoteText"/>
        <w:spacing w:after="240"/>
      </w:pPr>
      <w:r>
        <w:rPr>
          <w:rStyle w:val="FootnoteReference"/>
        </w:rPr>
        <w:footnoteRef/>
      </w:r>
      <w:r>
        <w:t xml:space="preserve"> Note that complaints may be received in one six month period and closed in another six month period </w:t>
      </w:r>
      <w:r>
        <w:rPr>
          <w:rFonts w:ascii="Calibri" w:hAnsi="Calibri"/>
        </w:rPr>
        <w:t>—</w:t>
      </w:r>
      <w:r>
        <w:t xml:space="preserve">   therefore, the number of complaints received will not correlate with the number of complaints closed. </w:t>
      </w:r>
    </w:p>
  </w:footnote>
  <w:footnote w:id="5">
    <w:p w:rsidR="001E3AF4" w:rsidRDefault="001E3AF4" w:rsidP="00540FA4">
      <w:pPr>
        <w:pStyle w:val="FootnoteText"/>
      </w:pPr>
      <w:r>
        <w:rPr>
          <w:rStyle w:val="FootnoteReference"/>
        </w:rPr>
        <w:footnoteRef/>
      </w:r>
      <w:r>
        <w:t xml:space="preserve"> Note that outcomes are displayed in descending order. If there is more than one outcome for a DHB upon resolution of a complaint then only the outcome which is listed highest in the table is included.</w:t>
      </w:r>
    </w:p>
  </w:footnote>
  <w:footnote w:id="6">
    <w:p w:rsidR="001E3AF4" w:rsidRDefault="001E3AF4" w:rsidP="00540FA4">
      <w:pPr>
        <w:pStyle w:val="FootnoteText"/>
        <w:rPr>
          <w:lang w:val="en-US"/>
        </w:rPr>
      </w:pPr>
      <w:r>
        <w:rPr>
          <w:rStyle w:val="FootnoteReference"/>
        </w:rPr>
        <w:footnoteRef/>
      </w:r>
      <w:r>
        <w:t xml:space="preserve"> </w:t>
      </w:r>
      <w:r>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and, in many cases, expert clinical advice.</w:t>
      </w:r>
    </w:p>
  </w:footnote>
  <w:footnote w:id="7">
    <w:p w:rsidR="001E3AF4" w:rsidRDefault="001E3AF4" w:rsidP="00540FA4">
      <w:pPr>
        <w:pStyle w:val="FootnoteText"/>
        <w:rPr>
          <w:lang w:val="en-US"/>
        </w:rPr>
      </w:pPr>
      <w:r>
        <w:rPr>
          <w:rStyle w:val="FootnoteReference"/>
        </w:rPr>
        <w:footnoteRef/>
      </w:r>
      <w:r>
        <w:t xml:space="preserve"> </w:t>
      </w:r>
      <w:r>
        <w:rPr>
          <w:lang w:val="en-US"/>
        </w:rPr>
        <w:t>In line with their responsibilities under the Code, DHBs have increasingly developed good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3" w:rsidRDefault="005E7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3" w:rsidRDefault="005E7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693" w:rsidRDefault="005E76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Default="001E3A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F4" w:rsidRDefault="001E3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3A2"/>
    <w:multiLevelType w:val="hybridMultilevel"/>
    <w:tmpl w:val="D26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E7B0DAB"/>
    <w:multiLevelType w:val="hybridMultilevel"/>
    <w:tmpl w:val="F0DA6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3">
    <w:nsid w:val="25F13AE7"/>
    <w:multiLevelType w:val="hybridMultilevel"/>
    <w:tmpl w:val="4578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3818D7"/>
    <w:multiLevelType w:val="hybridMultilevel"/>
    <w:tmpl w:val="5D24A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3255B3"/>
    <w:multiLevelType w:val="hybridMultilevel"/>
    <w:tmpl w:val="ED801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FEC5C44"/>
    <w:multiLevelType w:val="hybridMultilevel"/>
    <w:tmpl w:val="ADE0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2B23088"/>
    <w:multiLevelType w:val="hybridMultilevel"/>
    <w:tmpl w:val="389C0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A5B6D18"/>
    <w:multiLevelType w:val="hybridMultilevel"/>
    <w:tmpl w:val="DFCC3C00"/>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2">
    <w:nsid w:val="72015E6C"/>
    <w:multiLevelType w:val="hybridMultilevel"/>
    <w:tmpl w:val="62886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4">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15">
    <w:nsid w:val="792308FF"/>
    <w:multiLevelType w:val="hybridMultilevel"/>
    <w:tmpl w:val="B2FE5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3"/>
  </w:num>
  <w:num w:numId="5">
    <w:abstractNumId w:val="7"/>
  </w:num>
  <w:num w:numId="6">
    <w:abstractNumId w:val="14"/>
  </w:num>
  <w:num w:numId="7">
    <w:abstractNumId w:val="16"/>
  </w:num>
  <w:num w:numId="8">
    <w:abstractNumId w:val="12"/>
  </w:num>
  <w:num w:numId="9">
    <w:abstractNumId w:val="6"/>
  </w:num>
  <w:num w:numId="10">
    <w:abstractNumId w:val="8"/>
  </w:num>
  <w:num w:numId="11">
    <w:abstractNumId w:val="1"/>
  </w:num>
  <w:num w:numId="12">
    <w:abstractNumId w:val="15"/>
  </w:num>
  <w:num w:numId="13">
    <w:abstractNumId w:val="3"/>
  </w:num>
  <w:num w:numId="14">
    <w:abstractNumId w:val="10"/>
  </w:num>
  <w:num w:numId="15">
    <w:abstractNumId w:val="0"/>
  </w:num>
  <w:num w:numId="16">
    <w:abstractNumId w:val="11"/>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776"/>
    <w:rsid w:val="000337C0"/>
    <w:rsid w:val="00034D18"/>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31E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996"/>
    <w:rsid w:val="0007467F"/>
    <w:rsid w:val="00074772"/>
    <w:rsid w:val="00074D9E"/>
    <w:rsid w:val="00075AEB"/>
    <w:rsid w:val="00075D76"/>
    <w:rsid w:val="00076965"/>
    <w:rsid w:val="00076CD6"/>
    <w:rsid w:val="0007714A"/>
    <w:rsid w:val="00077FA0"/>
    <w:rsid w:val="00080564"/>
    <w:rsid w:val="000807EF"/>
    <w:rsid w:val="0008104A"/>
    <w:rsid w:val="0008260F"/>
    <w:rsid w:val="00082689"/>
    <w:rsid w:val="00082D18"/>
    <w:rsid w:val="00082F8E"/>
    <w:rsid w:val="0008411C"/>
    <w:rsid w:val="00084421"/>
    <w:rsid w:val="00084889"/>
    <w:rsid w:val="00084F39"/>
    <w:rsid w:val="000854AE"/>
    <w:rsid w:val="000855C3"/>
    <w:rsid w:val="00085D73"/>
    <w:rsid w:val="00086010"/>
    <w:rsid w:val="00086FE8"/>
    <w:rsid w:val="000872C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52C6"/>
    <w:rsid w:val="000B5334"/>
    <w:rsid w:val="000B58E0"/>
    <w:rsid w:val="000B5936"/>
    <w:rsid w:val="000B5DF5"/>
    <w:rsid w:val="000B5E01"/>
    <w:rsid w:val="000B676C"/>
    <w:rsid w:val="000B6EB6"/>
    <w:rsid w:val="000B7183"/>
    <w:rsid w:val="000B74C7"/>
    <w:rsid w:val="000B7877"/>
    <w:rsid w:val="000B791B"/>
    <w:rsid w:val="000C006A"/>
    <w:rsid w:val="000C0577"/>
    <w:rsid w:val="000C126F"/>
    <w:rsid w:val="000C178F"/>
    <w:rsid w:val="000C1E4F"/>
    <w:rsid w:val="000C2361"/>
    <w:rsid w:val="000C26FB"/>
    <w:rsid w:val="000C277A"/>
    <w:rsid w:val="000C278C"/>
    <w:rsid w:val="000C3003"/>
    <w:rsid w:val="000C39A4"/>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E68"/>
    <w:rsid w:val="000D21AD"/>
    <w:rsid w:val="000D2451"/>
    <w:rsid w:val="000D256D"/>
    <w:rsid w:val="000D29B8"/>
    <w:rsid w:val="000D2D59"/>
    <w:rsid w:val="000D336E"/>
    <w:rsid w:val="000D35F2"/>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33B"/>
    <w:rsid w:val="000E4659"/>
    <w:rsid w:val="000E4662"/>
    <w:rsid w:val="000E4BBA"/>
    <w:rsid w:val="000E4C6B"/>
    <w:rsid w:val="000E51B5"/>
    <w:rsid w:val="000E555C"/>
    <w:rsid w:val="000E5C41"/>
    <w:rsid w:val="000E6BA4"/>
    <w:rsid w:val="000E6E3A"/>
    <w:rsid w:val="000E7ACB"/>
    <w:rsid w:val="000F01E3"/>
    <w:rsid w:val="000F05AC"/>
    <w:rsid w:val="000F0D2E"/>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F6"/>
    <w:rsid w:val="00120701"/>
    <w:rsid w:val="00120DA7"/>
    <w:rsid w:val="00120FE6"/>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6D8"/>
    <w:rsid w:val="00130084"/>
    <w:rsid w:val="001304B4"/>
    <w:rsid w:val="00130520"/>
    <w:rsid w:val="00130FFF"/>
    <w:rsid w:val="00131166"/>
    <w:rsid w:val="00132210"/>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502A6"/>
    <w:rsid w:val="0015035E"/>
    <w:rsid w:val="00150BCE"/>
    <w:rsid w:val="00150C83"/>
    <w:rsid w:val="00150F0E"/>
    <w:rsid w:val="0015145C"/>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F9"/>
    <w:rsid w:val="001819A2"/>
    <w:rsid w:val="0018206C"/>
    <w:rsid w:val="00182513"/>
    <w:rsid w:val="001830D3"/>
    <w:rsid w:val="001831B5"/>
    <w:rsid w:val="001832B1"/>
    <w:rsid w:val="0018338B"/>
    <w:rsid w:val="001835BB"/>
    <w:rsid w:val="001839F0"/>
    <w:rsid w:val="001841FE"/>
    <w:rsid w:val="00184C29"/>
    <w:rsid w:val="00184D78"/>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50A1"/>
    <w:rsid w:val="0019665B"/>
    <w:rsid w:val="00196699"/>
    <w:rsid w:val="001966A0"/>
    <w:rsid w:val="00197534"/>
    <w:rsid w:val="00197757"/>
    <w:rsid w:val="00197C11"/>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807"/>
    <w:rsid w:val="001A5C58"/>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80D"/>
    <w:rsid w:val="001C3D12"/>
    <w:rsid w:val="001C3ECE"/>
    <w:rsid w:val="001C42AA"/>
    <w:rsid w:val="001C4482"/>
    <w:rsid w:val="001C4DE1"/>
    <w:rsid w:val="001C4FEF"/>
    <w:rsid w:val="001C57C2"/>
    <w:rsid w:val="001C5A07"/>
    <w:rsid w:val="001C5B3D"/>
    <w:rsid w:val="001C6012"/>
    <w:rsid w:val="001C6444"/>
    <w:rsid w:val="001C6D27"/>
    <w:rsid w:val="001C73CD"/>
    <w:rsid w:val="001C7B56"/>
    <w:rsid w:val="001C7BDC"/>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3AF4"/>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4C1"/>
    <w:rsid w:val="001F4B5F"/>
    <w:rsid w:val="001F52CE"/>
    <w:rsid w:val="001F656E"/>
    <w:rsid w:val="001F6E39"/>
    <w:rsid w:val="001F6EB5"/>
    <w:rsid w:val="001F771A"/>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31B7"/>
    <w:rsid w:val="0021391D"/>
    <w:rsid w:val="00213B10"/>
    <w:rsid w:val="00213DD2"/>
    <w:rsid w:val="002146BD"/>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C79"/>
    <w:rsid w:val="0022181A"/>
    <w:rsid w:val="00222084"/>
    <w:rsid w:val="00222148"/>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649"/>
    <w:rsid w:val="00276CBB"/>
    <w:rsid w:val="00276DA4"/>
    <w:rsid w:val="002772BE"/>
    <w:rsid w:val="00280058"/>
    <w:rsid w:val="00280087"/>
    <w:rsid w:val="002804EE"/>
    <w:rsid w:val="00280DB1"/>
    <w:rsid w:val="00280F32"/>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BDD"/>
    <w:rsid w:val="00295DFB"/>
    <w:rsid w:val="00295F19"/>
    <w:rsid w:val="00296A57"/>
    <w:rsid w:val="0029749A"/>
    <w:rsid w:val="0029751F"/>
    <w:rsid w:val="002A0644"/>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1034"/>
    <w:rsid w:val="002B2105"/>
    <w:rsid w:val="002B2822"/>
    <w:rsid w:val="002B2ADC"/>
    <w:rsid w:val="002B2B90"/>
    <w:rsid w:val="002B2EF2"/>
    <w:rsid w:val="002B2F40"/>
    <w:rsid w:val="002B4124"/>
    <w:rsid w:val="002B4966"/>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2A1"/>
    <w:rsid w:val="002D4E4F"/>
    <w:rsid w:val="002D5507"/>
    <w:rsid w:val="002D5621"/>
    <w:rsid w:val="002D5729"/>
    <w:rsid w:val="002D57AD"/>
    <w:rsid w:val="002D6C5A"/>
    <w:rsid w:val="002D6F63"/>
    <w:rsid w:val="002D7113"/>
    <w:rsid w:val="002D75EA"/>
    <w:rsid w:val="002D78B8"/>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FA"/>
    <w:rsid w:val="002F3863"/>
    <w:rsid w:val="002F3FD5"/>
    <w:rsid w:val="002F4277"/>
    <w:rsid w:val="002F4781"/>
    <w:rsid w:val="002F55D6"/>
    <w:rsid w:val="002F5AD2"/>
    <w:rsid w:val="002F6379"/>
    <w:rsid w:val="002F704E"/>
    <w:rsid w:val="002F7318"/>
    <w:rsid w:val="002F7CF8"/>
    <w:rsid w:val="002F7F51"/>
    <w:rsid w:val="003003B3"/>
    <w:rsid w:val="00300ACA"/>
    <w:rsid w:val="00300D00"/>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592B"/>
    <w:rsid w:val="00315AB6"/>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85"/>
    <w:rsid w:val="00356670"/>
    <w:rsid w:val="00356E93"/>
    <w:rsid w:val="0035706D"/>
    <w:rsid w:val="00357338"/>
    <w:rsid w:val="00360228"/>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F06"/>
    <w:rsid w:val="00377893"/>
    <w:rsid w:val="00377989"/>
    <w:rsid w:val="003779F4"/>
    <w:rsid w:val="00377D5E"/>
    <w:rsid w:val="0038072E"/>
    <w:rsid w:val="00380B83"/>
    <w:rsid w:val="00381AFB"/>
    <w:rsid w:val="00381B73"/>
    <w:rsid w:val="00381E85"/>
    <w:rsid w:val="00382257"/>
    <w:rsid w:val="003822A6"/>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821"/>
    <w:rsid w:val="00391A1C"/>
    <w:rsid w:val="003924AA"/>
    <w:rsid w:val="003926FB"/>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D02"/>
    <w:rsid w:val="003A0587"/>
    <w:rsid w:val="003A0FB8"/>
    <w:rsid w:val="003A1207"/>
    <w:rsid w:val="003A18D0"/>
    <w:rsid w:val="003A1CF2"/>
    <w:rsid w:val="003A1ED5"/>
    <w:rsid w:val="003A266F"/>
    <w:rsid w:val="003A3250"/>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4127"/>
    <w:rsid w:val="003B41E5"/>
    <w:rsid w:val="003B456D"/>
    <w:rsid w:val="003B463E"/>
    <w:rsid w:val="003B4B1D"/>
    <w:rsid w:val="003B4B6D"/>
    <w:rsid w:val="003B4D67"/>
    <w:rsid w:val="003B51B1"/>
    <w:rsid w:val="003B51B2"/>
    <w:rsid w:val="003B5BC0"/>
    <w:rsid w:val="003B666B"/>
    <w:rsid w:val="003B70B0"/>
    <w:rsid w:val="003B79B6"/>
    <w:rsid w:val="003C00B9"/>
    <w:rsid w:val="003C011C"/>
    <w:rsid w:val="003C025A"/>
    <w:rsid w:val="003C0B43"/>
    <w:rsid w:val="003C131F"/>
    <w:rsid w:val="003C1BB2"/>
    <w:rsid w:val="003C222B"/>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F3D"/>
    <w:rsid w:val="003D6458"/>
    <w:rsid w:val="003D6704"/>
    <w:rsid w:val="003D701C"/>
    <w:rsid w:val="003D7058"/>
    <w:rsid w:val="003D7B04"/>
    <w:rsid w:val="003D7E13"/>
    <w:rsid w:val="003D7EA3"/>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A33"/>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72BB"/>
    <w:rsid w:val="004072EC"/>
    <w:rsid w:val="00407D75"/>
    <w:rsid w:val="00410FE9"/>
    <w:rsid w:val="004110EC"/>
    <w:rsid w:val="0041114D"/>
    <w:rsid w:val="00411808"/>
    <w:rsid w:val="00412332"/>
    <w:rsid w:val="004124A3"/>
    <w:rsid w:val="00412B62"/>
    <w:rsid w:val="004130D2"/>
    <w:rsid w:val="004131ED"/>
    <w:rsid w:val="00413A99"/>
    <w:rsid w:val="00413B38"/>
    <w:rsid w:val="00413C5E"/>
    <w:rsid w:val="00413CDE"/>
    <w:rsid w:val="004143D6"/>
    <w:rsid w:val="00414465"/>
    <w:rsid w:val="00414956"/>
    <w:rsid w:val="00414CB1"/>
    <w:rsid w:val="00414D82"/>
    <w:rsid w:val="0041599B"/>
    <w:rsid w:val="00415B9E"/>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3062F"/>
    <w:rsid w:val="00430CDF"/>
    <w:rsid w:val="004317F9"/>
    <w:rsid w:val="00431E0F"/>
    <w:rsid w:val="004323F0"/>
    <w:rsid w:val="00433020"/>
    <w:rsid w:val="0043308E"/>
    <w:rsid w:val="00433210"/>
    <w:rsid w:val="00433284"/>
    <w:rsid w:val="0043341A"/>
    <w:rsid w:val="0043356D"/>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4CE"/>
    <w:rsid w:val="00455619"/>
    <w:rsid w:val="00455A1D"/>
    <w:rsid w:val="00455B2A"/>
    <w:rsid w:val="004561B7"/>
    <w:rsid w:val="004566C1"/>
    <w:rsid w:val="00456B79"/>
    <w:rsid w:val="00456F09"/>
    <w:rsid w:val="00457639"/>
    <w:rsid w:val="004577D7"/>
    <w:rsid w:val="004578F6"/>
    <w:rsid w:val="00457AEB"/>
    <w:rsid w:val="0046012A"/>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7C6"/>
    <w:rsid w:val="004A07F8"/>
    <w:rsid w:val="004A0D18"/>
    <w:rsid w:val="004A1270"/>
    <w:rsid w:val="004A1535"/>
    <w:rsid w:val="004A1537"/>
    <w:rsid w:val="004A1801"/>
    <w:rsid w:val="004A18CF"/>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C77"/>
    <w:rsid w:val="004B1EB7"/>
    <w:rsid w:val="004B2549"/>
    <w:rsid w:val="004B2E17"/>
    <w:rsid w:val="004B2F04"/>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9E0"/>
    <w:rsid w:val="004C6B21"/>
    <w:rsid w:val="004C745A"/>
    <w:rsid w:val="004C74AC"/>
    <w:rsid w:val="004C74E4"/>
    <w:rsid w:val="004C755B"/>
    <w:rsid w:val="004C77BE"/>
    <w:rsid w:val="004C7CCD"/>
    <w:rsid w:val="004D0136"/>
    <w:rsid w:val="004D026C"/>
    <w:rsid w:val="004D036B"/>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791"/>
    <w:rsid w:val="004E0E21"/>
    <w:rsid w:val="004E0FA0"/>
    <w:rsid w:val="004E12AA"/>
    <w:rsid w:val="004E1F2B"/>
    <w:rsid w:val="004E220B"/>
    <w:rsid w:val="004E3384"/>
    <w:rsid w:val="004E3BB5"/>
    <w:rsid w:val="004E3EE8"/>
    <w:rsid w:val="004E43B0"/>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F1C"/>
    <w:rsid w:val="00523EA3"/>
    <w:rsid w:val="005243F7"/>
    <w:rsid w:val="005247F0"/>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51C"/>
    <w:rsid w:val="00553D1B"/>
    <w:rsid w:val="005540A0"/>
    <w:rsid w:val="00554D79"/>
    <w:rsid w:val="0055527E"/>
    <w:rsid w:val="00555B00"/>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5E8A"/>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F71"/>
    <w:rsid w:val="0058694D"/>
    <w:rsid w:val="00586961"/>
    <w:rsid w:val="00586C08"/>
    <w:rsid w:val="00587018"/>
    <w:rsid w:val="00587090"/>
    <w:rsid w:val="005871AB"/>
    <w:rsid w:val="00587950"/>
    <w:rsid w:val="00587ABE"/>
    <w:rsid w:val="005907FF"/>
    <w:rsid w:val="00590AA9"/>
    <w:rsid w:val="00590F25"/>
    <w:rsid w:val="00591352"/>
    <w:rsid w:val="005913FE"/>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66C"/>
    <w:rsid w:val="00597B4F"/>
    <w:rsid w:val="00597D52"/>
    <w:rsid w:val="00597F65"/>
    <w:rsid w:val="005A031B"/>
    <w:rsid w:val="005A203B"/>
    <w:rsid w:val="005A20C9"/>
    <w:rsid w:val="005A22DC"/>
    <w:rsid w:val="005A2FBB"/>
    <w:rsid w:val="005A307E"/>
    <w:rsid w:val="005A3457"/>
    <w:rsid w:val="005A397A"/>
    <w:rsid w:val="005A39C2"/>
    <w:rsid w:val="005A4C7F"/>
    <w:rsid w:val="005A4DDE"/>
    <w:rsid w:val="005A55A6"/>
    <w:rsid w:val="005A567D"/>
    <w:rsid w:val="005A59CF"/>
    <w:rsid w:val="005A5A50"/>
    <w:rsid w:val="005A5BAF"/>
    <w:rsid w:val="005A6063"/>
    <w:rsid w:val="005A644B"/>
    <w:rsid w:val="005A66DA"/>
    <w:rsid w:val="005A6B8F"/>
    <w:rsid w:val="005A6D65"/>
    <w:rsid w:val="005A7155"/>
    <w:rsid w:val="005A77C3"/>
    <w:rsid w:val="005B0466"/>
    <w:rsid w:val="005B087E"/>
    <w:rsid w:val="005B0C9A"/>
    <w:rsid w:val="005B0E6B"/>
    <w:rsid w:val="005B1164"/>
    <w:rsid w:val="005B11D6"/>
    <w:rsid w:val="005B1802"/>
    <w:rsid w:val="005B29D0"/>
    <w:rsid w:val="005B3218"/>
    <w:rsid w:val="005B3C2D"/>
    <w:rsid w:val="005B3F59"/>
    <w:rsid w:val="005B4C6B"/>
    <w:rsid w:val="005B4D90"/>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6B2"/>
    <w:rsid w:val="005C47E5"/>
    <w:rsid w:val="005C48EA"/>
    <w:rsid w:val="005C545E"/>
    <w:rsid w:val="005C54F0"/>
    <w:rsid w:val="005C5CCA"/>
    <w:rsid w:val="005C5FC6"/>
    <w:rsid w:val="005C6380"/>
    <w:rsid w:val="005C64FD"/>
    <w:rsid w:val="005C6611"/>
    <w:rsid w:val="005C6B36"/>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AB0"/>
    <w:rsid w:val="005D7F6B"/>
    <w:rsid w:val="005E01F6"/>
    <w:rsid w:val="005E07FC"/>
    <w:rsid w:val="005E0A42"/>
    <w:rsid w:val="005E14C1"/>
    <w:rsid w:val="005E157E"/>
    <w:rsid w:val="005E1EBC"/>
    <w:rsid w:val="005E265F"/>
    <w:rsid w:val="005E2A82"/>
    <w:rsid w:val="005E2DB7"/>
    <w:rsid w:val="005E3282"/>
    <w:rsid w:val="005E3814"/>
    <w:rsid w:val="005E38BE"/>
    <w:rsid w:val="005E4616"/>
    <w:rsid w:val="005E4C45"/>
    <w:rsid w:val="005E4E34"/>
    <w:rsid w:val="005E4F50"/>
    <w:rsid w:val="005E5AF9"/>
    <w:rsid w:val="005E6082"/>
    <w:rsid w:val="005E6463"/>
    <w:rsid w:val="005E7181"/>
    <w:rsid w:val="005E7374"/>
    <w:rsid w:val="005E7693"/>
    <w:rsid w:val="005E7BC5"/>
    <w:rsid w:val="005F01B9"/>
    <w:rsid w:val="005F096B"/>
    <w:rsid w:val="005F0C23"/>
    <w:rsid w:val="005F0CD7"/>
    <w:rsid w:val="005F0F0F"/>
    <w:rsid w:val="005F0F18"/>
    <w:rsid w:val="005F128C"/>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B65"/>
    <w:rsid w:val="00612D7E"/>
    <w:rsid w:val="006130C0"/>
    <w:rsid w:val="006135EB"/>
    <w:rsid w:val="00613AFB"/>
    <w:rsid w:val="00613B7A"/>
    <w:rsid w:val="00613F5D"/>
    <w:rsid w:val="00614149"/>
    <w:rsid w:val="00614D23"/>
    <w:rsid w:val="00614D29"/>
    <w:rsid w:val="00614D6E"/>
    <w:rsid w:val="00614DA8"/>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BFD"/>
    <w:rsid w:val="00634C05"/>
    <w:rsid w:val="00634D29"/>
    <w:rsid w:val="00634DC6"/>
    <w:rsid w:val="00635635"/>
    <w:rsid w:val="0063590D"/>
    <w:rsid w:val="00635B8F"/>
    <w:rsid w:val="00635F65"/>
    <w:rsid w:val="00636502"/>
    <w:rsid w:val="00636611"/>
    <w:rsid w:val="00636965"/>
    <w:rsid w:val="00636A02"/>
    <w:rsid w:val="00636CED"/>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98A"/>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80C"/>
    <w:rsid w:val="007259EE"/>
    <w:rsid w:val="007268D5"/>
    <w:rsid w:val="007271B6"/>
    <w:rsid w:val="00727374"/>
    <w:rsid w:val="0072739F"/>
    <w:rsid w:val="00727AC2"/>
    <w:rsid w:val="00727BE7"/>
    <w:rsid w:val="00727EF2"/>
    <w:rsid w:val="00731ED0"/>
    <w:rsid w:val="00732243"/>
    <w:rsid w:val="007329A1"/>
    <w:rsid w:val="0073317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BD"/>
    <w:rsid w:val="00742E2E"/>
    <w:rsid w:val="00742E42"/>
    <w:rsid w:val="00743030"/>
    <w:rsid w:val="00743B33"/>
    <w:rsid w:val="007442DF"/>
    <w:rsid w:val="007452AB"/>
    <w:rsid w:val="007453A2"/>
    <w:rsid w:val="00745A0C"/>
    <w:rsid w:val="00745BAE"/>
    <w:rsid w:val="007464C6"/>
    <w:rsid w:val="007469B3"/>
    <w:rsid w:val="0074713B"/>
    <w:rsid w:val="00747161"/>
    <w:rsid w:val="0074780A"/>
    <w:rsid w:val="007478FB"/>
    <w:rsid w:val="007479AD"/>
    <w:rsid w:val="00747A73"/>
    <w:rsid w:val="00747EF4"/>
    <w:rsid w:val="00750DB2"/>
    <w:rsid w:val="00750F4B"/>
    <w:rsid w:val="00751672"/>
    <w:rsid w:val="00751B1D"/>
    <w:rsid w:val="00752258"/>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57A97"/>
    <w:rsid w:val="0076099E"/>
    <w:rsid w:val="007609DA"/>
    <w:rsid w:val="00760DE6"/>
    <w:rsid w:val="00761032"/>
    <w:rsid w:val="007610F3"/>
    <w:rsid w:val="00761133"/>
    <w:rsid w:val="00761560"/>
    <w:rsid w:val="0076163E"/>
    <w:rsid w:val="0076187B"/>
    <w:rsid w:val="00762287"/>
    <w:rsid w:val="00762CBC"/>
    <w:rsid w:val="00764221"/>
    <w:rsid w:val="00764274"/>
    <w:rsid w:val="00764F5B"/>
    <w:rsid w:val="007652B8"/>
    <w:rsid w:val="00765331"/>
    <w:rsid w:val="00765CC9"/>
    <w:rsid w:val="0076672D"/>
    <w:rsid w:val="00767260"/>
    <w:rsid w:val="00767F1E"/>
    <w:rsid w:val="0077036C"/>
    <w:rsid w:val="007706C3"/>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C94"/>
    <w:rsid w:val="00785C9F"/>
    <w:rsid w:val="00786469"/>
    <w:rsid w:val="0078658D"/>
    <w:rsid w:val="0078667F"/>
    <w:rsid w:val="007867AC"/>
    <w:rsid w:val="007871C6"/>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90F"/>
    <w:rsid w:val="00797F0C"/>
    <w:rsid w:val="007A0068"/>
    <w:rsid w:val="007A097D"/>
    <w:rsid w:val="007A1548"/>
    <w:rsid w:val="007A193F"/>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F2"/>
    <w:rsid w:val="007D79CC"/>
    <w:rsid w:val="007D7BF9"/>
    <w:rsid w:val="007E0B90"/>
    <w:rsid w:val="007E0EA4"/>
    <w:rsid w:val="007E0EE7"/>
    <w:rsid w:val="007E145F"/>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BA4"/>
    <w:rsid w:val="00810F3C"/>
    <w:rsid w:val="0081101B"/>
    <w:rsid w:val="0081149D"/>
    <w:rsid w:val="00812767"/>
    <w:rsid w:val="00812836"/>
    <w:rsid w:val="00812B4C"/>
    <w:rsid w:val="00813072"/>
    <w:rsid w:val="00814DBB"/>
    <w:rsid w:val="00815413"/>
    <w:rsid w:val="008154C3"/>
    <w:rsid w:val="00815687"/>
    <w:rsid w:val="00815EB1"/>
    <w:rsid w:val="00815FCA"/>
    <w:rsid w:val="008160FB"/>
    <w:rsid w:val="0081661A"/>
    <w:rsid w:val="008166E2"/>
    <w:rsid w:val="008167C9"/>
    <w:rsid w:val="008168D9"/>
    <w:rsid w:val="0081754C"/>
    <w:rsid w:val="00817CA8"/>
    <w:rsid w:val="00820220"/>
    <w:rsid w:val="0082064E"/>
    <w:rsid w:val="00820BEF"/>
    <w:rsid w:val="0082172C"/>
    <w:rsid w:val="00821E08"/>
    <w:rsid w:val="0082266F"/>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471C1"/>
    <w:rsid w:val="00850933"/>
    <w:rsid w:val="00850C97"/>
    <w:rsid w:val="008513A9"/>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BEB"/>
    <w:rsid w:val="00871C13"/>
    <w:rsid w:val="00872156"/>
    <w:rsid w:val="00872D37"/>
    <w:rsid w:val="00873001"/>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9E"/>
    <w:rsid w:val="00882768"/>
    <w:rsid w:val="00883008"/>
    <w:rsid w:val="0088300E"/>
    <w:rsid w:val="0088318D"/>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3180"/>
    <w:rsid w:val="00893573"/>
    <w:rsid w:val="008935EB"/>
    <w:rsid w:val="00893E7A"/>
    <w:rsid w:val="00894CA4"/>
    <w:rsid w:val="0089517E"/>
    <w:rsid w:val="00895A1B"/>
    <w:rsid w:val="00895A9F"/>
    <w:rsid w:val="00896A4F"/>
    <w:rsid w:val="008975C4"/>
    <w:rsid w:val="00897CE0"/>
    <w:rsid w:val="008A0655"/>
    <w:rsid w:val="008A0953"/>
    <w:rsid w:val="008A102D"/>
    <w:rsid w:val="008A2DD7"/>
    <w:rsid w:val="008A3350"/>
    <w:rsid w:val="008A337E"/>
    <w:rsid w:val="008A3637"/>
    <w:rsid w:val="008A3CD3"/>
    <w:rsid w:val="008A3E4C"/>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45F"/>
    <w:rsid w:val="008E354C"/>
    <w:rsid w:val="008E35FD"/>
    <w:rsid w:val="008E3A10"/>
    <w:rsid w:val="008E3CA1"/>
    <w:rsid w:val="008E3D09"/>
    <w:rsid w:val="008E4896"/>
    <w:rsid w:val="008E536F"/>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F33"/>
    <w:rsid w:val="00915204"/>
    <w:rsid w:val="00915248"/>
    <w:rsid w:val="00915323"/>
    <w:rsid w:val="00916FA9"/>
    <w:rsid w:val="00917138"/>
    <w:rsid w:val="00917467"/>
    <w:rsid w:val="0091757E"/>
    <w:rsid w:val="009179EE"/>
    <w:rsid w:val="00917C20"/>
    <w:rsid w:val="009205A1"/>
    <w:rsid w:val="00920F09"/>
    <w:rsid w:val="00921671"/>
    <w:rsid w:val="0092183C"/>
    <w:rsid w:val="00922641"/>
    <w:rsid w:val="009226DD"/>
    <w:rsid w:val="00923500"/>
    <w:rsid w:val="00923C8E"/>
    <w:rsid w:val="00923ED7"/>
    <w:rsid w:val="009240E4"/>
    <w:rsid w:val="009241AD"/>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4B3"/>
    <w:rsid w:val="00933B7C"/>
    <w:rsid w:val="00933EC2"/>
    <w:rsid w:val="00934124"/>
    <w:rsid w:val="0093417F"/>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D48"/>
    <w:rsid w:val="00942E12"/>
    <w:rsid w:val="00942EC5"/>
    <w:rsid w:val="00944E17"/>
    <w:rsid w:val="00945253"/>
    <w:rsid w:val="00945529"/>
    <w:rsid w:val="00946409"/>
    <w:rsid w:val="00946624"/>
    <w:rsid w:val="00947433"/>
    <w:rsid w:val="009477B2"/>
    <w:rsid w:val="0095081A"/>
    <w:rsid w:val="00950FAA"/>
    <w:rsid w:val="0095189E"/>
    <w:rsid w:val="00952196"/>
    <w:rsid w:val="009525AC"/>
    <w:rsid w:val="00952F92"/>
    <w:rsid w:val="00953005"/>
    <w:rsid w:val="009531F0"/>
    <w:rsid w:val="00953433"/>
    <w:rsid w:val="00953883"/>
    <w:rsid w:val="009543FF"/>
    <w:rsid w:val="0095445F"/>
    <w:rsid w:val="00954E7E"/>
    <w:rsid w:val="00955B96"/>
    <w:rsid w:val="0095618D"/>
    <w:rsid w:val="00956B12"/>
    <w:rsid w:val="00957274"/>
    <w:rsid w:val="009577F0"/>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D06"/>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717"/>
    <w:rsid w:val="009E1737"/>
    <w:rsid w:val="009E1F38"/>
    <w:rsid w:val="009E22C8"/>
    <w:rsid w:val="009E2537"/>
    <w:rsid w:val="009E26BA"/>
    <w:rsid w:val="009E2E17"/>
    <w:rsid w:val="009E3052"/>
    <w:rsid w:val="009E38E5"/>
    <w:rsid w:val="009E3EDF"/>
    <w:rsid w:val="009E4189"/>
    <w:rsid w:val="009E41C0"/>
    <w:rsid w:val="009E4261"/>
    <w:rsid w:val="009E4561"/>
    <w:rsid w:val="009E492A"/>
    <w:rsid w:val="009E4A46"/>
    <w:rsid w:val="009E5246"/>
    <w:rsid w:val="009E60DC"/>
    <w:rsid w:val="009E62BC"/>
    <w:rsid w:val="009E6B21"/>
    <w:rsid w:val="009E7AA2"/>
    <w:rsid w:val="009E7E3B"/>
    <w:rsid w:val="009E7F6E"/>
    <w:rsid w:val="009F0336"/>
    <w:rsid w:val="009F0427"/>
    <w:rsid w:val="009F0538"/>
    <w:rsid w:val="009F0770"/>
    <w:rsid w:val="009F08EA"/>
    <w:rsid w:val="009F0F10"/>
    <w:rsid w:val="009F16BE"/>
    <w:rsid w:val="009F1EF6"/>
    <w:rsid w:val="009F222B"/>
    <w:rsid w:val="009F31F9"/>
    <w:rsid w:val="009F45B3"/>
    <w:rsid w:val="009F4657"/>
    <w:rsid w:val="009F47EE"/>
    <w:rsid w:val="009F52F8"/>
    <w:rsid w:val="009F5AE6"/>
    <w:rsid w:val="009F63AD"/>
    <w:rsid w:val="009F65AA"/>
    <w:rsid w:val="009F6689"/>
    <w:rsid w:val="009F6CF0"/>
    <w:rsid w:val="009F6E1C"/>
    <w:rsid w:val="009F786D"/>
    <w:rsid w:val="009F7911"/>
    <w:rsid w:val="009F7914"/>
    <w:rsid w:val="009F7969"/>
    <w:rsid w:val="009F7975"/>
    <w:rsid w:val="009F7CBA"/>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829"/>
    <w:rsid w:val="00A21D9A"/>
    <w:rsid w:val="00A22940"/>
    <w:rsid w:val="00A22950"/>
    <w:rsid w:val="00A229C8"/>
    <w:rsid w:val="00A2329B"/>
    <w:rsid w:val="00A233E0"/>
    <w:rsid w:val="00A2370B"/>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5EA3"/>
    <w:rsid w:val="00A36126"/>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3B64"/>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E5D"/>
    <w:rsid w:val="00A70FC2"/>
    <w:rsid w:val="00A71339"/>
    <w:rsid w:val="00A72031"/>
    <w:rsid w:val="00A72A13"/>
    <w:rsid w:val="00A73A57"/>
    <w:rsid w:val="00A7465D"/>
    <w:rsid w:val="00A74683"/>
    <w:rsid w:val="00A74E13"/>
    <w:rsid w:val="00A755D8"/>
    <w:rsid w:val="00A75A80"/>
    <w:rsid w:val="00A75DB0"/>
    <w:rsid w:val="00A764F2"/>
    <w:rsid w:val="00A76FEF"/>
    <w:rsid w:val="00A77188"/>
    <w:rsid w:val="00A774FF"/>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B87"/>
    <w:rsid w:val="00A85DBC"/>
    <w:rsid w:val="00A8600F"/>
    <w:rsid w:val="00A86065"/>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E3D"/>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EF5"/>
    <w:rsid w:val="00AC73A5"/>
    <w:rsid w:val="00AC7778"/>
    <w:rsid w:val="00AC7C8E"/>
    <w:rsid w:val="00AD0355"/>
    <w:rsid w:val="00AD0D14"/>
    <w:rsid w:val="00AD1426"/>
    <w:rsid w:val="00AD1623"/>
    <w:rsid w:val="00AD1B47"/>
    <w:rsid w:val="00AD23DD"/>
    <w:rsid w:val="00AD25A0"/>
    <w:rsid w:val="00AD2DE7"/>
    <w:rsid w:val="00AD2E18"/>
    <w:rsid w:val="00AD31E1"/>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36AF"/>
    <w:rsid w:val="00B13987"/>
    <w:rsid w:val="00B140F6"/>
    <w:rsid w:val="00B141EF"/>
    <w:rsid w:val="00B14849"/>
    <w:rsid w:val="00B1484E"/>
    <w:rsid w:val="00B15A9C"/>
    <w:rsid w:val="00B15C8F"/>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5B9"/>
    <w:rsid w:val="00B2768F"/>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993"/>
    <w:rsid w:val="00B37CAA"/>
    <w:rsid w:val="00B37E7D"/>
    <w:rsid w:val="00B410BE"/>
    <w:rsid w:val="00B410D5"/>
    <w:rsid w:val="00B41856"/>
    <w:rsid w:val="00B41AA1"/>
    <w:rsid w:val="00B41C40"/>
    <w:rsid w:val="00B42A27"/>
    <w:rsid w:val="00B431D1"/>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757"/>
    <w:rsid w:val="00B61868"/>
    <w:rsid w:val="00B61E88"/>
    <w:rsid w:val="00B6201D"/>
    <w:rsid w:val="00B6269D"/>
    <w:rsid w:val="00B626F2"/>
    <w:rsid w:val="00B62B83"/>
    <w:rsid w:val="00B63007"/>
    <w:rsid w:val="00B64139"/>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9B8"/>
    <w:rsid w:val="00BA1B86"/>
    <w:rsid w:val="00BA1E04"/>
    <w:rsid w:val="00BA29FA"/>
    <w:rsid w:val="00BA31B7"/>
    <w:rsid w:val="00BA3F44"/>
    <w:rsid w:val="00BA4839"/>
    <w:rsid w:val="00BA4B5B"/>
    <w:rsid w:val="00BA4CE5"/>
    <w:rsid w:val="00BA558E"/>
    <w:rsid w:val="00BA5B80"/>
    <w:rsid w:val="00BA5CC5"/>
    <w:rsid w:val="00BA6440"/>
    <w:rsid w:val="00BA6500"/>
    <w:rsid w:val="00BA6851"/>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42EA"/>
    <w:rsid w:val="00BC5145"/>
    <w:rsid w:val="00BC5B89"/>
    <w:rsid w:val="00BC6122"/>
    <w:rsid w:val="00BC6F43"/>
    <w:rsid w:val="00BC7118"/>
    <w:rsid w:val="00BC799A"/>
    <w:rsid w:val="00BC7E61"/>
    <w:rsid w:val="00BD08ED"/>
    <w:rsid w:val="00BD15A1"/>
    <w:rsid w:val="00BD16AD"/>
    <w:rsid w:val="00BD1B91"/>
    <w:rsid w:val="00BD2983"/>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3BEE"/>
    <w:rsid w:val="00BF3DE1"/>
    <w:rsid w:val="00BF43D6"/>
    <w:rsid w:val="00BF4458"/>
    <w:rsid w:val="00BF4610"/>
    <w:rsid w:val="00BF49B6"/>
    <w:rsid w:val="00BF5860"/>
    <w:rsid w:val="00BF5C13"/>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23DD"/>
    <w:rsid w:val="00C13279"/>
    <w:rsid w:val="00C134D6"/>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4FD"/>
    <w:rsid w:val="00C409D4"/>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D1F"/>
    <w:rsid w:val="00C858ED"/>
    <w:rsid w:val="00C85A21"/>
    <w:rsid w:val="00C85B4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B5A"/>
    <w:rsid w:val="00CA30B0"/>
    <w:rsid w:val="00CA31AF"/>
    <w:rsid w:val="00CA3E06"/>
    <w:rsid w:val="00CA43FB"/>
    <w:rsid w:val="00CA4595"/>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546"/>
    <w:rsid w:val="00CD561C"/>
    <w:rsid w:val="00CD5BC4"/>
    <w:rsid w:val="00CD5E0C"/>
    <w:rsid w:val="00CD6060"/>
    <w:rsid w:val="00CD60D2"/>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9A9"/>
    <w:rsid w:val="00CE7FD3"/>
    <w:rsid w:val="00CF02A2"/>
    <w:rsid w:val="00CF0A76"/>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445"/>
    <w:rsid w:val="00D10D58"/>
    <w:rsid w:val="00D1171A"/>
    <w:rsid w:val="00D11D13"/>
    <w:rsid w:val="00D11DBF"/>
    <w:rsid w:val="00D1239F"/>
    <w:rsid w:val="00D1253A"/>
    <w:rsid w:val="00D126C6"/>
    <w:rsid w:val="00D12741"/>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E04"/>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DB"/>
    <w:rsid w:val="00D6300B"/>
    <w:rsid w:val="00D632C9"/>
    <w:rsid w:val="00D634FD"/>
    <w:rsid w:val="00D638E0"/>
    <w:rsid w:val="00D63E73"/>
    <w:rsid w:val="00D6405C"/>
    <w:rsid w:val="00D6435D"/>
    <w:rsid w:val="00D6526A"/>
    <w:rsid w:val="00D65C51"/>
    <w:rsid w:val="00D65EE4"/>
    <w:rsid w:val="00D6634D"/>
    <w:rsid w:val="00D663D5"/>
    <w:rsid w:val="00D6691D"/>
    <w:rsid w:val="00D67FA8"/>
    <w:rsid w:val="00D70026"/>
    <w:rsid w:val="00D700E9"/>
    <w:rsid w:val="00D714EB"/>
    <w:rsid w:val="00D719D6"/>
    <w:rsid w:val="00D71CC7"/>
    <w:rsid w:val="00D71FB2"/>
    <w:rsid w:val="00D7226D"/>
    <w:rsid w:val="00D725F8"/>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BDA"/>
    <w:rsid w:val="00D83B79"/>
    <w:rsid w:val="00D841BA"/>
    <w:rsid w:val="00D8464C"/>
    <w:rsid w:val="00D84A0D"/>
    <w:rsid w:val="00D84D26"/>
    <w:rsid w:val="00D85813"/>
    <w:rsid w:val="00D86327"/>
    <w:rsid w:val="00D873FF"/>
    <w:rsid w:val="00D8772F"/>
    <w:rsid w:val="00D877FE"/>
    <w:rsid w:val="00D87909"/>
    <w:rsid w:val="00D87DED"/>
    <w:rsid w:val="00D87E47"/>
    <w:rsid w:val="00D904DD"/>
    <w:rsid w:val="00D90C0E"/>
    <w:rsid w:val="00D911CA"/>
    <w:rsid w:val="00D9156B"/>
    <w:rsid w:val="00D91CA0"/>
    <w:rsid w:val="00D91D2E"/>
    <w:rsid w:val="00D91DF6"/>
    <w:rsid w:val="00D92177"/>
    <w:rsid w:val="00D922BA"/>
    <w:rsid w:val="00D924D7"/>
    <w:rsid w:val="00D9306B"/>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A"/>
    <w:rsid w:val="00DB3046"/>
    <w:rsid w:val="00DB3C29"/>
    <w:rsid w:val="00DB409D"/>
    <w:rsid w:val="00DB414A"/>
    <w:rsid w:val="00DB44AD"/>
    <w:rsid w:val="00DB4B86"/>
    <w:rsid w:val="00DB4D5B"/>
    <w:rsid w:val="00DB5F8D"/>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816"/>
    <w:rsid w:val="00DD4B3B"/>
    <w:rsid w:val="00DD4C3D"/>
    <w:rsid w:val="00DD5B20"/>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D99"/>
    <w:rsid w:val="00E575FE"/>
    <w:rsid w:val="00E57F7D"/>
    <w:rsid w:val="00E60560"/>
    <w:rsid w:val="00E60BFD"/>
    <w:rsid w:val="00E62648"/>
    <w:rsid w:val="00E62B5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D79"/>
    <w:rsid w:val="00E941DA"/>
    <w:rsid w:val="00E94437"/>
    <w:rsid w:val="00E944BF"/>
    <w:rsid w:val="00E948F1"/>
    <w:rsid w:val="00E95042"/>
    <w:rsid w:val="00E963D2"/>
    <w:rsid w:val="00E9685D"/>
    <w:rsid w:val="00E97864"/>
    <w:rsid w:val="00E97A84"/>
    <w:rsid w:val="00E97B78"/>
    <w:rsid w:val="00EA03B7"/>
    <w:rsid w:val="00EA059C"/>
    <w:rsid w:val="00EA0B59"/>
    <w:rsid w:val="00EA0D74"/>
    <w:rsid w:val="00EA153E"/>
    <w:rsid w:val="00EA1B16"/>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1212"/>
    <w:rsid w:val="00ED169B"/>
    <w:rsid w:val="00ED1D21"/>
    <w:rsid w:val="00ED23AF"/>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D65"/>
    <w:rsid w:val="00F023E8"/>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54EB"/>
    <w:rsid w:val="00F25857"/>
    <w:rsid w:val="00F25C8C"/>
    <w:rsid w:val="00F272E8"/>
    <w:rsid w:val="00F27789"/>
    <w:rsid w:val="00F27B3D"/>
    <w:rsid w:val="00F27C7C"/>
    <w:rsid w:val="00F30731"/>
    <w:rsid w:val="00F30997"/>
    <w:rsid w:val="00F30CF4"/>
    <w:rsid w:val="00F31157"/>
    <w:rsid w:val="00F31641"/>
    <w:rsid w:val="00F32216"/>
    <w:rsid w:val="00F3227A"/>
    <w:rsid w:val="00F32E31"/>
    <w:rsid w:val="00F32E3F"/>
    <w:rsid w:val="00F337FE"/>
    <w:rsid w:val="00F33DE2"/>
    <w:rsid w:val="00F33DEB"/>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6115"/>
    <w:rsid w:val="00F66B6E"/>
    <w:rsid w:val="00F67172"/>
    <w:rsid w:val="00F6757B"/>
    <w:rsid w:val="00F67D79"/>
    <w:rsid w:val="00F70007"/>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47E"/>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50B"/>
    <w:rsid w:val="00FA5928"/>
    <w:rsid w:val="00FA623F"/>
    <w:rsid w:val="00FA6B28"/>
    <w:rsid w:val="00FA714C"/>
    <w:rsid w:val="00FA79CE"/>
    <w:rsid w:val="00FA7B46"/>
    <w:rsid w:val="00FA7D7C"/>
    <w:rsid w:val="00FB02CC"/>
    <w:rsid w:val="00FB20D3"/>
    <w:rsid w:val="00FB22E5"/>
    <w:rsid w:val="00FB3006"/>
    <w:rsid w:val="00FB3AC4"/>
    <w:rsid w:val="00FB3CDB"/>
    <w:rsid w:val="00FB4279"/>
    <w:rsid w:val="00FB4330"/>
    <w:rsid w:val="00FB443F"/>
    <w:rsid w:val="00FB4496"/>
    <w:rsid w:val="00FB45C5"/>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0E36"/>
    <w:rsid w:val="00FE1E9F"/>
    <w:rsid w:val="00FE2D2A"/>
    <w:rsid w:val="00FE3134"/>
    <w:rsid w:val="00FE40AE"/>
    <w:rsid w:val="00FE45A3"/>
    <w:rsid w:val="00FE55E8"/>
    <w:rsid w:val="00FE5BC9"/>
    <w:rsid w:val="00FE6D74"/>
    <w:rsid w:val="00FE790F"/>
    <w:rsid w:val="00FF0833"/>
    <w:rsid w:val="00FF0CE8"/>
    <w:rsid w:val="00FF129C"/>
    <w:rsid w:val="00FF1EC8"/>
    <w:rsid w:val="00FF23F0"/>
    <w:rsid w:val="00FF2BA2"/>
    <w:rsid w:val="00FF2C74"/>
    <w:rsid w:val="00FF2F27"/>
    <w:rsid w:val="00FF2FA1"/>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6%20Jan%20to%20Jun\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marker>
            <c:spPr>
              <a:solidFill>
                <a:srgbClr val="C00000"/>
              </a:solidFill>
              <a:ln>
                <a:solidFill>
                  <a:srgbClr val="C00000"/>
                </a:solidFill>
              </a:ln>
            </c:spPr>
          </c:marker>
          <c:cat>
            <c:strRef>
              <c:f>'Number over time'!$A$1:$J$1</c:f>
              <c:strCache>
                <c:ptCount val="10"/>
                <c:pt idx="0">
                  <c:v>Jul–Dec 11</c:v>
                </c:pt>
                <c:pt idx="1">
                  <c:v>Jan–Jun 12</c:v>
                </c:pt>
                <c:pt idx="2">
                  <c:v>Jul–Dec 12</c:v>
                </c:pt>
                <c:pt idx="3">
                  <c:v>Jan–Jun 13</c:v>
                </c:pt>
                <c:pt idx="4">
                  <c:v>Jul–Dec 13</c:v>
                </c:pt>
                <c:pt idx="5">
                  <c:v>Jan–Jun 14</c:v>
                </c:pt>
                <c:pt idx="6">
                  <c:v>Jul–Dec 14</c:v>
                </c:pt>
                <c:pt idx="7">
                  <c:v>Jan–Jun 15</c:v>
                </c:pt>
                <c:pt idx="8">
                  <c:v>Jul–Dec 15</c:v>
                </c:pt>
                <c:pt idx="9">
                  <c:v>Jan–Jun 16</c:v>
                </c:pt>
              </c:strCache>
            </c:strRef>
          </c:cat>
          <c:val>
            <c:numRef>
              <c:f>'Number over time'!$A$2:$J$2</c:f>
              <c:numCache>
                <c:formatCode>General</c:formatCode>
                <c:ptCount val="10"/>
                <c:pt idx="0">
                  <c:v>255</c:v>
                </c:pt>
                <c:pt idx="1">
                  <c:v>355</c:v>
                </c:pt>
                <c:pt idx="2">
                  <c:v>292</c:v>
                </c:pt>
                <c:pt idx="3">
                  <c:v>324</c:v>
                </c:pt>
                <c:pt idx="4">
                  <c:v>330</c:v>
                </c:pt>
                <c:pt idx="5">
                  <c:v>330</c:v>
                </c:pt>
                <c:pt idx="6">
                  <c:v>368</c:v>
                </c:pt>
                <c:pt idx="7">
                  <c:v>389</c:v>
                </c:pt>
                <c:pt idx="8">
                  <c:v>422</c:v>
                </c:pt>
                <c:pt idx="9">
                  <c:v>383</c:v>
                </c:pt>
              </c:numCache>
            </c:numRef>
          </c:val>
          <c:smooth val="0"/>
        </c:ser>
        <c:dLbls>
          <c:showLegendKey val="0"/>
          <c:showVal val="0"/>
          <c:showCatName val="0"/>
          <c:showSerName val="0"/>
          <c:showPercent val="0"/>
          <c:showBubbleSize val="0"/>
        </c:dLbls>
        <c:marker val="1"/>
        <c:smooth val="0"/>
        <c:axId val="82171392"/>
        <c:axId val="82173312"/>
      </c:lineChart>
      <c:catAx>
        <c:axId val="82171392"/>
        <c:scaling>
          <c:orientation val="minMax"/>
        </c:scaling>
        <c:delete val="0"/>
        <c:axPos val="b"/>
        <c:majorTickMark val="out"/>
        <c:minorTickMark val="none"/>
        <c:tickLblPos val="nextTo"/>
        <c:crossAx val="82173312"/>
        <c:crosses val="autoZero"/>
        <c:auto val="1"/>
        <c:lblAlgn val="ctr"/>
        <c:lblOffset val="100"/>
        <c:noMultiLvlLbl val="0"/>
      </c:catAx>
      <c:valAx>
        <c:axId val="82173312"/>
        <c:scaling>
          <c:orientation val="minMax"/>
        </c:scaling>
        <c:delete val="0"/>
        <c:axPos val="l"/>
        <c:majorGridlines/>
        <c:numFmt formatCode="General" sourceLinked="1"/>
        <c:majorTickMark val="out"/>
        <c:minorTickMark val="none"/>
        <c:tickLblPos val="nextTo"/>
        <c:crossAx val="82171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2EAF-6CA1-41B1-839F-C9991696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3A64CD03</Template>
  <TotalTime>0</TotalTime>
  <Pages>23</Pages>
  <Words>6367</Words>
  <Characters>36293</Characters>
  <Application>Microsoft Office Word</Application>
  <DocSecurity>0</DocSecurity>
  <Lines>302</Lines>
  <Paragraphs>85</Paragraphs>
  <ScaleCrop>false</ScaleCrop>
  <Company/>
  <LinksUpToDate>false</LinksUpToDate>
  <CharactersWithSpaces>42575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2016-10-20T02:50:00Z</dcterms:created>
  <dcterms:modified xsi:type="dcterms:W3CDTF">2016-10-20T02:50:00Z</dcterms:modified>
</cp:coreProperties>
</file>