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42" w:rsidRPr="00A169FC" w:rsidRDefault="00806342" w:rsidP="00806342">
      <w:pPr>
        <w:jc w:val="center"/>
        <w:rPr>
          <w:b/>
          <w:sz w:val="32"/>
          <w:szCs w:val="32"/>
        </w:rPr>
      </w:pPr>
    </w:p>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p w:rsidR="00806342" w:rsidRPr="009F7E9D" w:rsidRDefault="00806342" w:rsidP="00806342">
      <w:bookmarkStart w:id="0" w:name="_GoBack"/>
      <w:bookmarkEnd w:id="0"/>
    </w:p>
    <w:p w:rsidR="00806342" w:rsidRPr="009F7E9D" w:rsidRDefault="00806342" w:rsidP="00806342"/>
    <w:p w:rsidR="00806342" w:rsidRPr="009F7E9D" w:rsidRDefault="00806342" w:rsidP="00806342"/>
    <w:p w:rsidR="00806342" w:rsidRPr="009F7E9D" w:rsidRDefault="00806342" w:rsidP="00806342">
      <w:pPr>
        <w:pStyle w:val="NoSpacing"/>
        <w:jc w:val="center"/>
        <w:rPr>
          <w:rFonts w:eastAsiaTheme="majorEastAsia" w:cstheme="majorBidi"/>
          <w:b/>
          <w:sz w:val="48"/>
          <w:szCs w:val="48"/>
          <w:lang w:val="en-NZ"/>
        </w:rPr>
      </w:pPr>
      <w:r w:rsidRPr="009F7E9D">
        <w:rPr>
          <w:rFonts w:eastAsiaTheme="majorEastAsia" w:cstheme="majorBidi"/>
          <w:b/>
          <w:sz w:val="48"/>
          <w:szCs w:val="48"/>
          <w:lang w:val="en-NZ"/>
        </w:rPr>
        <w:t xml:space="preserve">Complaints to HDC involving </w:t>
      </w:r>
    </w:p>
    <w:p w:rsidR="00806342" w:rsidRPr="009F7E9D" w:rsidRDefault="00806342" w:rsidP="00806342">
      <w:pPr>
        <w:pStyle w:val="NoSpacing"/>
        <w:jc w:val="center"/>
        <w:rPr>
          <w:rFonts w:eastAsiaTheme="majorEastAsia" w:cstheme="majorBidi"/>
          <w:b/>
          <w:sz w:val="48"/>
          <w:szCs w:val="48"/>
          <w:lang w:val="en-NZ"/>
        </w:rPr>
      </w:pPr>
      <w:r>
        <w:rPr>
          <w:rFonts w:eastAsiaTheme="majorEastAsia" w:cstheme="majorBidi"/>
          <w:b/>
          <w:sz w:val="48"/>
          <w:szCs w:val="48"/>
          <w:lang w:val="en-NZ"/>
        </w:rPr>
        <w:t>District Health Boards</w:t>
      </w:r>
    </w:p>
    <w:p w:rsidR="00806342" w:rsidRPr="009F7E9D" w:rsidRDefault="00806342" w:rsidP="00806342">
      <w:pPr>
        <w:pStyle w:val="NoSpacing"/>
        <w:rPr>
          <w:rFonts w:eastAsiaTheme="majorEastAsia" w:cstheme="majorBidi"/>
          <w:b/>
          <w:sz w:val="36"/>
          <w:szCs w:val="36"/>
          <w:lang w:val="en-NZ"/>
        </w:rPr>
      </w:pPr>
    </w:p>
    <w:p w:rsidR="00806342" w:rsidRPr="009F7E9D" w:rsidRDefault="00806342" w:rsidP="00806342">
      <w:pPr>
        <w:pStyle w:val="NoSpacing"/>
        <w:jc w:val="center"/>
        <w:rPr>
          <w:rFonts w:eastAsiaTheme="majorEastAsia" w:cstheme="majorBidi"/>
          <w:b/>
          <w:sz w:val="32"/>
          <w:szCs w:val="32"/>
          <w:lang w:val="en-NZ"/>
        </w:rPr>
      </w:pPr>
      <w:r w:rsidRPr="009F7E9D">
        <w:rPr>
          <w:rFonts w:eastAsiaTheme="majorEastAsia" w:cstheme="majorBidi"/>
          <w:b/>
          <w:sz w:val="32"/>
          <w:szCs w:val="32"/>
          <w:lang w:val="en-NZ"/>
        </w:rPr>
        <w:t>R</w:t>
      </w:r>
      <w:r>
        <w:rPr>
          <w:rFonts w:eastAsiaTheme="majorEastAsia" w:cstheme="majorBidi"/>
          <w:b/>
          <w:sz w:val="32"/>
          <w:szCs w:val="32"/>
          <w:lang w:val="en-NZ"/>
        </w:rPr>
        <w:t>eport and Analysis for period 1 July to 31 December</w:t>
      </w:r>
      <w:r w:rsidRPr="009F7E9D">
        <w:rPr>
          <w:rFonts w:eastAsiaTheme="majorEastAsia" w:cstheme="majorBidi"/>
          <w:b/>
          <w:sz w:val="32"/>
          <w:szCs w:val="32"/>
          <w:lang w:val="en-NZ"/>
        </w:rPr>
        <w:t xml:space="preserve"> 201</w:t>
      </w:r>
      <w:r>
        <w:rPr>
          <w:rFonts w:eastAsiaTheme="majorEastAsia" w:cstheme="majorBidi"/>
          <w:b/>
          <w:sz w:val="32"/>
          <w:szCs w:val="32"/>
          <w:lang w:val="en-NZ"/>
        </w:rPr>
        <w:t>5</w:t>
      </w: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9F7E9D" w:rsidRDefault="00806342" w:rsidP="00806342">
      <w:pPr>
        <w:pStyle w:val="NoSpacing"/>
        <w:jc w:val="center"/>
        <w:rPr>
          <w:rFonts w:eastAsiaTheme="majorEastAsia" w:cstheme="majorBidi"/>
          <w:b/>
          <w:sz w:val="32"/>
          <w:szCs w:val="32"/>
          <w:lang w:val="en-NZ"/>
        </w:rPr>
      </w:pPr>
    </w:p>
    <w:p w:rsidR="00806342" w:rsidRPr="00F25598" w:rsidRDefault="00806342" w:rsidP="00F25598">
      <w:pPr>
        <w:pStyle w:val="NoSpacing"/>
        <w:rPr>
          <w:rFonts w:eastAsiaTheme="majorEastAsia" w:cstheme="majorBidi"/>
          <w:b/>
          <w:sz w:val="32"/>
          <w:szCs w:val="32"/>
          <w:lang w:val="en-NZ"/>
        </w:rPr>
        <w:sectPr w:rsidR="00806342" w:rsidRPr="00F25598" w:rsidSect="008C3A00">
          <w:headerReference w:type="even" r:id="rId9"/>
          <w:headerReference w:type="default" r:id="rId10"/>
          <w:footerReference w:type="even" r:id="rId11"/>
          <w:footerReference w:type="default" r:id="rId12"/>
          <w:headerReference w:type="first" r:id="rId13"/>
          <w:footerReference w:type="first" r:id="rId14"/>
          <w:pgSz w:w="11906" w:h="16838" w:code="9"/>
          <w:pgMar w:top="1140" w:right="1412" w:bottom="851" w:left="1412" w:header="720" w:footer="590" w:gutter="0"/>
          <w:cols w:space="720"/>
          <w:titlePg/>
          <w:docGrid w:linePitch="360"/>
        </w:sectPr>
      </w:pPr>
      <w:r>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24633EC7" wp14:editId="0E6C1969">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15" cstate="print"/>
                    <a:stretch>
                      <a:fillRect/>
                    </a:stretch>
                  </pic:blipFill>
                  <pic:spPr>
                    <a:xfrm>
                      <a:off x="0" y="0"/>
                      <a:ext cx="1016000" cy="551815"/>
                    </a:xfrm>
                    <a:prstGeom prst="rect">
                      <a:avLst/>
                    </a:prstGeom>
                  </pic:spPr>
                </pic:pic>
              </a:graphicData>
            </a:graphic>
          </wp:anchor>
        </w:drawing>
      </w:r>
    </w:p>
    <w:p w:rsidR="00806342" w:rsidRDefault="00806342" w:rsidP="00806342">
      <w:pPr>
        <w:sectPr w:rsidR="00806342" w:rsidSect="008C3A00">
          <w:pgSz w:w="11906" w:h="16838" w:code="9"/>
          <w:pgMar w:top="1140" w:right="1412" w:bottom="851" w:left="1412" w:header="720" w:footer="590" w:gutter="0"/>
          <w:pgNumType w:start="0"/>
          <w:cols w:space="720"/>
          <w:titlePg/>
          <w:docGrid w:linePitch="360"/>
        </w:sectPr>
      </w:pPr>
    </w:p>
    <w:p w:rsidR="00F25598" w:rsidRDefault="00F25598" w:rsidP="00F25598">
      <w:pPr>
        <w:jc w:val="center"/>
        <w:rPr>
          <w:b/>
          <w:color w:val="000000" w:themeColor="text1"/>
          <w:sz w:val="32"/>
          <w:szCs w:val="32"/>
        </w:rPr>
      </w:pPr>
      <w:r w:rsidRPr="00D30C28">
        <w:rPr>
          <w:b/>
          <w:color w:val="000000" w:themeColor="text1"/>
          <w:sz w:val="32"/>
          <w:szCs w:val="32"/>
        </w:rPr>
        <w:lastRenderedPageBreak/>
        <w:t>Contents</w:t>
      </w:r>
    </w:p>
    <w:p w:rsidR="00F25598" w:rsidRDefault="00F25598" w:rsidP="00F25598">
      <w:pPr>
        <w:jc w:val="center"/>
        <w:rPr>
          <w:b/>
          <w:color w:val="000000" w:themeColor="text1"/>
          <w:sz w:val="32"/>
          <w:szCs w:val="32"/>
        </w:rPr>
      </w:pPr>
    </w:p>
    <w:p w:rsidR="00F25598" w:rsidRDefault="00F25598">
      <w:pPr>
        <w:pStyle w:val="TOC1"/>
        <w:tabs>
          <w:tab w:val="right" w:leader="dot" w:pos="9072"/>
        </w:tabs>
        <w:rPr>
          <w:rFonts w:eastAsiaTheme="minorEastAsia" w:cstheme="minorBidi"/>
          <w:b w:val="0"/>
          <w:noProof/>
          <w:sz w:val="22"/>
          <w:szCs w:val="22"/>
          <w:lang w:eastAsia="en-NZ" w:bidi="ar-SA"/>
        </w:rPr>
      </w:pPr>
      <w:r>
        <w:rPr>
          <w:b w:val="0"/>
          <w:color w:val="000000" w:themeColor="text1"/>
          <w:sz w:val="32"/>
          <w:szCs w:val="32"/>
        </w:rPr>
        <w:fldChar w:fldCharType="begin"/>
      </w:r>
      <w:r>
        <w:rPr>
          <w:b w:val="0"/>
          <w:color w:val="000000" w:themeColor="text1"/>
          <w:sz w:val="32"/>
          <w:szCs w:val="32"/>
        </w:rPr>
        <w:instrText xml:space="preserve"> TOC \o "2-3" \h \z \t "Heading 1,1" </w:instrText>
      </w:r>
      <w:r>
        <w:rPr>
          <w:b w:val="0"/>
          <w:color w:val="000000" w:themeColor="text1"/>
          <w:sz w:val="32"/>
          <w:szCs w:val="32"/>
        </w:rPr>
        <w:fldChar w:fldCharType="separate"/>
      </w:r>
      <w:hyperlink w:anchor="_Toc447274432" w:history="1">
        <w:r w:rsidRPr="00007F32">
          <w:rPr>
            <w:rStyle w:val="Hyperlink"/>
            <w:noProof/>
          </w:rPr>
          <w:t>Commissioner’s Foreword</w:t>
        </w:r>
        <w:r>
          <w:rPr>
            <w:noProof/>
            <w:webHidden/>
          </w:rPr>
          <w:tab/>
        </w:r>
        <w:r>
          <w:rPr>
            <w:noProof/>
            <w:webHidden/>
          </w:rPr>
          <w:fldChar w:fldCharType="begin"/>
        </w:r>
        <w:r>
          <w:rPr>
            <w:noProof/>
            <w:webHidden/>
          </w:rPr>
          <w:instrText xml:space="preserve"> PAGEREF _Toc447274432 \h </w:instrText>
        </w:r>
        <w:r>
          <w:rPr>
            <w:noProof/>
            <w:webHidden/>
          </w:rPr>
        </w:r>
        <w:r>
          <w:rPr>
            <w:noProof/>
            <w:webHidden/>
          </w:rPr>
          <w:fldChar w:fldCharType="separate"/>
        </w:r>
        <w:r w:rsidR="00DE17D9">
          <w:rPr>
            <w:noProof/>
            <w:webHidden/>
          </w:rPr>
          <w:t>i</w:t>
        </w:r>
        <w:r>
          <w:rPr>
            <w:noProof/>
            <w:webHidden/>
          </w:rPr>
          <w:fldChar w:fldCharType="end"/>
        </w:r>
      </w:hyperlink>
    </w:p>
    <w:p w:rsidR="00F25598" w:rsidRDefault="00DE17D9">
      <w:pPr>
        <w:pStyle w:val="TOC1"/>
        <w:tabs>
          <w:tab w:val="right" w:leader="dot" w:pos="9072"/>
        </w:tabs>
        <w:rPr>
          <w:rFonts w:eastAsiaTheme="minorEastAsia" w:cstheme="minorBidi"/>
          <w:b w:val="0"/>
          <w:noProof/>
          <w:sz w:val="22"/>
          <w:szCs w:val="22"/>
          <w:lang w:eastAsia="en-NZ" w:bidi="ar-SA"/>
        </w:rPr>
      </w:pPr>
      <w:hyperlink w:anchor="_Toc447274433" w:history="1">
        <w:r w:rsidR="00F25598" w:rsidRPr="00007F32">
          <w:rPr>
            <w:rStyle w:val="Hyperlink"/>
            <w:noProof/>
          </w:rPr>
          <w:t>National Data for all District Health Boards</w:t>
        </w:r>
        <w:r w:rsidR="00F25598">
          <w:rPr>
            <w:noProof/>
            <w:webHidden/>
          </w:rPr>
          <w:tab/>
        </w:r>
        <w:r w:rsidR="00F25598">
          <w:rPr>
            <w:noProof/>
            <w:webHidden/>
          </w:rPr>
          <w:fldChar w:fldCharType="begin"/>
        </w:r>
        <w:r w:rsidR="00F25598">
          <w:rPr>
            <w:noProof/>
            <w:webHidden/>
          </w:rPr>
          <w:instrText xml:space="preserve"> PAGEREF _Toc447274433 \h </w:instrText>
        </w:r>
        <w:r w:rsidR="00F25598">
          <w:rPr>
            <w:noProof/>
            <w:webHidden/>
          </w:rPr>
        </w:r>
        <w:r w:rsidR="00F25598">
          <w:rPr>
            <w:noProof/>
            <w:webHidden/>
          </w:rPr>
          <w:fldChar w:fldCharType="separate"/>
        </w:r>
        <w:r>
          <w:rPr>
            <w:noProof/>
            <w:webHidden/>
          </w:rPr>
          <w:t>1</w:t>
        </w:r>
        <w:r w:rsidR="00F25598">
          <w:rPr>
            <w:noProof/>
            <w:webHidden/>
          </w:rPr>
          <w:fldChar w:fldCharType="end"/>
        </w:r>
      </w:hyperlink>
    </w:p>
    <w:p w:rsidR="00F25598" w:rsidRDefault="00DE17D9">
      <w:pPr>
        <w:pStyle w:val="TOC2"/>
        <w:tabs>
          <w:tab w:val="left" w:pos="880"/>
          <w:tab w:val="right" w:leader="dot" w:pos="9072"/>
        </w:tabs>
        <w:rPr>
          <w:rFonts w:eastAsiaTheme="minorEastAsia" w:cstheme="minorBidi"/>
          <w:b w:val="0"/>
          <w:noProof/>
          <w:lang w:eastAsia="en-NZ" w:bidi="ar-SA"/>
        </w:rPr>
      </w:pPr>
      <w:hyperlink w:anchor="_Toc447274434" w:history="1">
        <w:r w:rsidR="00F25598" w:rsidRPr="00007F32">
          <w:rPr>
            <w:rStyle w:val="Hyperlink"/>
            <w:noProof/>
          </w:rPr>
          <w:t>1.0</w:t>
        </w:r>
        <w:r w:rsidR="00F25598">
          <w:rPr>
            <w:rFonts w:eastAsiaTheme="minorEastAsia" w:cstheme="minorBidi"/>
            <w:b w:val="0"/>
            <w:noProof/>
            <w:lang w:eastAsia="en-NZ" w:bidi="ar-SA"/>
          </w:rPr>
          <w:tab/>
        </w:r>
        <w:r w:rsidR="00F25598" w:rsidRPr="00007F32">
          <w:rPr>
            <w:rStyle w:val="Hyperlink"/>
            <w:noProof/>
          </w:rPr>
          <w:t>Number of complaints received</w:t>
        </w:r>
        <w:r w:rsidR="00F25598">
          <w:rPr>
            <w:noProof/>
            <w:webHidden/>
          </w:rPr>
          <w:tab/>
        </w:r>
        <w:r w:rsidR="00F25598">
          <w:rPr>
            <w:noProof/>
            <w:webHidden/>
          </w:rPr>
          <w:fldChar w:fldCharType="begin"/>
        </w:r>
        <w:r w:rsidR="00F25598">
          <w:rPr>
            <w:noProof/>
            <w:webHidden/>
          </w:rPr>
          <w:instrText xml:space="preserve"> PAGEREF _Toc447274434 \h </w:instrText>
        </w:r>
        <w:r w:rsidR="00F25598">
          <w:rPr>
            <w:noProof/>
            <w:webHidden/>
          </w:rPr>
        </w:r>
        <w:r w:rsidR="00F25598">
          <w:rPr>
            <w:noProof/>
            <w:webHidden/>
          </w:rPr>
          <w:fldChar w:fldCharType="separate"/>
        </w:r>
        <w:r>
          <w:rPr>
            <w:noProof/>
            <w:webHidden/>
          </w:rPr>
          <w:t>1</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35" w:history="1">
        <w:r w:rsidR="00F25598" w:rsidRPr="00007F32">
          <w:rPr>
            <w:rStyle w:val="Hyperlink"/>
            <w:noProof/>
          </w:rPr>
          <w:t xml:space="preserve">1.1 </w:t>
        </w:r>
        <w:r w:rsidR="00F25598">
          <w:rPr>
            <w:rFonts w:eastAsiaTheme="minorEastAsia" w:cstheme="minorBidi"/>
            <w:noProof/>
            <w:lang w:eastAsia="en-NZ" w:bidi="ar-SA"/>
          </w:rPr>
          <w:tab/>
        </w:r>
        <w:r w:rsidR="00F25598" w:rsidRPr="00007F32">
          <w:rPr>
            <w:rStyle w:val="Hyperlink"/>
            <w:noProof/>
          </w:rPr>
          <w:t>Raw number of complaints received</w:t>
        </w:r>
        <w:r w:rsidR="00F25598">
          <w:rPr>
            <w:noProof/>
            <w:webHidden/>
          </w:rPr>
          <w:tab/>
        </w:r>
        <w:r w:rsidR="00F25598">
          <w:rPr>
            <w:noProof/>
            <w:webHidden/>
          </w:rPr>
          <w:fldChar w:fldCharType="begin"/>
        </w:r>
        <w:r w:rsidR="00F25598">
          <w:rPr>
            <w:noProof/>
            <w:webHidden/>
          </w:rPr>
          <w:instrText xml:space="preserve"> PAGEREF _Toc447274435 \h </w:instrText>
        </w:r>
        <w:r w:rsidR="00F25598">
          <w:rPr>
            <w:noProof/>
            <w:webHidden/>
          </w:rPr>
        </w:r>
        <w:r w:rsidR="00F25598">
          <w:rPr>
            <w:noProof/>
            <w:webHidden/>
          </w:rPr>
          <w:fldChar w:fldCharType="separate"/>
        </w:r>
        <w:r>
          <w:rPr>
            <w:noProof/>
            <w:webHidden/>
          </w:rPr>
          <w:t>1</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36" w:history="1">
        <w:r w:rsidR="00F25598" w:rsidRPr="00007F32">
          <w:rPr>
            <w:rStyle w:val="Hyperlink"/>
            <w:noProof/>
          </w:rPr>
          <w:t>1.2</w:t>
        </w:r>
        <w:r w:rsidR="00F25598">
          <w:rPr>
            <w:rFonts w:eastAsiaTheme="minorEastAsia" w:cstheme="minorBidi"/>
            <w:noProof/>
            <w:lang w:eastAsia="en-NZ" w:bidi="ar-SA"/>
          </w:rPr>
          <w:tab/>
        </w:r>
        <w:r w:rsidR="00F25598" w:rsidRPr="00007F32">
          <w:rPr>
            <w:rStyle w:val="Hyperlink"/>
            <w:noProof/>
          </w:rPr>
          <w:t>Rate of complaints received</w:t>
        </w:r>
        <w:r w:rsidR="00F25598">
          <w:rPr>
            <w:noProof/>
            <w:webHidden/>
          </w:rPr>
          <w:tab/>
        </w:r>
        <w:r w:rsidR="00F25598">
          <w:rPr>
            <w:noProof/>
            <w:webHidden/>
          </w:rPr>
          <w:fldChar w:fldCharType="begin"/>
        </w:r>
        <w:r w:rsidR="00F25598">
          <w:rPr>
            <w:noProof/>
            <w:webHidden/>
          </w:rPr>
          <w:instrText xml:space="preserve"> PAGEREF _Toc447274436 \h </w:instrText>
        </w:r>
        <w:r w:rsidR="00F25598">
          <w:rPr>
            <w:noProof/>
            <w:webHidden/>
          </w:rPr>
        </w:r>
        <w:r w:rsidR="00F25598">
          <w:rPr>
            <w:noProof/>
            <w:webHidden/>
          </w:rPr>
          <w:fldChar w:fldCharType="separate"/>
        </w:r>
        <w:r>
          <w:rPr>
            <w:noProof/>
            <w:webHidden/>
          </w:rPr>
          <w:t>2</w:t>
        </w:r>
        <w:r w:rsidR="00F25598">
          <w:rPr>
            <w:noProof/>
            <w:webHidden/>
          </w:rPr>
          <w:fldChar w:fldCharType="end"/>
        </w:r>
      </w:hyperlink>
    </w:p>
    <w:p w:rsidR="00F25598" w:rsidRDefault="00DE17D9">
      <w:pPr>
        <w:pStyle w:val="TOC2"/>
        <w:tabs>
          <w:tab w:val="left" w:pos="880"/>
          <w:tab w:val="right" w:leader="dot" w:pos="9072"/>
        </w:tabs>
        <w:rPr>
          <w:rFonts w:eastAsiaTheme="minorEastAsia" w:cstheme="minorBidi"/>
          <w:b w:val="0"/>
          <w:noProof/>
          <w:lang w:eastAsia="en-NZ" w:bidi="ar-SA"/>
        </w:rPr>
      </w:pPr>
      <w:hyperlink w:anchor="_Toc447274437" w:history="1">
        <w:r w:rsidR="00F25598" w:rsidRPr="00007F32">
          <w:rPr>
            <w:rStyle w:val="Hyperlink"/>
            <w:noProof/>
          </w:rPr>
          <w:t>2.0</w:t>
        </w:r>
        <w:r w:rsidR="00F25598">
          <w:rPr>
            <w:rFonts w:eastAsiaTheme="minorEastAsia" w:cstheme="minorBidi"/>
            <w:b w:val="0"/>
            <w:noProof/>
            <w:lang w:eastAsia="en-NZ" w:bidi="ar-SA"/>
          </w:rPr>
          <w:tab/>
        </w:r>
        <w:r w:rsidR="00F25598" w:rsidRPr="00007F32">
          <w:rPr>
            <w:rStyle w:val="Hyperlink"/>
            <w:noProof/>
          </w:rPr>
          <w:t>Service types complained about</w:t>
        </w:r>
        <w:r w:rsidR="00F25598">
          <w:rPr>
            <w:noProof/>
            <w:webHidden/>
          </w:rPr>
          <w:tab/>
        </w:r>
        <w:r w:rsidR="00F25598">
          <w:rPr>
            <w:noProof/>
            <w:webHidden/>
          </w:rPr>
          <w:fldChar w:fldCharType="begin"/>
        </w:r>
        <w:r w:rsidR="00F25598">
          <w:rPr>
            <w:noProof/>
            <w:webHidden/>
          </w:rPr>
          <w:instrText xml:space="preserve"> PAGEREF _Toc447274437 \h </w:instrText>
        </w:r>
        <w:r w:rsidR="00F25598">
          <w:rPr>
            <w:noProof/>
            <w:webHidden/>
          </w:rPr>
        </w:r>
        <w:r w:rsidR="00F25598">
          <w:rPr>
            <w:noProof/>
            <w:webHidden/>
          </w:rPr>
          <w:fldChar w:fldCharType="separate"/>
        </w:r>
        <w:r>
          <w:rPr>
            <w:noProof/>
            <w:webHidden/>
          </w:rPr>
          <w:t>4</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38" w:history="1">
        <w:r w:rsidR="00F25598" w:rsidRPr="00007F32">
          <w:rPr>
            <w:rStyle w:val="Hyperlink"/>
            <w:noProof/>
          </w:rPr>
          <w:t>2.1</w:t>
        </w:r>
        <w:r w:rsidR="00F25598">
          <w:rPr>
            <w:rFonts w:eastAsiaTheme="minorEastAsia" w:cstheme="minorBidi"/>
            <w:noProof/>
            <w:lang w:eastAsia="en-NZ" w:bidi="ar-SA"/>
          </w:rPr>
          <w:tab/>
        </w:r>
        <w:r w:rsidR="00F25598" w:rsidRPr="00007F32">
          <w:rPr>
            <w:rStyle w:val="Hyperlink"/>
            <w:noProof/>
          </w:rPr>
          <w:t>Service type category</w:t>
        </w:r>
        <w:r w:rsidR="00F25598">
          <w:rPr>
            <w:noProof/>
            <w:webHidden/>
          </w:rPr>
          <w:tab/>
        </w:r>
        <w:r w:rsidR="00F25598">
          <w:rPr>
            <w:noProof/>
            <w:webHidden/>
          </w:rPr>
          <w:fldChar w:fldCharType="begin"/>
        </w:r>
        <w:r w:rsidR="00F25598">
          <w:rPr>
            <w:noProof/>
            <w:webHidden/>
          </w:rPr>
          <w:instrText xml:space="preserve"> PAGEREF _Toc447274438 \h </w:instrText>
        </w:r>
        <w:r w:rsidR="00F25598">
          <w:rPr>
            <w:noProof/>
            <w:webHidden/>
          </w:rPr>
        </w:r>
        <w:r w:rsidR="00F25598">
          <w:rPr>
            <w:noProof/>
            <w:webHidden/>
          </w:rPr>
          <w:fldChar w:fldCharType="separate"/>
        </w:r>
        <w:r>
          <w:rPr>
            <w:noProof/>
            <w:webHidden/>
          </w:rPr>
          <w:t>4</w:t>
        </w:r>
        <w:r w:rsidR="00F25598">
          <w:rPr>
            <w:noProof/>
            <w:webHidden/>
          </w:rPr>
          <w:fldChar w:fldCharType="end"/>
        </w:r>
      </w:hyperlink>
    </w:p>
    <w:p w:rsidR="00F25598" w:rsidRDefault="00DE17D9">
      <w:pPr>
        <w:pStyle w:val="TOC2"/>
        <w:tabs>
          <w:tab w:val="left" w:pos="880"/>
          <w:tab w:val="right" w:leader="dot" w:pos="9072"/>
        </w:tabs>
        <w:rPr>
          <w:rFonts w:eastAsiaTheme="minorEastAsia" w:cstheme="minorBidi"/>
          <w:b w:val="0"/>
          <w:noProof/>
          <w:lang w:eastAsia="en-NZ" w:bidi="ar-SA"/>
        </w:rPr>
      </w:pPr>
      <w:hyperlink w:anchor="_Toc447274439" w:history="1">
        <w:r w:rsidR="00F25598" w:rsidRPr="00007F32">
          <w:rPr>
            <w:rStyle w:val="Hyperlink"/>
            <w:noProof/>
          </w:rPr>
          <w:t>3.0</w:t>
        </w:r>
        <w:r w:rsidR="00F25598">
          <w:rPr>
            <w:rFonts w:eastAsiaTheme="minorEastAsia" w:cstheme="minorBidi"/>
            <w:b w:val="0"/>
            <w:noProof/>
            <w:lang w:eastAsia="en-NZ" w:bidi="ar-SA"/>
          </w:rPr>
          <w:tab/>
        </w:r>
        <w:r w:rsidR="00F25598" w:rsidRPr="00007F32">
          <w:rPr>
            <w:rStyle w:val="Hyperlink"/>
            <w:noProof/>
          </w:rPr>
          <w:t>Issues complained about</w:t>
        </w:r>
        <w:r w:rsidR="00F25598">
          <w:rPr>
            <w:noProof/>
            <w:webHidden/>
          </w:rPr>
          <w:tab/>
        </w:r>
        <w:r w:rsidR="00F25598">
          <w:rPr>
            <w:noProof/>
            <w:webHidden/>
          </w:rPr>
          <w:fldChar w:fldCharType="begin"/>
        </w:r>
        <w:r w:rsidR="00F25598">
          <w:rPr>
            <w:noProof/>
            <w:webHidden/>
          </w:rPr>
          <w:instrText xml:space="preserve"> PAGEREF _Toc447274439 \h </w:instrText>
        </w:r>
        <w:r w:rsidR="00F25598">
          <w:rPr>
            <w:noProof/>
            <w:webHidden/>
          </w:rPr>
        </w:r>
        <w:r w:rsidR="00F25598">
          <w:rPr>
            <w:noProof/>
            <w:webHidden/>
          </w:rPr>
          <w:fldChar w:fldCharType="separate"/>
        </w:r>
        <w:r>
          <w:rPr>
            <w:noProof/>
            <w:webHidden/>
          </w:rPr>
          <w:t>6</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40" w:history="1">
        <w:r w:rsidR="00F25598" w:rsidRPr="00007F32">
          <w:rPr>
            <w:rStyle w:val="Hyperlink"/>
            <w:noProof/>
          </w:rPr>
          <w:t>3.1</w:t>
        </w:r>
        <w:r w:rsidR="00F25598">
          <w:rPr>
            <w:rFonts w:eastAsiaTheme="minorEastAsia" w:cstheme="minorBidi"/>
            <w:noProof/>
            <w:lang w:eastAsia="en-NZ" w:bidi="ar-SA"/>
          </w:rPr>
          <w:tab/>
        </w:r>
        <w:r w:rsidR="00F25598" w:rsidRPr="00007F32">
          <w:rPr>
            <w:rStyle w:val="Hyperlink"/>
            <w:noProof/>
          </w:rPr>
          <w:t>Primary complaint issues</w:t>
        </w:r>
        <w:r w:rsidR="00F25598">
          <w:rPr>
            <w:noProof/>
            <w:webHidden/>
          </w:rPr>
          <w:tab/>
        </w:r>
        <w:r w:rsidR="00F25598">
          <w:rPr>
            <w:noProof/>
            <w:webHidden/>
          </w:rPr>
          <w:fldChar w:fldCharType="begin"/>
        </w:r>
        <w:r w:rsidR="00F25598">
          <w:rPr>
            <w:noProof/>
            <w:webHidden/>
          </w:rPr>
          <w:instrText xml:space="preserve"> PAGEREF _Toc447274440 \h </w:instrText>
        </w:r>
        <w:r w:rsidR="00F25598">
          <w:rPr>
            <w:noProof/>
            <w:webHidden/>
          </w:rPr>
        </w:r>
        <w:r w:rsidR="00F25598">
          <w:rPr>
            <w:noProof/>
            <w:webHidden/>
          </w:rPr>
          <w:fldChar w:fldCharType="separate"/>
        </w:r>
        <w:r>
          <w:rPr>
            <w:noProof/>
            <w:webHidden/>
          </w:rPr>
          <w:t>6</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41" w:history="1">
        <w:r w:rsidR="00F25598" w:rsidRPr="00007F32">
          <w:rPr>
            <w:rStyle w:val="Hyperlink"/>
            <w:noProof/>
          </w:rPr>
          <w:t>3.2</w:t>
        </w:r>
        <w:r w:rsidR="00F25598">
          <w:rPr>
            <w:rFonts w:eastAsiaTheme="minorEastAsia" w:cstheme="minorBidi"/>
            <w:noProof/>
            <w:lang w:eastAsia="en-NZ" w:bidi="ar-SA"/>
          </w:rPr>
          <w:tab/>
        </w:r>
        <w:r w:rsidR="00F25598" w:rsidRPr="00007F32">
          <w:rPr>
            <w:rStyle w:val="Hyperlink"/>
            <w:noProof/>
          </w:rPr>
          <w:t>All complaint  issues</w:t>
        </w:r>
        <w:r w:rsidR="00F25598">
          <w:rPr>
            <w:noProof/>
            <w:webHidden/>
          </w:rPr>
          <w:tab/>
        </w:r>
        <w:r w:rsidR="00F25598">
          <w:rPr>
            <w:noProof/>
            <w:webHidden/>
          </w:rPr>
          <w:fldChar w:fldCharType="begin"/>
        </w:r>
        <w:r w:rsidR="00F25598">
          <w:rPr>
            <w:noProof/>
            <w:webHidden/>
          </w:rPr>
          <w:instrText xml:space="preserve"> PAGEREF _Toc447274441 \h </w:instrText>
        </w:r>
        <w:r w:rsidR="00F25598">
          <w:rPr>
            <w:noProof/>
            <w:webHidden/>
          </w:rPr>
        </w:r>
        <w:r w:rsidR="00F25598">
          <w:rPr>
            <w:noProof/>
            <w:webHidden/>
          </w:rPr>
          <w:fldChar w:fldCharType="separate"/>
        </w:r>
        <w:r>
          <w:rPr>
            <w:noProof/>
            <w:webHidden/>
          </w:rPr>
          <w:t>8</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42" w:history="1">
        <w:r w:rsidR="00F25598" w:rsidRPr="00007F32">
          <w:rPr>
            <w:rStyle w:val="Hyperlink"/>
            <w:noProof/>
          </w:rPr>
          <w:t>3.3</w:t>
        </w:r>
        <w:r w:rsidR="00F25598">
          <w:rPr>
            <w:rFonts w:eastAsiaTheme="minorEastAsia" w:cstheme="minorBidi"/>
            <w:noProof/>
            <w:lang w:eastAsia="en-NZ" w:bidi="ar-SA"/>
          </w:rPr>
          <w:tab/>
        </w:r>
        <w:r w:rsidR="00F25598" w:rsidRPr="00007F32">
          <w:rPr>
            <w:rStyle w:val="Hyperlink"/>
            <w:noProof/>
          </w:rPr>
          <w:t>Service type and primary issues</w:t>
        </w:r>
        <w:r w:rsidR="00F25598">
          <w:rPr>
            <w:noProof/>
            <w:webHidden/>
          </w:rPr>
          <w:tab/>
        </w:r>
        <w:r w:rsidR="00F25598">
          <w:rPr>
            <w:noProof/>
            <w:webHidden/>
          </w:rPr>
          <w:fldChar w:fldCharType="begin"/>
        </w:r>
        <w:r w:rsidR="00F25598">
          <w:rPr>
            <w:noProof/>
            <w:webHidden/>
          </w:rPr>
          <w:instrText xml:space="preserve"> PAGEREF _Toc447274442 \h </w:instrText>
        </w:r>
        <w:r w:rsidR="00F25598">
          <w:rPr>
            <w:noProof/>
            <w:webHidden/>
          </w:rPr>
        </w:r>
        <w:r w:rsidR="00F25598">
          <w:rPr>
            <w:noProof/>
            <w:webHidden/>
          </w:rPr>
          <w:fldChar w:fldCharType="separate"/>
        </w:r>
        <w:r>
          <w:rPr>
            <w:noProof/>
            <w:webHidden/>
          </w:rPr>
          <w:t>11</w:t>
        </w:r>
        <w:r w:rsidR="00F25598">
          <w:rPr>
            <w:noProof/>
            <w:webHidden/>
          </w:rPr>
          <w:fldChar w:fldCharType="end"/>
        </w:r>
      </w:hyperlink>
    </w:p>
    <w:p w:rsidR="00F25598" w:rsidRDefault="00DE17D9">
      <w:pPr>
        <w:pStyle w:val="TOC2"/>
        <w:tabs>
          <w:tab w:val="left" w:pos="880"/>
          <w:tab w:val="right" w:leader="dot" w:pos="9072"/>
        </w:tabs>
        <w:rPr>
          <w:rFonts w:eastAsiaTheme="minorEastAsia" w:cstheme="minorBidi"/>
          <w:b w:val="0"/>
          <w:noProof/>
          <w:lang w:eastAsia="en-NZ" w:bidi="ar-SA"/>
        </w:rPr>
      </w:pPr>
      <w:hyperlink w:anchor="_Toc447274443" w:history="1">
        <w:r w:rsidR="00F25598" w:rsidRPr="00007F32">
          <w:rPr>
            <w:rStyle w:val="Hyperlink"/>
            <w:noProof/>
          </w:rPr>
          <w:t>4.0</w:t>
        </w:r>
        <w:r w:rsidR="00F25598">
          <w:rPr>
            <w:rFonts w:eastAsiaTheme="minorEastAsia" w:cstheme="minorBidi"/>
            <w:b w:val="0"/>
            <w:noProof/>
            <w:lang w:eastAsia="en-NZ" w:bidi="ar-SA"/>
          </w:rPr>
          <w:tab/>
        </w:r>
        <w:r w:rsidR="00F25598" w:rsidRPr="00007F32">
          <w:rPr>
            <w:rStyle w:val="Hyperlink"/>
            <w:noProof/>
          </w:rPr>
          <w:t>Complaints closed</w:t>
        </w:r>
        <w:r w:rsidR="00F25598">
          <w:rPr>
            <w:noProof/>
            <w:webHidden/>
          </w:rPr>
          <w:tab/>
        </w:r>
        <w:r w:rsidR="00F25598">
          <w:rPr>
            <w:noProof/>
            <w:webHidden/>
          </w:rPr>
          <w:fldChar w:fldCharType="begin"/>
        </w:r>
        <w:r w:rsidR="00F25598">
          <w:rPr>
            <w:noProof/>
            <w:webHidden/>
          </w:rPr>
          <w:instrText xml:space="preserve"> PAGEREF _Toc447274443 \h </w:instrText>
        </w:r>
        <w:r w:rsidR="00F25598">
          <w:rPr>
            <w:noProof/>
            <w:webHidden/>
          </w:rPr>
        </w:r>
        <w:r w:rsidR="00F25598">
          <w:rPr>
            <w:noProof/>
            <w:webHidden/>
          </w:rPr>
          <w:fldChar w:fldCharType="separate"/>
        </w:r>
        <w:r>
          <w:rPr>
            <w:noProof/>
            <w:webHidden/>
          </w:rPr>
          <w:t>12</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44" w:history="1">
        <w:r w:rsidR="00F25598" w:rsidRPr="00007F32">
          <w:rPr>
            <w:rStyle w:val="Hyperlink"/>
            <w:noProof/>
          </w:rPr>
          <w:t>4.1</w:t>
        </w:r>
        <w:r w:rsidR="00F25598">
          <w:rPr>
            <w:rFonts w:eastAsiaTheme="minorEastAsia" w:cstheme="minorBidi"/>
            <w:noProof/>
            <w:lang w:eastAsia="en-NZ" w:bidi="ar-SA"/>
          </w:rPr>
          <w:tab/>
        </w:r>
        <w:r w:rsidR="00F25598" w:rsidRPr="00007F32">
          <w:rPr>
            <w:rStyle w:val="Hyperlink"/>
            <w:noProof/>
          </w:rPr>
          <w:t>Number of complaints closed</w:t>
        </w:r>
        <w:r w:rsidR="00F25598">
          <w:rPr>
            <w:noProof/>
            <w:webHidden/>
          </w:rPr>
          <w:tab/>
        </w:r>
        <w:r w:rsidR="00F25598">
          <w:rPr>
            <w:noProof/>
            <w:webHidden/>
          </w:rPr>
          <w:fldChar w:fldCharType="begin"/>
        </w:r>
        <w:r w:rsidR="00F25598">
          <w:rPr>
            <w:noProof/>
            <w:webHidden/>
          </w:rPr>
          <w:instrText xml:space="preserve"> PAGEREF _Toc447274444 \h </w:instrText>
        </w:r>
        <w:r w:rsidR="00F25598">
          <w:rPr>
            <w:noProof/>
            <w:webHidden/>
          </w:rPr>
        </w:r>
        <w:r w:rsidR="00F25598">
          <w:rPr>
            <w:noProof/>
            <w:webHidden/>
          </w:rPr>
          <w:fldChar w:fldCharType="separate"/>
        </w:r>
        <w:r>
          <w:rPr>
            <w:noProof/>
            <w:webHidden/>
          </w:rPr>
          <w:t>12</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45" w:history="1">
        <w:r w:rsidR="00F25598" w:rsidRPr="00007F32">
          <w:rPr>
            <w:rStyle w:val="Hyperlink"/>
            <w:noProof/>
          </w:rPr>
          <w:t>4.2</w:t>
        </w:r>
        <w:r w:rsidR="00F25598">
          <w:rPr>
            <w:rFonts w:eastAsiaTheme="minorEastAsia" w:cstheme="minorBidi"/>
            <w:noProof/>
            <w:lang w:eastAsia="en-NZ" w:bidi="ar-SA"/>
          </w:rPr>
          <w:tab/>
        </w:r>
        <w:r w:rsidR="00F25598" w:rsidRPr="00007F32">
          <w:rPr>
            <w:rStyle w:val="Hyperlink"/>
            <w:noProof/>
          </w:rPr>
          <w:t>Outcomes of complaints closed</w:t>
        </w:r>
        <w:r w:rsidR="00F25598">
          <w:rPr>
            <w:noProof/>
            <w:webHidden/>
          </w:rPr>
          <w:tab/>
        </w:r>
        <w:r w:rsidR="00F25598">
          <w:rPr>
            <w:noProof/>
            <w:webHidden/>
          </w:rPr>
          <w:fldChar w:fldCharType="begin"/>
        </w:r>
        <w:r w:rsidR="00F25598">
          <w:rPr>
            <w:noProof/>
            <w:webHidden/>
          </w:rPr>
          <w:instrText xml:space="preserve"> PAGEREF _Toc447274445 \h </w:instrText>
        </w:r>
        <w:r w:rsidR="00F25598">
          <w:rPr>
            <w:noProof/>
            <w:webHidden/>
          </w:rPr>
        </w:r>
        <w:r w:rsidR="00F25598">
          <w:rPr>
            <w:noProof/>
            <w:webHidden/>
          </w:rPr>
          <w:fldChar w:fldCharType="separate"/>
        </w:r>
        <w:r>
          <w:rPr>
            <w:noProof/>
            <w:webHidden/>
          </w:rPr>
          <w:t>12</w:t>
        </w:r>
        <w:r w:rsidR="00F25598">
          <w:rPr>
            <w:noProof/>
            <w:webHidden/>
          </w:rPr>
          <w:fldChar w:fldCharType="end"/>
        </w:r>
      </w:hyperlink>
    </w:p>
    <w:p w:rsidR="00F25598" w:rsidRDefault="00DE17D9">
      <w:pPr>
        <w:pStyle w:val="TOC3"/>
        <w:tabs>
          <w:tab w:val="left" w:pos="1100"/>
          <w:tab w:val="right" w:leader="dot" w:pos="9072"/>
        </w:tabs>
        <w:rPr>
          <w:rFonts w:eastAsiaTheme="minorEastAsia" w:cstheme="minorBidi"/>
          <w:noProof/>
          <w:lang w:eastAsia="en-NZ" w:bidi="ar-SA"/>
        </w:rPr>
      </w:pPr>
      <w:hyperlink w:anchor="_Toc447274446" w:history="1">
        <w:r w:rsidR="00F25598" w:rsidRPr="00007F32">
          <w:rPr>
            <w:rStyle w:val="Hyperlink"/>
            <w:noProof/>
            <w:lang w:eastAsia="en-NZ"/>
          </w:rPr>
          <w:t xml:space="preserve">4.3 </w:t>
        </w:r>
        <w:r w:rsidR="00F25598">
          <w:rPr>
            <w:rFonts w:eastAsiaTheme="minorEastAsia" w:cstheme="minorBidi"/>
            <w:noProof/>
            <w:lang w:eastAsia="en-NZ" w:bidi="ar-SA"/>
          </w:rPr>
          <w:tab/>
        </w:r>
        <w:r w:rsidR="00F25598" w:rsidRPr="00007F32">
          <w:rPr>
            <w:rStyle w:val="Hyperlink"/>
            <w:noProof/>
          </w:rPr>
          <w:t>Recommendations</w:t>
        </w:r>
        <w:r w:rsidR="00F25598" w:rsidRPr="00007F32">
          <w:rPr>
            <w:rStyle w:val="Hyperlink"/>
            <w:noProof/>
            <w:lang w:eastAsia="en-NZ"/>
          </w:rPr>
          <w:t xml:space="preserve"> made to DHBs following a complaint</w:t>
        </w:r>
        <w:r w:rsidR="00F25598">
          <w:rPr>
            <w:noProof/>
            <w:webHidden/>
          </w:rPr>
          <w:tab/>
        </w:r>
        <w:r w:rsidR="00F25598">
          <w:rPr>
            <w:noProof/>
            <w:webHidden/>
          </w:rPr>
          <w:fldChar w:fldCharType="begin"/>
        </w:r>
        <w:r w:rsidR="00F25598">
          <w:rPr>
            <w:noProof/>
            <w:webHidden/>
          </w:rPr>
          <w:instrText xml:space="preserve"> PAGEREF _Toc447274446 \h </w:instrText>
        </w:r>
        <w:r w:rsidR="00F25598">
          <w:rPr>
            <w:noProof/>
            <w:webHidden/>
          </w:rPr>
        </w:r>
        <w:r w:rsidR="00F25598">
          <w:rPr>
            <w:noProof/>
            <w:webHidden/>
          </w:rPr>
          <w:fldChar w:fldCharType="separate"/>
        </w:r>
        <w:r>
          <w:rPr>
            <w:noProof/>
            <w:webHidden/>
          </w:rPr>
          <w:t>14</w:t>
        </w:r>
        <w:r w:rsidR="00F25598">
          <w:rPr>
            <w:noProof/>
            <w:webHidden/>
          </w:rPr>
          <w:fldChar w:fldCharType="end"/>
        </w:r>
      </w:hyperlink>
    </w:p>
    <w:p w:rsidR="00F25598" w:rsidRDefault="00DE17D9">
      <w:pPr>
        <w:pStyle w:val="TOC2"/>
        <w:tabs>
          <w:tab w:val="left" w:pos="880"/>
          <w:tab w:val="right" w:leader="dot" w:pos="9072"/>
        </w:tabs>
        <w:rPr>
          <w:rFonts w:eastAsiaTheme="minorEastAsia" w:cstheme="minorBidi"/>
          <w:b w:val="0"/>
          <w:noProof/>
          <w:lang w:eastAsia="en-NZ" w:bidi="ar-SA"/>
        </w:rPr>
      </w:pPr>
      <w:hyperlink w:anchor="_Toc447274447" w:history="1">
        <w:r w:rsidR="00F25598" w:rsidRPr="00007F32">
          <w:rPr>
            <w:rStyle w:val="Hyperlink"/>
            <w:noProof/>
          </w:rPr>
          <w:t>5.0</w:t>
        </w:r>
        <w:r w:rsidR="00F25598">
          <w:rPr>
            <w:rFonts w:eastAsiaTheme="minorEastAsia" w:cstheme="minorBidi"/>
            <w:b w:val="0"/>
            <w:noProof/>
            <w:lang w:eastAsia="en-NZ" w:bidi="ar-SA"/>
          </w:rPr>
          <w:tab/>
        </w:r>
        <w:r w:rsidR="00F25598" w:rsidRPr="00007F32">
          <w:rPr>
            <w:rStyle w:val="Hyperlink"/>
            <w:noProof/>
          </w:rPr>
          <w:t>Learning from complaints — HDC case reports</w:t>
        </w:r>
        <w:r w:rsidR="00F25598">
          <w:rPr>
            <w:noProof/>
            <w:webHidden/>
          </w:rPr>
          <w:tab/>
        </w:r>
        <w:r w:rsidR="00F25598">
          <w:rPr>
            <w:noProof/>
            <w:webHidden/>
          </w:rPr>
          <w:fldChar w:fldCharType="begin"/>
        </w:r>
        <w:r w:rsidR="00F25598">
          <w:rPr>
            <w:noProof/>
            <w:webHidden/>
          </w:rPr>
          <w:instrText xml:space="preserve"> PAGEREF _Toc447274447 \h </w:instrText>
        </w:r>
        <w:r w:rsidR="00F25598">
          <w:rPr>
            <w:noProof/>
            <w:webHidden/>
          </w:rPr>
        </w:r>
        <w:r w:rsidR="00F25598">
          <w:rPr>
            <w:noProof/>
            <w:webHidden/>
          </w:rPr>
          <w:fldChar w:fldCharType="separate"/>
        </w:r>
        <w:r>
          <w:rPr>
            <w:noProof/>
            <w:webHidden/>
          </w:rPr>
          <w:t>15</w:t>
        </w:r>
        <w:r w:rsidR="00F25598">
          <w:rPr>
            <w:noProof/>
            <w:webHidden/>
          </w:rPr>
          <w:fldChar w:fldCharType="end"/>
        </w:r>
      </w:hyperlink>
    </w:p>
    <w:p w:rsidR="00806342" w:rsidRDefault="00F25598" w:rsidP="00F25598">
      <w:pPr>
        <w:jc w:val="left"/>
        <w:rPr>
          <w:b/>
          <w:color w:val="000000" w:themeColor="text1"/>
          <w:sz w:val="32"/>
          <w:szCs w:val="32"/>
        </w:rPr>
        <w:sectPr w:rsidR="00806342" w:rsidSect="008C3A00">
          <w:headerReference w:type="default" r:id="rId16"/>
          <w:footerReference w:type="default" r:id="rId17"/>
          <w:headerReference w:type="first" r:id="rId18"/>
          <w:footerReference w:type="first" r:id="rId19"/>
          <w:pgSz w:w="11906" w:h="16838" w:code="9"/>
          <w:pgMar w:top="1140" w:right="1412" w:bottom="851" w:left="1412" w:header="720" w:footer="590" w:gutter="0"/>
          <w:pgNumType w:fmt="lowerRoman" w:start="1"/>
          <w:cols w:space="720"/>
          <w:titlePg/>
          <w:docGrid w:linePitch="360"/>
        </w:sectPr>
      </w:pPr>
      <w:r>
        <w:rPr>
          <w:b/>
          <w:color w:val="000000" w:themeColor="text1"/>
          <w:sz w:val="32"/>
          <w:szCs w:val="32"/>
        </w:rPr>
        <w:fldChar w:fldCharType="end"/>
      </w:r>
    </w:p>
    <w:p w:rsidR="00811023" w:rsidRDefault="00811023" w:rsidP="00811023">
      <w:pPr>
        <w:jc w:val="left"/>
        <w:rPr>
          <w:b/>
          <w:color w:val="000000" w:themeColor="text1"/>
          <w:sz w:val="32"/>
          <w:szCs w:val="32"/>
        </w:rPr>
      </w:pPr>
      <w:bookmarkStart w:id="1" w:name="_Toc426462629"/>
      <w:bookmarkStart w:id="2" w:name="_Toc443992224"/>
      <w:bookmarkStart w:id="3" w:name="_Toc447273223"/>
    </w:p>
    <w:p w:rsidR="00F25598" w:rsidRDefault="00F25598" w:rsidP="00F25598">
      <w:pPr>
        <w:pStyle w:val="Heading1"/>
        <w:spacing w:before="240"/>
        <w:rPr>
          <w:lang w:val="en-NZ"/>
        </w:rPr>
      </w:pPr>
      <w:bookmarkStart w:id="4" w:name="_Toc426462625"/>
      <w:bookmarkStart w:id="5" w:name="_Toc384047606"/>
      <w:bookmarkStart w:id="6" w:name="_Toc443992220"/>
      <w:bookmarkStart w:id="7" w:name="_Toc447274432"/>
      <w:r>
        <w:rPr>
          <w:lang w:val="en-NZ"/>
        </w:rPr>
        <w:t>Commissioner’s Foreword</w:t>
      </w:r>
      <w:bookmarkEnd w:id="4"/>
      <w:bookmarkEnd w:id="5"/>
      <w:bookmarkEnd w:id="6"/>
      <w:bookmarkEnd w:id="7"/>
    </w:p>
    <w:p w:rsidR="00F25598" w:rsidRDefault="00F25598" w:rsidP="00F25598">
      <w:pPr>
        <w:rPr>
          <w:szCs w:val="22"/>
          <w:lang w:val="en-US"/>
        </w:rPr>
      </w:pPr>
      <w:r>
        <w:rPr>
          <w:szCs w:val="22"/>
          <w:lang w:val="en-US"/>
        </w:rPr>
        <w:t>I am pleased to present you with HDC’s six monthly DHB complaint report for the period July to December 2015.</w:t>
      </w:r>
    </w:p>
    <w:p w:rsidR="00F25598" w:rsidRDefault="00F25598" w:rsidP="00F25598">
      <w:pPr>
        <w:rPr>
          <w:szCs w:val="22"/>
          <w:lang w:val="en-US"/>
        </w:rPr>
      </w:pPr>
    </w:p>
    <w:p w:rsidR="00F25598" w:rsidRDefault="00F25598" w:rsidP="00F25598">
      <w:pPr>
        <w:rPr>
          <w:szCs w:val="22"/>
        </w:rPr>
      </w:pPr>
      <w:r>
        <w:rPr>
          <w:szCs w:val="22"/>
          <w:lang w:val="en-US"/>
        </w:rPr>
        <w:t xml:space="preserve">Complaints to HDC about DHBs continue to increase; </w:t>
      </w:r>
      <w:r w:rsidR="00A81DC1">
        <w:rPr>
          <w:szCs w:val="22"/>
        </w:rPr>
        <w:t>the 422</w:t>
      </w:r>
      <w:r>
        <w:rPr>
          <w:szCs w:val="22"/>
        </w:rPr>
        <w:t xml:space="preserve"> complaints received in </w:t>
      </w:r>
      <w:r>
        <w:rPr>
          <w:szCs w:val="22"/>
          <w:lang w:eastAsia="en-NZ" w:bidi="ar-SA"/>
        </w:rPr>
        <w:t xml:space="preserve">Jul–Dec 2015 </w:t>
      </w:r>
      <w:r>
        <w:rPr>
          <w:szCs w:val="22"/>
        </w:rPr>
        <w:t>is the highest number of complaints about DHBs ever received in a six month period. The services and issues complained about remain similar to what we have seen in previous six month periods, with surgical services being the most commonly complained about service type at DHBs and a missed, incorrect or delayed diagnosis being the most common primary issue in complaints about DHBs.</w:t>
      </w:r>
    </w:p>
    <w:p w:rsidR="00F25598" w:rsidRDefault="00F25598" w:rsidP="00F25598">
      <w:pPr>
        <w:rPr>
          <w:szCs w:val="22"/>
        </w:rPr>
      </w:pPr>
    </w:p>
    <w:p w:rsidR="00F25598" w:rsidRDefault="00F25598" w:rsidP="00F25598">
      <w:pPr>
        <w:rPr>
          <w:szCs w:val="22"/>
        </w:rPr>
      </w:pPr>
      <w:r>
        <w:rPr>
          <w:szCs w:val="22"/>
        </w:rPr>
        <w:t xml:space="preserve">Every complaint represents an opportunity to learn and improve the system. System improvement occurs in the majority of complaints that come to HDC, either in response to direct recommendations made by HDC, or through providers taking proactive steps in response to issues raised. The “Learning from Complaints” section of this report highlights four case studies where lessons were learnt and changes made in response to the complaint. This report also presents an opportunity for the sector to learn from the trends and themes that emerge in complaints to HDC. One of the primary reasons often cited by consumers for making a complaint is that they don’t want the same thing to happen to somebody else. </w:t>
      </w:r>
    </w:p>
    <w:p w:rsidR="00F25598" w:rsidRDefault="00F25598" w:rsidP="00F25598">
      <w:pPr>
        <w:rPr>
          <w:szCs w:val="22"/>
        </w:rPr>
      </w:pPr>
    </w:p>
    <w:p w:rsidR="00F25598" w:rsidRDefault="00F25598" w:rsidP="00F25598">
      <w:pPr>
        <w:rPr>
          <w:szCs w:val="22"/>
        </w:rPr>
      </w:pPr>
      <w:r>
        <w:rPr>
          <w:szCs w:val="22"/>
        </w:rPr>
        <w:t>I encourage all DHBs to ensure that they have</w:t>
      </w:r>
      <w:r>
        <w:rPr>
          <w:szCs w:val="22"/>
          <w:lang w:val="en-US"/>
        </w:rPr>
        <w:t xml:space="preserve"> an effective complaints management system which includes processes to ensure lessons are captured, and appropriate changes implemented and evaluated to prevent recurrence, and which allows for trends in complaint data to be monitored and evaluated.</w:t>
      </w:r>
    </w:p>
    <w:p w:rsidR="00F25598" w:rsidRDefault="00F25598" w:rsidP="00F25598">
      <w:pPr>
        <w:rPr>
          <w:rFonts w:ascii="Times New Roman" w:hAnsi="Times New Roman"/>
        </w:rPr>
      </w:pPr>
    </w:p>
    <w:p w:rsidR="00F25598" w:rsidRDefault="00F25598" w:rsidP="00F25598">
      <w:pPr>
        <w:jc w:val="left"/>
        <w:rPr>
          <w:lang w:val="en-US"/>
        </w:rPr>
      </w:pPr>
    </w:p>
    <w:p w:rsidR="00F25598" w:rsidRDefault="00F25598" w:rsidP="00F25598">
      <w:pPr>
        <w:jc w:val="left"/>
        <w:rPr>
          <w:lang w:val="en-US"/>
        </w:rPr>
      </w:pPr>
      <w:r>
        <w:rPr>
          <w:lang w:val="en-US"/>
        </w:rPr>
        <w:t>Anthony Hill</w:t>
      </w:r>
      <w:r>
        <w:rPr>
          <w:lang w:val="en-US"/>
        </w:rPr>
        <w:br/>
        <w:t>Health and Disability Commissioner</w:t>
      </w:r>
    </w:p>
    <w:p w:rsidR="00811023" w:rsidRDefault="00811023" w:rsidP="00811023">
      <w:pPr>
        <w:jc w:val="left"/>
        <w:rPr>
          <w:b/>
          <w:color w:val="000000" w:themeColor="text1"/>
          <w:sz w:val="32"/>
          <w:szCs w:val="32"/>
        </w:rPr>
        <w:sectPr w:rsidR="00811023" w:rsidSect="00811023">
          <w:headerReference w:type="default" r:id="rId20"/>
          <w:footerReference w:type="default" r:id="rId21"/>
          <w:headerReference w:type="first" r:id="rId22"/>
          <w:footerReference w:type="first" r:id="rId23"/>
          <w:pgSz w:w="11906" w:h="16838" w:code="9"/>
          <w:pgMar w:top="1140" w:right="1412" w:bottom="851" w:left="1412" w:header="720" w:footer="590" w:gutter="0"/>
          <w:pgNumType w:fmt="lowerRoman" w:start="1"/>
          <w:cols w:space="720"/>
          <w:titlePg/>
          <w:docGrid w:linePitch="360"/>
        </w:sectPr>
      </w:pPr>
    </w:p>
    <w:p w:rsidR="00811023" w:rsidRDefault="00811023" w:rsidP="00811023"/>
    <w:p w:rsidR="00F25598" w:rsidRDefault="00F25598" w:rsidP="00F25598">
      <w:pPr>
        <w:pStyle w:val="Heading1"/>
        <w:spacing w:before="240"/>
        <w:rPr>
          <w:lang w:val="en-NZ"/>
        </w:rPr>
      </w:pPr>
      <w:bookmarkStart w:id="8" w:name="_Toc426462626"/>
      <w:bookmarkStart w:id="9" w:name="_Toc443992221"/>
      <w:bookmarkStart w:id="10" w:name="_Toc447274433"/>
      <w:r>
        <w:rPr>
          <w:lang w:val="en-NZ"/>
        </w:rPr>
        <w:t>National Data for all District Health Boards</w:t>
      </w:r>
      <w:bookmarkEnd w:id="8"/>
      <w:bookmarkEnd w:id="9"/>
      <w:bookmarkEnd w:id="10"/>
    </w:p>
    <w:p w:rsidR="00F25598" w:rsidRDefault="00F25598" w:rsidP="00F25598">
      <w:pPr>
        <w:pStyle w:val="Heading2"/>
        <w:spacing w:before="120"/>
        <w:rPr>
          <w:lang w:val="en-NZ"/>
        </w:rPr>
      </w:pPr>
      <w:bookmarkStart w:id="11" w:name="_Toc426462627"/>
      <w:bookmarkStart w:id="12" w:name="_Toc443992222"/>
      <w:bookmarkStart w:id="13" w:name="_Toc447274434"/>
      <w:r>
        <w:rPr>
          <w:lang w:val="en-NZ"/>
        </w:rPr>
        <w:t>1.0</w:t>
      </w:r>
      <w:r>
        <w:rPr>
          <w:lang w:val="en-NZ"/>
        </w:rPr>
        <w:tab/>
        <w:t>Number of complaints received</w:t>
      </w:r>
      <w:bookmarkEnd w:id="11"/>
      <w:bookmarkEnd w:id="12"/>
      <w:bookmarkEnd w:id="13"/>
    </w:p>
    <w:p w:rsidR="00F25598" w:rsidRDefault="00F25598" w:rsidP="00F25598">
      <w:pPr>
        <w:pStyle w:val="Heading3"/>
        <w:spacing w:after="120"/>
      </w:pPr>
      <w:bookmarkStart w:id="14" w:name="_Toc426462628"/>
      <w:bookmarkStart w:id="15" w:name="_Toc443992223"/>
      <w:bookmarkStart w:id="16" w:name="_Toc447274435"/>
      <w:r>
        <w:t xml:space="preserve">1.1 </w:t>
      </w:r>
      <w:r>
        <w:tab/>
        <w:t>Raw number of complaints received</w:t>
      </w:r>
      <w:bookmarkEnd w:id="14"/>
      <w:bookmarkEnd w:id="15"/>
      <w:bookmarkEnd w:id="16"/>
      <w:r>
        <w:t xml:space="preserve"> </w:t>
      </w:r>
    </w:p>
    <w:p w:rsidR="00F25598" w:rsidRDefault="00F25598" w:rsidP="00F25598">
      <w:r>
        <w:t xml:space="preserve">In the period </w:t>
      </w:r>
      <w:r>
        <w:rPr>
          <w:lang w:eastAsia="en-NZ" w:bidi="ar-SA"/>
        </w:rPr>
        <w:t>Jul–Dec 2015</w:t>
      </w:r>
      <w:r>
        <w:t xml:space="preserve">, HDC received a total of </w:t>
      </w:r>
      <w:r>
        <w:rPr>
          <w:b/>
        </w:rPr>
        <w:t>422</w:t>
      </w:r>
      <w:r>
        <w:rPr>
          <w:rStyle w:val="FootnoteReference"/>
          <w:b/>
        </w:rPr>
        <w:footnoteReference w:id="1"/>
      </w:r>
      <w:r>
        <w:t xml:space="preserve"> complaints about care provided by all District Health Boards. Numbers of complaints received in previous six month periods are reported in Table 1.</w:t>
      </w:r>
    </w:p>
    <w:p w:rsidR="00F25598" w:rsidRDefault="00F25598" w:rsidP="00F25598"/>
    <w:p w:rsidR="00F25598" w:rsidRDefault="00F25598" w:rsidP="00F25598">
      <w:pPr>
        <w:spacing w:after="120"/>
        <w:rPr>
          <w:b/>
        </w:rPr>
      </w:pPr>
      <w:r>
        <w:rPr>
          <w:b/>
        </w:rPr>
        <w:t xml:space="preserve">Table 1. </w:t>
      </w:r>
      <w:r>
        <w:t>Number of complaints received</w:t>
      </w:r>
      <w:r>
        <w:rPr>
          <w:rStyle w:val="NoSpacingChar"/>
        </w:rPr>
        <w:t xml:space="preserve"> in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31"/>
        <w:gridCol w:w="706"/>
        <w:gridCol w:w="562"/>
        <w:gridCol w:w="703"/>
        <w:gridCol w:w="703"/>
        <w:gridCol w:w="703"/>
        <w:gridCol w:w="703"/>
        <w:gridCol w:w="705"/>
        <w:gridCol w:w="703"/>
        <w:gridCol w:w="703"/>
        <w:gridCol w:w="997"/>
        <w:gridCol w:w="693"/>
      </w:tblGrid>
      <w:tr w:rsidR="00F25598" w:rsidTr="00DE17D9">
        <w:tc>
          <w:tcPr>
            <w:tcW w:w="675" w:type="pct"/>
            <w:tcBorders>
              <w:top w:val="single" w:sz="4" w:space="0" w:color="auto"/>
              <w:left w:val="single" w:sz="4" w:space="0" w:color="auto"/>
              <w:bottom w:val="single" w:sz="4" w:space="0" w:color="auto"/>
              <w:right w:val="single" w:sz="4" w:space="0" w:color="auto"/>
            </w:tcBorders>
            <w:vAlign w:val="center"/>
          </w:tcPr>
          <w:p w:rsidR="00F25598" w:rsidRDefault="00F25598" w:rsidP="00DE17D9">
            <w:pPr>
              <w:keepNext/>
              <w:keepLines/>
              <w:jc w:val="left"/>
              <w:rPr>
                <w:rFonts w:ascii="Calibri" w:hAnsi="Calibri"/>
                <w:b/>
                <w:szCs w:val="20"/>
              </w:rPr>
            </w:pPr>
          </w:p>
          <w:p w:rsidR="00F25598" w:rsidRDefault="00F25598" w:rsidP="00DE17D9">
            <w:pPr>
              <w:keepNext/>
              <w:keepLines/>
              <w:jc w:val="left"/>
              <w:rPr>
                <w:rFonts w:ascii="Calibri" w:hAnsi="Calibri"/>
                <w:b/>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Jan–Jun 11</w:t>
            </w:r>
          </w:p>
        </w:tc>
        <w:tc>
          <w:tcPr>
            <w:tcW w:w="308"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Jul–Dec 11</w:t>
            </w:r>
          </w:p>
        </w:tc>
        <w:tc>
          <w:tcPr>
            <w:tcW w:w="385"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Jan–Jun 12</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Jul–Dec 12</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Jan–Jun 13</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Jul–Dec 13</w:t>
            </w:r>
          </w:p>
        </w:tc>
        <w:tc>
          <w:tcPr>
            <w:tcW w:w="387"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15</w:t>
            </w:r>
          </w:p>
        </w:tc>
        <w:tc>
          <w:tcPr>
            <w:tcW w:w="547"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20"/>
              <w:jc w:val="center"/>
              <w:rPr>
                <w:rFonts w:ascii="Calibri" w:hAnsi="Calibri"/>
                <w:b/>
                <w:szCs w:val="20"/>
              </w:rPr>
            </w:pPr>
            <w:r>
              <w:rPr>
                <w:rFonts w:ascii="Calibri" w:hAnsi="Calibri"/>
                <w:b/>
                <w:szCs w:val="20"/>
              </w:rPr>
              <w:t xml:space="preserve">Average of last 4  </w:t>
            </w:r>
          </w:p>
          <w:p w:rsidR="00F25598" w:rsidRDefault="00F25598" w:rsidP="00DE17D9">
            <w:pPr>
              <w:keepNext/>
              <w:keepLines/>
              <w:jc w:val="center"/>
              <w:rPr>
                <w:rFonts w:ascii="Calibri" w:hAnsi="Calibri"/>
                <w:b/>
                <w:szCs w:val="20"/>
              </w:rPr>
            </w:pPr>
            <w:r>
              <w:rPr>
                <w:rFonts w:ascii="Calibri" w:hAnsi="Calibri"/>
                <w:b/>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Jul–Dec</w:t>
            </w:r>
          </w:p>
          <w:p w:rsidR="00F25598" w:rsidRDefault="00F25598" w:rsidP="00DE17D9">
            <w:pPr>
              <w:keepNext/>
              <w:keepLines/>
              <w:jc w:val="center"/>
              <w:rPr>
                <w:rFonts w:ascii="Calibri" w:hAnsi="Calibri"/>
                <w:b/>
                <w:szCs w:val="20"/>
              </w:rPr>
            </w:pPr>
            <w:r>
              <w:rPr>
                <w:rFonts w:ascii="Calibri" w:hAnsi="Calibri"/>
                <w:b/>
                <w:szCs w:val="20"/>
              </w:rPr>
              <w:t>15</w:t>
            </w:r>
          </w:p>
        </w:tc>
      </w:tr>
      <w:tr w:rsidR="00F25598" w:rsidTr="00DE17D9">
        <w:tc>
          <w:tcPr>
            <w:tcW w:w="675"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spacing w:after="40"/>
              <w:jc w:val="left"/>
              <w:rPr>
                <w:rFonts w:ascii="Calibri" w:hAnsi="Calibri"/>
                <w:b/>
                <w:szCs w:val="20"/>
              </w:rPr>
            </w:pPr>
            <w:r>
              <w:rPr>
                <w:rFonts w:ascii="Calibri" w:hAnsi="Calibri"/>
                <w:b/>
                <w:szCs w:val="20"/>
              </w:rPr>
              <w:t>Number of complaints</w:t>
            </w:r>
          </w:p>
        </w:tc>
        <w:tc>
          <w:tcPr>
            <w:tcW w:w="387"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268</w:t>
            </w:r>
          </w:p>
        </w:tc>
        <w:tc>
          <w:tcPr>
            <w:tcW w:w="308"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255</w:t>
            </w:r>
          </w:p>
        </w:tc>
        <w:tc>
          <w:tcPr>
            <w:tcW w:w="385"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355</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292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324</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330</w:t>
            </w:r>
          </w:p>
        </w:tc>
        <w:tc>
          <w:tcPr>
            <w:tcW w:w="387"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330</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368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389</w:t>
            </w:r>
          </w:p>
        </w:tc>
        <w:tc>
          <w:tcPr>
            <w:tcW w:w="547"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354</w:t>
            </w:r>
          </w:p>
        </w:tc>
        <w:tc>
          <w:tcPr>
            <w:tcW w:w="380"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422</w:t>
            </w:r>
          </w:p>
        </w:tc>
      </w:tr>
    </w:tbl>
    <w:p w:rsidR="00F25598" w:rsidRDefault="00F25598" w:rsidP="00F25598"/>
    <w:p w:rsidR="00F25598" w:rsidRDefault="00F25598" w:rsidP="00F25598">
      <w:r>
        <w:t xml:space="preserve">The total number of complaints received in </w:t>
      </w:r>
      <w:r>
        <w:rPr>
          <w:lang w:eastAsia="en-NZ" w:bidi="ar-SA"/>
        </w:rPr>
        <w:t xml:space="preserve">Jul–Dec 2015 </w:t>
      </w:r>
      <w:r>
        <w:t>(422) shows an increase of 19% over the average number of complaints received in the previous four periods.</w:t>
      </w:r>
    </w:p>
    <w:p w:rsidR="00F25598" w:rsidRDefault="00F25598" w:rsidP="00F25598"/>
    <w:p w:rsidR="00F25598" w:rsidRDefault="00F25598" w:rsidP="00F25598">
      <w:r>
        <w:t xml:space="preserve">The number of complaints received in </w:t>
      </w:r>
      <w:r>
        <w:rPr>
          <w:lang w:eastAsia="en-NZ" w:bidi="ar-SA"/>
        </w:rPr>
        <w:t xml:space="preserve">Jul–Dec 2015 </w:t>
      </w:r>
      <w:r>
        <w:t xml:space="preserve">and previous six month periods are also displayed below in Figure 1. The number of complaints received in </w:t>
      </w:r>
      <w:r>
        <w:rPr>
          <w:lang w:eastAsia="en-NZ" w:bidi="ar-SA"/>
        </w:rPr>
        <w:t xml:space="preserve">Jul–Dec 2015 </w:t>
      </w:r>
      <w:r>
        <w:t xml:space="preserve">is the highest number of complaints about DHBs ever received in a six month period. </w:t>
      </w:r>
    </w:p>
    <w:p w:rsidR="00F25598" w:rsidRDefault="00F25598" w:rsidP="00F25598"/>
    <w:p w:rsidR="00F25598" w:rsidRDefault="00F25598" w:rsidP="00F25598">
      <w:pPr>
        <w:spacing w:after="120"/>
        <w:rPr>
          <w:b/>
        </w:rPr>
      </w:pPr>
      <w:r>
        <w:rPr>
          <w:b/>
        </w:rPr>
        <w:t xml:space="preserve">Figure 1. </w:t>
      </w:r>
      <w:r>
        <w:t>Number of complaints received</w:t>
      </w:r>
    </w:p>
    <w:p w:rsidR="00F25598" w:rsidRDefault="00F25598" w:rsidP="00F25598">
      <w:pPr>
        <w:spacing w:after="120"/>
        <w:jc w:val="center"/>
        <w:rPr>
          <w:rFonts w:ascii="Calibri" w:hAnsi="Calibri"/>
          <w:szCs w:val="22"/>
        </w:rPr>
      </w:pPr>
      <w:r>
        <w:rPr>
          <w:noProof/>
          <w:lang w:eastAsia="en-NZ" w:bidi="ar-SA"/>
        </w:rPr>
        <w:drawing>
          <wp:inline distT="0" distB="0" distL="0" distR="0" wp14:anchorId="0B3E4094" wp14:editId="6E402369">
            <wp:extent cx="5694045" cy="3582670"/>
            <wp:effectExtent l="0" t="0" r="2095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1023" w:rsidRDefault="00811023" w:rsidP="00811023">
      <w:pPr>
        <w:rPr>
          <w:lang w:bidi="ar-SA"/>
        </w:rPr>
      </w:pPr>
    </w:p>
    <w:p w:rsidR="00F25598" w:rsidRDefault="00F25598" w:rsidP="00F25598">
      <w:pPr>
        <w:pStyle w:val="Heading3"/>
      </w:pPr>
      <w:bookmarkStart w:id="17" w:name="_Toc447274436"/>
      <w:r>
        <w:t>1.2</w:t>
      </w:r>
      <w:r>
        <w:tab/>
        <w:t>Rate of complaints received</w:t>
      </w:r>
      <w:bookmarkEnd w:id="17"/>
      <w:r>
        <w:t xml:space="preserve"> </w:t>
      </w:r>
    </w:p>
    <w:p w:rsidR="00F25598" w:rsidRDefault="00F25598" w:rsidP="00F25598">
      <w:r>
        <w:t xml:space="preserve">When numbers of </w:t>
      </w:r>
      <w:r>
        <w:rPr>
          <w:rFonts w:cs="Calibri"/>
        </w:rPr>
        <w:t>complaints</w:t>
      </w:r>
      <w:r>
        <w:t xml:space="preserve"> to HDC are expressed as a rate per 100,000 discharges, comparisons can be made between DHBs, and within DHBs over time, enabling any trends to be observed. </w:t>
      </w:r>
    </w:p>
    <w:p w:rsidR="00F25598" w:rsidRDefault="00F25598" w:rsidP="00F25598"/>
    <w:p w:rsidR="00F25598" w:rsidRDefault="00F25598" w:rsidP="00F25598">
      <w:r>
        <w:t xml:space="preserve">Frequency calculations are made using discharge data provided by the Ministry of Health (provisional as at the date of extraction, 10 February 2016). It should be noted that this discharge data excludes short stay emergency department discharges and patients attending outpatient clinics. </w:t>
      </w:r>
    </w:p>
    <w:p w:rsidR="00F25598" w:rsidRDefault="00F25598" w:rsidP="00F25598"/>
    <w:p w:rsidR="00F25598" w:rsidRDefault="00F25598" w:rsidP="00F25598">
      <w:pPr>
        <w:spacing w:after="120"/>
        <w:rPr>
          <w:b/>
        </w:rPr>
      </w:pPr>
      <w:r>
        <w:rPr>
          <w:b/>
        </w:rPr>
        <w:t xml:space="preserve">Table 2. </w:t>
      </w:r>
      <w:r>
        <w:t xml:space="preserve">Rate of complaints received per 100,000 discharges during </w:t>
      </w:r>
      <w:r>
        <w:rPr>
          <w:lang w:eastAsia="en-NZ" w:bidi="ar-SA"/>
        </w:rPr>
        <w:t>Jul–Dec 2015</w:t>
      </w:r>
    </w:p>
    <w:tbl>
      <w:tblPr>
        <w:tblStyle w:val="TableGrid"/>
        <w:tblW w:w="0" w:type="auto"/>
        <w:tblInd w:w="108" w:type="dxa"/>
        <w:tblLook w:val="04A0" w:firstRow="1" w:lastRow="0" w:firstColumn="1" w:lastColumn="0" w:noHBand="0" w:noVBand="1"/>
      </w:tblPr>
      <w:tblGrid>
        <w:gridCol w:w="1809"/>
        <w:gridCol w:w="1701"/>
        <w:gridCol w:w="1701"/>
      </w:tblGrid>
      <w:tr w:rsidR="00F25598" w:rsidTr="00DE17D9">
        <w:trPr>
          <w:trHeight w:val="859"/>
        </w:trPr>
        <w:tc>
          <w:tcPr>
            <w:tcW w:w="1809" w:type="dxa"/>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jc w:val="center"/>
              <w:rPr>
                <w:rFonts w:cstheme="minorHAnsi"/>
                <w:b/>
                <w:szCs w:val="22"/>
              </w:rPr>
            </w:pPr>
            <w:r>
              <w:rPr>
                <w:rFonts w:cstheme="minorHAnsi"/>
                <w:b/>
                <w:szCs w:val="22"/>
              </w:rPr>
              <w:t>Number of complaints received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tabs>
                <w:tab w:val="left" w:pos="1440"/>
                <w:tab w:val="left" w:pos="2610"/>
              </w:tabs>
              <w:spacing w:after="240"/>
              <w:jc w:val="center"/>
              <w:outlineLvl w:val="0"/>
              <w:rPr>
                <w:rFonts w:ascii="Calibri" w:hAnsi="Calibri"/>
                <w:b/>
                <w:szCs w:val="22"/>
              </w:rPr>
            </w:pPr>
            <w:r>
              <w:rPr>
                <w:rFonts w:ascii="Calibri" w:hAnsi="Calibri"/>
                <w:b/>
                <w:szCs w:val="22"/>
              </w:rPr>
              <w:t>Total number of discharges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tabs>
                <w:tab w:val="left" w:pos="1440"/>
                <w:tab w:val="left" w:pos="2610"/>
              </w:tabs>
              <w:spacing w:before="180" w:after="240"/>
              <w:jc w:val="center"/>
              <w:outlineLvl w:val="0"/>
              <w:rPr>
                <w:rFonts w:ascii="Calibri" w:hAnsi="Calibri"/>
                <w:b/>
                <w:iCs/>
                <w:szCs w:val="22"/>
              </w:rPr>
            </w:pPr>
            <w:r>
              <w:rPr>
                <w:rFonts w:ascii="Calibri" w:hAnsi="Calibri"/>
                <w:b/>
                <w:szCs w:val="22"/>
              </w:rPr>
              <w:t>Rate per 100,000 discharges</w:t>
            </w:r>
          </w:p>
        </w:tc>
      </w:tr>
      <w:tr w:rsidR="00F25598" w:rsidTr="00DE17D9">
        <w:tc>
          <w:tcPr>
            <w:tcW w:w="1809" w:type="dxa"/>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tabs>
                <w:tab w:val="left" w:pos="1440"/>
                <w:tab w:val="left" w:pos="2610"/>
              </w:tabs>
              <w:spacing w:before="120" w:after="240"/>
              <w:jc w:val="center"/>
              <w:outlineLvl w:val="0"/>
              <w:rPr>
                <w:rFonts w:ascii="Calibri" w:hAnsi="Calibri"/>
                <w:b/>
                <w:iCs/>
                <w:szCs w:val="22"/>
              </w:rPr>
            </w:pPr>
            <w:r>
              <w:rPr>
                <w:rFonts w:ascii="Calibri" w:hAnsi="Calibri"/>
                <w:szCs w:val="22"/>
              </w:rPr>
              <w:t>422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tabs>
                <w:tab w:val="left" w:pos="1440"/>
                <w:tab w:val="left" w:pos="2610"/>
              </w:tabs>
              <w:spacing w:before="120" w:after="240"/>
              <w:jc w:val="center"/>
              <w:outlineLvl w:val="0"/>
              <w:rPr>
                <w:rFonts w:ascii="Calibri" w:hAnsi="Calibri"/>
                <w:iCs/>
                <w:szCs w:val="22"/>
              </w:rPr>
            </w:pPr>
            <w:r>
              <w:rPr>
                <w:rFonts w:ascii="Calibri" w:hAnsi="Calibri"/>
                <w:iCs/>
                <w:szCs w:val="22"/>
              </w:rPr>
              <w:t>476,413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tabs>
                <w:tab w:val="left" w:pos="1440"/>
                <w:tab w:val="left" w:pos="2610"/>
              </w:tabs>
              <w:spacing w:before="120" w:after="240"/>
              <w:jc w:val="center"/>
              <w:outlineLvl w:val="0"/>
              <w:rPr>
                <w:rFonts w:ascii="Calibri" w:hAnsi="Calibri"/>
                <w:b/>
                <w:szCs w:val="22"/>
              </w:rPr>
            </w:pPr>
            <w:r>
              <w:rPr>
                <w:rFonts w:ascii="Calibri" w:hAnsi="Calibri"/>
                <w:b/>
                <w:szCs w:val="22"/>
              </w:rPr>
              <w:t>88.58</w:t>
            </w:r>
          </w:p>
        </w:tc>
      </w:tr>
    </w:tbl>
    <w:p w:rsidR="00F25598" w:rsidRDefault="00F25598" w:rsidP="00F25598"/>
    <w:p w:rsidR="00F25598" w:rsidRDefault="00F25598" w:rsidP="00F25598">
      <w:pPr>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Pr>
          <w:lang w:eastAsia="en-NZ" w:bidi="ar-SA"/>
        </w:rPr>
        <w:t xml:space="preserve">Jul–Dec 2015 </w:t>
      </w:r>
      <w:r>
        <w:rPr>
          <w:rFonts w:ascii="Calibri" w:hAnsi="Calibri"/>
          <w:szCs w:val="22"/>
          <w:lang w:eastAsia="en-NZ" w:bidi="ar-SA"/>
        </w:rPr>
        <w:t xml:space="preserve">and previous six month periods. </w:t>
      </w:r>
    </w:p>
    <w:p w:rsidR="00F25598" w:rsidRDefault="00F25598" w:rsidP="00F25598">
      <w:pPr>
        <w:rPr>
          <w:rFonts w:ascii="Calibri" w:hAnsi="Calibri"/>
          <w:szCs w:val="22"/>
          <w:lang w:eastAsia="en-NZ" w:bidi="ar-SA"/>
        </w:rPr>
      </w:pPr>
    </w:p>
    <w:p w:rsidR="00F25598" w:rsidRDefault="00F25598" w:rsidP="00F25598">
      <w:pPr>
        <w:spacing w:after="120"/>
        <w:rPr>
          <w:b/>
        </w:rPr>
      </w:pPr>
      <w:r>
        <w:rPr>
          <w:b/>
        </w:rPr>
        <w:t xml:space="preserve">Table 3. </w:t>
      </w:r>
      <w:r>
        <w:t>Rate of complaints received in last five years</w:t>
      </w:r>
      <w:r>
        <w:rPr>
          <w:b/>
        </w:rPr>
        <w:t xml:space="preserve"> </w:t>
      </w:r>
    </w:p>
    <w:tbl>
      <w:tblPr>
        <w:tblStyle w:val="TableGrid"/>
        <w:tblpPr w:leftFromText="180" w:rightFromText="180" w:vertAnchor="text" w:horzAnchor="margin" w:tblpX="114" w:tblpY="105"/>
        <w:tblW w:w="4900" w:type="pct"/>
        <w:tblLook w:val="04A0" w:firstRow="1" w:lastRow="0" w:firstColumn="1" w:lastColumn="0" w:noHBand="0" w:noVBand="1"/>
      </w:tblPr>
      <w:tblGrid>
        <w:gridCol w:w="1096"/>
        <w:gridCol w:w="699"/>
        <w:gridCol w:w="704"/>
        <w:gridCol w:w="703"/>
        <w:gridCol w:w="703"/>
        <w:gridCol w:w="703"/>
        <w:gridCol w:w="703"/>
        <w:gridCol w:w="705"/>
        <w:gridCol w:w="703"/>
        <w:gridCol w:w="703"/>
        <w:gridCol w:w="997"/>
        <w:gridCol w:w="693"/>
      </w:tblGrid>
      <w:tr w:rsidR="00F25598" w:rsidTr="00DE17D9">
        <w:tc>
          <w:tcPr>
            <w:tcW w:w="601" w:type="pct"/>
            <w:tcBorders>
              <w:top w:val="single" w:sz="4" w:space="0" w:color="auto"/>
              <w:left w:val="single" w:sz="4" w:space="0" w:color="auto"/>
              <w:bottom w:val="single" w:sz="4" w:space="0" w:color="auto"/>
              <w:right w:val="single" w:sz="4" w:space="0" w:color="auto"/>
            </w:tcBorders>
            <w:vAlign w:val="center"/>
          </w:tcPr>
          <w:p w:rsidR="00F25598" w:rsidRDefault="00F25598" w:rsidP="00DE17D9">
            <w:pPr>
              <w:keepNext/>
              <w:keepLines/>
              <w:jc w:val="left"/>
              <w:rPr>
                <w:rFonts w:ascii="Calibri" w:hAnsi="Calibri"/>
                <w:b/>
                <w:szCs w:val="20"/>
              </w:rPr>
            </w:pPr>
          </w:p>
          <w:p w:rsidR="00F25598" w:rsidRDefault="00F25598" w:rsidP="00DE17D9">
            <w:pPr>
              <w:keepNext/>
              <w:keepLines/>
              <w:jc w:val="left"/>
              <w:rPr>
                <w:rFonts w:ascii="Calibri" w:hAnsi="Calibri"/>
                <w:b/>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Jan–Jun 11</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Jul–Dec 11</w:t>
            </w:r>
          </w:p>
        </w:tc>
        <w:tc>
          <w:tcPr>
            <w:tcW w:w="385"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Jan–Jun 12</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Jul–Dec 12</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Jan–Jun 13</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Jul–Dec 13</w:t>
            </w:r>
          </w:p>
        </w:tc>
        <w:tc>
          <w:tcPr>
            <w:tcW w:w="387"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Jan–Jun 14</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Jul–Dec 14</w:t>
            </w:r>
          </w:p>
        </w:tc>
        <w:tc>
          <w:tcPr>
            <w:tcW w:w="386"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14</w:t>
            </w:r>
            <w:r>
              <w:rPr>
                <w:rStyle w:val="FootnoteReference"/>
                <w:rFonts w:ascii="Calibri" w:hAnsi="Calibri"/>
                <w:szCs w:val="22"/>
                <w:lang w:bidi="ar-SA"/>
              </w:rPr>
              <w:footnoteReference w:id="2"/>
            </w:r>
          </w:p>
        </w:tc>
        <w:tc>
          <w:tcPr>
            <w:tcW w:w="547"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20"/>
              <w:jc w:val="center"/>
              <w:rPr>
                <w:rFonts w:ascii="Calibri" w:hAnsi="Calibri"/>
                <w:b/>
                <w:szCs w:val="20"/>
              </w:rPr>
            </w:pPr>
            <w:r>
              <w:rPr>
                <w:rFonts w:ascii="Calibri" w:hAnsi="Calibri"/>
                <w:b/>
                <w:szCs w:val="20"/>
              </w:rPr>
              <w:t xml:space="preserve">Average of last 4  </w:t>
            </w:r>
          </w:p>
          <w:p w:rsidR="00F25598" w:rsidRDefault="00F25598" w:rsidP="00DE17D9">
            <w:pPr>
              <w:keepNext/>
              <w:keepLines/>
              <w:jc w:val="center"/>
              <w:rPr>
                <w:rFonts w:ascii="Calibri" w:hAnsi="Calibri"/>
                <w:b/>
                <w:szCs w:val="20"/>
              </w:rPr>
            </w:pPr>
            <w:r>
              <w:rPr>
                <w:rFonts w:ascii="Calibri" w:hAnsi="Calibri"/>
                <w:b/>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F25598" w:rsidRDefault="00F25598" w:rsidP="00DE17D9">
            <w:pPr>
              <w:keepNext/>
              <w:keepLines/>
              <w:spacing w:before="180"/>
              <w:jc w:val="center"/>
              <w:rPr>
                <w:rFonts w:ascii="Calibri" w:hAnsi="Calibri"/>
                <w:b/>
                <w:szCs w:val="20"/>
              </w:rPr>
            </w:pPr>
            <w:r>
              <w:rPr>
                <w:rFonts w:ascii="Calibri" w:hAnsi="Calibri"/>
                <w:b/>
                <w:szCs w:val="20"/>
              </w:rPr>
              <w:t>Jul–Dec</w:t>
            </w:r>
          </w:p>
          <w:p w:rsidR="00F25598" w:rsidRDefault="00F25598" w:rsidP="00DE17D9">
            <w:pPr>
              <w:keepNext/>
              <w:keepLines/>
              <w:jc w:val="center"/>
              <w:rPr>
                <w:rFonts w:ascii="Calibri" w:hAnsi="Calibri"/>
                <w:b/>
                <w:szCs w:val="20"/>
              </w:rPr>
            </w:pPr>
            <w:r>
              <w:rPr>
                <w:rFonts w:ascii="Calibri" w:hAnsi="Calibri"/>
                <w:b/>
                <w:szCs w:val="20"/>
              </w:rPr>
              <w:t>15</w:t>
            </w:r>
          </w:p>
        </w:tc>
      </w:tr>
      <w:tr w:rsidR="00F25598" w:rsidTr="00DE17D9">
        <w:tc>
          <w:tcPr>
            <w:tcW w:w="601"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spacing w:after="40"/>
              <w:jc w:val="left"/>
              <w:rPr>
                <w:rFonts w:ascii="Calibri" w:hAnsi="Calibri"/>
                <w:b/>
                <w:szCs w:val="20"/>
              </w:rPr>
            </w:pPr>
            <w:r>
              <w:rPr>
                <w:rFonts w:ascii="Calibri" w:hAnsi="Calibri"/>
                <w:b/>
                <w:szCs w:val="20"/>
              </w:rPr>
              <w:t>Rate per 100,000 discharges</w:t>
            </w:r>
          </w:p>
        </w:tc>
        <w:tc>
          <w:tcPr>
            <w:tcW w:w="383"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62.48</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55.86</w:t>
            </w:r>
          </w:p>
        </w:tc>
        <w:tc>
          <w:tcPr>
            <w:tcW w:w="385"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80.22</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62.59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72.67</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71.15</w:t>
            </w:r>
          </w:p>
        </w:tc>
        <w:tc>
          <w:tcPr>
            <w:tcW w:w="387"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72.99</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76.65</w:t>
            </w:r>
          </w:p>
        </w:tc>
        <w:tc>
          <w:tcPr>
            <w:tcW w:w="386"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szCs w:val="20"/>
              </w:rPr>
            </w:pPr>
            <w:r>
              <w:rPr>
                <w:rFonts w:ascii="Calibri" w:hAnsi="Calibri"/>
                <w:szCs w:val="20"/>
              </w:rPr>
              <w:t>84.60</w:t>
            </w:r>
          </w:p>
        </w:tc>
        <w:tc>
          <w:tcPr>
            <w:tcW w:w="547"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76.35</w:t>
            </w:r>
          </w:p>
        </w:tc>
        <w:tc>
          <w:tcPr>
            <w:tcW w:w="380" w:type="pct"/>
            <w:tcBorders>
              <w:top w:val="single" w:sz="4" w:space="0" w:color="auto"/>
              <w:left w:val="single" w:sz="4" w:space="0" w:color="auto"/>
              <w:bottom w:val="single" w:sz="4" w:space="0" w:color="auto"/>
              <w:right w:val="single" w:sz="4" w:space="0" w:color="auto"/>
            </w:tcBorders>
            <w:vAlign w:val="center"/>
            <w:hideMark/>
          </w:tcPr>
          <w:p w:rsidR="00F25598" w:rsidRDefault="00F25598" w:rsidP="00DE17D9">
            <w:pPr>
              <w:keepNext/>
              <w:keepLines/>
              <w:jc w:val="center"/>
              <w:rPr>
                <w:rFonts w:ascii="Calibri" w:hAnsi="Calibri"/>
                <w:b/>
                <w:szCs w:val="20"/>
              </w:rPr>
            </w:pPr>
            <w:r>
              <w:rPr>
                <w:rFonts w:ascii="Calibri" w:hAnsi="Calibri"/>
                <w:b/>
                <w:szCs w:val="20"/>
              </w:rPr>
              <w:t>88.58</w:t>
            </w:r>
          </w:p>
        </w:tc>
      </w:tr>
    </w:tbl>
    <w:p w:rsidR="00811023" w:rsidRPr="00F25598" w:rsidRDefault="00F25598" w:rsidP="00811023">
      <w:pPr>
        <w:jc w:val="left"/>
        <w:rPr>
          <w:rFonts w:ascii="Calibri" w:hAnsi="Calibri"/>
          <w:szCs w:val="22"/>
        </w:rPr>
        <w:sectPr w:rsidR="00811023" w:rsidRPr="00F25598" w:rsidSect="00F25598">
          <w:pgSz w:w="11906" w:h="16838"/>
          <w:pgMar w:top="1140" w:right="1412" w:bottom="851" w:left="1412" w:header="720" w:footer="590" w:gutter="0"/>
          <w:pgNumType w:start="1"/>
          <w:cols w:space="720"/>
        </w:sectPr>
      </w:pPr>
      <w:r>
        <w:rPr>
          <w:lang w:eastAsia="en-NZ" w:bidi="ar-SA"/>
        </w:rPr>
        <w:br/>
        <w:t xml:space="preserve">The rate of complaints received during Jul–Dec 2015 (88.58) shows a 16% increase </w:t>
      </w:r>
      <w:r>
        <w:t xml:space="preserve">over the average rate of complaints received for the previous four periods. The rate of complaints received in </w:t>
      </w:r>
      <w:r>
        <w:rPr>
          <w:lang w:eastAsia="en-NZ" w:bidi="ar-SA"/>
        </w:rPr>
        <w:t xml:space="preserve">Jul–Dec 2015 </w:t>
      </w:r>
      <w:r>
        <w:t>is the highest rate of complaints about DHBs ever received in a six month period.</w:t>
      </w:r>
      <w:r>
        <w:rPr>
          <w:lang w:eastAsia="en-NZ" w:bidi="ar-SA"/>
        </w:rPr>
        <w:br/>
      </w:r>
      <w:r>
        <w:rPr>
          <w:lang w:eastAsia="en-NZ" w:bidi="ar-SA"/>
        </w:rPr>
        <w:br/>
      </w:r>
      <w:r>
        <w:rPr>
          <w:rFonts w:ascii="Calibri" w:hAnsi="Calibri"/>
          <w:szCs w:val="22"/>
        </w:rPr>
        <w:t>Table 4 shows the number and rate of complaints received by HDC for each DHB</w:t>
      </w:r>
      <w:r>
        <w:rPr>
          <w:rStyle w:val="FootnoteReference"/>
          <w:rFonts w:ascii="Calibri" w:hAnsi="Calibri"/>
          <w:szCs w:val="22"/>
        </w:rPr>
        <w:footnoteReference w:id="3"/>
      </w:r>
    </w:p>
    <w:bookmarkEnd w:id="1"/>
    <w:bookmarkEnd w:id="2"/>
    <w:bookmarkEnd w:id="3"/>
    <w:p w:rsidR="00806342" w:rsidRDefault="00806342" w:rsidP="00806342">
      <w:pPr>
        <w:spacing w:after="120"/>
        <w:rPr>
          <w:szCs w:val="22"/>
        </w:rPr>
      </w:pPr>
      <w:r>
        <w:rPr>
          <w:b/>
          <w:szCs w:val="22"/>
        </w:rPr>
        <w:t>Table 4.</w:t>
      </w:r>
      <w:r>
        <w:rPr>
          <w:szCs w:val="22"/>
        </w:rPr>
        <w:t xml:space="preserve"> Number and rate of complaints received for each DHB in Jul-Dec 2015</w:t>
      </w:r>
    </w:p>
    <w:tbl>
      <w:tblPr>
        <w:tblStyle w:val="TableGrid"/>
        <w:tblW w:w="0" w:type="auto"/>
        <w:tblLook w:val="04A0" w:firstRow="1" w:lastRow="0" w:firstColumn="1" w:lastColumn="0" w:noHBand="0" w:noVBand="1"/>
      </w:tblPr>
      <w:tblGrid>
        <w:gridCol w:w="2310"/>
        <w:gridCol w:w="2310"/>
        <w:gridCol w:w="2311"/>
        <w:gridCol w:w="2311"/>
      </w:tblGrid>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spacing w:after="120"/>
              <w:jc w:val="center"/>
              <w:rPr>
                <w:rFonts w:asciiTheme="minorHAnsi" w:hAnsiTheme="minorHAnsi"/>
                <w:b/>
                <w:sz w:val="22"/>
                <w:szCs w:val="22"/>
              </w:rPr>
            </w:pPr>
            <w:r w:rsidRPr="00806342">
              <w:rPr>
                <w:rFonts w:asciiTheme="minorHAnsi" w:hAnsiTheme="minorHAnsi"/>
                <w:b/>
                <w:sz w:val="22"/>
                <w:szCs w:val="22"/>
              </w:rPr>
              <w:t>DHB</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spacing w:after="120"/>
              <w:jc w:val="center"/>
              <w:rPr>
                <w:rFonts w:asciiTheme="minorHAnsi" w:hAnsiTheme="minorHAnsi"/>
                <w:b/>
                <w:sz w:val="22"/>
                <w:szCs w:val="22"/>
              </w:rPr>
            </w:pPr>
            <w:r w:rsidRPr="00806342">
              <w:rPr>
                <w:rFonts w:asciiTheme="minorHAnsi" w:hAnsiTheme="minorHAnsi"/>
                <w:b/>
                <w:sz w:val="22"/>
                <w:szCs w:val="22"/>
              </w:rPr>
              <w:t>Number of complaints received</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spacing w:after="120"/>
              <w:jc w:val="center"/>
              <w:rPr>
                <w:rFonts w:asciiTheme="minorHAnsi" w:hAnsiTheme="minorHAnsi"/>
                <w:b/>
                <w:sz w:val="22"/>
                <w:szCs w:val="22"/>
              </w:rPr>
            </w:pPr>
            <w:r w:rsidRPr="00806342">
              <w:rPr>
                <w:rFonts w:asciiTheme="minorHAnsi" w:hAnsiTheme="minorHAnsi"/>
                <w:b/>
                <w:sz w:val="22"/>
                <w:szCs w:val="22"/>
              </w:rPr>
              <w:t>Number of discharges</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spacing w:after="120"/>
              <w:jc w:val="center"/>
              <w:rPr>
                <w:rFonts w:asciiTheme="minorHAnsi" w:hAnsiTheme="minorHAnsi"/>
                <w:b/>
                <w:sz w:val="22"/>
                <w:szCs w:val="22"/>
              </w:rPr>
            </w:pPr>
            <w:r w:rsidRPr="00806342">
              <w:rPr>
                <w:rFonts w:asciiTheme="minorHAnsi" w:hAnsiTheme="minorHAnsi"/>
                <w:b/>
                <w:sz w:val="22"/>
                <w:szCs w:val="22"/>
              </w:rPr>
              <w:t>Rate of complaints to HDC per 100,000 discharges</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Auckland</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61</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60,058</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101.57</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Bay of Plenty</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21</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25,294</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83.02</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Canterbury</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34</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56,881</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59.77</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Capital and Coast</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41</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31,856</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128.70</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 xml:space="preserve">Counties </w:t>
            </w:r>
            <w:proofErr w:type="spellStart"/>
            <w:r w:rsidRPr="00806342">
              <w:rPr>
                <w:rFonts w:asciiTheme="minorHAnsi" w:hAnsiTheme="minorHAnsi"/>
                <w:sz w:val="22"/>
                <w:szCs w:val="22"/>
              </w:rPr>
              <w:t>Manukau</w:t>
            </w:r>
            <w:proofErr w:type="spellEnd"/>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27</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50,019</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53.98</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Hawke’s Bay</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9</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15,520</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57.99</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Hutt Valley</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16</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15,871</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100.81</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Lakes</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11</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11,534</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95.37</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proofErr w:type="spellStart"/>
            <w:r w:rsidRPr="00806342">
              <w:rPr>
                <w:rFonts w:asciiTheme="minorHAnsi" w:hAnsiTheme="minorHAnsi"/>
                <w:sz w:val="22"/>
                <w:szCs w:val="22"/>
              </w:rPr>
              <w:t>MidCentral</w:t>
            </w:r>
            <w:proofErr w:type="spellEnd"/>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33</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16,336</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202.01</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Nelson Marlborough</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16</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11,274</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141.92</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Northland</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15</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20,443</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73.37</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South Canterbury</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6</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5,957</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100.72</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Southern</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33</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27,232</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121.18</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Tairawhiti</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6</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5,193</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115.54</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Taranaki</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16</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12,365</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129.40</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Waikato</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52</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45,970</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113.12</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proofErr w:type="spellStart"/>
            <w:r w:rsidRPr="00806342">
              <w:rPr>
                <w:rFonts w:asciiTheme="minorHAnsi" w:hAnsiTheme="minorHAnsi"/>
                <w:sz w:val="22"/>
                <w:szCs w:val="22"/>
              </w:rPr>
              <w:t>Wairarapa</w:t>
            </w:r>
            <w:proofErr w:type="spellEnd"/>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3,738</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133.76</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Waitemata</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30</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51,060</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58.75</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West Coast</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0</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3,569</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00.00</w:t>
            </w:r>
          </w:p>
        </w:tc>
      </w:tr>
      <w:tr w:rsidR="00806342" w:rsidRPr="00806342" w:rsidTr="008C3A00">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rPr>
                <w:rFonts w:asciiTheme="minorHAnsi" w:hAnsiTheme="minorHAnsi"/>
                <w:sz w:val="22"/>
                <w:szCs w:val="22"/>
              </w:rPr>
            </w:pPr>
            <w:r w:rsidRPr="00806342">
              <w:rPr>
                <w:rFonts w:asciiTheme="minorHAnsi" w:hAnsiTheme="minorHAnsi"/>
                <w:sz w:val="22"/>
                <w:szCs w:val="22"/>
              </w:rPr>
              <w:t>Whanganui</w:t>
            </w:r>
          </w:p>
        </w:tc>
        <w:tc>
          <w:tcPr>
            <w:tcW w:w="2310"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9</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6,243</w:t>
            </w:r>
          </w:p>
        </w:tc>
        <w:tc>
          <w:tcPr>
            <w:tcW w:w="2311" w:type="dxa"/>
            <w:tcBorders>
              <w:top w:val="single" w:sz="4" w:space="0" w:color="auto"/>
              <w:left w:val="single" w:sz="4" w:space="0" w:color="auto"/>
              <w:bottom w:val="single" w:sz="4" w:space="0" w:color="auto"/>
              <w:right w:val="single" w:sz="4" w:space="0" w:color="auto"/>
            </w:tcBorders>
            <w:hideMark/>
          </w:tcPr>
          <w:p w:rsidR="00806342" w:rsidRPr="00806342" w:rsidRDefault="00806342" w:rsidP="008C3A00">
            <w:pPr>
              <w:jc w:val="center"/>
              <w:rPr>
                <w:rFonts w:asciiTheme="minorHAnsi" w:hAnsiTheme="minorHAnsi"/>
                <w:sz w:val="22"/>
                <w:szCs w:val="22"/>
              </w:rPr>
            </w:pPr>
            <w:r w:rsidRPr="00806342">
              <w:rPr>
                <w:rFonts w:asciiTheme="minorHAnsi" w:hAnsiTheme="minorHAnsi"/>
                <w:sz w:val="22"/>
                <w:szCs w:val="22"/>
              </w:rPr>
              <w:t>144.16</w:t>
            </w:r>
          </w:p>
        </w:tc>
      </w:tr>
    </w:tbl>
    <w:p w:rsidR="00806342" w:rsidRDefault="00806342" w:rsidP="00806342"/>
    <w:p w:rsidR="00806342" w:rsidRDefault="00806342" w:rsidP="00806342"/>
    <w:tbl>
      <w:tblPr>
        <w:tblStyle w:val="TableGrid"/>
        <w:tblW w:w="0" w:type="auto"/>
        <w:tblLook w:val="04A0" w:firstRow="1" w:lastRow="0" w:firstColumn="1" w:lastColumn="0" w:noHBand="0" w:noVBand="1"/>
      </w:tblPr>
      <w:tblGrid>
        <w:gridCol w:w="9298"/>
      </w:tblGrid>
      <w:tr w:rsidR="008C3A00" w:rsidTr="008C3A00">
        <w:tc>
          <w:tcPr>
            <w:tcW w:w="9298" w:type="dxa"/>
          </w:tcPr>
          <w:p w:rsidR="008C3A00" w:rsidRDefault="008C3A00" w:rsidP="008C3A00">
            <w:pPr>
              <w:spacing w:line="360" w:lineRule="auto"/>
              <w:jc w:val="center"/>
              <w:rPr>
                <w:rFonts w:asciiTheme="minorHAnsi" w:hAnsiTheme="minorHAnsi"/>
                <w:b/>
                <w:sz w:val="22"/>
                <w:szCs w:val="22"/>
              </w:rPr>
            </w:pPr>
            <w:r>
              <w:rPr>
                <w:rFonts w:asciiTheme="minorHAnsi" w:hAnsiTheme="minorHAnsi"/>
                <w:b/>
                <w:sz w:val="22"/>
                <w:szCs w:val="22"/>
              </w:rPr>
              <w:t>Notes on DHB’s n</w:t>
            </w:r>
            <w:r w:rsidRPr="008C3A00">
              <w:rPr>
                <w:rFonts w:asciiTheme="minorHAnsi" w:hAnsiTheme="minorHAnsi"/>
                <w:b/>
                <w:sz w:val="22"/>
                <w:szCs w:val="22"/>
              </w:rPr>
              <w:t>umber and rate of complaints</w:t>
            </w:r>
          </w:p>
          <w:p w:rsidR="008C3A00" w:rsidRDefault="008C3A00" w:rsidP="008C3A00">
            <w:pPr>
              <w:rPr>
                <w:rFonts w:asciiTheme="minorHAnsi" w:hAnsiTheme="minorHAnsi"/>
                <w:sz w:val="22"/>
                <w:szCs w:val="22"/>
              </w:rPr>
            </w:pPr>
            <w:r w:rsidRPr="008C3A00">
              <w:rPr>
                <w:rFonts w:asciiTheme="minorHAnsi" w:hAnsiTheme="minorHAnsi"/>
                <w:sz w:val="22"/>
                <w:szCs w:val="22"/>
                <w:lang w:bidi="ar-SA"/>
              </w:rPr>
              <w:t>It should be noted that a DHB’s number and rate of complaints can vary considerably from one six month period to the next. Therefore, care should be taken before drawing conclusions on the basis of one six month period. For smaller DHBs, a very small absolute increase or decrease in number of complaints receiv</w:t>
            </w:r>
            <w:r>
              <w:rPr>
                <w:rFonts w:asciiTheme="minorHAnsi" w:hAnsiTheme="minorHAnsi"/>
                <w:sz w:val="22"/>
                <w:szCs w:val="22"/>
                <w:lang w:bidi="ar-SA"/>
              </w:rPr>
              <w:t>ed can dramatically affect the</w:t>
            </w:r>
            <w:r w:rsidRPr="008C3A00">
              <w:rPr>
                <w:rFonts w:asciiTheme="minorHAnsi" w:hAnsiTheme="minorHAnsi"/>
                <w:sz w:val="22"/>
                <w:szCs w:val="22"/>
                <w:lang w:bidi="ar-SA"/>
              </w:rPr>
              <w:t xml:space="preserve"> rate of complaints. </w:t>
            </w:r>
            <w:r>
              <w:rPr>
                <w:rFonts w:asciiTheme="minorHAnsi" w:hAnsiTheme="minorHAnsi"/>
                <w:sz w:val="22"/>
                <w:szCs w:val="22"/>
                <w:lang w:bidi="ar-SA"/>
              </w:rPr>
              <w:t xml:space="preserve">Accordingly, </w:t>
            </w:r>
            <w:r w:rsidRPr="008C3A00">
              <w:rPr>
                <w:rFonts w:asciiTheme="minorHAnsi" w:hAnsiTheme="minorHAnsi"/>
                <w:sz w:val="22"/>
                <w:szCs w:val="22"/>
              </w:rPr>
              <w:t>much of the value in this data lies in how it changes over time, as such analysis allows trends to emerge which may point to areas which require further attention.</w:t>
            </w:r>
          </w:p>
          <w:p w:rsidR="008C3A00" w:rsidRDefault="008C3A00" w:rsidP="008C3A00">
            <w:pPr>
              <w:rPr>
                <w:rFonts w:asciiTheme="minorHAnsi" w:hAnsiTheme="minorHAnsi"/>
                <w:sz w:val="22"/>
                <w:szCs w:val="22"/>
              </w:rPr>
            </w:pPr>
          </w:p>
          <w:p w:rsidR="008C3A00" w:rsidRPr="008C3A00" w:rsidRDefault="008C3A00" w:rsidP="008C3A00">
            <w:pPr>
              <w:rPr>
                <w:rFonts w:asciiTheme="minorHAnsi" w:hAnsiTheme="minorHAnsi"/>
                <w:sz w:val="22"/>
                <w:szCs w:val="22"/>
                <w:lang w:bidi="ar-SA"/>
              </w:rPr>
            </w:pPr>
            <w:r w:rsidRPr="008C3A00">
              <w:rPr>
                <w:rFonts w:asciiTheme="minorHAnsi" w:hAnsiTheme="minorHAnsi"/>
                <w:sz w:val="22"/>
                <w:szCs w:val="22"/>
                <w:lang w:bidi="ar-SA"/>
              </w:rPr>
              <w:t>It is also important to note that numbers of complaints received by HDC is not always a good proxy for quality of care provided and may instead, for example, be an indicator of the effectiveness of a DHB’s complaint system or features of the consumer population in a particular area.  Additionally,</w:t>
            </w:r>
            <w:r w:rsidR="006816A0">
              <w:rPr>
                <w:rFonts w:asciiTheme="minorHAnsi" w:hAnsiTheme="minorHAnsi"/>
                <w:sz w:val="22"/>
                <w:szCs w:val="22"/>
                <w:lang w:bidi="ar-SA"/>
              </w:rPr>
              <w:t xml:space="preserve"> complaints received within a single 6 month period will, </w:t>
            </w:r>
            <w:r w:rsidR="00B42F5B">
              <w:rPr>
                <w:rFonts w:asciiTheme="minorHAnsi" w:hAnsiTheme="minorHAnsi"/>
                <w:sz w:val="22"/>
                <w:szCs w:val="22"/>
                <w:lang w:bidi="ar-SA"/>
              </w:rPr>
              <w:t>sometimes</w:t>
            </w:r>
            <w:r w:rsidR="006816A0">
              <w:rPr>
                <w:rFonts w:asciiTheme="minorHAnsi" w:hAnsiTheme="minorHAnsi"/>
                <w:sz w:val="22"/>
                <w:szCs w:val="22"/>
                <w:lang w:bidi="ar-SA"/>
              </w:rPr>
              <w:t>, relate to care provided within quite a different time period.</w:t>
            </w:r>
            <w:r w:rsidRPr="008C3A00">
              <w:rPr>
                <w:rFonts w:asciiTheme="minorHAnsi" w:hAnsiTheme="minorHAnsi"/>
                <w:sz w:val="22"/>
                <w:szCs w:val="22"/>
                <w:lang w:bidi="ar-SA"/>
              </w:rPr>
              <w:t xml:space="preserve"> </w:t>
            </w:r>
            <w:r w:rsidR="006816A0">
              <w:rPr>
                <w:rFonts w:asciiTheme="minorHAnsi" w:hAnsiTheme="minorHAnsi"/>
                <w:sz w:val="22"/>
                <w:szCs w:val="22"/>
                <w:lang w:bidi="ar-SA"/>
              </w:rPr>
              <w:t>From time to time</w:t>
            </w:r>
            <w:r w:rsidR="005F578D">
              <w:rPr>
                <w:rFonts w:asciiTheme="minorHAnsi" w:hAnsiTheme="minorHAnsi"/>
                <w:sz w:val="22"/>
                <w:szCs w:val="22"/>
                <w:lang w:bidi="ar-SA"/>
              </w:rPr>
              <w:t>,</w:t>
            </w:r>
            <w:r w:rsidR="006816A0">
              <w:rPr>
                <w:rFonts w:asciiTheme="minorHAnsi" w:hAnsiTheme="minorHAnsi"/>
                <w:sz w:val="22"/>
                <w:szCs w:val="22"/>
                <w:lang w:bidi="ar-SA"/>
              </w:rPr>
              <w:t xml:space="preserve"> s</w:t>
            </w:r>
            <w:r w:rsidRPr="008C3A00">
              <w:rPr>
                <w:rFonts w:asciiTheme="minorHAnsi" w:hAnsiTheme="minorHAnsi"/>
                <w:sz w:val="22"/>
                <w:szCs w:val="22"/>
                <w:lang w:bidi="ar-SA"/>
              </w:rPr>
              <w:t>ome DHBs may</w:t>
            </w:r>
            <w:r w:rsidR="006816A0">
              <w:rPr>
                <w:rFonts w:asciiTheme="minorHAnsi" w:hAnsiTheme="minorHAnsi"/>
                <w:sz w:val="22"/>
                <w:szCs w:val="22"/>
                <w:lang w:bidi="ar-SA"/>
              </w:rPr>
              <w:t xml:space="preserve"> also</w:t>
            </w:r>
            <w:r w:rsidRPr="008C3A00">
              <w:rPr>
                <w:rFonts w:asciiTheme="minorHAnsi" w:hAnsiTheme="minorHAnsi"/>
                <w:sz w:val="22"/>
                <w:szCs w:val="22"/>
                <w:lang w:bidi="ar-SA"/>
              </w:rPr>
              <w:t xml:space="preserve"> be the subject of a number of complaints from a single complainant within one reporting period</w:t>
            </w:r>
            <w:r w:rsidR="006816A0">
              <w:rPr>
                <w:rFonts w:asciiTheme="minorHAnsi" w:hAnsiTheme="minorHAnsi"/>
                <w:sz w:val="22"/>
                <w:szCs w:val="22"/>
                <w:lang w:bidi="ar-SA"/>
              </w:rPr>
              <w:t>. This is important context that is taken into account by DHBs when considering their own complaint patterns.</w:t>
            </w:r>
          </w:p>
          <w:p w:rsidR="008C3A00" w:rsidRPr="008C3A00" w:rsidRDefault="008C3A00" w:rsidP="008C3A00">
            <w:pPr>
              <w:rPr>
                <w:b/>
              </w:rPr>
            </w:pPr>
          </w:p>
        </w:tc>
      </w:tr>
    </w:tbl>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Pr>
        <w:rPr>
          <w:lang w:bidi="ar-SA"/>
        </w:rPr>
      </w:pPr>
    </w:p>
    <w:p w:rsidR="00806342" w:rsidRDefault="00806342" w:rsidP="00806342">
      <w:pPr>
        <w:pStyle w:val="Heading2"/>
        <w:spacing w:before="120"/>
        <w:rPr>
          <w:lang w:val="en-NZ"/>
        </w:rPr>
      </w:pPr>
      <w:bookmarkStart w:id="18" w:name="_Toc426462630"/>
      <w:bookmarkStart w:id="19" w:name="_Toc443992225"/>
      <w:bookmarkStart w:id="20" w:name="_Toc447273224"/>
      <w:bookmarkStart w:id="21" w:name="_Toc447274437"/>
      <w:r>
        <w:rPr>
          <w:lang w:val="en-NZ"/>
        </w:rPr>
        <w:t>2.0</w:t>
      </w:r>
      <w:r>
        <w:rPr>
          <w:lang w:val="en-NZ"/>
        </w:rPr>
        <w:tab/>
        <w:t>Service types complained about</w:t>
      </w:r>
      <w:bookmarkEnd w:id="18"/>
      <w:bookmarkEnd w:id="19"/>
      <w:bookmarkEnd w:id="20"/>
      <w:bookmarkEnd w:id="21"/>
      <w:r>
        <w:rPr>
          <w:lang w:val="en-NZ"/>
        </w:rPr>
        <w:t xml:space="preserve"> </w:t>
      </w:r>
    </w:p>
    <w:p w:rsidR="00806342" w:rsidRDefault="00806342" w:rsidP="00806342">
      <w:pPr>
        <w:pStyle w:val="Heading3"/>
      </w:pPr>
      <w:bookmarkStart w:id="22" w:name="_Toc426462631"/>
      <w:bookmarkStart w:id="23" w:name="_Toc443992226"/>
      <w:bookmarkStart w:id="24" w:name="_Toc447273225"/>
      <w:bookmarkStart w:id="25" w:name="_Toc447274438"/>
      <w:r>
        <w:t>2.1</w:t>
      </w:r>
      <w:r>
        <w:tab/>
        <w:t>Service type category</w:t>
      </w:r>
      <w:bookmarkEnd w:id="22"/>
      <w:bookmarkEnd w:id="23"/>
      <w:bookmarkEnd w:id="24"/>
      <w:bookmarkEnd w:id="25"/>
    </w:p>
    <w:p w:rsidR="00806342" w:rsidRDefault="00806342" w:rsidP="00806342">
      <w:pPr>
        <w:rPr>
          <w:i/>
        </w:rPr>
      </w:pPr>
      <w:r>
        <w:t>Complaints to HDC are shown by service type in Table 5. Please note that some complaints involve more than one DHB and/or more than one hospital, therefore, although there were 422 complaints about DHBs, 444 services were complained about.</w:t>
      </w:r>
    </w:p>
    <w:p w:rsidR="00806342" w:rsidRDefault="00806342" w:rsidP="00806342"/>
    <w:p w:rsidR="00806342" w:rsidRDefault="00806342" w:rsidP="00806342">
      <w:r>
        <w:t>The five service types with the greatest number of complaints were surgery (34.9%), mental health (20.0%), general medicine (15.1%), emergency departments (12.2%) and maternity (5.4%). This is broadly similar to what was seen last period, with the exception of surgical services, which saw an increase in complaints from 25.9% in Jan-Jun 2015 to 35.0% in Jul-Dec 2015. The most commonly complained about surgical specialties were orthopaedics (8.3%) and general surgery (8.1%).</w:t>
      </w:r>
    </w:p>
    <w:p w:rsidR="00806342" w:rsidRDefault="00806342" w:rsidP="00806342"/>
    <w:p w:rsidR="00806342" w:rsidRDefault="00806342" w:rsidP="00806342">
      <w:pPr>
        <w:spacing w:after="120"/>
        <w:rPr>
          <w:b/>
        </w:rPr>
      </w:pPr>
      <w:r>
        <w:rPr>
          <w:b/>
        </w:rPr>
        <w:t xml:space="preserve">Table 5. </w:t>
      </w:r>
      <w:r>
        <w:t>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gridCol w:w="1985"/>
      </w:tblGrid>
      <w:tr w:rsidR="00806342" w:rsidTr="008C3A00">
        <w:trPr>
          <w:trHeight w:val="624"/>
          <w:tblHeader/>
        </w:trPr>
        <w:tc>
          <w:tcPr>
            <w:tcW w:w="4678" w:type="dxa"/>
            <w:tcBorders>
              <w:top w:val="single" w:sz="4" w:space="0" w:color="auto"/>
              <w:left w:val="single" w:sz="4" w:space="0" w:color="auto"/>
              <w:bottom w:val="single" w:sz="4" w:space="0" w:color="auto"/>
              <w:right w:val="single" w:sz="4" w:space="0" w:color="auto"/>
            </w:tcBorders>
            <w:hideMark/>
          </w:tcPr>
          <w:p w:rsidR="00806342" w:rsidRDefault="00806342" w:rsidP="008C3A00">
            <w:pPr>
              <w:tabs>
                <w:tab w:val="left" w:pos="1440"/>
                <w:tab w:val="decimal" w:pos="4320"/>
              </w:tabs>
              <w:spacing w:before="120" w:after="120"/>
              <w:jc w:val="center"/>
              <w:outlineLvl w:val="0"/>
              <w:rPr>
                <w:rFonts w:ascii="Calibri" w:hAnsi="Calibri"/>
                <w:b/>
                <w:szCs w:val="22"/>
                <w:vertAlign w:val="superscript"/>
              </w:rPr>
            </w:pPr>
            <w:r>
              <w:rPr>
                <w:rFonts w:ascii="Calibri" w:hAnsi="Calibri"/>
                <w:b/>
                <w:szCs w:val="22"/>
              </w:rPr>
              <w:t>Service type</w:t>
            </w:r>
          </w:p>
        </w:tc>
        <w:tc>
          <w:tcPr>
            <w:tcW w:w="1701" w:type="dxa"/>
            <w:tcBorders>
              <w:top w:val="single" w:sz="4" w:space="0" w:color="auto"/>
              <w:left w:val="single" w:sz="4" w:space="0" w:color="auto"/>
              <w:bottom w:val="single" w:sz="4" w:space="0" w:color="auto"/>
              <w:right w:val="single" w:sz="4" w:space="0" w:color="auto"/>
            </w:tcBorders>
            <w:hideMark/>
          </w:tcPr>
          <w:p w:rsidR="00806342" w:rsidRDefault="00806342" w:rsidP="008C3A00">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5" w:type="dxa"/>
            <w:tcBorders>
              <w:top w:val="single" w:sz="4" w:space="0" w:color="auto"/>
              <w:left w:val="single" w:sz="4" w:space="0" w:color="auto"/>
              <w:bottom w:val="single" w:sz="4" w:space="0" w:color="auto"/>
              <w:right w:val="single" w:sz="4" w:space="0" w:color="auto"/>
            </w:tcBorders>
            <w:hideMark/>
          </w:tcPr>
          <w:p w:rsidR="00806342" w:rsidRDefault="00806342" w:rsidP="008C3A00">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Aged care (long-term care facility)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0.5%</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Alcohol and drug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1.4%</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Anaesthetics/pain medicine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0.7%</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 xml:space="preserve">Dental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0.2%</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cs="Arial"/>
                <w:b/>
                <w:szCs w:val="22"/>
              </w:rPr>
            </w:pPr>
            <w:r>
              <w:rPr>
                <w:rFonts w:cs="Arial"/>
                <w:b/>
                <w:szCs w:val="22"/>
              </w:rPr>
              <w:t>Diagnostics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3.4%</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cs="Arial"/>
                <w:b/>
                <w:szCs w:val="22"/>
              </w:rPr>
            </w:pPr>
            <w:r>
              <w:rPr>
                <w:rFonts w:cs="Arial"/>
                <w:b/>
                <w:szCs w:val="22"/>
              </w:rPr>
              <w:t>Disability services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0.7%</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cs="Arial"/>
                <w:b/>
                <w:szCs w:val="22"/>
              </w:rPr>
            </w:pPr>
            <w:r>
              <w:rPr>
                <w:rFonts w:cs="Arial"/>
                <w:b/>
                <w:szCs w:val="22"/>
              </w:rPr>
              <w:t xml:space="preserve">District nursing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0.2%</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jc w:val="left"/>
              <w:rPr>
                <w:rFonts w:ascii="Calibri" w:hAnsi="Calibri" w:cs="Calibri"/>
                <w:b/>
                <w:color w:val="000000"/>
                <w:szCs w:val="22"/>
              </w:rPr>
            </w:pPr>
            <w:r>
              <w:rPr>
                <w:rFonts w:ascii="Calibri" w:hAnsi="Calibri" w:cs="Calibri"/>
                <w:b/>
                <w:color w:val="000000"/>
                <w:szCs w:val="22"/>
              </w:rPr>
              <w:t>Emergency department (including paramedics)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54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12.1%</w:t>
            </w:r>
          </w:p>
        </w:tc>
      </w:tr>
      <w:tr w:rsidR="00806342" w:rsidTr="008C3A00">
        <w:trPr>
          <w:trHeight w:val="337"/>
        </w:trPr>
        <w:tc>
          <w:tcPr>
            <w:tcW w:w="467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left"/>
              <w:rPr>
                <w:rFonts w:ascii="Calibri" w:hAnsi="Calibri" w:cs="Calibri"/>
                <w:b/>
                <w:color w:val="000000"/>
                <w:szCs w:val="22"/>
              </w:rPr>
            </w:pPr>
            <w:r>
              <w:rPr>
                <w:rFonts w:ascii="Calibri" w:hAnsi="Calibri" w:cs="Calibri"/>
                <w:b/>
                <w:color w:val="000000"/>
                <w:szCs w:val="22"/>
              </w:rPr>
              <w:t>General medicine</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Cardiology</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Dermatology</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Endocrinology</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Gastroenterology</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Geriatric medicine</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Infectious diseases</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Neurology</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Oncology</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Palliative care</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Respiratory</w:t>
            </w:r>
          </w:p>
          <w:p w:rsidR="00806342" w:rsidRDefault="00806342" w:rsidP="008C3A00">
            <w:pPr>
              <w:jc w:val="left"/>
              <w:rPr>
                <w:rFonts w:ascii="Calibri" w:hAnsi="Calibri" w:cs="Calibri"/>
                <w:color w:val="000000"/>
                <w:szCs w:val="22"/>
              </w:rPr>
            </w:pPr>
            <w:r>
              <w:rPr>
                <w:rFonts w:ascii="Calibri" w:hAnsi="Calibri" w:cs="Calibri"/>
                <w:color w:val="000000"/>
                <w:szCs w:val="22"/>
              </w:rPr>
              <w:t xml:space="preserve">  Other/unspecified</w:t>
            </w:r>
          </w:p>
        </w:tc>
        <w:tc>
          <w:tcPr>
            <w:tcW w:w="1701"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rPr>
                <w:rFonts w:ascii="Calibri" w:hAnsi="Calibri"/>
                <w:b/>
                <w:color w:val="000000"/>
                <w:szCs w:val="22"/>
              </w:rPr>
            </w:pPr>
            <w:r>
              <w:rPr>
                <w:rFonts w:ascii="Calibri" w:hAnsi="Calibri"/>
                <w:b/>
                <w:color w:val="000000"/>
                <w:szCs w:val="22"/>
              </w:rPr>
              <w:t>67</w:t>
            </w:r>
          </w:p>
          <w:p w:rsidR="00806342" w:rsidRDefault="00806342" w:rsidP="008C3A00">
            <w:pPr>
              <w:jc w:val="center"/>
              <w:rPr>
                <w:rFonts w:ascii="Calibri" w:hAnsi="Calibri"/>
                <w:color w:val="000000"/>
                <w:szCs w:val="22"/>
              </w:rPr>
            </w:pPr>
            <w:r>
              <w:rPr>
                <w:rFonts w:ascii="Calibri" w:hAnsi="Calibri"/>
                <w:color w:val="000000"/>
                <w:szCs w:val="22"/>
              </w:rPr>
              <w:t>12</w:t>
            </w:r>
          </w:p>
          <w:p w:rsidR="00806342" w:rsidRDefault="00806342" w:rsidP="008C3A00">
            <w:pPr>
              <w:jc w:val="center"/>
              <w:rPr>
                <w:rFonts w:ascii="Calibri" w:hAnsi="Calibri"/>
                <w:color w:val="000000"/>
                <w:szCs w:val="22"/>
              </w:rPr>
            </w:pPr>
            <w:r>
              <w:rPr>
                <w:rFonts w:ascii="Calibri" w:hAnsi="Calibri"/>
                <w:color w:val="000000"/>
                <w:szCs w:val="22"/>
              </w:rPr>
              <w:t>4</w:t>
            </w:r>
          </w:p>
          <w:p w:rsidR="00806342" w:rsidRDefault="00806342" w:rsidP="008C3A00">
            <w:pPr>
              <w:jc w:val="center"/>
              <w:rPr>
                <w:rFonts w:ascii="Calibri" w:hAnsi="Calibri"/>
                <w:color w:val="000000"/>
                <w:szCs w:val="22"/>
              </w:rPr>
            </w:pPr>
            <w:r>
              <w:rPr>
                <w:rFonts w:ascii="Calibri" w:hAnsi="Calibri"/>
                <w:color w:val="000000"/>
                <w:szCs w:val="22"/>
              </w:rPr>
              <w:t>3</w:t>
            </w:r>
          </w:p>
          <w:p w:rsidR="00806342" w:rsidRDefault="00806342" w:rsidP="008C3A00">
            <w:pPr>
              <w:jc w:val="center"/>
              <w:rPr>
                <w:rFonts w:ascii="Calibri" w:hAnsi="Calibri"/>
                <w:color w:val="000000"/>
                <w:szCs w:val="22"/>
              </w:rPr>
            </w:pPr>
            <w:r>
              <w:rPr>
                <w:rFonts w:ascii="Calibri" w:hAnsi="Calibri"/>
                <w:color w:val="000000"/>
                <w:szCs w:val="22"/>
              </w:rPr>
              <w:t>7</w:t>
            </w:r>
          </w:p>
          <w:p w:rsidR="00806342" w:rsidRDefault="00806342" w:rsidP="008C3A00">
            <w:pPr>
              <w:jc w:val="center"/>
              <w:rPr>
                <w:rFonts w:ascii="Calibri" w:hAnsi="Calibri"/>
                <w:color w:val="000000"/>
                <w:szCs w:val="22"/>
              </w:rPr>
            </w:pPr>
            <w:r>
              <w:rPr>
                <w:rFonts w:ascii="Calibri" w:hAnsi="Calibri"/>
                <w:color w:val="000000"/>
                <w:szCs w:val="22"/>
              </w:rPr>
              <w:t>8</w:t>
            </w:r>
          </w:p>
          <w:p w:rsidR="00806342" w:rsidRDefault="00806342" w:rsidP="008C3A00">
            <w:pPr>
              <w:jc w:val="center"/>
              <w:rPr>
                <w:rFonts w:ascii="Calibri" w:hAnsi="Calibri"/>
                <w:color w:val="000000"/>
                <w:szCs w:val="22"/>
              </w:rPr>
            </w:pPr>
            <w:r>
              <w:rPr>
                <w:rFonts w:ascii="Calibri" w:hAnsi="Calibri"/>
                <w:color w:val="000000"/>
                <w:szCs w:val="22"/>
              </w:rPr>
              <w:t>3</w:t>
            </w:r>
          </w:p>
          <w:p w:rsidR="00806342" w:rsidRDefault="00806342" w:rsidP="008C3A00">
            <w:pPr>
              <w:jc w:val="center"/>
              <w:rPr>
                <w:rFonts w:ascii="Calibri" w:hAnsi="Calibri"/>
                <w:color w:val="000000"/>
                <w:szCs w:val="22"/>
              </w:rPr>
            </w:pPr>
            <w:r>
              <w:rPr>
                <w:rFonts w:ascii="Calibri" w:hAnsi="Calibri"/>
                <w:color w:val="000000"/>
                <w:szCs w:val="22"/>
              </w:rPr>
              <w:t>6</w:t>
            </w:r>
          </w:p>
          <w:p w:rsidR="00806342" w:rsidRDefault="00806342" w:rsidP="008C3A00">
            <w:pPr>
              <w:jc w:val="center"/>
              <w:rPr>
                <w:rFonts w:ascii="Calibri" w:hAnsi="Calibri"/>
                <w:color w:val="000000"/>
                <w:szCs w:val="22"/>
              </w:rPr>
            </w:pPr>
            <w:r>
              <w:rPr>
                <w:rFonts w:ascii="Calibri" w:hAnsi="Calibri"/>
                <w:color w:val="000000"/>
                <w:szCs w:val="22"/>
              </w:rPr>
              <w:t>9</w:t>
            </w:r>
          </w:p>
          <w:p w:rsidR="00806342" w:rsidRDefault="00806342" w:rsidP="008C3A00">
            <w:pPr>
              <w:jc w:val="center"/>
              <w:rPr>
                <w:rFonts w:ascii="Calibri" w:hAnsi="Calibri"/>
                <w:color w:val="000000"/>
                <w:szCs w:val="22"/>
              </w:rPr>
            </w:pPr>
            <w:r>
              <w:rPr>
                <w:rFonts w:ascii="Calibri" w:hAnsi="Calibri"/>
                <w:color w:val="000000"/>
                <w:szCs w:val="22"/>
              </w:rPr>
              <w:t>2</w:t>
            </w:r>
          </w:p>
          <w:p w:rsidR="00806342" w:rsidRDefault="00806342" w:rsidP="008C3A00">
            <w:pPr>
              <w:jc w:val="center"/>
              <w:rPr>
                <w:rFonts w:ascii="Calibri" w:hAnsi="Calibri"/>
                <w:color w:val="000000"/>
                <w:szCs w:val="22"/>
              </w:rPr>
            </w:pPr>
            <w:r>
              <w:rPr>
                <w:rFonts w:ascii="Calibri" w:hAnsi="Calibri"/>
                <w:color w:val="000000"/>
                <w:szCs w:val="22"/>
              </w:rPr>
              <w:t>6</w:t>
            </w:r>
          </w:p>
          <w:p w:rsidR="00806342" w:rsidRDefault="00806342" w:rsidP="008C3A00">
            <w:pPr>
              <w:jc w:val="center"/>
              <w:rPr>
                <w:rFonts w:ascii="Calibri" w:hAnsi="Calibri"/>
                <w:color w:val="000000"/>
                <w:szCs w:val="22"/>
              </w:rPr>
            </w:pPr>
            <w:r>
              <w:rPr>
                <w:rFonts w:ascii="Calibri" w:hAnsi="Calibri"/>
                <w:color w:val="000000"/>
                <w:szCs w:val="22"/>
              </w:rPr>
              <w:t>7</w:t>
            </w:r>
          </w:p>
        </w:tc>
        <w:tc>
          <w:tcPr>
            <w:tcW w:w="1985"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rPr>
                <w:rFonts w:ascii="Calibri" w:hAnsi="Calibri"/>
                <w:b/>
                <w:color w:val="000000"/>
                <w:szCs w:val="22"/>
              </w:rPr>
            </w:pPr>
            <w:r>
              <w:rPr>
                <w:rFonts w:ascii="Calibri" w:hAnsi="Calibri"/>
                <w:b/>
                <w:color w:val="000000"/>
                <w:szCs w:val="22"/>
              </w:rPr>
              <w:t>15.1%</w:t>
            </w:r>
          </w:p>
          <w:p w:rsidR="00806342" w:rsidRDefault="00806342" w:rsidP="008C3A00">
            <w:pPr>
              <w:jc w:val="center"/>
              <w:rPr>
                <w:rFonts w:ascii="Calibri" w:hAnsi="Calibri"/>
                <w:color w:val="000000"/>
                <w:szCs w:val="22"/>
              </w:rPr>
            </w:pPr>
            <w:r>
              <w:rPr>
                <w:rFonts w:ascii="Calibri" w:hAnsi="Calibri"/>
                <w:color w:val="000000"/>
                <w:szCs w:val="22"/>
              </w:rPr>
              <w:t>2.7%</w:t>
            </w:r>
          </w:p>
          <w:p w:rsidR="00806342" w:rsidRDefault="00806342" w:rsidP="008C3A00">
            <w:pPr>
              <w:jc w:val="center"/>
              <w:rPr>
                <w:rFonts w:ascii="Calibri" w:hAnsi="Calibri"/>
                <w:color w:val="000000"/>
                <w:szCs w:val="22"/>
              </w:rPr>
            </w:pPr>
            <w:r>
              <w:rPr>
                <w:rFonts w:ascii="Calibri" w:hAnsi="Calibri"/>
                <w:color w:val="000000"/>
                <w:szCs w:val="22"/>
              </w:rPr>
              <w:t>0.9%</w:t>
            </w:r>
          </w:p>
          <w:p w:rsidR="00806342" w:rsidRDefault="00806342" w:rsidP="008C3A00">
            <w:pPr>
              <w:jc w:val="center"/>
              <w:rPr>
                <w:rFonts w:ascii="Calibri" w:hAnsi="Calibri"/>
                <w:color w:val="000000"/>
                <w:szCs w:val="22"/>
              </w:rPr>
            </w:pPr>
            <w:r>
              <w:rPr>
                <w:rFonts w:ascii="Calibri" w:hAnsi="Calibri"/>
                <w:color w:val="000000"/>
                <w:szCs w:val="22"/>
              </w:rPr>
              <w:t>0.7%</w:t>
            </w:r>
          </w:p>
          <w:p w:rsidR="00806342" w:rsidRDefault="00806342" w:rsidP="008C3A00">
            <w:pPr>
              <w:jc w:val="center"/>
              <w:rPr>
                <w:rFonts w:ascii="Calibri" w:hAnsi="Calibri"/>
                <w:color w:val="000000"/>
                <w:szCs w:val="22"/>
              </w:rPr>
            </w:pPr>
            <w:r>
              <w:rPr>
                <w:rFonts w:ascii="Calibri" w:hAnsi="Calibri"/>
                <w:color w:val="000000"/>
                <w:szCs w:val="22"/>
              </w:rPr>
              <w:t>1.6%</w:t>
            </w:r>
          </w:p>
          <w:p w:rsidR="00806342" w:rsidRDefault="00806342" w:rsidP="008C3A00">
            <w:pPr>
              <w:jc w:val="center"/>
              <w:rPr>
                <w:rFonts w:ascii="Calibri" w:hAnsi="Calibri"/>
                <w:color w:val="000000"/>
                <w:szCs w:val="22"/>
              </w:rPr>
            </w:pPr>
            <w:r>
              <w:rPr>
                <w:rFonts w:ascii="Calibri" w:hAnsi="Calibri"/>
                <w:color w:val="000000"/>
                <w:szCs w:val="22"/>
              </w:rPr>
              <w:t>1.8%</w:t>
            </w:r>
          </w:p>
          <w:p w:rsidR="00806342" w:rsidRDefault="00806342" w:rsidP="008C3A00">
            <w:pPr>
              <w:jc w:val="center"/>
              <w:rPr>
                <w:rFonts w:ascii="Calibri" w:hAnsi="Calibri"/>
                <w:color w:val="000000"/>
                <w:szCs w:val="22"/>
              </w:rPr>
            </w:pPr>
            <w:r>
              <w:rPr>
                <w:rFonts w:ascii="Calibri" w:hAnsi="Calibri"/>
                <w:color w:val="000000"/>
                <w:szCs w:val="22"/>
              </w:rPr>
              <w:t>0.7%</w:t>
            </w:r>
          </w:p>
          <w:p w:rsidR="00806342" w:rsidRDefault="00806342" w:rsidP="008C3A00">
            <w:pPr>
              <w:jc w:val="center"/>
              <w:rPr>
                <w:rFonts w:ascii="Calibri" w:hAnsi="Calibri"/>
                <w:color w:val="000000"/>
                <w:szCs w:val="22"/>
              </w:rPr>
            </w:pPr>
            <w:r>
              <w:rPr>
                <w:rFonts w:ascii="Calibri" w:hAnsi="Calibri"/>
                <w:color w:val="000000"/>
                <w:szCs w:val="22"/>
              </w:rPr>
              <w:t>1.4%</w:t>
            </w:r>
          </w:p>
          <w:p w:rsidR="00806342" w:rsidRDefault="00806342" w:rsidP="008C3A00">
            <w:pPr>
              <w:jc w:val="center"/>
              <w:rPr>
                <w:rFonts w:ascii="Calibri" w:hAnsi="Calibri"/>
                <w:color w:val="000000"/>
                <w:szCs w:val="22"/>
              </w:rPr>
            </w:pPr>
            <w:r>
              <w:rPr>
                <w:rFonts w:ascii="Calibri" w:hAnsi="Calibri"/>
                <w:color w:val="000000"/>
                <w:szCs w:val="22"/>
              </w:rPr>
              <w:t>2.0%</w:t>
            </w:r>
          </w:p>
          <w:p w:rsidR="00806342" w:rsidRDefault="00806342" w:rsidP="008C3A00">
            <w:pPr>
              <w:jc w:val="center"/>
              <w:rPr>
                <w:rFonts w:ascii="Calibri" w:hAnsi="Calibri"/>
                <w:color w:val="000000"/>
                <w:szCs w:val="22"/>
              </w:rPr>
            </w:pPr>
            <w:r>
              <w:rPr>
                <w:rFonts w:ascii="Calibri" w:hAnsi="Calibri"/>
                <w:color w:val="000000"/>
                <w:szCs w:val="22"/>
              </w:rPr>
              <w:t>0.4%</w:t>
            </w:r>
          </w:p>
          <w:p w:rsidR="00806342" w:rsidRDefault="00806342" w:rsidP="008C3A00">
            <w:pPr>
              <w:jc w:val="center"/>
              <w:rPr>
                <w:rFonts w:ascii="Calibri" w:hAnsi="Calibri"/>
                <w:color w:val="000000"/>
                <w:szCs w:val="22"/>
              </w:rPr>
            </w:pPr>
            <w:r>
              <w:rPr>
                <w:rFonts w:ascii="Calibri" w:hAnsi="Calibri"/>
                <w:color w:val="000000"/>
                <w:szCs w:val="22"/>
              </w:rPr>
              <w:t>1.4%</w:t>
            </w:r>
          </w:p>
          <w:p w:rsidR="00806342" w:rsidRDefault="00806342" w:rsidP="008C3A00">
            <w:pPr>
              <w:jc w:val="center"/>
              <w:rPr>
                <w:rFonts w:ascii="Calibri" w:hAnsi="Calibri"/>
                <w:color w:val="000000"/>
                <w:szCs w:val="22"/>
              </w:rPr>
            </w:pPr>
            <w:r>
              <w:rPr>
                <w:rFonts w:ascii="Calibri" w:hAnsi="Calibri"/>
                <w:color w:val="000000"/>
                <w:szCs w:val="22"/>
              </w:rPr>
              <w:t>1.6%</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jc w:val="left"/>
              <w:rPr>
                <w:rFonts w:ascii="Calibri" w:hAnsi="Calibri" w:cs="Calibri"/>
                <w:b/>
                <w:color w:val="000000"/>
                <w:szCs w:val="22"/>
              </w:rPr>
            </w:pPr>
            <w:r>
              <w:rPr>
                <w:rFonts w:ascii="Calibri" w:hAnsi="Calibri" w:cs="Calibri"/>
                <w:b/>
                <w:color w:val="000000"/>
                <w:szCs w:val="22"/>
              </w:rPr>
              <w:t>Hearing services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0.7%</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Intensive care/critical care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0.5%</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Maternity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5.4%</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 xml:space="preserve">Mental health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89</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20.0%</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cs="Arial"/>
                <w:b/>
                <w:szCs w:val="22"/>
              </w:rPr>
            </w:pPr>
            <w:r>
              <w:rPr>
                <w:rFonts w:cs="Arial"/>
                <w:b/>
                <w:szCs w:val="22"/>
              </w:rPr>
              <w:t>Nutrition/dietetics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0.2%</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cs="Arial"/>
                <w:b/>
                <w:szCs w:val="22"/>
              </w:rPr>
            </w:pPr>
            <w:r>
              <w:rPr>
                <w:rFonts w:cs="Arial"/>
                <w:b/>
                <w:szCs w:val="22"/>
              </w:rPr>
              <w:t>Occupational therapy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0.2%</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cs="Arial"/>
                <w:b/>
                <w:szCs w:val="22"/>
              </w:rPr>
            </w:pPr>
            <w:r>
              <w:rPr>
                <w:rFonts w:cs="Arial"/>
                <w:b/>
                <w:szCs w:val="22"/>
              </w:rPr>
              <w:t>Paediatrics (not surgical)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1.8%</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 xml:space="preserve">Rehabilitation services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0.9%</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Sexual health</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0.7%</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ascii="Calibri" w:hAnsi="Calibri" w:cs="Calibri"/>
                <w:b/>
                <w:color w:val="000000"/>
                <w:szCs w:val="22"/>
              </w:rPr>
            </w:pPr>
            <w:r>
              <w:rPr>
                <w:rFonts w:ascii="Calibri" w:hAnsi="Calibri" w:cs="Calibri"/>
                <w:b/>
                <w:color w:val="000000"/>
                <w:szCs w:val="22"/>
              </w:rPr>
              <w:t>Surgery</w:t>
            </w:r>
          </w:p>
          <w:p w:rsidR="00806342" w:rsidRDefault="00806342" w:rsidP="008C3A00">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806342" w:rsidRDefault="00806342" w:rsidP="008C3A00">
            <w:pPr>
              <w:rPr>
                <w:rFonts w:ascii="Calibri" w:hAnsi="Calibri" w:cs="Calibri"/>
                <w:color w:val="000000"/>
                <w:szCs w:val="22"/>
              </w:rPr>
            </w:pPr>
            <w:r>
              <w:rPr>
                <w:rFonts w:ascii="Calibri" w:hAnsi="Calibri" w:cs="Calibri"/>
                <w:color w:val="000000"/>
                <w:szCs w:val="22"/>
              </w:rPr>
              <w:t xml:space="preserve">  General</w:t>
            </w:r>
          </w:p>
          <w:p w:rsidR="00806342" w:rsidRDefault="00806342" w:rsidP="008C3A00">
            <w:pPr>
              <w:rPr>
                <w:rFonts w:ascii="Calibri" w:hAnsi="Calibri" w:cs="Calibri"/>
                <w:color w:val="000000"/>
                <w:szCs w:val="22"/>
              </w:rPr>
            </w:pPr>
            <w:r>
              <w:rPr>
                <w:rFonts w:ascii="Calibri" w:hAnsi="Calibri" w:cs="Calibri"/>
                <w:color w:val="000000"/>
                <w:szCs w:val="22"/>
              </w:rPr>
              <w:t xml:space="preserve">  Gynaecology</w:t>
            </w:r>
          </w:p>
          <w:p w:rsidR="00806342" w:rsidRDefault="00806342" w:rsidP="008C3A00">
            <w:pPr>
              <w:rPr>
                <w:rFonts w:ascii="Calibri" w:hAnsi="Calibri" w:cs="Calibri"/>
                <w:color w:val="000000"/>
                <w:szCs w:val="22"/>
              </w:rPr>
            </w:pPr>
            <w:r>
              <w:rPr>
                <w:rFonts w:ascii="Calibri" w:hAnsi="Calibri" w:cs="Calibri"/>
                <w:color w:val="000000"/>
                <w:szCs w:val="22"/>
              </w:rPr>
              <w:t xml:space="preserve">  Neurosurgery</w:t>
            </w:r>
          </w:p>
          <w:p w:rsidR="00806342" w:rsidRDefault="00806342" w:rsidP="008C3A00">
            <w:pPr>
              <w:rPr>
                <w:rFonts w:ascii="Calibri" w:hAnsi="Calibri" w:cs="Calibri"/>
                <w:color w:val="000000"/>
                <w:szCs w:val="22"/>
              </w:rPr>
            </w:pPr>
            <w:r>
              <w:rPr>
                <w:rFonts w:ascii="Calibri" w:hAnsi="Calibri" w:cs="Calibri"/>
                <w:color w:val="000000"/>
                <w:szCs w:val="22"/>
              </w:rPr>
              <w:t xml:space="preserve">  Ophthalmology</w:t>
            </w:r>
          </w:p>
          <w:p w:rsidR="00806342" w:rsidRDefault="00806342" w:rsidP="008C3A00">
            <w:pPr>
              <w:rPr>
                <w:rFonts w:ascii="Calibri" w:hAnsi="Calibri" w:cs="Calibri"/>
                <w:color w:val="000000"/>
                <w:szCs w:val="22"/>
              </w:rPr>
            </w:pPr>
            <w:r>
              <w:rPr>
                <w:rFonts w:ascii="Calibri" w:hAnsi="Calibri" w:cs="Calibri"/>
                <w:color w:val="000000"/>
                <w:szCs w:val="22"/>
              </w:rPr>
              <w:t xml:space="preserve">  Oral/Maxillofacial</w:t>
            </w:r>
          </w:p>
          <w:p w:rsidR="00806342" w:rsidRDefault="00806342" w:rsidP="008C3A00">
            <w:pPr>
              <w:rPr>
                <w:rFonts w:ascii="Calibri" w:hAnsi="Calibri" w:cs="Calibri"/>
                <w:color w:val="000000"/>
                <w:szCs w:val="22"/>
              </w:rPr>
            </w:pPr>
            <w:r>
              <w:rPr>
                <w:rFonts w:ascii="Calibri" w:hAnsi="Calibri" w:cs="Calibri"/>
                <w:color w:val="000000"/>
                <w:szCs w:val="22"/>
              </w:rPr>
              <w:t xml:space="preserve">  Orthopaedics</w:t>
            </w:r>
          </w:p>
          <w:p w:rsidR="00806342" w:rsidRDefault="00806342" w:rsidP="008C3A00">
            <w:pPr>
              <w:rPr>
                <w:rFonts w:ascii="Calibri" w:hAnsi="Calibri" w:cs="Calibri"/>
                <w:color w:val="000000"/>
                <w:szCs w:val="22"/>
              </w:rPr>
            </w:pPr>
            <w:r>
              <w:rPr>
                <w:rFonts w:ascii="Calibri" w:hAnsi="Calibri" w:cs="Calibri"/>
                <w:color w:val="000000"/>
                <w:szCs w:val="22"/>
              </w:rPr>
              <w:t xml:space="preserve">  Otolaryngology</w:t>
            </w:r>
          </w:p>
          <w:p w:rsidR="00806342" w:rsidRDefault="00806342" w:rsidP="008C3A00">
            <w:pPr>
              <w:rPr>
                <w:rFonts w:ascii="Calibri" w:hAnsi="Calibri" w:cs="Calibri"/>
                <w:color w:val="000000"/>
                <w:szCs w:val="22"/>
              </w:rPr>
            </w:pPr>
            <w:r>
              <w:rPr>
                <w:rFonts w:ascii="Calibri" w:hAnsi="Calibri" w:cs="Calibri"/>
                <w:color w:val="000000"/>
                <w:szCs w:val="22"/>
              </w:rPr>
              <w:t xml:space="preserve">  Paediatric</w:t>
            </w:r>
          </w:p>
          <w:p w:rsidR="00806342" w:rsidRDefault="00806342" w:rsidP="008C3A00">
            <w:pPr>
              <w:rPr>
                <w:rFonts w:ascii="Calibri" w:hAnsi="Calibri" w:cs="Calibri"/>
                <w:color w:val="000000"/>
                <w:szCs w:val="22"/>
              </w:rPr>
            </w:pPr>
            <w:r>
              <w:rPr>
                <w:rFonts w:ascii="Calibri" w:hAnsi="Calibri" w:cs="Calibri"/>
                <w:color w:val="000000"/>
                <w:szCs w:val="22"/>
              </w:rPr>
              <w:t xml:space="preserve">  Plastic and Reconstructive</w:t>
            </w:r>
          </w:p>
          <w:p w:rsidR="00806342" w:rsidRDefault="00806342" w:rsidP="008C3A00">
            <w:pPr>
              <w:rPr>
                <w:rFonts w:ascii="Calibri" w:hAnsi="Calibri" w:cs="Calibri"/>
                <w:color w:val="000000"/>
                <w:szCs w:val="22"/>
              </w:rPr>
            </w:pPr>
            <w:r>
              <w:rPr>
                <w:rFonts w:ascii="Calibri" w:hAnsi="Calibri" w:cs="Calibri"/>
                <w:color w:val="000000"/>
                <w:szCs w:val="22"/>
              </w:rPr>
              <w:t xml:space="preserve">  Urology</w:t>
            </w:r>
          </w:p>
          <w:p w:rsidR="00806342" w:rsidRDefault="00806342" w:rsidP="008C3A00">
            <w:pPr>
              <w:rPr>
                <w:rFonts w:ascii="Calibri" w:hAnsi="Calibri" w:cs="Calibri"/>
                <w:color w:val="000000"/>
                <w:szCs w:val="22"/>
              </w:rPr>
            </w:pPr>
            <w:r>
              <w:rPr>
                <w:rFonts w:ascii="Calibri" w:hAnsi="Calibri" w:cs="Calibri"/>
                <w:color w:val="000000"/>
                <w:szCs w:val="22"/>
              </w:rPr>
              <w:t xml:space="preserve">  Vascular</w:t>
            </w:r>
          </w:p>
          <w:p w:rsidR="00806342" w:rsidRDefault="00806342" w:rsidP="008C3A00">
            <w:pPr>
              <w:rPr>
                <w:rFonts w:ascii="Calibri" w:hAnsi="Calibri" w:cs="Calibri"/>
                <w:color w:val="000000"/>
                <w:szCs w:val="22"/>
              </w:rPr>
            </w:pPr>
            <w:r>
              <w:rPr>
                <w:rFonts w:ascii="Calibri" w:hAnsi="Calibri" w:cs="Calibri"/>
                <w:color w:val="000000"/>
                <w:szCs w:val="22"/>
              </w:rPr>
              <w:t xml:space="preserve">  Unknown</w:t>
            </w:r>
          </w:p>
        </w:tc>
        <w:tc>
          <w:tcPr>
            <w:tcW w:w="1701"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rPr>
                <w:rFonts w:ascii="Calibri" w:hAnsi="Calibri"/>
                <w:b/>
                <w:color w:val="000000"/>
                <w:szCs w:val="22"/>
              </w:rPr>
            </w:pPr>
            <w:r>
              <w:rPr>
                <w:rFonts w:ascii="Calibri" w:hAnsi="Calibri"/>
                <w:b/>
                <w:color w:val="000000"/>
                <w:szCs w:val="22"/>
              </w:rPr>
              <w:t>155</w:t>
            </w:r>
          </w:p>
          <w:p w:rsidR="00806342" w:rsidRDefault="00806342" w:rsidP="008C3A00">
            <w:pPr>
              <w:jc w:val="center"/>
              <w:rPr>
                <w:rFonts w:ascii="Calibri" w:hAnsi="Calibri"/>
                <w:color w:val="000000"/>
                <w:szCs w:val="22"/>
              </w:rPr>
            </w:pPr>
            <w:r>
              <w:rPr>
                <w:rFonts w:ascii="Calibri" w:hAnsi="Calibri"/>
                <w:color w:val="000000"/>
                <w:szCs w:val="22"/>
              </w:rPr>
              <w:t>9</w:t>
            </w:r>
          </w:p>
          <w:p w:rsidR="00806342" w:rsidRDefault="00806342" w:rsidP="008C3A00">
            <w:pPr>
              <w:jc w:val="center"/>
              <w:rPr>
                <w:rFonts w:ascii="Calibri" w:hAnsi="Calibri"/>
                <w:color w:val="000000"/>
                <w:szCs w:val="22"/>
              </w:rPr>
            </w:pPr>
            <w:r>
              <w:rPr>
                <w:rFonts w:ascii="Calibri" w:hAnsi="Calibri"/>
                <w:color w:val="000000"/>
                <w:szCs w:val="22"/>
              </w:rPr>
              <w:t>36</w:t>
            </w:r>
          </w:p>
          <w:p w:rsidR="00806342" w:rsidRDefault="00806342" w:rsidP="008C3A00">
            <w:pPr>
              <w:jc w:val="center"/>
              <w:rPr>
                <w:rFonts w:ascii="Calibri" w:hAnsi="Calibri"/>
                <w:color w:val="000000"/>
                <w:szCs w:val="22"/>
              </w:rPr>
            </w:pPr>
            <w:r>
              <w:rPr>
                <w:rFonts w:ascii="Calibri" w:hAnsi="Calibri"/>
                <w:color w:val="000000"/>
                <w:szCs w:val="22"/>
              </w:rPr>
              <w:t>16</w:t>
            </w:r>
          </w:p>
          <w:p w:rsidR="00806342" w:rsidRDefault="00806342" w:rsidP="008C3A00">
            <w:pPr>
              <w:jc w:val="center"/>
              <w:rPr>
                <w:rFonts w:ascii="Calibri" w:hAnsi="Calibri"/>
                <w:color w:val="000000"/>
                <w:szCs w:val="22"/>
              </w:rPr>
            </w:pPr>
            <w:r>
              <w:rPr>
                <w:rFonts w:ascii="Calibri" w:hAnsi="Calibri"/>
                <w:color w:val="000000"/>
                <w:szCs w:val="22"/>
              </w:rPr>
              <w:t>3</w:t>
            </w:r>
          </w:p>
          <w:p w:rsidR="00806342" w:rsidRDefault="00806342" w:rsidP="008C3A00">
            <w:pPr>
              <w:jc w:val="center"/>
              <w:rPr>
                <w:rFonts w:ascii="Calibri" w:hAnsi="Calibri"/>
                <w:color w:val="000000"/>
                <w:szCs w:val="22"/>
              </w:rPr>
            </w:pPr>
            <w:r>
              <w:rPr>
                <w:rFonts w:ascii="Calibri" w:hAnsi="Calibri"/>
                <w:color w:val="000000"/>
                <w:szCs w:val="22"/>
              </w:rPr>
              <w:t>8</w:t>
            </w:r>
          </w:p>
          <w:p w:rsidR="00806342" w:rsidRDefault="00806342" w:rsidP="008C3A00">
            <w:pPr>
              <w:jc w:val="center"/>
              <w:rPr>
                <w:rFonts w:ascii="Calibri" w:hAnsi="Calibri"/>
                <w:color w:val="000000"/>
                <w:szCs w:val="22"/>
              </w:rPr>
            </w:pPr>
            <w:r>
              <w:rPr>
                <w:rFonts w:ascii="Calibri" w:hAnsi="Calibri"/>
                <w:color w:val="000000"/>
                <w:szCs w:val="22"/>
              </w:rPr>
              <w:t>2</w:t>
            </w:r>
          </w:p>
          <w:p w:rsidR="00806342" w:rsidRDefault="00806342" w:rsidP="008C3A00">
            <w:pPr>
              <w:jc w:val="center"/>
              <w:rPr>
                <w:rFonts w:ascii="Calibri" w:hAnsi="Calibri"/>
                <w:color w:val="000000"/>
                <w:szCs w:val="22"/>
              </w:rPr>
            </w:pPr>
            <w:r>
              <w:rPr>
                <w:rFonts w:ascii="Calibri" w:hAnsi="Calibri"/>
                <w:color w:val="000000"/>
                <w:szCs w:val="22"/>
              </w:rPr>
              <w:t>37</w:t>
            </w:r>
          </w:p>
          <w:p w:rsidR="00806342" w:rsidRDefault="00806342" w:rsidP="008C3A00">
            <w:pPr>
              <w:jc w:val="center"/>
              <w:rPr>
                <w:rFonts w:ascii="Calibri" w:hAnsi="Calibri"/>
                <w:color w:val="000000"/>
                <w:szCs w:val="22"/>
              </w:rPr>
            </w:pPr>
            <w:r>
              <w:rPr>
                <w:rFonts w:ascii="Calibri" w:hAnsi="Calibri"/>
                <w:color w:val="000000"/>
                <w:szCs w:val="22"/>
              </w:rPr>
              <w:t>4</w:t>
            </w:r>
          </w:p>
          <w:p w:rsidR="00806342" w:rsidRDefault="00806342" w:rsidP="008C3A00">
            <w:pPr>
              <w:jc w:val="center"/>
              <w:rPr>
                <w:rFonts w:ascii="Calibri" w:hAnsi="Calibri"/>
                <w:color w:val="000000"/>
                <w:szCs w:val="22"/>
              </w:rPr>
            </w:pPr>
            <w:r>
              <w:rPr>
                <w:rFonts w:ascii="Calibri" w:hAnsi="Calibri"/>
                <w:color w:val="000000"/>
                <w:szCs w:val="22"/>
              </w:rPr>
              <w:t>8</w:t>
            </w:r>
          </w:p>
          <w:p w:rsidR="00806342" w:rsidRDefault="00806342" w:rsidP="008C3A00">
            <w:pPr>
              <w:jc w:val="center"/>
              <w:rPr>
                <w:rFonts w:ascii="Calibri" w:hAnsi="Calibri"/>
                <w:color w:val="000000"/>
                <w:szCs w:val="22"/>
              </w:rPr>
            </w:pPr>
            <w:r>
              <w:rPr>
                <w:rFonts w:ascii="Calibri" w:hAnsi="Calibri"/>
                <w:color w:val="000000"/>
                <w:szCs w:val="22"/>
              </w:rPr>
              <w:t>9</w:t>
            </w:r>
          </w:p>
          <w:p w:rsidR="00806342" w:rsidRDefault="00806342" w:rsidP="008C3A00">
            <w:pPr>
              <w:jc w:val="center"/>
              <w:rPr>
                <w:rFonts w:ascii="Calibri" w:hAnsi="Calibri"/>
                <w:color w:val="000000"/>
                <w:szCs w:val="22"/>
              </w:rPr>
            </w:pPr>
            <w:r>
              <w:rPr>
                <w:rFonts w:ascii="Calibri" w:hAnsi="Calibri"/>
                <w:color w:val="000000"/>
                <w:szCs w:val="22"/>
              </w:rPr>
              <w:t>19</w:t>
            </w:r>
          </w:p>
          <w:p w:rsidR="00806342" w:rsidRDefault="00806342" w:rsidP="008C3A00">
            <w:pPr>
              <w:jc w:val="center"/>
              <w:rPr>
                <w:rFonts w:ascii="Calibri" w:hAnsi="Calibri"/>
                <w:color w:val="000000"/>
                <w:szCs w:val="22"/>
              </w:rPr>
            </w:pPr>
            <w:r>
              <w:rPr>
                <w:rFonts w:ascii="Calibri" w:hAnsi="Calibri"/>
                <w:color w:val="000000"/>
                <w:szCs w:val="22"/>
              </w:rPr>
              <w:t>3</w:t>
            </w:r>
          </w:p>
          <w:p w:rsidR="00806342" w:rsidRDefault="00806342" w:rsidP="008C3A00">
            <w:pPr>
              <w:jc w:val="center"/>
              <w:rPr>
                <w:rFonts w:ascii="Calibri" w:hAnsi="Calibri"/>
                <w:color w:val="000000"/>
                <w:szCs w:val="22"/>
              </w:rPr>
            </w:pPr>
            <w:r>
              <w:rPr>
                <w:rFonts w:ascii="Calibri" w:hAnsi="Calibri"/>
                <w:color w:val="000000"/>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rPr>
                <w:rFonts w:ascii="Calibri" w:hAnsi="Calibri"/>
                <w:b/>
                <w:color w:val="000000"/>
                <w:szCs w:val="22"/>
              </w:rPr>
            </w:pPr>
            <w:r>
              <w:rPr>
                <w:rFonts w:ascii="Calibri" w:hAnsi="Calibri"/>
                <w:b/>
                <w:color w:val="000000"/>
                <w:szCs w:val="22"/>
              </w:rPr>
              <w:t>34.9%</w:t>
            </w:r>
          </w:p>
          <w:p w:rsidR="00806342" w:rsidRDefault="00806342" w:rsidP="008C3A00">
            <w:pPr>
              <w:jc w:val="center"/>
              <w:rPr>
                <w:rFonts w:ascii="Calibri" w:hAnsi="Calibri"/>
                <w:color w:val="000000"/>
                <w:szCs w:val="22"/>
              </w:rPr>
            </w:pPr>
            <w:r>
              <w:rPr>
                <w:rFonts w:ascii="Calibri" w:hAnsi="Calibri"/>
                <w:color w:val="000000"/>
                <w:szCs w:val="22"/>
              </w:rPr>
              <w:t>2.0%</w:t>
            </w:r>
          </w:p>
          <w:p w:rsidR="00806342" w:rsidRDefault="00806342" w:rsidP="008C3A00">
            <w:pPr>
              <w:jc w:val="center"/>
              <w:rPr>
                <w:rFonts w:ascii="Calibri" w:hAnsi="Calibri"/>
                <w:color w:val="000000"/>
                <w:szCs w:val="22"/>
              </w:rPr>
            </w:pPr>
            <w:r>
              <w:rPr>
                <w:rFonts w:ascii="Calibri" w:hAnsi="Calibri"/>
                <w:color w:val="000000"/>
                <w:szCs w:val="22"/>
              </w:rPr>
              <w:t>8.1%</w:t>
            </w:r>
          </w:p>
          <w:p w:rsidR="00806342" w:rsidRDefault="00806342" w:rsidP="008C3A00">
            <w:pPr>
              <w:jc w:val="center"/>
              <w:rPr>
                <w:rFonts w:ascii="Calibri" w:hAnsi="Calibri"/>
                <w:color w:val="000000"/>
                <w:szCs w:val="22"/>
              </w:rPr>
            </w:pPr>
            <w:r>
              <w:rPr>
                <w:rFonts w:ascii="Calibri" w:hAnsi="Calibri"/>
                <w:color w:val="000000"/>
                <w:szCs w:val="22"/>
              </w:rPr>
              <w:t>3.6%</w:t>
            </w:r>
          </w:p>
          <w:p w:rsidR="00806342" w:rsidRDefault="00806342" w:rsidP="008C3A00">
            <w:pPr>
              <w:jc w:val="center"/>
              <w:rPr>
                <w:rFonts w:ascii="Calibri" w:hAnsi="Calibri"/>
                <w:color w:val="000000"/>
                <w:szCs w:val="22"/>
              </w:rPr>
            </w:pPr>
            <w:r>
              <w:rPr>
                <w:rFonts w:ascii="Calibri" w:hAnsi="Calibri"/>
                <w:color w:val="000000"/>
                <w:szCs w:val="22"/>
              </w:rPr>
              <w:t>0.7%</w:t>
            </w:r>
          </w:p>
          <w:p w:rsidR="00806342" w:rsidRDefault="00806342" w:rsidP="008C3A00">
            <w:pPr>
              <w:jc w:val="center"/>
              <w:rPr>
                <w:rFonts w:ascii="Calibri" w:hAnsi="Calibri"/>
                <w:color w:val="000000"/>
                <w:szCs w:val="22"/>
              </w:rPr>
            </w:pPr>
            <w:r>
              <w:rPr>
                <w:rFonts w:ascii="Calibri" w:hAnsi="Calibri"/>
                <w:color w:val="000000"/>
                <w:szCs w:val="22"/>
              </w:rPr>
              <w:t>1.8%</w:t>
            </w:r>
          </w:p>
          <w:p w:rsidR="00806342" w:rsidRDefault="00806342" w:rsidP="008C3A00">
            <w:pPr>
              <w:jc w:val="center"/>
              <w:rPr>
                <w:rFonts w:ascii="Calibri" w:hAnsi="Calibri"/>
                <w:color w:val="000000"/>
                <w:szCs w:val="22"/>
              </w:rPr>
            </w:pPr>
            <w:r>
              <w:rPr>
                <w:rFonts w:ascii="Calibri" w:hAnsi="Calibri"/>
                <w:color w:val="000000"/>
                <w:szCs w:val="22"/>
              </w:rPr>
              <w:t>0.5%</w:t>
            </w:r>
          </w:p>
          <w:p w:rsidR="00806342" w:rsidRDefault="00806342" w:rsidP="008C3A00">
            <w:pPr>
              <w:jc w:val="center"/>
              <w:rPr>
                <w:rFonts w:ascii="Calibri" w:hAnsi="Calibri"/>
                <w:color w:val="000000"/>
                <w:szCs w:val="22"/>
              </w:rPr>
            </w:pPr>
            <w:r>
              <w:rPr>
                <w:rFonts w:ascii="Calibri" w:hAnsi="Calibri"/>
                <w:color w:val="000000"/>
                <w:szCs w:val="22"/>
              </w:rPr>
              <w:t>8.3%</w:t>
            </w:r>
          </w:p>
          <w:p w:rsidR="00806342" w:rsidRDefault="00806342" w:rsidP="008C3A00">
            <w:pPr>
              <w:jc w:val="center"/>
              <w:rPr>
                <w:rFonts w:ascii="Calibri" w:hAnsi="Calibri"/>
                <w:color w:val="000000"/>
                <w:szCs w:val="22"/>
              </w:rPr>
            </w:pPr>
            <w:r>
              <w:rPr>
                <w:rFonts w:ascii="Calibri" w:hAnsi="Calibri"/>
                <w:color w:val="000000"/>
                <w:szCs w:val="22"/>
              </w:rPr>
              <w:t>0.9%</w:t>
            </w:r>
          </w:p>
          <w:p w:rsidR="00806342" w:rsidRDefault="00806342" w:rsidP="008C3A00">
            <w:pPr>
              <w:jc w:val="center"/>
              <w:rPr>
                <w:rFonts w:ascii="Calibri" w:hAnsi="Calibri"/>
                <w:color w:val="000000"/>
                <w:szCs w:val="22"/>
              </w:rPr>
            </w:pPr>
            <w:r>
              <w:rPr>
                <w:rFonts w:ascii="Calibri" w:hAnsi="Calibri"/>
                <w:color w:val="000000"/>
                <w:szCs w:val="22"/>
              </w:rPr>
              <w:t>1.8%</w:t>
            </w:r>
          </w:p>
          <w:p w:rsidR="00806342" w:rsidRDefault="00806342" w:rsidP="008C3A00">
            <w:pPr>
              <w:jc w:val="center"/>
              <w:rPr>
                <w:rFonts w:ascii="Calibri" w:hAnsi="Calibri"/>
                <w:color w:val="000000"/>
                <w:szCs w:val="22"/>
              </w:rPr>
            </w:pPr>
            <w:r>
              <w:rPr>
                <w:rFonts w:ascii="Calibri" w:hAnsi="Calibri"/>
                <w:color w:val="000000"/>
                <w:szCs w:val="22"/>
              </w:rPr>
              <w:t>2.0%</w:t>
            </w:r>
          </w:p>
          <w:p w:rsidR="00806342" w:rsidRDefault="00806342" w:rsidP="008C3A00">
            <w:pPr>
              <w:jc w:val="center"/>
              <w:rPr>
                <w:rFonts w:ascii="Calibri" w:hAnsi="Calibri"/>
                <w:color w:val="000000"/>
                <w:szCs w:val="22"/>
              </w:rPr>
            </w:pPr>
            <w:r>
              <w:rPr>
                <w:rFonts w:ascii="Calibri" w:hAnsi="Calibri"/>
                <w:color w:val="000000"/>
                <w:szCs w:val="22"/>
              </w:rPr>
              <w:t>4.3%</w:t>
            </w:r>
          </w:p>
          <w:p w:rsidR="00806342" w:rsidRDefault="00806342" w:rsidP="008C3A00">
            <w:pPr>
              <w:jc w:val="center"/>
              <w:rPr>
                <w:rFonts w:ascii="Calibri" w:hAnsi="Calibri"/>
                <w:color w:val="000000"/>
                <w:szCs w:val="22"/>
              </w:rPr>
            </w:pPr>
            <w:r>
              <w:rPr>
                <w:rFonts w:ascii="Calibri" w:hAnsi="Calibri"/>
                <w:color w:val="000000"/>
                <w:szCs w:val="22"/>
              </w:rPr>
              <w:t>0.7%</w:t>
            </w:r>
          </w:p>
          <w:p w:rsidR="00806342" w:rsidRDefault="00806342" w:rsidP="008C3A00">
            <w:pPr>
              <w:jc w:val="center"/>
              <w:rPr>
                <w:rFonts w:ascii="Calibri" w:hAnsi="Calibri"/>
                <w:color w:val="000000"/>
                <w:szCs w:val="22"/>
              </w:rPr>
            </w:pPr>
            <w:r>
              <w:rPr>
                <w:rFonts w:ascii="Calibri" w:hAnsi="Calibri"/>
                <w:color w:val="000000"/>
                <w:szCs w:val="22"/>
              </w:rPr>
              <w:t>0.2%</w:t>
            </w:r>
          </w:p>
        </w:tc>
      </w:tr>
      <w:tr w:rsidR="00806342" w:rsidTr="008C3A00">
        <w:tc>
          <w:tcPr>
            <w:tcW w:w="4678"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rPr>
                <w:rFonts w:cs="Arial"/>
                <w:b/>
                <w:szCs w:val="22"/>
              </w:rPr>
            </w:pPr>
            <w:r>
              <w:rPr>
                <w:rFonts w:cs="Arial"/>
                <w:b/>
                <w:szCs w:val="22"/>
              </w:rPr>
              <w:t>Other health service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b/>
                <w:color w:val="000000"/>
                <w:szCs w:val="22"/>
              </w:rPr>
            </w:pPr>
            <w:r>
              <w:rPr>
                <w:rFonts w:ascii="Calibri" w:hAnsi="Calibri"/>
                <w:b/>
                <w:color w:val="000000"/>
                <w:szCs w:val="22"/>
              </w:rPr>
              <w:t>0.5%</w:t>
            </w:r>
          </w:p>
        </w:tc>
      </w:tr>
      <w:tr w:rsidR="00806342" w:rsidTr="008C3A00">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tabs>
                <w:tab w:val="left" w:pos="1440"/>
                <w:tab w:val="decimal" w:pos="4320"/>
              </w:tabs>
              <w:spacing w:before="100" w:beforeAutospacing="1" w:after="100" w:afterAutospacing="1"/>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jc w:val="center"/>
              <w:rPr>
                <w:rFonts w:ascii="Calibri" w:hAnsi="Calibri" w:cs="Calibri"/>
                <w:b/>
                <w:color w:val="000000"/>
                <w:szCs w:val="22"/>
              </w:rPr>
            </w:pPr>
            <w:r>
              <w:rPr>
                <w:rFonts w:ascii="Calibri" w:hAnsi="Calibri" w:cs="Calibri"/>
                <w:b/>
                <w:color w:val="000000"/>
                <w:szCs w:val="22"/>
              </w:rPr>
              <w:t>444</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jc w:val="center"/>
              <w:rPr>
                <w:rFonts w:ascii="Calibri" w:hAnsi="Calibri" w:cs="Calibri"/>
                <w:color w:val="000000"/>
                <w:szCs w:val="22"/>
              </w:rPr>
            </w:pPr>
          </w:p>
        </w:tc>
      </w:tr>
    </w:tbl>
    <w:p w:rsidR="00806342" w:rsidRDefault="00806342" w:rsidP="00806342">
      <w:bookmarkStart w:id="26" w:name="_Toc426462632"/>
    </w:p>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pStyle w:val="Heading2"/>
        <w:rPr>
          <w:lang w:val="en-NZ"/>
        </w:rPr>
      </w:pPr>
      <w:bookmarkStart w:id="27" w:name="_Toc443992227"/>
      <w:bookmarkStart w:id="28" w:name="_Toc447273226"/>
      <w:bookmarkStart w:id="29" w:name="_Toc447274439"/>
      <w:r>
        <w:rPr>
          <w:lang w:val="en-NZ"/>
        </w:rPr>
        <w:t>3.0</w:t>
      </w:r>
      <w:r>
        <w:rPr>
          <w:lang w:val="en-NZ"/>
        </w:rPr>
        <w:tab/>
        <w:t>Issues complained about</w:t>
      </w:r>
      <w:bookmarkEnd w:id="26"/>
      <w:bookmarkEnd w:id="27"/>
      <w:bookmarkEnd w:id="28"/>
      <w:bookmarkEnd w:id="29"/>
      <w:r>
        <w:rPr>
          <w:lang w:val="en-NZ"/>
        </w:rPr>
        <w:t xml:space="preserve"> </w:t>
      </w:r>
    </w:p>
    <w:p w:rsidR="00806342" w:rsidRDefault="00806342" w:rsidP="00806342">
      <w:pPr>
        <w:pStyle w:val="Heading3"/>
        <w:spacing w:before="120" w:after="120"/>
      </w:pPr>
      <w:bookmarkStart w:id="30" w:name="_Toc426462633"/>
      <w:bookmarkStart w:id="31" w:name="_Toc443992228"/>
      <w:bookmarkStart w:id="32" w:name="_Toc447273227"/>
      <w:bookmarkStart w:id="33" w:name="_Toc447274440"/>
      <w:r>
        <w:t>3.1</w:t>
      </w:r>
      <w:r>
        <w:tab/>
        <w:t>Primary complaint issues</w:t>
      </w:r>
      <w:bookmarkEnd w:id="30"/>
      <w:bookmarkEnd w:id="31"/>
      <w:bookmarkEnd w:id="32"/>
      <w:bookmarkEnd w:id="33"/>
    </w:p>
    <w:p w:rsidR="00806342" w:rsidRDefault="00806342" w:rsidP="00806342">
      <w:r>
        <w:t xml:space="preserve">For each complaint received by HDC, one primary complaint issue is identified. Those complaint issues identified in only one complaint are classified as ‘other’. The primary issues identified in complaints received in </w:t>
      </w:r>
      <w:r>
        <w:rPr>
          <w:lang w:eastAsia="en-NZ" w:bidi="ar-SA"/>
        </w:rPr>
        <w:t xml:space="preserve">Jul–Dec 2015 </w:t>
      </w:r>
      <w:r>
        <w:t xml:space="preserve">are listed in Table 6. </w:t>
      </w:r>
    </w:p>
    <w:p w:rsidR="00806342" w:rsidRDefault="00806342" w:rsidP="00806342"/>
    <w:p w:rsidR="00806342" w:rsidRDefault="00806342" w:rsidP="00806342">
      <w:pPr>
        <w:spacing w:after="120"/>
        <w:rPr>
          <w:b/>
        </w:rPr>
      </w:pPr>
      <w:r>
        <w:rPr>
          <w:b/>
        </w:rPr>
        <w:t xml:space="preserve">Table 6. </w:t>
      </w:r>
      <w:r>
        <w:t>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806342" w:rsidTr="008C3A00">
        <w:trPr>
          <w:tblHeader/>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06342" w:rsidRDefault="00806342" w:rsidP="008C3A00">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keepNext/>
              <w:keepLines/>
              <w:jc w:val="center"/>
              <w:rPr>
                <w:rFonts w:ascii="Calibri" w:hAnsi="Calibri" w:cs="Calibri"/>
                <w:b/>
                <w:i/>
                <w:color w:val="000000"/>
                <w:szCs w:val="22"/>
              </w:rPr>
            </w:pPr>
            <w:r>
              <w:rPr>
                <w:rFonts w:ascii="Calibri" w:hAnsi="Calibri" w:cs="Calibri"/>
                <w:b/>
                <w:i/>
                <w:color w:val="000000"/>
                <w:szCs w:val="22"/>
              </w:rPr>
              <w:t>61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keepNext/>
              <w:keepLines/>
              <w:jc w:val="center"/>
              <w:rPr>
                <w:rFonts w:ascii="Calibri" w:hAnsi="Calibri" w:cs="Calibri"/>
                <w:b/>
                <w:i/>
                <w:color w:val="000000"/>
                <w:szCs w:val="22"/>
              </w:rPr>
            </w:pPr>
            <w:r>
              <w:rPr>
                <w:rFonts w:ascii="Calibri" w:hAnsi="Calibri" w:cs="Calibri"/>
                <w:b/>
                <w:i/>
                <w:color w:val="000000"/>
                <w:szCs w:val="22"/>
              </w:rPr>
              <w:t>14.4%</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6.4%</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0.7%</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7.3%</w:t>
            </w: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06342" w:rsidRDefault="00806342" w:rsidP="008C3A00">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keepNext/>
              <w:keepLines/>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keepNext/>
              <w:keepLines/>
              <w:jc w:val="center"/>
              <w:rPr>
                <w:rFonts w:ascii="Calibri" w:hAnsi="Calibri" w:cs="Calibri"/>
                <w:b/>
                <w:i/>
                <w:color w:val="000000"/>
                <w:szCs w:val="22"/>
              </w:rPr>
            </w:pPr>
            <w:r>
              <w:rPr>
                <w:rFonts w:ascii="Calibri" w:hAnsi="Calibri" w:cs="Calibri"/>
                <w:b/>
                <w:i/>
                <w:color w:val="000000"/>
                <w:szCs w:val="22"/>
              </w:rPr>
              <w:t>0.7%</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Inappropriate sexual communication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0.5%</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Inappropriate sexual physical contact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0.2%</w:t>
            </w: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06342" w:rsidRDefault="00806342" w:rsidP="008C3A00">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keepNext/>
              <w:keepLines/>
              <w:jc w:val="center"/>
              <w:rPr>
                <w:rFonts w:ascii="Calibri" w:hAnsi="Calibri" w:cs="Calibri"/>
                <w:b/>
                <w:i/>
                <w:color w:val="000000"/>
                <w:szCs w:val="22"/>
              </w:rPr>
            </w:pPr>
            <w:r>
              <w:rPr>
                <w:rFonts w:ascii="Calibri" w:hAnsi="Calibri" w:cs="Calibri"/>
                <w:b/>
                <w:i/>
                <w:color w:val="000000"/>
                <w:szCs w:val="22"/>
              </w:rPr>
              <w:t>229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keepNext/>
              <w:keepLines/>
              <w:jc w:val="center"/>
              <w:rPr>
                <w:rFonts w:ascii="Calibri" w:hAnsi="Calibri" w:cs="Calibri"/>
                <w:b/>
                <w:i/>
                <w:color w:val="000000"/>
                <w:szCs w:val="22"/>
              </w:rPr>
            </w:pPr>
            <w:r>
              <w:rPr>
                <w:rFonts w:ascii="Calibri" w:hAnsi="Calibri" w:cs="Calibri"/>
                <w:b/>
                <w:i/>
                <w:color w:val="000000"/>
                <w:szCs w:val="22"/>
              </w:rPr>
              <w:t>54.3%</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0.7%</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0.7%</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0.5%</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9.2%</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3.1%</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2.1%</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1.9%</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1.4%</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0.2%</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2.6%</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0.5%</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16.4%</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11.8%</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43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10.2%</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5.0%</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0.2%</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2.1%</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2.4%</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1.9%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38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9.0%</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3.1%</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1.7%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in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3.6%</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2.1%</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Assault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422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bl>
    <w:p w:rsidR="00806342" w:rsidRDefault="00806342" w:rsidP="00806342">
      <w:pPr>
        <w:spacing w:before="120"/>
      </w:pPr>
      <w:r>
        <w:t>The most common primary issue categories concerned care/treatment (54.3%), access/funding (14.4%), communication (10.2%) and consent/information (9.0%). Among these, the most common specific primary issues in complaints about DHBs were ‘missed/incorrect/delayed diagnosis’ (69 complaints), ‘unexpected treatment outcome’ (50 complaints), ‘inadequate/inappropriate clinical treatment’ (39 complaints), ‘waiting list/prioritisation issue’ (31 complaints) and ‘lack of access to services’ (27 complaints). This is broadly similar to what was seen in Jan-Jun 2015, with the exception of access/funding issues which were more prominent in Jul-Dec 2015 than in the Jan-Jun 2015 period (8.2%).</w:t>
      </w:r>
    </w:p>
    <w:p w:rsidR="00806342" w:rsidRDefault="00806342" w:rsidP="00806342"/>
    <w:p w:rsidR="00806342" w:rsidRDefault="00806342" w:rsidP="00806342">
      <w:r>
        <w:t xml:space="preserve">Table 7 shows a comparison over time for the top five primary issues complained about. </w:t>
      </w: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p>
    <w:p w:rsidR="00806342" w:rsidRDefault="00806342" w:rsidP="00806342">
      <w:pPr>
        <w:spacing w:after="120"/>
        <w:rPr>
          <w:b/>
        </w:rPr>
      </w:pPr>
      <w:r>
        <w:rPr>
          <w:b/>
        </w:rPr>
        <w:t xml:space="preserve">Table 7. </w:t>
      </w:r>
      <w:r>
        <w:t>Top five primary issues in complaints received over last four six month periods</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5"/>
        <w:gridCol w:w="1685"/>
        <w:gridCol w:w="565"/>
        <w:gridCol w:w="1690"/>
        <w:gridCol w:w="563"/>
        <w:gridCol w:w="1738"/>
        <w:gridCol w:w="709"/>
      </w:tblGrid>
      <w:tr w:rsidR="00806342" w:rsidTr="008C3A00">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806342" w:rsidTr="008C3A00">
        <w:tc>
          <w:tcPr>
            <w:tcW w:w="1225"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ind w:firstLine="152"/>
              <w:jc w:val="center"/>
              <w:outlineLvl w:val="0"/>
              <w:rPr>
                <w:rFonts w:ascii="Calibri" w:hAnsi="Calibri"/>
                <w:b/>
              </w:rPr>
            </w:pPr>
            <w:r>
              <w:rPr>
                <w:rFonts w:ascii="Calibri" w:hAnsi="Calibri"/>
                <w:b/>
                <w:szCs w:val="22"/>
              </w:rPr>
              <w:t>Jan–Jun 14</w:t>
            </w:r>
          </w:p>
          <w:p w:rsidR="00806342" w:rsidRDefault="00806342" w:rsidP="008C3A00">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n=330</w:t>
            </w:r>
          </w:p>
        </w:tc>
        <w:tc>
          <w:tcPr>
            <w:tcW w:w="1222"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rPr>
                <w:rFonts w:ascii="Calibri" w:hAnsi="Calibri"/>
                <w:b/>
                <w:szCs w:val="22"/>
              </w:rPr>
            </w:pPr>
            <w:r>
              <w:rPr>
                <w:rFonts w:ascii="Calibri" w:hAnsi="Calibri"/>
                <w:b/>
                <w:szCs w:val="22"/>
              </w:rPr>
              <w:t>Jul–Dec 14</w:t>
            </w:r>
          </w:p>
          <w:p w:rsidR="00806342" w:rsidRDefault="00806342" w:rsidP="008C3A00">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n=368</w:t>
            </w:r>
          </w:p>
        </w:tc>
        <w:tc>
          <w:tcPr>
            <w:tcW w:w="1224"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ind w:firstLine="152"/>
              <w:jc w:val="center"/>
              <w:outlineLvl w:val="0"/>
              <w:rPr>
                <w:rFonts w:ascii="Calibri" w:hAnsi="Calibri"/>
                <w:b/>
              </w:rPr>
            </w:pPr>
            <w:r>
              <w:rPr>
                <w:rFonts w:ascii="Calibri" w:hAnsi="Calibri"/>
                <w:b/>
                <w:szCs w:val="22"/>
              </w:rPr>
              <w:t>Jan–Jun 15</w:t>
            </w:r>
          </w:p>
          <w:p w:rsidR="00806342" w:rsidRDefault="00806342" w:rsidP="008C3A00">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n=389</w:t>
            </w:r>
          </w:p>
        </w:tc>
        <w:tc>
          <w:tcPr>
            <w:tcW w:w="1329"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ind w:firstLine="152"/>
              <w:jc w:val="center"/>
              <w:outlineLvl w:val="0"/>
              <w:rPr>
                <w:rFonts w:ascii="Calibri" w:hAnsi="Calibri"/>
                <w:b/>
              </w:rPr>
            </w:pPr>
            <w:r>
              <w:rPr>
                <w:rFonts w:ascii="Calibri" w:hAnsi="Calibri"/>
                <w:b/>
                <w:szCs w:val="22"/>
              </w:rPr>
              <w:t>Jul–Dec 15</w:t>
            </w:r>
          </w:p>
          <w:p w:rsidR="00806342" w:rsidRDefault="00806342" w:rsidP="008C3A00">
            <w:pPr>
              <w:jc w:val="center"/>
              <w:rPr>
                <w:rFonts w:ascii="Calibri" w:hAnsi="Calibri"/>
                <w:b/>
                <w:szCs w:val="22"/>
              </w:rPr>
            </w:pPr>
            <w:r>
              <w:rPr>
                <w:rFonts w:ascii="Calibri" w:hAnsi="Calibri"/>
                <w:b/>
                <w:szCs w:val="22"/>
              </w:rPr>
              <w:t>n=424</w:t>
            </w:r>
          </w:p>
        </w:tc>
      </w:tr>
      <w:tr w:rsidR="00806342" w:rsidTr="008C3A00">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17%</w:t>
            </w:r>
          </w:p>
        </w:tc>
        <w:tc>
          <w:tcPr>
            <w:tcW w:w="91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15%</w:t>
            </w:r>
          </w:p>
        </w:tc>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Misdiagnosis</w:t>
            </w:r>
          </w:p>
        </w:tc>
        <w:tc>
          <w:tcPr>
            <w:tcW w:w="30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20%</w:t>
            </w:r>
          </w:p>
        </w:tc>
        <w:tc>
          <w:tcPr>
            <w:tcW w:w="944"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Misdiagnosis</w:t>
            </w:r>
          </w:p>
        </w:tc>
        <w:tc>
          <w:tcPr>
            <w:tcW w:w="38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16%</w:t>
            </w:r>
          </w:p>
        </w:tc>
      </w:tr>
      <w:tr w:rsidR="00806342" w:rsidTr="008C3A00">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p>
        </w:tc>
        <w:tc>
          <w:tcPr>
            <w:tcW w:w="91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p>
        </w:tc>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Inadequate treatment</w:t>
            </w:r>
          </w:p>
        </w:tc>
        <w:tc>
          <w:tcPr>
            <w:tcW w:w="30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12%</w:t>
            </w:r>
          </w:p>
        </w:tc>
        <w:tc>
          <w:tcPr>
            <w:tcW w:w="944"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Unexpected treatment outcome</w:t>
            </w:r>
          </w:p>
        </w:tc>
        <w:tc>
          <w:tcPr>
            <w:tcW w:w="38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12%</w:t>
            </w:r>
          </w:p>
        </w:tc>
      </w:tr>
      <w:tr w:rsidR="00806342" w:rsidTr="008C3A00">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Disrespectful manner/attitude</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6%</w:t>
            </w:r>
          </w:p>
        </w:tc>
        <w:tc>
          <w:tcPr>
            <w:tcW w:w="91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spacing w:before="100" w:beforeAutospacing="1"/>
              <w:jc w:val="left"/>
              <w:outlineLvl w:val="0"/>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7%</w:t>
            </w:r>
          </w:p>
        </w:tc>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Unexpected treatment outcome</w:t>
            </w:r>
          </w:p>
        </w:tc>
        <w:tc>
          <w:tcPr>
            <w:tcW w:w="30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6%</w:t>
            </w:r>
          </w:p>
        </w:tc>
        <w:tc>
          <w:tcPr>
            <w:tcW w:w="944"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Inadequate treatment</w:t>
            </w:r>
          </w:p>
        </w:tc>
        <w:tc>
          <w:tcPr>
            <w:tcW w:w="38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9%</w:t>
            </w:r>
          </w:p>
        </w:tc>
      </w:tr>
      <w:tr w:rsidR="00806342" w:rsidTr="008C3A00">
        <w:trPr>
          <w:trHeight w:val="639"/>
        </w:trPr>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spacing w:before="100" w:beforeAutospacing="1"/>
              <w:jc w:val="left"/>
              <w:outlineLvl w:val="0"/>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6%</w:t>
            </w:r>
          </w:p>
        </w:tc>
        <w:tc>
          <w:tcPr>
            <w:tcW w:w="91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Waiting list/</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6%</w:t>
            </w:r>
          </w:p>
        </w:tc>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Disrespectful manner/attitude</w:t>
            </w:r>
          </w:p>
        </w:tc>
        <w:tc>
          <w:tcPr>
            <w:tcW w:w="30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4%</w:t>
            </w:r>
          </w:p>
        </w:tc>
        <w:tc>
          <w:tcPr>
            <w:tcW w:w="944"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Waiting list/</w:t>
            </w:r>
          </w:p>
          <w:p w:rsidR="00806342" w:rsidRDefault="00806342" w:rsidP="008C3A00">
            <w:pPr>
              <w:jc w:val="left"/>
              <w:rPr>
                <w:rFonts w:ascii="Calibri" w:hAnsi="Calibri"/>
                <w:sz w:val="20"/>
                <w:szCs w:val="20"/>
              </w:rPr>
            </w:pPr>
            <w:r>
              <w:rPr>
                <w:rFonts w:ascii="Calibri" w:hAnsi="Calibri"/>
                <w:sz w:val="20"/>
                <w:szCs w:val="20"/>
              </w:rPr>
              <w:t>prioritisation</w:t>
            </w:r>
          </w:p>
        </w:tc>
        <w:tc>
          <w:tcPr>
            <w:tcW w:w="38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7%</w:t>
            </w:r>
          </w:p>
        </w:tc>
      </w:tr>
      <w:tr w:rsidR="00806342" w:rsidTr="008C3A00">
        <w:trPr>
          <w:trHeight w:val="561"/>
        </w:trPr>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5%</w:t>
            </w:r>
          </w:p>
        </w:tc>
        <w:tc>
          <w:tcPr>
            <w:tcW w:w="91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Disrespectful manner/attitude</w:t>
            </w:r>
          </w:p>
        </w:tc>
        <w:tc>
          <w:tcPr>
            <w:tcW w:w="30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5%</w:t>
            </w:r>
          </w:p>
        </w:tc>
        <w:tc>
          <w:tcPr>
            <w:tcW w:w="918"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Lack of access to services</w:t>
            </w:r>
          </w:p>
        </w:tc>
        <w:tc>
          <w:tcPr>
            <w:tcW w:w="30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4%</w:t>
            </w:r>
          </w:p>
        </w:tc>
        <w:tc>
          <w:tcPr>
            <w:tcW w:w="944"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left"/>
              <w:rPr>
                <w:rFonts w:ascii="Calibri" w:hAnsi="Calibri"/>
                <w:sz w:val="20"/>
                <w:szCs w:val="20"/>
              </w:rPr>
            </w:pPr>
            <w:r>
              <w:rPr>
                <w:rFonts w:ascii="Calibri" w:hAnsi="Calibri"/>
                <w:sz w:val="20"/>
                <w:szCs w:val="20"/>
              </w:rPr>
              <w:t>Lack of access to services</w:t>
            </w:r>
          </w:p>
        </w:tc>
        <w:tc>
          <w:tcPr>
            <w:tcW w:w="385"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sz w:val="20"/>
                <w:szCs w:val="20"/>
              </w:rPr>
            </w:pPr>
            <w:r>
              <w:rPr>
                <w:rFonts w:ascii="Calibri" w:hAnsi="Calibri"/>
                <w:sz w:val="20"/>
                <w:szCs w:val="20"/>
              </w:rPr>
              <w:t xml:space="preserve">6% </w:t>
            </w:r>
          </w:p>
        </w:tc>
      </w:tr>
    </w:tbl>
    <w:p w:rsidR="00806342" w:rsidRDefault="00806342" w:rsidP="00806342"/>
    <w:p w:rsidR="00806342" w:rsidRDefault="00806342" w:rsidP="00806342">
      <w:r>
        <w:t xml:space="preserve">The top five primary issues in </w:t>
      </w:r>
      <w:r>
        <w:rPr>
          <w:lang w:eastAsia="en-NZ" w:bidi="ar-SA"/>
        </w:rPr>
        <w:t xml:space="preserve">Jul–Dec 2015 </w:t>
      </w:r>
      <w:r>
        <w:t xml:space="preserve">are similar to primary issues reported in previous periods. However, as mentioned above, access/funding issues have become more prominent in Jul-Dec 2015 as compared to previous periods. ‘Unexpected treatment outcome’ was also more prominent in Jul-Dec 2015, increasing from being the primary issue in around 6% of complaints in the last few six-month periods to 12% of complaints in Jul-Dec 2015. </w:t>
      </w:r>
    </w:p>
    <w:p w:rsidR="00806342" w:rsidRDefault="00806342" w:rsidP="00806342"/>
    <w:p w:rsidR="00806342" w:rsidRDefault="00806342" w:rsidP="00806342">
      <w:pPr>
        <w:pStyle w:val="Heading3"/>
      </w:pPr>
      <w:bookmarkStart w:id="34" w:name="_Toc426462634"/>
      <w:bookmarkStart w:id="35" w:name="_Toc443992229"/>
      <w:bookmarkStart w:id="36" w:name="_Toc447273228"/>
      <w:bookmarkStart w:id="37" w:name="_Toc447274441"/>
      <w:r>
        <w:t>3.2</w:t>
      </w:r>
      <w:r>
        <w:tab/>
        <w:t>All complaint  issues</w:t>
      </w:r>
      <w:bookmarkEnd w:id="34"/>
      <w:bookmarkEnd w:id="35"/>
      <w:bookmarkEnd w:id="36"/>
      <w:bookmarkEnd w:id="37"/>
    </w:p>
    <w:p w:rsidR="00806342" w:rsidRDefault="00806342" w:rsidP="00806342">
      <w:pPr>
        <w:rPr>
          <w:rFonts w:ascii="Calibri" w:hAnsi="Calibri"/>
          <w:szCs w:val="22"/>
        </w:rPr>
      </w:pPr>
      <w:r>
        <w:rPr>
          <w:rFonts w:ascii="Calibri" w:hAnsi="Calibri"/>
          <w:szCs w:val="22"/>
        </w:rPr>
        <w:t>As well as the primary complaint issue, up to six additional other complaint issues are identified for each complaint received by HDC. Table 8 includes these additional complaint issues as well as the primary complaint issues to show all issues identified in complaints received. Complaint issues identified in only one complaint are classified as ‘other’.</w:t>
      </w:r>
    </w:p>
    <w:p w:rsidR="00806342" w:rsidRDefault="00806342" w:rsidP="00806342">
      <w:pPr>
        <w:rPr>
          <w:rFonts w:ascii="Calibri" w:hAnsi="Calibri"/>
          <w:szCs w:val="22"/>
        </w:rPr>
      </w:pPr>
    </w:p>
    <w:p w:rsidR="00806342" w:rsidRDefault="00806342" w:rsidP="00806342">
      <w:pPr>
        <w:rPr>
          <w:rFonts w:ascii="Calibri" w:hAnsi="Calibri"/>
          <w:szCs w:val="22"/>
        </w:rPr>
      </w:pPr>
      <w:r>
        <w:rPr>
          <w:rFonts w:ascii="Calibri" w:hAnsi="Calibri"/>
          <w:szCs w:val="22"/>
        </w:rPr>
        <w:t xml:space="preserve">On analysis of all issues identified in complaints about DHBs, the most common issues were ‘inadequate/inappropriate clinical treatment’ (47.4%), ‘failure to communicate effectively with consumer’ (34.6%), ‘inadequate/inappropriate examination/assessment’ (29.9%), ‘disrespectful manner/attitude’ (28.0%),   ‘inadequate response to the consumer’s complaint by the DHB’ (25.1%), ‘missed/incorrect/delayed diagnosis’ (24.6%), ‘failure to communicate effectively with family’ (24.6%) and ‘inadequate coordination of care/treatment’ (24.4%). This is broadly similar to what was seen in </w:t>
      </w:r>
      <w:r>
        <w:rPr>
          <w:lang w:eastAsia="en-NZ" w:bidi="ar-SA"/>
        </w:rPr>
        <w:t xml:space="preserve">Jan–Jun 2015. </w:t>
      </w:r>
    </w:p>
    <w:p w:rsidR="00806342" w:rsidRDefault="00806342" w:rsidP="00806342">
      <w:pPr>
        <w:rPr>
          <w:rFonts w:ascii="Calibri" w:hAnsi="Calibri"/>
          <w:szCs w:val="22"/>
        </w:rPr>
      </w:pPr>
      <w:r>
        <w:rPr>
          <w:rFonts w:ascii="Calibri" w:hAnsi="Calibri"/>
          <w:szCs w:val="22"/>
        </w:rPr>
        <w:t xml:space="preserve">  </w:t>
      </w:r>
    </w:p>
    <w:p w:rsidR="00806342" w:rsidRDefault="00806342" w:rsidP="00806342">
      <w:pPr>
        <w:jc w:val="left"/>
        <w:rPr>
          <w:rFonts w:ascii="Calibri" w:hAnsi="Calibri"/>
          <w:szCs w:val="22"/>
        </w:rPr>
      </w:pPr>
      <w:r>
        <w:rPr>
          <w:rFonts w:ascii="Calibri" w:hAnsi="Calibri"/>
          <w:szCs w:val="22"/>
        </w:rPr>
        <w:t>Also similar to the last six-month period, many complaints involved issues with a consumer’s care/treatment, such as ‘unexpected treatment outcome’ (21.6%), ‘delay in treatment’ (18.7%) ‘inadequate/inappropriate follow-up’ (18.7%), ‘inappropriate/delayed discharge/transfer’ (17.3%) and ‘inadequate/inappropriate testing’ (16.6%).</w:t>
      </w: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rPr>
          <w:rFonts w:ascii="Calibri" w:hAnsi="Calibri"/>
          <w:b/>
          <w:szCs w:val="22"/>
        </w:rPr>
      </w:pPr>
    </w:p>
    <w:p w:rsidR="00806342" w:rsidRDefault="00806342" w:rsidP="00806342">
      <w:pPr>
        <w:widowControl w:val="0"/>
        <w:spacing w:after="120"/>
        <w:rPr>
          <w:rFonts w:ascii="Calibri" w:hAnsi="Calibri"/>
          <w:szCs w:val="22"/>
        </w:rPr>
      </w:pPr>
      <w:r>
        <w:rPr>
          <w:rFonts w:ascii="Calibri" w:hAnsi="Calibri"/>
          <w:b/>
          <w:szCs w:val="22"/>
        </w:rPr>
        <w:t xml:space="preserve">Table 8. </w:t>
      </w:r>
      <w:r>
        <w:rPr>
          <w:rFonts w:ascii="Calibri" w:hAnsi="Calibri"/>
          <w:szCs w:val="22"/>
        </w:rPr>
        <w:t>All issues identified in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806342" w:rsidTr="008C3A00">
        <w:trPr>
          <w:tblHeader/>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All issues in complaints </w:t>
            </w:r>
          </w:p>
        </w:tc>
        <w:tc>
          <w:tcPr>
            <w:tcW w:w="1701"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06342" w:rsidRDefault="00806342" w:rsidP="008C3A00">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keepNext/>
              <w:keepLines/>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keepNext/>
              <w:keepLines/>
              <w:jc w:val="center"/>
              <w:rPr>
                <w:rFonts w:ascii="Calibri" w:hAnsi="Calibri" w:cs="Calibri"/>
                <w:b/>
                <w:i/>
                <w:color w:val="000000"/>
                <w:szCs w:val="22"/>
              </w:rPr>
            </w:pP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jc w:val="left"/>
              <w:rPr>
                <w:rFonts w:ascii="Calibri" w:hAnsi="Calibri" w:cs="Calibri"/>
                <w:color w:val="000000"/>
                <w:szCs w:val="22"/>
              </w:rPr>
            </w:pPr>
            <w:r>
              <w:rPr>
                <w:rFonts w:ascii="Calibri" w:hAnsi="Calibri" w:cs="Calibri"/>
                <w:color w:val="000000"/>
                <w:szCs w:val="22"/>
              </w:rPr>
              <w:t>ACC compensation issue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1.2%</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11.3%</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2.1%</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14.0%</w:t>
            </w: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06342" w:rsidRDefault="00806342" w:rsidP="008C3A00">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keepNext/>
              <w:keepLines/>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keepNext/>
              <w:keepLines/>
              <w:jc w:val="center"/>
              <w:rPr>
                <w:rFonts w:ascii="Calibri" w:hAnsi="Calibri" w:cs="Calibri"/>
                <w:b/>
                <w:i/>
                <w:color w:val="000000"/>
                <w:szCs w:val="22"/>
              </w:rPr>
            </w:pP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Inappropriate sexual communication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0.7%</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Other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806342" w:rsidRDefault="00806342" w:rsidP="008C3A00">
            <w:pPr>
              <w:keepNext/>
              <w:keepLines/>
              <w:jc w:val="center"/>
              <w:rPr>
                <w:rFonts w:ascii="Calibri" w:hAnsi="Calibri" w:cs="Calibri"/>
                <w:color w:val="000000"/>
                <w:szCs w:val="22"/>
              </w:rPr>
            </w:pP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06342" w:rsidRDefault="00806342" w:rsidP="008C3A00">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keepNext/>
              <w:keepLines/>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keepNext/>
              <w:keepLines/>
              <w:jc w:val="center"/>
              <w:rPr>
                <w:rFonts w:ascii="Calibri" w:hAnsi="Calibri" w:cs="Calibri"/>
                <w:b/>
                <w:i/>
                <w:color w:val="000000"/>
                <w:szCs w:val="22"/>
              </w:rPr>
            </w:pP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18.7%</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cs="Calibri"/>
                <w:color w:val="000000"/>
                <w:szCs w:val="22"/>
              </w:rPr>
            </w:pPr>
            <w:r>
              <w:rPr>
                <w:rFonts w:ascii="Calibri" w:hAnsi="Calibri" w:cs="Calibri"/>
                <w:color w:val="000000"/>
                <w:szCs w:val="22"/>
              </w:rPr>
              <w:t>11.1%</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24.4%</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47.4%</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29.9%</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18.7%</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7.8%</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5.9%</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16.6%</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0.7%</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17.3%</w:t>
            </w:r>
          </w:p>
        </w:tc>
      </w:tr>
      <w:tr w:rsidR="00806342" w:rsidTr="008C3A00">
        <w:tc>
          <w:tcPr>
            <w:tcW w:w="5670" w:type="dxa"/>
            <w:tcBorders>
              <w:top w:val="single" w:sz="4" w:space="0" w:color="auto"/>
              <w:left w:val="single" w:sz="4" w:space="0" w:color="auto"/>
              <w:bottom w:val="single" w:sz="4" w:space="0" w:color="auto"/>
              <w:right w:val="single" w:sz="4" w:space="0" w:color="auto"/>
            </w:tcBorders>
            <w:vAlign w:val="bottom"/>
            <w:hideMark/>
          </w:tcPr>
          <w:p w:rsidR="00806342" w:rsidRDefault="00806342" w:rsidP="008C3A00">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jc w:val="center"/>
              <w:rPr>
                <w:rFonts w:ascii="Calibri" w:hAnsi="Calibri" w:cs="Calibri"/>
                <w:color w:val="000000"/>
                <w:szCs w:val="22"/>
              </w:rPr>
            </w:pPr>
            <w:r>
              <w:rPr>
                <w:rFonts w:ascii="Calibri" w:hAnsi="Calibri" w:cs="Calibri"/>
                <w:color w:val="000000"/>
                <w:szCs w:val="22"/>
              </w:rPr>
              <w:t>2.1%</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24.4%</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4.3%</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4.5%</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21.6%</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2.6%</w:t>
            </w:r>
          </w:p>
        </w:tc>
      </w:tr>
      <w:tr w:rsidR="00806342" w:rsidTr="008C3A0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28.0%</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1.2%</w:t>
            </w:r>
          </w:p>
        </w:tc>
      </w:tr>
      <w:tr w:rsidR="00806342" w:rsidTr="008C3A00">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34.6%</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24.6%</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7.1%</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complaints process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25.1%</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Retaliation/discrimination as a result of a complaint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2.4%</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Coercion by provider to obtain consent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23</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5.5%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fees/costs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2.8%</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16</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3.8%</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39</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9.2%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4.7%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3.3%</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1.4%</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6.9%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Accreditation standards/statutory obligations not met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2.6%</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2.6%</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23</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5.5%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in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2.4%</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3.5%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20</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4.7%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t>0.7%</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4.3%</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1.2%</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hideMark/>
          </w:tcPr>
          <w:p w:rsidR="00806342" w:rsidRDefault="00806342" w:rsidP="008C3A00">
            <w:pPr>
              <w:jc w:val="center"/>
            </w:pPr>
            <w:r>
              <w:t>2.1%</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3.3%</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Assault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1.4%</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2.8%</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2.4%</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Qualifications issue/use of title(s)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Threatening/bullying/harassing behaviour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1.4%</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 issue not regarding consumer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0.5%</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hideMark/>
          </w:tcPr>
          <w:p w:rsidR="00806342" w:rsidRDefault="00806342" w:rsidP="008C3A00">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widowControl w:val="0"/>
              <w:jc w:val="center"/>
              <w:rPr>
                <w:rFonts w:ascii="Calibri" w:hAnsi="Calibri" w:cs="Calibri"/>
                <w:color w:val="000000"/>
                <w:szCs w:val="22"/>
              </w:rPr>
            </w:pPr>
            <w:r>
              <w:rPr>
                <w:rFonts w:ascii="Calibri" w:hAnsi="Calibri" w:cs="Calibri"/>
                <w:color w:val="000000"/>
                <w:szCs w:val="22"/>
              </w:rPr>
              <w:t>1.9%</w:t>
            </w: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Disability-specific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r w:rsidR="00806342" w:rsidTr="008C3A00">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Default="00806342" w:rsidP="008C3A00">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Default="00806342" w:rsidP="008C3A00">
            <w:pPr>
              <w:widowControl w:val="0"/>
              <w:jc w:val="center"/>
              <w:rPr>
                <w:rFonts w:ascii="Calibri" w:hAnsi="Calibri" w:cs="Calibri"/>
                <w:b/>
                <w:i/>
                <w:color w:val="000000"/>
                <w:szCs w:val="22"/>
              </w:rPr>
            </w:pPr>
            <w:r>
              <w:rPr>
                <w:rFonts w:ascii="Calibri" w:hAnsi="Calibri" w:cs="Calibri"/>
                <w:b/>
                <w:i/>
                <w:color w:val="000000"/>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342" w:rsidRDefault="00806342" w:rsidP="008C3A00">
            <w:pPr>
              <w:widowControl w:val="0"/>
              <w:jc w:val="center"/>
              <w:rPr>
                <w:rFonts w:ascii="Calibri" w:hAnsi="Calibri" w:cs="Calibri"/>
                <w:b/>
                <w:i/>
                <w:color w:val="000000"/>
                <w:szCs w:val="22"/>
              </w:rPr>
            </w:pPr>
          </w:p>
        </w:tc>
      </w:tr>
    </w:tbl>
    <w:p w:rsidR="00806342" w:rsidRDefault="00806342" w:rsidP="00806342">
      <w:pPr>
        <w:widowControl w:val="0"/>
        <w:rPr>
          <w:rFonts w:ascii="Calibri" w:hAnsi="Calibri"/>
          <w:b/>
          <w:szCs w:val="22"/>
        </w:rPr>
      </w:pPr>
    </w:p>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Pr>
        <w:pStyle w:val="Heading3"/>
        <w:keepNext w:val="0"/>
        <w:widowControl w:val="0"/>
        <w:jc w:val="left"/>
        <w:rPr>
          <w:rFonts w:ascii="Calibri" w:hAnsi="Calibri"/>
          <w:b/>
          <w:vanish/>
          <w:szCs w:val="22"/>
        </w:rPr>
      </w:pPr>
    </w:p>
    <w:p w:rsidR="00806342" w:rsidRDefault="00806342" w:rsidP="00806342">
      <w:pPr>
        <w:pStyle w:val="Heading3"/>
        <w:keepNext w:val="0"/>
        <w:widowControl w:val="0"/>
        <w:jc w:val="left"/>
      </w:pPr>
      <w:r>
        <w:rPr>
          <w:rFonts w:ascii="Calibri" w:hAnsi="Calibri"/>
          <w:b/>
          <w:vanish/>
          <w:szCs w:val="22"/>
          <w:highlight w:val="yellow"/>
        </w:rPr>
        <w:t>nappropriate/unlawful to ommon primary issues were inadequate/inappropriate treatment and missed/incorrect/delayed diagnosis</w:t>
      </w:r>
      <w:bookmarkStart w:id="38" w:name="_Toc426462635"/>
      <w:bookmarkStart w:id="39" w:name="_Toc443992230"/>
      <w:bookmarkStart w:id="40" w:name="_Toc447273229"/>
      <w:bookmarkStart w:id="41" w:name="_Toc447274442"/>
      <w:r>
        <w:t>3.3</w:t>
      </w:r>
      <w:r>
        <w:tab/>
        <w:t>Service type and primary issues</w:t>
      </w:r>
      <w:bookmarkEnd w:id="38"/>
      <w:bookmarkEnd w:id="39"/>
      <w:bookmarkEnd w:id="40"/>
      <w:bookmarkEnd w:id="41"/>
    </w:p>
    <w:p w:rsidR="00806342" w:rsidRDefault="00806342" w:rsidP="00806342">
      <w:pPr>
        <w:keepNext/>
        <w:keepLines/>
        <w:spacing w:after="240"/>
      </w:pPr>
      <w:r>
        <w:t>Table 9 shows the top three primary issues in complaints concerning the most commonly complained about service types. This is broadly similar to what was seen in the last six-month period, with the exception of access/funding issues which have appeared in the top three primary issues for mental health and general medicine for the first time. There has also been an increase in the number of surgical complaints relating primarily to an ‘unexpected treatment outcome’, with this increasing from being the primary issue in around 13% of surgical complaints in previous periods to being the primary issue in 28% of surgical complaints in Jul-Dec 2015.</w:t>
      </w:r>
    </w:p>
    <w:p w:rsidR="00806342" w:rsidRDefault="00806342" w:rsidP="00806342">
      <w:pPr>
        <w:keepNext/>
        <w:keepLines/>
        <w:spacing w:after="120"/>
        <w:rPr>
          <w:szCs w:val="22"/>
        </w:rPr>
      </w:pPr>
      <w:r>
        <w:rPr>
          <w:b/>
          <w:szCs w:val="22"/>
        </w:rPr>
        <w:t xml:space="preserve">Table 9. </w:t>
      </w:r>
      <w:r>
        <w:rPr>
          <w:szCs w:val="22"/>
        </w:rPr>
        <w:t>Three most common primary issues in complaints by service type</w:t>
      </w: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8"/>
        <w:gridCol w:w="1411"/>
        <w:gridCol w:w="707"/>
        <w:gridCol w:w="1411"/>
        <w:gridCol w:w="707"/>
        <w:gridCol w:w="1411"/>
        <w:gridCol w:w="566"/>
        <w:gridCol w:w="1411"/>
        <w:gridCol w:w="566"/>
      </w:tblGrid>
      <w:tr w:rsidR="00806342" w:rsidTr="008C3A00">
        <w:tc>
          <w:tcPr>
            <w:tcW w:w="960"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Surgery</w:t>
            </w:r>
          </w:p>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n=155</w:t>
            </w:r>
          </w:p>
        </w:tc>
        <w:tc>
          <w:tcPr>
            <w:tcW w:w="1045"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Mental health</w:t>
            </w:r>
          </w:p>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n=89</w:t>
            </w:r>
          </w:p>
        </w:tc>
        <w:tc>
          <w:tcPr>
            <w:tcW w:w="1045"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General medicine</w:t>
            </w:r>
          </w:p>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n=67</w:t>
            </w:r>
          </w:p>
        </w:tc>
        <w:tc>
          <w:tcPr>
            <w:tcW w:w="975"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Emergency department</w:t>
            </w:r>
          </w:p>
          <w:p w:rsidR="00806342" w:rsidRDefault="00806342" w:rsidP="008C3A00">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n=54</w:t>
            </w:r>
          </w:p>
        </w:tc>
        <w:tc>
          <w:tcPr>
            <w:tcW w:w="975" w:type="pct"/>
            <w:gridSpan w:val="2"/>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jc w:val="center"/>
              <w:rPr>
                <w:b/>
                <w:sz w:val="20"/>
                <w:szCs w:val="20"/>
              </w:rPr>
            </w:pPr>
            <w:r>
              <w:rPr>
                <w:b/>
                <w:sz w:val="20"/>
                <w:szCs w:val="20"/>
              </w:rPr>
              <w:t>Maternity</w:t>
            </w:r>
          </w:p>
          <w:p w:rsidR="00806342" w:rsidRDefault="00806342" w:rsidP="008C3A00">
            <w:pPr>
              <w:keepNext/>
              <w:keepLines/>
              <w:jc w:val="center"/>
              <w:rPr>
                <w:b/>
                <w:sz w:val="20"/>
                <w:szCs w:val="20"/>
              </w:rPr>
            </w:pPr>
            <w:r>
              <w:rPr>
                <w:b/>
                <w:sz w:val="20"/>
                <w:szCs w:val="20"/>
              </w:rPr>
              <w:t>n=24</w:t>
            </w:r>
          </w:p>
        </w:tc>
      </w:tr>
      <w:tr w:rsidR="00806342" w:rsidTr="008C3A00">
        <w:tc>
          <w:tcPr>
            <w:tcW w:w="68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28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28%</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p>
        </w:tc>
        <w:tc>
          <w:tcPr>
            <w:tcW w:w="34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13%</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4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16%</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27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44%</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806342" w:rsidRDefault="00806342" w:rsidP="008C3A00">
            <w:pPr>
              <w:keepNext/>
              <w:keepLines/>
              <w:jc w:val="left"/>
              <w:rPr>
                <w:sz w:val="20"/>
                <w:szCs w:val="20"/>
              </w:rPr>
            </w:pPr>
            <w:r>
              <w:rPr>
                <w:rFonts w:ascii="Calibri" w:hAnsi="Calibri"/>
                <w:sz w:val="20"/>
                <w:szCs w:val="20"/>
              </w:rPr>
              <w:t>delayed diagnosis</w:t>
            </w:r>
          </w:p>
        </w:tc>
        <w:tc>
          <w:tcPr>
            <w:tcW w:w="27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rPr>
                <w:sz w:val="20"/>
                <w:szCs w:val="20"/>
              </w:rPr>
            </w:pPr>
            <w:r>
              <w:rPr>
                <w:sz w:val="20"/>
                <w:szCs w:val="20"/>
              </w:rPr>
              <w:t>25%</w:t>
            </w:r>
          </w:p>
        </w:tc>
      </w:tr>
      <w:tr w:rsidR="00806342" w:rsidTr="008C3A00">
        <w:tc>
          <w:tcPr>
            <w:tcW w:w="68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28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14%</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4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 &amp; waiting list/</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4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each</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Disrespectful manner/</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attitude</w:t>
            </w:r>
          </w:p>
        </w:tc>
        <w:tc>
          <w:tcPr>
            <w:tcW w:w="27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806342" w:rsidRDefault="00806342" w:rsidP="008C3A00">
            <w:pPr>
              <w:keepNext/>
              <w:keepLines/>
              <w:jc w:val="left"/>
            </w:pPr>
            <w:r>
              <w:rPr>
                <w:rFonts w:ascii="Calibri" w:hAnsi="Calibri"/>
                <w:sz w:val="20"/>
                <w:szCs w:val="20"/>
              </w:rPr>
              <w:t>inappropriate treatment</w:t>
            </w:r>
          </w:p>
        </w:tc>
        <w:tc>
          <w:tcPr>
            <w:tcW w:w="27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rPr>
                <w:sz w:val="20"/>
                <w:szCs w:val="20"/>
              </w:rPr>
            </w:pPr>
            <w:r>
              <w:rPr>
                <w:sz w:val="20"/>
                <w:szCs w:val="20"/>
              </w:rPr>
              <w:t>25%</w:t>
            </w:r>
          </w:p>
        </w:tc>
      </w:tr>
      <w:tr w:rsidR="00806342" w:rsidTr="008C3A00">
        <w:tc>
          <w:tcPr>
            <w:tcW w:w="68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280" w:type="pct"/>
            <w:tcBorders>
              <w:top w:val="single" w:sz="4" w:space="0" w:color="auto"/>
              <w:left w:val="single" w:sz="4" w:space="0" w:color="auto"/>
              <w:bottom w:val="single" w:sz="4" w:space="0" w:color="auto"/>
              <w:right w:val="single" w:sz="4" w:space="0" w:color="auto"/>
            </w:tcBorders>
            <w:vAlign w:val="center"/>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13%</w:t>
            </w:r>
          </w:p>
          <w:p w:rsidR="00806342" w:rsidRDefault="00806342" w:rsidP="008C3A00">
            <w:pPr>
              <w:keepNext/>
              <w:keepLines/>
              <w:tabs>
                <w:tab w:val="left" w:pos="1440"/>
                <w:tab w:val="decimal" w:pos="4320"/>
              </w:tabs>
              <w:jc w:val="center"/>
              <w:outlineLvl w:val="0"/>
              <w:rPr>
                <w:rFonts w:ascii="Calibri" w:hAnsi="Calibri"/>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 xml:space="preserve"> examination/</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assessment</w:t>
            </w:r>
          </w:p>
        </w:tc>
        <w:tc>
          <w:tcPr>
            <w:tcW w:w="349" w:type="pct"/>
            <w:tcBorders>
              <w:top w:val="single" w:sz="4" w:space="0" w:color="auto"/>
              <w:left w:val="single" w:sz="4" w:space="0" w:color="auto"/>
              <w:bottom w:val="single" w:sz="4" w:space="0" w:color="auto"/>
              <w:right w:val="single" w:sz="4" w:space="0" w:color="auto"/>
            </w:tcBorders>
            <w:vAlign w:val="center"/>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7%</w:t>
            </w:r>
          </w:p>
          <w:p w:rsidR="00806342" w:rsidRDefault="00806342" w:rsidP="008C3A00">
            <w:pPr>
              <w:keepNext/>
              <w:keepLines/>
              <w:tabs>
                <w:tab w:val="left" w:pos="1440"/>
                <w:tab w:val="decimal" w:pos="4320"/>
              </w:tabs>
              <w:jc w:val="center"/>
              <w:outlineLvl w:val="0"/>
              <w:rPr>
                <w:rFonts w:ascii="Calibri" w:hAnsi="Calibri"/>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349" w:type="pct"/>
            <w:tcBorders>
              <w:top w:val="single" w:sz="4" w:space="0" w:color="auto"/>
              <w:left w:val="single" w:sz="4" w:space="0" w:color="auto"/>
              <w:bottom w:val="single" w:sz="4" w:space="0" w:color="auto"/>
              <w:right w:val="single" w:sz="4" w:space="0" w:color="auto"/>
            </w:tcBorders>
            <w:vAlign w:val="center"/>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9%</w:t>
            </w:r>
          </w:p>
          <w:p w:rsidR="00806342" w:rsidRDefault="00806342" w:rsidP="008C3A00">
            <w:pPr>
              <w:keepNext/>
              <w:keepLines/>
              <w:tabs>
                <w:tab w:val="left" w:pos="1440"/>
                <w:tab w:val="decimal" w:pos="4320"/>
              </w:tabs>
              <w:jc w:val="center"/>
              <w:outlineLvl w:val="0"/>
              <w:rPr>
                <w:rFonts w:ascii="Calibri" w:hAnsi="Calibri"/>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27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center"/>
              <w:outlineLvl w:val="0"/>
              <w:rPr>
                <w:rFonts w:ascii="Calibri" w:hAnsi="Calibri"/>
                <w:sz w:val="20"/>
                <w:szCs w:val="20"/>
              </w:rPr>
            </w:pPr>
            <w:r>
              <w:rPr>
                <w:rFonts w:ascii="Calibri" w:hAnsi="Calibri"/>
                <w:sz w:val="20"/>
                <w:szCs w:val="20"/>
              </w:rPr>
              <w:t>7%</w:t>
            </w:r>
          </w:p>
        </w:tc>
        <w:tc>
          <w:tcPr>
            <w:tcW w:w="69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806342" w:rsidRDefault="00806342" w:rsidP="008C3A00">
            <w:pPr>
              <w:keepNext/>
              <w:keepLines/>
              <w:tabs>
                <w:tab w:val="left" w:pos="1440"/>
                <w:tab w:val="decimal" w:pos="4320"/>
              </w:tabs>
              <w:jc w:val="left"/>
              <w:outlineLvl w:val="0"/>
            </w:pPr>
            <w:r>
              <w:rPr>
                <w:rFonts w:ascii="Calibri" w:hAnsi="Calibri"/>
                <w:sz w:val="20"/>
                <w:szCs w:val="20"/>
              </w:rPr>
              <w:t>Inappropriate monitoring</w:t>
            </w:r>
          </w:p>
        </w:tc>
        <w:tc>
          <w:tcPr>
            <w:tcW w:w="279"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rPr>
                <w:sz w:val="20"/>
                <w:szCs w:val="20"/>
              </w:rPr>
            </w:pPr>
            <w:r>
              <w:rPr>
                <w:sz w:val="20"/>
                <w:szCs w:val="20"/>
              </w:rPr>
              <w:t>13%</w:t>
            </w:r>
          </w:p>
        </w:tc>
      </w:tr>
    </w:tbl>
    <w:p w:rsidR="00806342" w:rsidRDefault="00806342" w:rsidP="00806342">
      <w:bookmarkStart w:id="42" w:name="_Toc426462636"/>
      <w:bookmarkStart w:id="43" w:name="_Toc415221218"/>
      <w:bookmarkStart w:id="44" w:name="_Toc415153517"/>
      <w:bookmarkStart w:id="45" w:name="_Toc415147243"/>
      <w:bookmarkStart w:id="46" w:name="_Toc415135529"/>
      <w:bookmarkStart w:id="47" w:name="_Toc415046457"/>
      <w:bookmarkStart w:id="48" w:name="_Toc415039801"/>
      <w:bookmarkStart w:id="49" w:name="_Toc414952830"/>
      <w:bookmarkStart w:id="50" w:name="_Toc414886545"/>
      <w:bookmarkStart w:id="51" w:name="_Toc414875835"/>
      <w:bookmarkStart w:id="52" w:name="_Toc414461837"/>
      <w:bookmarkStart w:id="53" w:name="_Toc414442656"/>
      <w:bookmarkStart w:id="54" w:name="_Toc383707794"/>
    </w:p>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pStyle w:val="Heading2"/>
        <w:spacing w:before="360"/>
        <w:rPr>
          <w:lang w:val="en-NZ"/>
        </w:rPr>
      </w:pPr>
      <w:bookmarkStart w:id="55" w:name="_Toc443992231"/>
      <w:bookmarkStart w:id="56" w:name="_Toc447273230"/>
      <w:bookmarkStart w:id="57" w:name="_Toc447274443"/>
      <w:r>
        <w:rPr>
          <w:lang w:val="en-NZ"/>
        </w:rPr>
        <w:t>4.0</w:t>
      </w:r>
      <w:r>
        <w:rPr>
          <w:lang w:val="en-NZ"/>
        </w:rPr>
        <w:tab/>
        <w:t>Complaints closed</w:t>
      </w:r>
      <w:bookmarkEnd w:id="42"/>
      <w:bookmarkEnd w:id="43"/>
      <w:bookmarkEnd w:id="44"/>
      <w:bookmarkEnd w:id="45"/>
      <w:bookmarkEnd w:id="46"/>
      <w:bookmarkEnd w:id="47"/>
      <w:bookmarkEnd w:id="48"/>
      <w:bookmarkEnd w:id="49"/>
      <w:bookmarkEnd w:id="50"/>
      <w:bookmarkEnd w:id="51"/>
      <w:bookmarkEnd w:id="52"/>
      <w:bookmarkEnd w:id="53"/>
      <w:bookmarkEnd w:id="55"/>
      <w:bookmarkEnd w:id="56"/>
      <w:bookmarkEnd w:id="57"/>
      <w:r>
        <w:rPr>
          <w:lang w:val="en-NZ"/>
        </w:rPr>
        <w:t xml:space="preserve"> </w:t>
      </w:r>
    </w:p>
    <w:p w:rsidR="00806342" w:rsidRDefault="00806342" w:rsidP="00806342">
      <w:pPr>
        <w:pStyle w:val="Heading3"/>
      </w:pPr>
      <w:bookmarkStart w:id="58" w:name="_Toc426462637"/>
      <w:bookmarkStart w:id="59" w:name="_Toc443992232"/>
      <w:bookmarkStart w:id="60" w:name="_Toc447273231"/>
      <w:bookmarkStart w:id="61" w:name="_Toc447274444"/>
      <w:r>
        <w:t>4.1</w:t>
      </w:r>
      <w:r>
        <w:tab/>
        <w:t>Number of complaints closed</w:t>
      </w:r>
      <w:bookmarkEnd w:id="58"/>
      <w:bookmarkEnd w:id="59"/>
      <w:bookmarkEnd w:id="60"/>
      <w:bookmarkEnd w:id="61"/>
    </w:p>
    <w:p w:rsidR="00806342" w:rsidRDefault="00806342" w:rsidP="00806342">
      <w:r>
        <w:t xml:space="preserve">HDC closed </w:t>
      </w:r>
      <w:r>
        <w:rPr>
          <w:b/>
        </w:rPr>
        <w:t>365</w:t>
      </w:r>
      <w:r>
        <w:rPr>
          <w:rStyle w:val="FootnoteReference"/>
          <w:rFonts w:ascii="Calibri" w:hAnsi="Calibri"/>
          <w:szCs w:val="22"/>
        </w:rPr>
        <w:footnoteReference w:id="4"/>
      </w:r>
      <w:r>
        <w:rPr>
          <w:b/>
        </w:rPr>
        <w:t xml:space="preserve"> </w:t>
      </w:r>
      <w:r>
        <w:t>complaints involving DHBs in the period Jul–Dec 2015. Table 10 shows the number of complaints closed in previous six month periods.</w:t>
      </w:r>
    </w:p>
    <w:p w:rsidR="00806342" w:rsidRDefault="00806342" w:rsidP="00806342"/>
    <w:p w:rsidR="00806342" w:rsidRDefault="00806342" w:rsidP="00806342">
      <w:pPr>
        <w:spacing w:after="120"/>
      </w:pPr>
      <w:r>
        <w:rPr>
          <w:b/>
        </w:rPr>
        <w:t>Table 10.</w:t>
      </w:r>
      <w:r>
        <w:t xml:space="preserve"> Number of complaints about DHBs closed in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29"/>
        <w:gridCol w:w="706"/>
        <w:gridCol w:w="566"/>
        <w:gridCol w:w="701"/>
        <w:gridCol w:w="703"/>
        <w:gridCol w:w="703"/>
        <w:gridCol w:w="703"/>
        <w:gridCol w:w="705"/>
        <w:gridCol w:w="703"/>
        <w:gridCol w:w="703"/>
        <w:gridCol w:w="997"/>
        <w:gridCol w:w="693"/>
      </w:tblGrid>
      <w:tr w:rsidR="00806342" w:rsidTr="008C3A00">
        <w:tc>
          <w:tcPr>
            <w:tcW w:w="674" w:type="pct"/>
            <w:tcBorders>
              <w:top w:val="single" w:sz="4" w:space="0" w:color="auto"/>
              <w:left w:val="single" w:sz="4" w:space="0" w:color="auto"/>
              <w:bottom w:val="single" w:sz="4" w:space="0" w:color="auto"/>
              <w:right w:val="single" w:sz="4" w:space="0" w:color="auto"/>
            </w:tcBorders>
            <w:vAlign w:val="center"/>
          </w:tcPr>
          <w:p w:rsidR="00806342" w:rsidRDefault="00806342" w:rsidP="008C3A00">
            <w:pPr>
              <w:keepNext/>
              <w:keepLines/>
              <w:jc w:val="left"/>
              <w:rPr>
                <w:rFonts w:ascii="Calibri" w:hAnsi="Calibri"/>
                <w:b/>
                <w:szCs w:val="20"/>
              </w:rPr>
            </w:pPr>
          </w:p>
          <w:p w:rsidR="00806342" w:rsidRDefault="00806342" w:rsidP="008C3A00">
            <w:pPr>
              <w:keepNext/>
              <w:keepLines/>
              <w:jc w:val="left"/>
              <w:rPr>
                <w:rFonts w:ascii="Calibri" w:hAnsi="Calibri"/>
                <w:b/>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b/>
                <w:szCs w:val="20"/>
              </w:rPr>
            </w:pPr>
            <w:r>
              <w:rPr>
                <w:rFonts w:ascii="Calibri" w:hAnsi="Calibri"/>
                <w:b/>
                <w:szCs w:val="20"/>
              </w:rPr>
              <w:t>Jan–Jun 11</w:t>
            </w:r>
          </w:p>
        </w:tc>
        <w:tc>
          <w:tcPr>
            <w:tcW w:w="31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b/>
                <w:szCs w:val="20"/>
              </w:rPr>
            </w:pPr>
            <w:r>
              <w:rPr>
                <w:rFonts w:ascii="Calibri" w:hAnsi="Calibri"/>
                <w:b/>
                <w:szCs w:val="20"/>
              </w:rPr>
              <w:t>Jul–Dec 11</w:t>
            </w:r>
          </w:p>
        </w:tc>
        <w:tc>
          <w:tcPr>
            <w:tcW w:w="384"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Jan–Jun 12</w:t>
            </w:r>
          </w:p>
        </w:tc>
        <w:tc>
          <w:tcPr>
            <w:tcW w:w="386"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Jul–Dec 12</w:t>
            </w:r>
          </w:p>
        </w:tc>
        <w:tc>
          <w:tcPr>
            <w:tcW w:w="386"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Jan–Jun 13</w:t>
            </w:r>
          </w:p>
        </w:tc>
        <w:tc>
          <w:tcPr>
            <w:tcW w:w="386"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Jul–Dec 13</w:t>
            </w:r>
          </w:p>
        </w:tc>
        <w:tc>
          <w:tcPr>
            <w:tcW w:w="387"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 xml:space="preserve">Jan–Jun </w:t>
            </w:r>
            <w:r>
              <w:rPr>
                <w:rFonts w:ascii="Calibri" w:hAnsi="Calibri"/>
                <w:b/>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 xml:space="preserve">Jul–Dec </w:t>
            </w:r>
            <w:r>
              <w:rPr>
                <w:rFonts w:ascii="Calibri" w:hAnsi="Calibri"/>
                <w:b/>
                <w:szCs w:val="20"/>
              </w:rPr>
              <w:br/>
              <w:t>14</w:t>
            </w:r>
          </w:p>
        </w:tc>
        <w:tc>
          <w:tcPr>
            <w:tcW w:w="386"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Jan–Jun</w:t>
            </w:r>
            <w:r>
              <w:rPr>
                <w:rFonts w:ascii="Calibri" w:hAnsi="Calibri"/>
                <w:b/>
                <w:szCs w:val="20"/>
              </w:rPr>
              <w:br/>
              <w:t>15</w:t>
            </w:r>
          </w:p>
        </w:tc>
        <w:tc>
          <w:tcPr>
            <w:tcW w:w="547"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20"/>
              <w:jc w:val="center"/>
              <w:rPr>
                <w:rFonts w:ascii="Calibri" w:hAnsi="Calibri"/>
                <w:b/>
                <w:szCs w:val="20"/>
              </w:rPr>
            </w:pPr>
            <w:r>
              <w:rPr>
                <w:rFonts w:ascii="Calibri" w:hAnsi="Calibri"/>
                <w:b/>
                <w:szCs w:val="20"/>
              </w:rPr>
              <w:t xml:space="preserve">Average of last 4  </w:t>
            </w:r>
          </w:p>
          <w:p w:rsidR="00806342" w:rsidRDefault="00806342" w:rsidP="008C3A00">
            <w:pPr>
              <w:keepNext/>
              <w:keepLines/>
              <w:jc w:val="center"/>
              <w:rPr>
                <w:rFonts w:ascii="Calibri" w:hAnsi="Calibri"/>
                <w:b/>
                <w:szCs w:val="20"/>
              </w:rPr>
            </w:pPr>
            <w:r>
              <w:rPr>
                <w:rFonts w:ascii="Calibri" w:hAnsi="Calibri"/>
                <w:b/>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806342" w:rsidRDefault="00806342" w:rsidP="008C3A00">
            <w:pPr>
              <w:keepNext/>
              <w:keepLines/>
              <w:spacing w:before="180"/>
              <w:jc w:val="center"/>
              <w:rPr>
                <w:rFonts w:ascii="Calibri" w:hAnsi="Calibri"/>
                <w:b/>
                <w:szCs w:val="20"/>
              </w:rPr>
            </w:pPr>
            <w:r>
              <w:rPr>
                <w:rFonts w:ascii="Calibri" w:hAnsi="Calibri"/>
                <w:b/>
                <w:szCs w:val="20"/>
              </w:rPr>
              <w:t>Jul–Dec</w:t>
            </w:r>
          </w:p>
          <w:p w:rsidR="00806342" w:rsidRDefault="00806342" w:rsidP="008C3A00">
            <w:pPr>
              <w:keepNext/>
              <w:keepLines/>
              <w:jc w:val="center"/>
              <w:rPr>
                <w:rFonts w:ascii="Calibri" w:hAnsi="Calibri"/>
                <w:b/>
                <w:szCs w:val="20"/>
              </w:rPr>
            </w:pPr>
            <w:r>
              <w:rPr>
                <w:rFonts w:ascii="Calibri" w:hAnsi="Calibri"/>
                <w:b/>
                <w:szCs w:val="20"/>
              </w:rPr>
              <w:t>15</w:t>
            </w:r>
          </w:p>
        </w:tc>
      </w:tr>
      <w:tr w:rsidR="00806342" w:rsidTr="008C3A00">
        <w:tc>
          <w:tcPr>
            <w:tcW w:w="674"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spacing w:after="40"/>
              <w:jc w:val="left"/>
              <w:rPr>
                <w:rFonts w:ascii="Calibri" w:hAnsi="Calibri"/>
                <w:b/>
                <w:szCs w:val="20"/>
              </w:rPr>
            </w:pPr>
            <w:r>
              <w:rPr>
                <w:rFonts w:ascii="Calibri" w:hAnsi="Calibri"/>
                <w:b/>
                <w:szCs w:val="20"/>
              </w:rPr>
              <w:t>Number of complaints closed</w:t>
            </w:r>
          </w:p>
        </w:tc>
        <w:tc>
          <w:tcPr>
            <w:tcW w:w="38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246</w:t>
            </w:r>
          </w:p>
        </w:tc>
        <w:tc>
          <w:tcPr>
            <w:tcW w:w="31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217</w:t>
            </w:r>
          </w:p>
        </w:tc>
        <w:tc>
          <w:tcPr>
            <w:tcW w:w="384"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302</w:t>
            </w:r>
          </w:p>
        </w:tc>
        <w:tc>
          <w:tcPr>
            <w:tcW w:w="38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254</w:t>
            </w:r>
          </w:p>
        </w:tc>
        <w:tc>
          <w:tcPr>
            <w:tcW w:w="38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337</w:t>
            </w:r>
          </w:p>
        </w:tc>
        <w:tc>
          <w:tcPr>
            <w:tcW w:w="38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280</w:t>
            </w:r>
          </w:p>
        </w:tc>
        <w:tc>
          <w:tcPr>
            <w:tcW w:w="38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411</w:t>
            </w:r>
          </w:p>
        </w:tc>
        <w:tc>
          <w:tcPr>
            <w:tcW w:w="38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344</w:t>
            </w:r>
          </w:p>
        </w:tc>
        <w:tc>
          <w:tcPr>
            <w:tcW w:w="386"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szCs w:val="20"/>
              </w:rPr>
            </w:pPr>
            <w:r>
              <w:rPr>
                <w:rFonts w:ascii="Calibri" w:hAnsi="Calibri"/>
                <w:szCs w:val="20"/>
              </w:rPr>
              <w:t>410</w:t>
            </w:r>
          </w:p>
        </w:tc>
        <w:tc>
          <w:tcPr>
            <w:tcW w:w="547"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b/>
                <w:szCs w:val="20"/>
              </w:rPr>
            </w:pPr>
            <w:r>
              <w:rPr>
                <w:rFonts w:ascii="Calibri" w:hAnsi="Calibri"/>
                <w:b/>
                <w:szCs w:val="20"/>
              </w:rPr>
              <w:t>361</w:t>
            </w:r>
          </w:p>
        </w:tc>
        <w:tc>
          <w:tcPr>
            <w:tcW w:w="380" w:type="pct"/>
            <w:tcBorders>
              <w:top w:val="single" w:sz="4" w:space="0" w:color="auto"/>
              <w:left w:val="single" w:sz="4" w:space="0" w:color="auto"/>
              <w:bottom w:val="single" w:sz="4" w:space="0" w:color="auto"/>
              <w:right w:val="single" w:sz="4" w:space="0" w:color="auto"/>
            </w:tcBorders>
            <w:vAlign w:val="center"/>
            <w:hideMark/>
          </w:tcPr>
          <w:p w:rsidR="00806342" w:rsidRDefault="00806342" w:rsidP="008C3A00">
            <w:pPr>
              <w:keepNext/>
              <w:keepLines/>
              <w:jc w:val="center"/>
              <w:rPr>
                <w:rFonts w:ascii="Calibri" w:hAnsi="Calibri"/>
                <w:b/>
                <w:szCs w:val="20"/>
              </w:rPr>
            </w:pPr>
            <w:r>
              <w:rPr>
                <w:rFonts w:ascii="Calibri" w:hAnsi="Calibri"/>
                <w:b/>
                <w:szCs w:val="20"/>
              </w:rPr>
              <w:t>365</w:t>
            </w:r>
          </w:p>
        </w:tc>
      </w:tr>
    </w:tbl>
    <w:p w:rsidR="00806342" w:rsidRDefault="00806342" w:rsidP="00806342"/>
    <w:p w:rsidR="00806342" w:rsidRDefault="00806342" w:rsidP="00806342">
      <w:r>
        <w:t xml:space="preserve">The total number </w:t>
      </w:r>
      <w:r>
        <w:rPr>
          <w:rFonts w:cs="Calibri"/>
        </w:rPr>
        <w:t>of</w:t>
      </w:r>
      <w:r>
        <w:t xml:space="preserve"> complaints closed for Jul–Dec 2015 shows a small increase over the average of the last four six month periods. </w:t>
      </w:r>
    </w:p>
    <w:p w:rsidR="00806342" w:rsidRDefault="00806342" w:rsidP="00806342">
      <w:bookmarkStart w:id="62" w:name="_Toc415221219"/>
      <w:bookmarkStart w:id="63" w:name="_Toc415153518"/>
      <w:bookmarkStart w:id="64" w:name="_Toc415147244"/>
      <w:bookmarkStart w:id="65" w:name="_Toc415135530"/>
      <w:bookmarkStart w:id="66" w:name="_Toc415046458"/>
      <w:bookmarkStart w:id="67" w:name="_Toc415039802"/>
      <w:bookmarkStart w:id="68" w:name="_Toc414952831"/>
      <w:bookmarkStart w:id="69" w:name="_Toc414886546"/>
      <w:bookmarkStart w:id="70" w:name="_Toc414875836"/>
      <w:bookmarkStart w:id="71" w:name="_Toc414461838"/>
      <w:bookmarkStart w:id="72" w:name="_Toc414442657"/>
    </w:p>
    <w:p w:rsidR="00806342" w:rsidRDefault="00806342" w:rsidP="00806342">
      <w:pPr>
        <w:pStyle w:val="Heading3"/>
      </w:pPr>
      <w:bookmarkStart w:id="73" w:name="_Toc426462638"/>
      <w:bookmarkStart w:id="74" w:name="_Toc443992233"/>
      <w:bookmarkStart w:id="75" w:name="_Toc447273232"/>
      <w:bookmarkStart w:id="76" w:name="_Toc447274445"/>
      <w:r>
        <w:t>4.2</w:t>
      </w:r>
      <w:r>
        <w:tab/>
        <w:t>Outcomes of complaints closed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806342" w:rsidRDefault="00806342" w:rsidP="00806342">
      <w:pPr>
        <w:rPr>
          <w:lang w:eastAsia="en-NZ" w:bidi="ar-SA"/>
        </w:rPr>
      </w:pPr>
      <w:r>
        <w:t xml:space="preserve">Complaints that are within HDC’s jurisdiction are classified into two groups according to the manner of resolution </w:t>
      </w:r>
      <w:r>
        <w:rPr>
          <w:rFonts w:ascii="Calibri" w:hAnsi="Calibri"/>
        </w:rPr>
        <w:t>—</w:t>
      </w:r>
      <w:r>
        <w:t xml:space="preserve"> whether formal investigation or non-investigation. Within each classification, there is a variety of possible outcomes. Once HDC has notified a DHB that a complaint concerning that DHB is to be investigated, the complaint remains </w:t>
      </w:r>
      <w:r>
        <w:rPr>
          <w:rFonts w:cs="Calibri"/>
        </w:rPr>
        <w:t>classified</w:t>
      </w:r>
      <w:r>
        <w:t xml:space="preserve"> as an investigation, even though an alternative manner of resolution may subsequently be adopted. Notification of investigation generally indicates more serious or </w:t>
      </w:r>
      <w:r>
        <w:rPr>
          <w:lang w:eastAsia="en-NZ" w:bidi="ar-SA"/>
        </w:rPr>
        <w:t xml:space="preserve">complex issues. </w:t>
      </w:r>
    </w:p>
    <w:p w:rsidR="00806342" w:rsidRDefault="00806342" w:rsidP="00806342">
      <w:pPr>
        <w:rPr>
          <w:lang w:eastAsia="en-NZ" w:bidi="ar-SA"/>
        </w:rPr>
      </w:pPr>
    </w:p>
    <w:p w:rsidR="00806342" w:rsidRDefault="00806342" w:rsidP="00806342">
      <w:pPr>
        <w:rPr>
          <w:lang w:eastAsia="en-NZ"/>
        </w:rPr>
      </w:pPr>
      <w:r>
        <w:rPr>
          <w:lang w:eastAsia="en-NZ"/>
        </w:rPr>
        <w:t xml:space="preserve">In the </w:t>
      </w:r>
      <w:r>
        <w:t xml:space="preserve">Jul–Dec 2015 </w:t>
      </w:r>
      <w:r>
        <w:rPr>
          <w:lang w:eastAsia="en-NZ"/>
        </w:rPr>
        <w:t>period,</w:t>
      </w:r>
      <w:r>
        <w:rPr>
          <w:b/>
          <w:lang w:eastAsia="en-NZ"/>
        </w:rPr>
        <w:t xml:space="preserve"> 16 </w:t>
      </w:r>
      <w:r>
        <w:rPr>
          <w:lang w:eastAsia="en-NZ"/>
        </w:rPr>
        <w:t>DHBs had no investigations closed,</w:t>
      </w:r>
      <w:r>
        <w:rPr>
          <w:b/>
          <w:lang w:eastAsia="en-NZ"/>
        </w:rPr>
        <w:t xml:space="preserve"> 2 </w:t>
      </w:r>
      <w:r>
        <w:rPr>
          <w:lang w:eastAsia="en-NZ"/>
        </w:rPr>
        <w:t xml:space="preserve">DHBs had one investigation closed, </w:t>
      </w:r>
      <w:r>
        <w:rPr>
          <w:b/>
          <w:lang w:eastAsia="en-NZ"/>
        </w:rPr>
        <w:t>1</w:t>
      </w:r>
      <w:r>
        <w:rPr>
          <w:lang w:eastAsia="en-NZ"/>
        </w:rPr>
        <w:t xml:space="preserve"> DHB had two investigations closed, and </w:t>
      </w:r>
      <w:r>
        <w:rPr>
          <w:b/>
          <w:lang w:eastAsia="en-NZ"/>
        </w:rPr>
        <w:t>1</w:t>
      </w:r>
      <w:r>
        <w:rPr>
          <w:lang w:eastAsia="en-NZ"/>
        </w:rPr>
        <w:t xml:space="preserve"> DHB had three investigations closed by HDC.</w:t>
      </w:r>
    </w:p>
    <w:p w:rsidR="00806342" w:rsidRDefault="00806342" w:rsidP="00806342">
      <w:pPr>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Pr>
          <w:rFonts w:ascii="Calibri" w:hAnsi="Calibri"/>
        </w:rPr>
        <w:t xml:space="preserve"> outcomes of all DHB complaints closed in </w:t>
      </w:r>
      <w:r>
        <w:t xml:space="preserve">Jul–Dec 2015 </w:t>
      </w:r>
      <w:r>
        <w:rPr>
          <w:rFonts w:ascii="Calibri" w:hAnsi="Calibri"/>
        </w:rPr>
        <w:t xml:space="preserve">is shown in Table 11. </w:t>
      </w:r>
    </w:p>
    <w:p w:rsidR="00806342" w:rsidRDefault="00806342" w:rsidP="00806342">
      <w:pPr>
        <w:rPr>
          <w:rFonts w:ascii="Calibri" w:hAnsi="Calibri"/>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rFonts w:ascii="Calibri" w:hAnsi="Calibri"/>
          <w:b/>
          <w:szCs w:val="22"/>
        </w:rPr>
      </w:pPr>
    </w:p>
    <w:p w:rsidR="00806342" w:rsidRDefault="00806342" w:rsidP="00806342">
      <w:pPr>
        <w:spacing w:after="120"/>
        <w:rPr>
          <w:lang w:eastAsia="en-NZ"/>
        </w:rPr>
      </w:pPr>
      <w:r>
        <w:rPr>
          <w:rFonts w:ascii="Calibri" w:hAnsi="Calibri"/>
          <w:b/>
          <w:szCs w:val="22"/>
        </w:rPr>
        <w:t xml:space="preserve">Table 11. </w:t>
      </w:r>
      <w:r>
        <w:rPr>
          <w:rFonts w:ascii="Calibri" w:hAnsi="Calibri"/>
          <w:szCs w:val="22"/>
        </w:rPr>
        <w:t>Outcome for DHBs of complaints closed by complaint type</w:t>
      </w:r>
      <w:r>
        <w:rPr>
          <w:rStyle w:val="FootnoteReference"/>
          <w:rFonts w:ascii="Calibri" w:hAnsi="Calibri"/>
          <w:szCs w:val="22"/>
        </w:rPr>
        <w:footnoteReference w:id="5"/>
      </w:r>
    </w:p>
    <w:tbl>
      <w:tblPr>
        <w:tblStyle w:val="TableGrid"/>
        <w:tblW w:w="7230" w:type="dxa"/>
        <w:tblInd w:w="108" w:type="dxa"/>
        <w:tblLook w:val="04A0" w:firstRow="1" w:lastRow="0" w:firstColumn="1" w:lastColumn="0" w:noHBand="0" w:noVBand="1"/>
      </w:tblPr>
      <w:tblGrid>
        <w:gridCol w:w="4111"/>
        <w:gridCol w:w="3119"/>
      </w:tblGrid>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spacing w:before="60"/>
              <w:jc w:val="left"/>
              <w:outlineLvl w:val="0"/>
              <w:rPr>
                <w:rFonts w:ascii="Calibri" w:hAnsi="Calibri"/>
                <w:b/>
                <w:sz w:val="22"/>
                <w:szCs w:val="22"/>
              </w:rPr>
            </w:pPr>
            <w:r w:rsidRPr="00A41DB2">
              <w:rPr>
                <w:rFonts w:ascii="Calibri" w:hAnsi="Calibri"/>
                <w:b/>
                <w:sz w:val="22"/>
                <w:szCs w:val="22"/>
              </w:rPr>
              <w:br w:type="page"/>
              <w:t>Outcome for DHBs</w:t>
            </w:r>
          </w:p>
        </w:tc>
        <w:tc>
          <w:tcPr>
            <w:tcW w:w="3119" w:type="dxa"/>
            <w:tcBorders>
              <w:top w:val="single" w:sz="4" w:space="0" w:color="auto"/>
              <w:left w:val="single" w:sz="4" w:space="0" w:color="auto"/>
              <w:bottom w:val="single" w:sz="4" w:space="0" w:color="auto"/>
              <w:right w:val="single" w:sz="4" w:space="0" w:color="auto"/>
            </w:tcBorders>
          </w:tcPr>
          <w:p w:rsidR="00806342" w:rsidRPr="00A41DB2" w:rsidRDefault="00806342" w:rsidP="008C3A00">
            <w:pPr>
              <w:keepNext/>
              <w:keepLines/>
              <w:tabs>
                <w:tab w:val="left" w:pos="1440"/>
                <w:tab w:val="decimal" w:pos="4320"/>
              </w:tabs>
              <w:spacing w:before="60"/>
              <w:jc w:val="center"/>
              <w:outlineLvl w:val="0"/>
              <w:rPr>
                <w:rFonts w:ascii="Calibri" w:hAnsi="Calibri"/>
                <w:b/>
                <w:sz w:val="22"/>
                <w:szCs w:val="22"/>
              </w:rPr>
            </w:pPr>
            <w:r w:rsidRPr="00A41DB2">
              <w:rPr>
                <w:rFonts w:ascii="Calibri" w:hAnsi="Calibri"/>
                <w:b/>
                <w:sz w:val="22"/>
                <w:szCs w:val="22"/>
              </w:rPr>
              <w:t>Number of complaints closed</w:t>
            </w:r>
          </w:p>
          <w:p w:rsidR="00806342" w:rsidRPr="00A41DB2" w:rsidRDefault="00806342" w:rsidP="008C3A00">
            <w:pPr>
              <w:keepNext/>
              <w:keepLines/>
              <w:tabs>
                <w:tab w:val="left" w:pos="1440"/>
                <w:tab w:val="decimal" w:pos="4320"/>
              </w:tabs>
              <w:jc w:val="center"/>
              <w:outlineLvl w:val="0"/>
              <w:rPr>
                <w:rFonts w:ascii="Calibri" w:hAnsi="Calibri"/>
                <w:b/>
                <w:sz w:val="22"/>
                <w:szCs w:val="22"/>
              </w:rPr>
            </w:pP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Pr="00A41DB2" w:rsidRDefault="00806342" w:rsidP="008C3A00">
            <w:pPr>
              <w:keepNext/>
              <w:keepLines/>
              <w:tabs>
                <w:tab w:val="left" w:pos="1440"/>
                <w:tab w:val="decimal" w:pos="4320"/>
              </w:tabs>
              <w:jc w:val="left"/>
              <w:outlineLvl w:val="0"/>
              <w:rPr>
                <w:rFonts w:ascii="Calibri" w:hAnsi="Calibri"/>
                <w:b/>
                <w:i/>
                <w:sz w:val="22"/>
                <w:szCs w:val="22"/>
              </w:rPr>
            </w:pPr>
            <w:r w:rsidRPr="00A41DB2">
              <w:rPr>
                <w:rFonts w:ascii="Calibri" w:hAnsi="Calibri"/>
                <w:b/>
                <w:i/>
                <w:sz w:val="22"/>
                <w:szCs w:val="22"/>
              </w:rPr>
              <w:t>Investigation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Pr="00A41DB2" w:rsidRDefault="00806342" w:rsidP="008C3A00">
            <w:pPr>
              <w:keepNext/>
              <w:keepLines/>
              <w:tabs>
                <w:tab w:val="left" w:pos="1440"/>
                <w:tab w:val="decimal" w:pos="4320"/>
              </w:tabs>
              <w:jc w:val="center"/>
              <w:outlineLvl w:val="0"/>
              <w:rPr>
                <w:rFonts w:ascii="Calibri" w:hAnsi="Calibri"/>
                <w:b/>
                <w:i/>
                <w:sz w:val="22"/>
                <w:szCs w:val="22"/>
              </w:rPr>
            </w:pPr>
            <w:r w:rsidRPr="00A41DB2">
              <w:rPr>
                <w:rFonts w:ascii="Calibri" w:hAnsi="Calibri"/>
                <w:b/>
                <w:i/>
                <w:sz w:val="22"/>
                <w:szCs w:val="22"/>
              </w:rPr>
              <w:t>7</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sz w:val="22"/>
                <w:szCs w:val="22"/>
              </w:rPr>
            </w:pPr>
            <w:r w:rsidRPr="00A41DB2">
              <w:rPr>
                <w:rFonts w:ascii="Calibri" w:hAnsi="Calibri"/>
                <w:sz w:val="22"/>
                <w:szCs w:val="22"/>
              </w:rPr>
              <w:t>Breach finding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keepNext/>
              <w:keepLines/>
              <w:tabs>
                <w:tab w:val="left" w:pos="1440"/>
                <w:tab w:val="decimal" w:pos="4320"/>
              </w:tabs>
              <w:jc w:val="center"/>
              <w:outlineLvl w:val="0"/>
              <w:rPr>
                <w:rFonts w:ascii="Calibri" w:hAnsi="Calibri"/>
                <w:sz w:val="22"/>
                <w:szCs w:val="22"/>
              </w:rPr>
            </w:pPr>
            <w:r w:rsidRPr="00A41DB2">
              <w:rPr>
                <w:rFonts w:ascii="Calibri" w:hAnsi="Calibri"/>
                <w:sz w:val="22"/>
                <w:szCs w:val="22"/>
              </w:rPr>
              <w:t>3</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sz w:val="22"/>
                <w:szCs w:val="22"/>
              </w:rPr>
            </w:pPr>
            <w:r w:rsidRPr="00A41DB2">
              <w:rPr>
                <w:rFonts w:ascii="Calibri" w:hAnsi="Calibri"/>
                <w:sz w:val="22"/>
                <w:szCs w:val="22"/>
              </w:rPr>
              <w:t>No further action</w:t>
            </w:r>
            <w:r w:rsidRPr="00A41DB2">
              <w:rPr>
                <w:rStyle w:val="FootnoteReference"/>
                <w:rFonts w:ascii="Calibri" w:hAnsi="Calibri"/>
                <w:sz w:val="22"/>
                <w:szCs w:val="22"/>
              </w:rPr>
              <w:footnoteReference w:id="6"/>
            </w:r>
            <w:r w:rsidRPr="00A41DB2">
              <w:rPr>
                <w:rFonts w:ascii="Calibri" w:hAnsi="Calibri"/>
                <w:sz w:val="22"/>
                <w:szCs w:val="22"/>
              </w:rPr>
              <w:t xml:space="preserve"> with follow-up or educational comment</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keepNext/>
              <w:keepLines/>
              <w:tabs>
                <w:tab w:val="left" w:pos="1440"/>
                <w:tab w:val="decimal" w:pos="4320"/>
              </w:tabs>
              <w:jc w:val="center"/>
              <w:outlineLvl w:val="0"/>
              <w:rPr>
                <w:rFonts w:ascii="Calibri" w:hAnsi="Calibri"/>
                <w:sz w:val="22"/>
                <w:szCs w:val="22"/>
              </w:rPr>
            </w:pPr>
            <w:r w:rsidRPr="00A41DB2">
              <w:rPr>
                <w:rFonts w:ascii="Calibri" w:hAnsi="Calibri"/>
                <w:sz w:val="22"/>
                <w:szCs w:val="22"/>
              </w:rPr>
              <w:t>3</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sz w:val="22"/>
                <w:szCs w:val="22"/>
              </w:rPr>
            </w:pPr>
            <w:r w:rsidRPr="00A41DB2">
              <w:rPr>
                <w:rFonts w:ascii="Calibri" w:hAnsi="Calibri"/>
                <w:sz w:val="22"/>
                <w:szCs w:val="22"/>
              </w:rPr>
              <w:t>No further action</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keepNext/>
              <w:keepLines/>
              <w:tabs>
                <w:tab w:val="left" w:pos="1440"/>
                <w:tab w:val="decimal" w:pos="4320"/>
              </w:tabs>
              <w:jc w:val="center"/>
              <w:outlineLvl w:val="0"/>
              <w:rPr>
                <w:rFonts w:ascii="Calibri" w:hAnsi="Calibri"/>
                <w:sz w:val="22"/>
                <w:szCs w:val="22"/>
              </w:rPr>
            </w:pPr>
            <w:r w:rsidRPr="00A41DB2">
              <w:rPr>
                <w:rFonts w:ascii="Calibri" w:hAnsi="Calibri"/>
                <w:sz w:val="22"/>
                <w:szCs w:val="22"/>
              </w:rPr>
              <w:t>1</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Pr="00A41DB2" w:rsidRDefault="00806342" w:rsidP="008C3A00">
            <w:pPr>
              <w:keepNext/>
              <w:keepLines/>
              <w:tabs>
                <w:tab w:val="left" w:pos="1440"/>
                <w:tab w:val="decimal" w:pos="4320"/>
              </w:tabs>
              <w:jc w:val="left"/>
              <w:outlineLvl w:val="0"/>
              <w:rPr>
                <w:rFonts w:ascii="Calibri" w:hAnsi="Calibri"/>
                <w:b/>
                <w:i/>
                <w:sz w:val="22"/>
                <w:szCs w:val="22"/>
              </w:rPr>
            </w:pPr>
            <w:r w:rsidRPr="00A41DB2">
              <w:rPr>
                <w:rFonts w:ascii="Calibri" w:hAnsi="Calibri"/>
                <w:b/>
                <w:i/>
                <w:sz w:val="22"/>
                <w:szCs w:val="22"/>
              </w:rPr>
              <w:t>Non-investigation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Pr="00A41DB2" w:rsidRDefault="00806342" w:rsidP="008C3A00">
            <w:pPr>
              <w:keepNext/>
              <w:keepLines/>
              <w:tabs>
                <w:tab w:val="left" w:pos="1440"/>
                <w:tab w:val="decimal" w:pos="4320"/>
              </w:tabs>
              <w:jc w:val="center"/>
              <w:outlineLvl w:val="0"/>
              <w:rPr>
                <w:rFonts w:ascii="Calibri" w:hAnsi="Calibri"/>
                <w:b/>
                <w:i/>
                <w:sz w:val="22"/>
                <w:szCs w:val="22"/>
              </w:rPr>
            </w:pPr>
            <w:r w:rsidRPr="00A41DB2">
              <w:rPr>
                <w:rFonts w:ascii="Calibri" w:hAnsi="Calibri"/>
                <w:b/>
                <w:i/>
                <w:sz w:val="22"/>
                <w:szCs w:val="22"/>
              </w:rPr>
              <w:t>342</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sz w:val="22"/>
                <w:szCs w:val="22"/>
              </w:rPr>
            </w:pPr>
            <w:r w:rsidRPr="00A41DB2">
              <w:rPr>
                <w:rFonts w:ascii="Calibri" w:hAnsi="Calibri"/>
                <w:sz w:val="22"/>
                <w:szCs w:val="22"/>
              </w:rPr>
              <w:t>No further action with follow-up or educational comment</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keepNext/>
              <w:keepLines/>
              <w:tabs>
                <w:tab w:val="left" w:pos="1440"/>
                <w:tab w:val="decimal" w:pos="4320"/>
              </w:tabs>
              <w:jc w:val="center"/>
              <w:outlineLvl w:val="0"/>
              <w:rPr>
                <w:rFonts w:ascii="Calibri" w:hAnsi="Calibri"/>
                <w:sz w:val="22"/>
                <w:szCs w:val="22"/>
              </w:rPr>
            </w:pPr>
            <w:r w:rsidRPr="00A41DB2">
              <w:rPr>
                <w:rFonts w:ascii="Calibri" w:hAnsi="Calibri"/>
                <w:sz w:val="22"/>
                <w:szCs w:val="22"/>
              </w:rPr>
              <w:t>64</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rPr>
                <w:rFonts w:ascii="Calibri" w:hAnsi="Calibri" w:cs="Calibri"/>
                <w:color w:val="000000"/>
                <w:sz w:val="22"/>
                <w:szCs w:val="22"/>
              </w:rPr>
            </w:pPr>
            <w:r w:rsidRPr="00A41DB2">
              <w:rPr>
                <w:rFonts w:ascii="Calibri" w:hAnsi="Calibri" w:cs="Calibri"/>
                <w:color w:val="000000"/>
                <w:sz w:val="22"/>
                <w:szCs w:val="22"/>
              </w:rPr>
              <w:t>Referred to Ministry of Health/Director-General of Health</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jc w:val="center"/>
              <w:rPr>
                <w:rFonts w:ascii="Calibri" w:hAnsi="Calibri" w:cs="Calibri"/>
                <w:color w:val="000000"/>
                <w:sz w:val="22"/>
                <w:szCs w:val="22"/>
              </w:rPr>
            </w:pPr>
            <w:r w:rsidRPr="00A41DB2">
              <w:rPr>
                <w:rFonts w:ascii="Calibri" w:hAnsi="Calibri" w:cs="Calibri"/>
                <w:color w:val="000000"/>
                <w:sz w:val="22"/>
                <w:szCs w:val="22"/>
              </w:rPr>
              <w:t>1</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rPr>
                <w:rFonts w:ascii="Calibri" w:hAnsi="Calibri" w:cs="Calibri"/>
                <w:color w:val="000000"/>
                <w:sz w:val="22"/>
                <w:szCs w:val="22"/>
              </w:rPr>
            </w:pPr>
            <w:r w:rsidRPr="00A41DB2">
              <w:rPr>
                <w:rFonts w:ascii="Calibri" w:hAnsi="Calibri" w:cs="Calibri"/>
                <w:color w:val="000000"/>
                <w:sz w:val="22"/>
                <w:szCs w:val="22"/>
              </w:rPr>
              <w:t>Referred to Privacy Commissioner</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jc w:val="center"/>
              <w:rPr>
                <w:rFonts w:ascii="Calibri" w:hAnsi="Calibri" w:cs="Calibri"/>
                <w:color w:val="000000"/>
                <w:sz w:val="22"/>
                <w:szCs w:val="22"/>
              </w:rPr>
            </w:pPr>
            <w:r w:rsidRPr="00A41DB2">
              <w:rPr>
                <w:rFonts w:ascii="Calibri" w:hAnsi="Calibri" w:cs="Calibri"/>
                <w:color w:val="000000"/>
                <w:sz w:val="22"/>
                <w:szCs w:val="22"/>
              </w:rPr>
              <w:t>1</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rPr>
                <w:rFonts w:ascii="Calibri" w:hAnsi="Calibri" w:cs="Calibri"/>
                <w:color w:val="000000"/>
                <w:sz w:val="22"/>
                <w:szCs w:val="22"/>
              </w:rPr>
            </w:pPr>
            <w:r w:rsidRPr="00A41DB2">
              <w:rPr>
                <w:rFonts w:ascii="Calibri" w:hAnsi="Calibri" w:cs="Calibri"/>
                <w:color w:val="000000"/>
                <w:sz w:val="22"/>
                <w:szCs w:val="22"/>
              </w:rPr>
              <w:t xml:space="preserve">Referred to District Inspector </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jc w:val="center"/>
              <w:rPr>
                <w:rFonts w:ascii="Calibri" w:hAnsi="Calibri" w:cs="Calibri"/>
                <w:color w:val="000000"/>
                <w:sz w:val="22"/>
                <w:szCs w:val="22"/>
              </w:rPr>
            </w:pPr>
            <w:r w:rsidRPr="00A41DB2">
              <w:rPr>
                <w:rFonts w:ascii="Calibri" w:hAnsi="Calibri" w:cs="Calibri"/>
                <w:color w:val="000000"/>
                <w:sz w:val="22"/>
                <w:szCs w:val="22"/>
              </w:rPr>
              <w:t>10</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sz w:val="22"/>
                <w:szCs w:val="22"/>
              </w:rPr>
            </w:pPr>
            <w:r w:rsidRPr="00A41DB2">
              <w:rPr>
                <w:rFonts w:ascii="Calibri" w:hAnsi="Calibri"/>
                <w:sz w:val="22"/>
                <w:szCs w:val="22"/>
              </w:rPr>
              <w:t>Referred to DHB</w:t>
            </w:r>
            <w:r w:rsidRPr="00A41DB2">
              <w:rPr>
                <w:rStyle w:val="FootnoteReference"/>
                <w:rFonts w:ascii="Calibri" w:hAnsi="Calibri"/>
                <w:sz w:val="22"/>
                <w:szCs w:val="22"/>
              </w:rPr>
              <w:footnoteReference w:id="7"/>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keepNext/>
              <w:keepLines/>
              <w:tabs>
                <w:tab w:val="left" w:pos="1440"/>
                <w:tab w:val="decimal" w:pos="4320"/>
              </w:tabs>
              <w:jc w:val="center"/>
              <w:outlineLvl w:val="0"/>
              <w:rPr>
                <w:rFonts w:ascii="Calibri" w:hAnsi="Calibri"/>
                <w:sz w:val="22"/>
                <w:szCs w:val="22"/>
              </w:rPr>
            </w:pPr>
            <w:r w:rsidRPr="00A41DB2">
              <w:rPr>
                <w:rFonts w:ascii="Calibri" w:hAnsi="Calibri"/>
                <w:sz w:val="22"/>
                <w:szCs w:val="22"/>
              </w:rPr>
              <w:t>95</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cs="Arial"/>
                <w:sz w:val="22"/>
                <w:szCs w:val="22"/>
                <w:lang w:bidi="ar-SA"/>
              </w:rPr>
            </w:pPr>
            <w:r w:rsidRPr="00A41DB2">
              <w:rPr>
                <w:rFonts w:ascii="Calibri" w:hAnsi="Calibri" w:cs="Arial"/>
                <w:sz w:val="22"/>
                <w:szCs w:val="22"/>
                <w:lang w:bidi="ar-SA"/>
              </w:rPr>
              <w:t>Referred to Advocacy</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keepNext/>
              <w:keepLines/>
              <w:tabs>
                <w:tab w:val="left" w:pos="1440"/>
                <w:tab w:val="decimal" w:pos="4320"/>
              </w:tabs>
              <w:jc w:val="center"/>
              <w:outlineLvl w:val="0"/>
              <w:rPr>
                <w:rFonts w:ascii="Calibri" w:hAnsi="Calibri"/>
                <w:sz w:val="22"/>
                <w:szCs w:val="22"/>
              </w:rPr>
            </w:pPr>
            <w:r w:rsidRPr="00A41DB2">
              <w:rPr>
                <w:rFonts w:ascii="Calibri" w:hAnsi="Calibri"/>
                <w:sz w:val="22"/>
                <w:szCs w:val="22"/>
              </w:rPr>
              <w:t>16</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cs="Arial"/>
                <w:sz w:val="22"/>
                <w:szCs w:val="22"/>
                <w:lang w:bidi="ar-SA"/>
              </w:rPr>
            </w:pPr>
            <w:r w:rsidRPr="00A41DB2">
              <w:rPr>
                <w:rFonts w:ascii="Calibri" w:hAnsi="Calibri" w:cs="Arial"/>
                <w:sz w:val="22"/>
                <w:szCs w:val="22"/>
                <w:lang w:bidi="ar-SA"/>
              </w:rPr>
              <w:t>No further action</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jc w:val="center"/>
              <w:rPr>
                <w:rFonts w:ascii="Calibri" w:hAnsi="Calibri" w:cs="Calibri"/>
                <w:color w:val="000000"/>
                <w:sz w:val="22"/>
                <w:szCs w:val="22"/>
              </w:rPr>
            </w:pPr>
            <w:r w:rsidRPr="00A41DB2">
              <w:rPr>
                <w:rFonts w:ascii="Calibri" w:hAnsi="Calibri" w:cs="Calibri"/>
                <w:color w:val="000000"/>
                <w:sz w:val="22"/>
                <w:szCs w:val="22"/>
              </w:rPr>
              <w:t>148</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keepNext/>
              <w:keepLines/>
              <w:tabs>
                <w:tab w:val="left" w:pos="1440"/>
                <w:tab w:val="decimal" w:pos="4320"/>
              </w:tabs>
              <w:jc w:val="left"/>
              <w:outlineLvl w:val="0"/>
              <w:rPr>
                <w:rFonts w:ascii="Calibri" w:hAnsi="Calibri" w:cs="Arial"/>
                <w:sz w:val="22"/>
                <w:szCs w:val="22"/>
                <w:lang w:bidi="ar-SA"/>
              </w:rPr>
            </w:pPr>
            <w:r w:rsidRPr="00A41DB2">
              <w:rPr>
                <w:rFonts w:ascii="Calibri" w:hAnsi="Calibri" w:cs="Arial"/>
                <w:sz w:val="22"/>
                <w:szCs w:val="22"/>
                <w:lang w:bidi="ar-SA"/>
              </w:rPr>
              <w:t>Withdrawn</w:t>
            </w:r>
          </w:p>
        </w:tc>
        <w:tc>
          <w:tcPr>
            <w:tcW w:w="3119"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jc w:val="center"/>
              <w:rPr>
                <w:rFonts w:ascii="Calibri" w:hAnsi="Calibri" w:cs="Calibri"/>
                <w:color w:val="000000"/>
                <w:sz w:val="22"/>
                <w:szCs w:val="22"/>
              </w:rPr>
            </w:pPr>
            <w:r w:rsidRPr="00A41DB2">
              <w:rPr>
                <w:rFonts w:ascii="Calibri" w:hAnsi="Calibri" w:cs="Calibri"/>
                <w:color w:val="000000"/>
                <w:sz w:val="22"/>
                <w:szCs w:val="22"/>
              </w:rPr>
              <w:t>7</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Pr="00A41DB2" w:rsidRDefault="00806342" w:rsidP="008C3A00">
            <w:pPr>
              <w:keepNext/>
              <w:keepLines/>
              <w:tabs>
                <w:tab w:val="left" w:pos="1440"/>
                <w:tab w:val="decimal" w:pos="4320"/>
              </w:tabs>
              <w:jc w:val="left"/>
              <w:outlineLvl w:val="0"/>
              <w:rPr>
                <w:rFonts w:ascii="Calibri" w:hAnsi="Calibri"/>
                <w:b/>
                <w:i/>
                <w:sz w:val="22"/>
                <w:szCs w:val="22"/>
              </w:rPr>
            </w:pPr>
            <w:r w:rsidRPr="00A41DB2">
              <w:rPr>
                <w:rFonts w:ascii="Calibri" w:hAnsi="Calibri"/>
                <w:b/>
                <w:i/>
                <w:sz w:val="22"/>
                <w:szCs w:val="22"/>
              </w:rPr>
              <w:t xml:space="preserve">Outside jurisdiction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6342" w:rsidRPr="00A41DB2" w:rsidRDefault="00806342" w:rsidP="008C3A00">
            <w:pPr>
              <w:keepNext/>
              <w:keepLines/>
              <w:tabs>
                <w:tab w:val="left" w:pos="1440"/>
                <w:tab w:val="decimal" w:pos="4320"/>
              </w:tabs>
              <w:jc w:val="center"/>
              <w:outlineLvl w:val="0"/>
              <w:rPr>
                <w:rFonts w:ascii="Calibri" w:hAnsi="Calibri"/>
                <w:b/>
                <w:i/>
                <w:sz w:val="22"/>
                <w:szCs w:val="22"/>
              </w:rPr>
            </w:pPr>
            <w:r w:rsidRPr="00A41DB2">
              <w:rPr>
                <w:rFonts w:ascii="Calibri" w:hAnsi="Calibri"/>
                <w:b/>
                <w:i/>
                <w:sz w:val="22"/>
                <w:szCs w:val="22"/>
              </w:rPr>
              <w:t>16</w:t>
            </w:r>
          </w:p>
        </w:tc>
      </w:tr>
      <w:tr w:rsidR="00806342" w:rsidRPr="00A41DB2" w:rsidTr="008C3A00">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Pr="00A41DB2" w:rsidRDefault="00806342" w:rsidP="008C3A00">
            <w:pPr>
              <w:keepNext/>
              <w:keepLines/>
              <w:tabs>
                <w:tab w:val="left" w:pos="1440"/>
                <w:tab w:val="decimal" w:pos="4320"/>
              </w:tabs>
              <w:jc w:val="left"/>
              <w:outlineLvl w:val="0"/>
              <w:rPr>
                <w:rFonts w:ascii="Calibri" w:hAnsi="Calibri" w:cs="Arial"/>
                <w:b/>
                <w:sz w:val="22"/>
                <w:szCs w:val="22"/>
                <w:lang w:bidi="ar-SA"/>
              </w:rPr>
            </w:pPr>
            <w:r w:rsidRPr="00A41DB2">
              <w:rPr>
                <w:rFonts w:ascii="Calibri" w:hAnsi="Calibri" w:cs="Arial"/>
                <w:b/>
                <w:sz w:val="22"/>
                <w:szCs w:val="22"/>
                <w:lang w:bidi="ar-SA"/>
              </w:rPr>
              <w:t>TOTAL</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Pr="00A41DB2" w:rsidRDefault="00806342" w:rsidP="008C3A00">
            <w:pPr>
              <w:jc w:val="center"/>
              <w:rPr>
                <w:rFonts w:ascii="Calibri" w:hAnsi="Calibri" w:cs="Calibri"/>
                <w:b/>
                <w:color w:val="000000"/>
                <w:sz w:val="22"/>
                <w:szCs w:val="22"/>
              </w:rPr>
            </w:pPr>
            <w:r w:rsidRPr="00A41DB2">
              <w:rPr>
                <w:rFonts w:ascii="Calibri" w:hAnsi="Calibri" w:cs="Calibri"/>
                <w:b/>
                <w:color w:val="000000"/>
                <w:sz w:val="22"/>
                <w:szCs w:val="22"/>
              </w:rPr>
              <w:t>365</w:t>
            </w:r>
          </w:p>
        </w:tc>
      </w:tr>
    </w:tbl>
    <w:p w:rsidR="00806342" w:rsidRDefault="00806342" w:rsidP="00806342">
      <w:pPr>
        <w:rPr>
          <w:lang w:eastAsia="en-NZ"/>
        </w:rPr>
      </w:pPr>
      <w:bookmarkStart w:id="77" w:name="_Toc415221220"/>
      <w:bookmarkStart w:id="78" w:name="_Toc415153519"/>
      <w:bookmarkStart w:id="79" w:name="_Toc415147245"/>
      <w:bookmarkStart w:id="80" w:name="_Toc415135531"/>
      <w:bookmarkStart w:id="81" w:name="_Toc415046459"/>
      <w:bookmarkStart w:id="82" w:name="_Toc415039803"/>
      <w:bookmarkStart w:id="83" w:name="_Toc414952832"/>
      <w:bookmarkStart w:id="84" w:name="_Toc414886547"/>
      <w:bookmarkStart w:id="85" w:name="_Toc414875837"/>
      <w:bookmarkStart w:id="86" w:name="_Toc414461839"/>
      <w:bookmarkStart w:id="87" w:name="_Toc414442658"/>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rPr>
          <w:lang w:eastAsia="en-NZ"/>
        </w:rPr>
      </w:pPr>
    </w:p>
    <w:p w:rsidR="00806342" w:rsidRDefault="00806342" w:rsidP="00806342">
      <w:pPr>
        <w:pStyle w:val="Heading3"/>
        <w:spacing w:before="240"/>
        <w:rPr>
          <w:lang w:eastAsia="en-NZ"/>
        </w:rPr>
      </w:pPr>
      <w:bookmarkStart w:id="88" w:name="_Toc426462639"/>
      <w:bookmarkStart w:id="89" w:name="_Toc443992234"/>
      <w:bookmarkStart w:id="90" w:name="_Toc447273233"/>
      <w:bookmarkStart w:id="91" w:name="_Toc447274446"/>
      <w:r>
        <w:rPr>
          <w:lang w:eastAsia="en-NZ"/>
        </w:rPr>
        <w:t xml:space="preserve">4.3 </w:t>
      </w:r>
      <w:r>
        <w:rPr>
          <w:lang w:eastAsia="en-NZ"/>
        </w:rPr>
        <w:tab/>
      </w:r>
      <w:r>
        <w:t>Recommendations</w:t>
      </w:r>
      <w:r>
        <w:rPr>
          <w:lang w:eastAsia="en-NZ"/>
        </w:rPr>
        <w:t xml:space="preserve"> made to DHBs following a complaint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806342" w:rsidRDefault="00806342" w:rsidP="00806342">
      <w:pPr>
        <w:pStyle w:val="NoSpacing"/>
        <w:spacing w:after="120"/>
        <w:rPr>
          <w:lang w:val="en-NZ" w:eastAsia="en-NZ"/>
        </w:rPr>
      </w:pPr>
      <w:r>
        <w:rPr>
          <w:lang w:val="en-NZ" w:eastAsia="en-NZ"/>
        </w:rPr>
        <w:t xml:space="preserve">Regardless of whether or not a complaint has been investigated, the Commissioner may make recommendations to a DHB. HDC then follows up with the DHB to ensure that these recommendations have been acted upon. Table 12 shows the recommendations made to DHBs in complaints closed in the current period. Please note that more than one recommendation may be made in relation to a single complaint. </w:t>
      </w:r>
    </w:p>
    <w:p w:rsidR="00806342" w:rsidRDefault="00806342" w:rsidP="00806342">
      <w:pPr>
        <w:pStyle w:val="NoSpacing"/>
        <w:spacing w:after="120"/>
        <w:rPr>
          <w:b/>
          <w:lang w:val="en-NZ" w:eastAsia="en-NZ"/>
        </w:rPr>
      </w:pPr>
      <w:r>
        <w:rPr>
          <w:b/>
          <w:lang w:val="en-NZ" w:eastAsia="en-NZ"/>
        </w:rPr>
        <w:t xml:space="preserve">Table 12. </w:t>
      </w:r>
      <w:r>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1984"/>
      </w:tblGrid>
      <w:tr w:rsidR="00806342" w:rsidRPr="00A41DB2" w:rsidTr="008C3A00">
        <w:tc>
          <w:tcPr>
            <w:tcW w:w="3686"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pStyle w:val="NoSpacing"/>
              <w:jc w:val="center"/>
              <w:rPr>
                <w:rFonts w:asciiTheme="minorHAnsi" w:hAnsiTheme="minorHAnsi"/>
                <w:b/>
                <w:sz w:val="22"/>
                <w:szCs w:val="22"/>
                <w:lang w:val="en-NZ"/>
              </w:rPr>
            </w:pPr>
            <w:r w:rsidRPr="00A41DB2">
              <w:rPr>
                <w:rFonts w:asciiTheme="minorHAnsi" w:hAnsiTheme="minorHAnsi"/>
                <w:b/>
                <w:sz w:val="22"/>
                <w:szCs w:val="22"/>
                <w:lang w:val="en-NZ"/>
              </w:rPr>
              <w:t>Recommendation</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b/>
                <w:sz w:val="22"/>
                <w:szCs w:val="22"/>
                <w:lang w:val="en-NZ"/>
              </w:rPr>
            </w:pPr>
            <w:r w:rsidRPr="00A41DB2">
              <w:rPr>
                <w:rFonts w:asciiTheme="minorHAnsi" w:hAnsiTheme="minorHAnsi"/>
                <w:b/>
                <w:sz w:val="22"/>
                <w:szCs w:val="22"/>
                <w:lang w:val="en-NZ"/>
              </w:rPr>
              <w:t>Number of recommendations made</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left"/>
              <w:rPr>
                <w:rFonts w:asciiTheme="minorHAnsi" w:hAnsiTheme="minorHAnsi"/>
                <w:sz w:val="22"/>
                <w:szCs w:val="22"/>
                <w:lang w:val="en-NZ"/>
              </w:rPr>
            </w:pPr>
            <w:r w:rsidRPr="00A41DB2">
              <w:rPr>
                <w:rFonts w:asciiTheme="minorHAnsi" w:hAnsiTheme="minorHAnsi"/>
                <w:sz w:val="22"/>
                <w:szCs w:val="22"/>
                <w:lang w:val="en-NZ"/>
              </w:rPr>
              <w:t>Apology</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14</w:t>
            </w:r>
          </w:p>
        </w:tc>
      </w:tr>
      <w:tr w:rsidR="00806342" w:rsidRPr="00A41DB2" w:rsidTr="008C3A00">
        <w:trPr>
          <w:trHeight w:val="293"/>
        </w:trPr>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left"/>
              <w:rPr>
                <w:rFonts w:asciiTheme="minorHAnsi" w:hAnsiTheme="minorHAnsi"/>
                <w:sz w:val="22"/>
                <w:szCs w:val="22"/>
                <w:lang w:val="en-NZ"/>
              </w:rPr>
            </w:pPr>
            <w:r w:rsidRPr="00A41DB2">
              <w:rPr>
                <w:rFonts w:asciiTheme="minorHAnsi" w:hAnsiTheme="minorHAnsi"/>
                <w:sz w:val="22"/>
                <w:szCs w:val="22"/>
                <w:lang w:val="en-NZ"/>
              </w:rPr>
              <w:t>Audit</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21</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left"/>
              <w:rPr>
                <w:rFonts w:asciiTheme="minorHAnsi" w:hAnsiTheme="minorHAnsi"/>
                <w:sz w:val="22"/>
                <w:szCs w:val="22"/>
                <w:lang w:val="en-NZ"/>
              </w:rPr>
            </w:pPr>
            <w:r w:rsidRPr="00A41DB2">
              <w:rPr>
                <w:rFonts w:asciiTheme="minorHAnsi" w:hAnsiTheme="minorHAnsi"/>
                <w:sz w:val="22"/>
                <w:szCs w:val="22"/>
                <w:lang w:val="en-NZ"/>
              </w:rPr>
              <w:t>Meeting with consumer/complainant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2</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left"/>
              <w:rPr>
                <w:rFonts w:asciiTheme="minorHAnsi" w:hAnsiTheme="minorHAnsi"/>
                <w:sz w:val="22"/>
                <w:szCs w:val="22"/>
                <w:lang w:val="en-NZ"/>
              </w:rPr>
            </w:pPr>
            <w:r w:rsidRPr="00A41DB2">
              <w:rPr>
                <w:rFonts w:asciiTheme="minorHAnsi" w:hAnsiTheme="minorHAnsi"/>
                <w:sz w:val="22"/>
                <w:szCs w:val="22"/>
                <w:lang w:val="en-NZ"/>
              </w:rPr>
              <w:t>Presentation/discussion of complaint with others</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4</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rPr>
                <w:rFonts w:asciiTheme="minorHAnsi" w:hAnsiTheme="minorHAnsi"/>
                <w:sz w:val="22"/>
                <w:szCs w:val="22"/>
                <w:lang w:val="en-NZ"/>
              </w:rPr>
            </w:pPr>
            <w:r w:rsidRPr="00A41DB2">
              <w:rPr>
                <w:rFonts w:asciiTheme="minorHAnsi" w:hAnsiTheme="minorHAnsi"/>
                <w:sz w:val="22"/>
                <w:szCs w:val="22"/>
                <w:lang w:val="en-NZ"/>
              </w:rPr>
              <w:t>Provision of information to consumer</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1</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rPr>
                <w:rFonts w:asciiTheme="minorHAnsi" w:hAnsiTheme="minorHAnsi"/>
                <w:sz w:val="22"/>
                <w:szCs w:val="22"/>
                <w:lang w:val="en-NZ"/>
              </w:rPr>
            </w:pPr>
            <w:r w:rsidRPr="00A41DB2">
              <w:rPr>
                <w:rFonts w:asciiTheme="minorHAnsi" w:hAnsiTheme="minorHAnsi"/>
                <w:sz w:val="22"/>
                <w:szCs w:val="22"/>
                <w:lang w:val="en-NZ"/>
              </w:rPr>
              <w:t>Provision of information to HDC</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19</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left"/>
              <w:rPr>
                <w:rFonts w:asciiTheme="minorHAnsi" w:hAnsiTheme="minorHAnsi"/>
                <w:sz w:val="22"/>
                <w:szCs w:val="22"/>
                <w:lang w:val="en-NZ"/>
              </w:rPr>
            </w:pPr>
            <w:r w:rsidRPr="00A41DB2">
              <w:rPr>
                <w:rFonts w:asciiTheme="minorHAnsi" w:hAnsiTheme="minorHAnsi"/>
                <w:sz w:val="22"/>
                <w:szCs w:val="22"/>
                <w:lang w:val="en-NZ"/>
              </w:rPr>
              <w:t>Reflection</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2</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rPr>
                <w:rFonts w:asciiTheme="minorHAnsi" w:hAnsiTheme="minorHAnsi"/>
                <w:sz w:val="22"/>
                <w:szCs w:val="22"/>
                <w:lang w:val="en-NZ"/>
              </w:rPr>
            </w:pPr>
            <w:r w:rsidRPr="00A41DB2">
              <w:rPr>
                <w:rFonts w:asciiTheme="minorHAnsi" w:hAnsiTheme="minorHAnsi"/>
                <w:sz w:val="22"/>
                <w:szCs w:val="22"/>
                <w:lang w:val="en-NZ"/>
              </w:rPr>
              <w:t>Review of policies/procedures</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22</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rPr>
                <w:rFonts w:asciiTheme="minorHAnsi" w:hAnsiTheme="minorHAnsi"/>
                <w:sz w:val="22"/>
                <w:szCs w:val="22"/>
                <w:lang w:val="en-NZ"/>
              </w:rPr>
            </w:pPr>
            <w:r w:rsidRPr="00A41DB2">
              <w:rPr>
                <w:rFonts w:asciiTheme="minorHAnsi" w:hAnsiTheme="minorHAnsi"/>
                <w:sz w:val="22"/>
                <w:szCs w:val="22"/>
                <w:lang w:val="en-NZ"/>
              </w:rPr>
              <w:t>Training/professional development</w:t>
            </w:r>
          </w:p>
        </w:tc>
        <w:tc>
          <w:tcPr>
            <w:tcW w:w="1984" w:type="dxa"/>
            <w:tcBorders>
              <w:top w:val="single" w:sz="4" w:space="0" w:color="auto"/>
              <w:left w:val="single" w:sz="4" w:space="0" w:color="auto"/>
              <w:bottom w:val="single" w:sz="4" w:space="0" w:color="auto"/>
              <w:right w:val="single" w:sz="4" w:space="0" w:color="auto"/>
            </w:tcBorders>
            <w:hideMark/>
          </w:tcPr>
          <w:p w:rsidR="00806342" w:rsidRPr="00A41DB2" w:rsidRDefault="00806342" w:rsidP="008C3A00">
            <w:pPr>
              <w:pStyle w:val="NoSpacing"/>
              <w:jc w:val="center"/>
              <w:rPr>
                <w:rFonts w:asciiTheme="minorHAnsi" w:hAnsiTheme="minorHAnsi"/>
                <w:sz w:val="22"/>
                <w:szCs w:val="22"/>
                <w:lang w:val="en-NZ"/>
              </w:rPr>
            </w:pPr>
            <w:r w:rsidRPr="00A41DB2">
              <w:rPr>
                <w:rFonts w:asciiTheme="minorHAnsi" w:hAnsiTheme="minorHAnsi"/>
                <w:sz w:val="22"/>
                <w:szCs w:val="22"/>
                <w:lang w:val="en-NZ"/>
              </w:rPr>
              <w:t>10</w:t>
            </w:r>
          </w:p>
        </w:tc>
      </w:tr>
      <w:tr w:rsidR="00806342" w:rsidRPr="00A41DB2" w:rsidTr="008C3A00">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Pr="00A41DB2" w:rsidRDefault="00806342" w:rsidP="008C3A00">
            <w:pPr>
              <w:pStyle w:val="NoSpacing"/>
              <w:rPr>
                <w:rFonts w:asciiTheme="minorHAnsi" w:hAnsiTheme="minorHAnsi"/>
                <w:b/>
                <w:sz w:val="22"/>
                <w:szCs w:val="22"/>
                <w:lang w:val="en-NZ"/>
              </w:rPr>
            </w:pPr>
            <w:r w:rsidRPr="00A41DB2">
              <w:rPr>
                <w:rFonts w:asciiTheme="minorHAnsi" w:hAnsiTheme="minorHAnsi"/>
                <w:b/>
                <w:sz w:val="22"/>
                <w:szCs w:val="22"/>
                <w:lang w:val="en-NZ"/>
              </w:rPr>
              <w:t>Total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6342" w:rsidRPr="00A41DB2" w:rsidRDefault="00806342" w:rsidP="008C3A00">
            <w:pPr>
              <w:pStyle w:val="NoSpacing"/>
              <w:jc w:val="center"/>
              <w:rPr>
                <w:rFonts w:asciiTheme="minorHAnsi" w:hAnsiTheme="minorHAnsi"/>
                <w:b/>
                <w:sz w:val="22"/>
                <w:szCs w:val="22"/>
                <w:lang w:val="en-NZ"/>
              </w:rPr>
            </w:pPr>
            <w:r w:rsidRPr="00A41DB2">
              <w:rPr>
                <w:rFonts w:asciiTheme="minorHAnsi" w:hAnsiTheme="minorHAnsi"/>
                <w:b/>
                <w:sz w:val="22"/>
                <w:szCs w:val="22"/>
                <w:lang w:val="en-NZ"/>
              </w:rPr>
              <w:t>95</w:t>
            </w:r>
          </w:p>
        </w:tc>
      </w:tr>
    </w:tbl>
    <w:p w:rsidR="00806342" w:rsidRDefault="00806342" w:rsidP="00806342">
      <w:pPr>
        <w:spacing w:before="240"/>
        <w:rPr>
          <w:b/>
        </w:rPr>
      </w:pPr>
      <w:r>
        <w:t>T</w:t>
      </w:r>
      <w:r>
        <w:rPr>
          <w:lang w:eastAsia="en-NZ"/>
        </w:rPr>
        <w:t xml:space="preserve">he most common recommendation made to DHBs was that they review their policies/procedures (22 recommendations). When audits were recommended, they were most commonly in relation to adherence to policies/procedures, followed by compliance with documentation requirements. Training/professional development was most often recommended in relation to clinical issues, followed by communication. </w:t>
      </w:r>
    </w:p>
    <w:bookmarkEnd w:id="54"/>
    <w:p w:rsidR="00806342" w:rsidRDefault="00806342" w:rsidP="00806342"/>
    <w:p w:rsidR="00806342" w:rsidRDefault="00806342" w:rsidP="00806342"/>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rPr>
          <w:lang w:bidi="ar-SA"/>
        </w:rPr>
      </w:pPr>
    </w:p>
    <w:p w:rsidR="00806342" w:rsidRDefault="00806342" w:rsidP="00806342">
      <w:pPr>
        <w:pStyle w:val="Heading2"/>
        <w:rPr>
          <w:lang w:val="en-NZ"/>
        </w:rPr>
      </w:pPr>
      <w:bookmarkStart w:id="92" w:name="_Toc426462640"/>
      <w:bookmarkStart w:id="93" w:name="_Toc443992235"/>
      <w:bookmarkStart w:id="94" w:name="_Toc447273234"/>
      <w:bookmarkStart w:id="95" w:name="_Toc447274447"/>
      <w:r>
        <w:rPr>
          <w:lang w:val="en-NZ"/>
        </w:rPr>
        <w:t>5.0</w:t>
      </w:r>
      <w:r>
        <w:rPr>
          <w:lang w:val="en-NZ"/>
        </w:rPr>
        <w:tab/>
        <w:t>Learning from complaints — HDC case reports</w:t>
      </w:r>
      <w:bookmarkEnd w:id="92"/>
      <w:bookmarkEnd w:id="93"/>
      <w:bookmarkEnd w:id="94"/>
      <w:bookmarkEnd w:id="95"/>
    </w:p>
    <w:p w:rsidR="00806342" w:rsidRDefault="00806342" w:rsidP="00806342">
      <w:pPr>
        <w:rPr>
          <w:b/>
          <w:szCs w:val="22"/>
        </w:rPr>
      </w:pPr>
      <w:r>
        <w:rPr>
          <w:b/>
          <w:szCs w:val="22"/>
        </w:rPr>
        <w:t>Administration of drug to consumer with known allergy (</w:t>
      </w:r>
      <w:r>
        <w:rPr>
          <w:b/>
          <w:noProof/>
          <w:szCs w:val="22"/>
        </w:rPr>
        <w:t>14HDC00157</w:t>
      </w:r>
      <w:r>
        <w:rPr>
          <w:b/>
          <w:szCs w:val="22"/>
        </w:rPr>
        <w:t>)</w:t>
      </w:r>
    </w:p>
    <w:p w:rsidR="00806342" w:rsidRDefault="00806342" w:rsidP="00806342">
      <w:pPr>
        <w:tabs>
          <w:tab w:val="left" w:pos="720"/>
          <w:tab w:val="left" w:pos="1134"/>
        </w:tabs>
        <w:spacing w:before="120" w:after="120"/>
        <w:rPr>
          <w:i/>
          <w:szCs w:val="22"/>
        </w:rPr>
      </w:pPr>
      <w:r>
        <w:rPr>
          <w:i/>
          <w:szCs w:val="22"/>
        </w:rPr>
        <w:t>Background</w:t>
      </w:r>
    </w:p>
    <w:p w:rsidR="00806342" w:rsidRDefault="00806342" w:rsidP="00806342">
      <w:pPr>
        <w:tabs>
          <w:tab w:val="left" w:pos="720"/>
          <w:tab w:val="left" w:pos="1134"/>
        </w:tabs>
        <w:spacing w:before="120" w:after="120"/>
        <w:rPr>
          <w:szCs w:val="22"/>
        </w:rPr>
      </w:pPr>
      <w:r>
        <w:rPr>
          <w:szCs w:val="22"/>
        </w:rPr>
        <w:t xml:space="preserve">Mrs A, an 80 year old woman, was admitted to hospital for a period of supportive rehabilitation following surgery for a hip fracture. Mrs A had previously experienced a severe adverse reaction to the antibiotic trimethoprim and wore a </w:t>
      </w:r>
      <w:proofErr w:type="spellStart"/>
      <w:r>
        <w:rPr>
          <w:szCs w:val="22"/>
        </w:rPr>
        <w:t>MedicAlert</w:t>
      </w:r>
      <w:proofErr w:type="spellEnd"/>
      <w:r>
        <w:rPr>
          <w:szCs w:val="22"/>
        </w:rPr>
        <w:t xml:space="preserve"> bracelet showing this.</w:t>
      </w:r>
    </w:p>
    <w:p w:rsidR="00806342" w:rsidRDefault="00806342" w:rsidP="00806342">
      <w:pPr>
        <w:tabs>
          <w:tab w:val="left" w:pos="720"/>
          <w:tab w:val="left" w:pos="1134"/>
        </w:tabs>
        <w:spacing w:before="120" w:after="120"/>
        <w:rPr>
          <w:szCs w:val="22"/>
        </w:rPr>
      </w:pPr>
      <w:r>
        <w:rPr>
          <w:szCs w:val="22"/>
        </w:rPr>
        <w:t>The admitting house officer, Dr I, took a full medical history and recorded in the progress notes that Mrs A had numerous drug allergies. Dr I handwrote orange adverse reaction labels which he stuck to each page of the drug chart. In particular, the orange stickers stated: “Trimethoprim/Co-</w:t>
      </w:r>
      <w:proofErr w:type="spellStart"/>
      <w:r>
        <w:rPr>
          <w:szCs w:val="22"/>
        </w:rPr>
        <w:t>trimoxazole</w:t>
      </w:r>
      <w:proofErr w:type="spellEnd"/>
      <w:r>
        <w:rPr>
          <w:szCs w:val="22"/>
        </w:rPr>
        <w:t xml:space="preserve"> – toxic epidermal necrolysis”.</w:t>
      </w:r>
    </w:p>
    <w:p w:rsidR="00806342" w:rsidRDefault="00806342" w:rsidP="00806342">
      <w:pPr>
        <w:tabs>
          <w:tab w:val="left" w:pos="720"/>
          <w:tab w:val="left" w:pos="1134"/>
        </w:tabs>
        <w:spacing w:before="120" w:after="120"/>
        <w:rPr>
          <w:szCs w:val="22"/>
        </w:rPr>
      </w:pPr>
      <w:r>
        <w:rPr>
          <w:szCs w:val="22"/>
        </w:rPr>
        <w:t xml:space="preserve">Two days later a registrar, Dr E, reviewed Mrs A for a suspected urinary tract infection. Dr E did not check the orange adverse reaction sticker and prescribed trimethoprim 1 x 300mg tablet to be given at night for five days. Dr E, while accepting that she made a “grievous error”, pointed to a number of systemic factors in the ward. In particular, she noted the large workload, high patient turnover, and the requirement to support and supervise junior staff, which made her vulnerable to omitting her standard check of the orange alert sticker. </w:t>
      </w:r>
    </w:p>
    <w:p w:rsidR="00806342" w:rsidRDefault="00806342" w:rsidP="00806342">
      <w:pPr>
        <w:tabs>
          <w:tab w:val="left" w:pos="720"/>
          <w:tab w:val="left" w:pos="1134"/>
        </w:tabs>
        <w:spacing w:before="120" w:after="120"/>
        <w:rPr>
          <w:szCs w:val="22"/>
        </w:rPr>
      </w:pPr>
      <w:r>
        <w:rPr>
          <w:szCs w:val="22"/>
        </w:rPr>
        <w:t>That evening a nurse, RN F, administered Mrs A her first dose of trimethoprim 300mg. RN F advised that in her busyness she did not see the adverse reaction written on the adverse reaction sticker, and placed too much reliance on the fact that Mrs A would not be charted medications to which she was allergic. The following morning Mrs A was reviewed by a second  registrar, Dr G, who identified that Mrs A had been given trimethoprim in error, stopped the prescription and advised nursing staff to observe Mrs A for signs suggesting an allergic reaction.</w:t>
      </w:r>
    </w:p>
    <w:p w:rsidR="00806342" w:rsidRDefault="00806342" w:rsidP="00806342">
      <w:pPr>
        <w:tabs>
          <w:tab w:val="left" w:pos="720"/>
          <w:tab w:val="left" w:pos="1134"/>
        </w:tabs>
        <w:spacing w:before="120" w:after="120"/>
        <w:rPr>
          <w:szCs w:val="22"/>
        </w:rPr>
      </w:pPr>
      <w:r>
        <w:rPr>
          <w:szCs w:val="22"/>
        </w:rPr>
        <w:t xml:space="preserve">Within 24 hours Mrs A had peeling on her left inner thigh, like a burn, and both of her legs had developed blisters. Mrs A was admitted to intensive care with toxic epidermal necrolysis, a life threatening skin condition, resulting from the allergic reaction to the trimethoprim. Mrs A underwent surgery to remove damaged skin and dress her extensive lesions, but she sadly died a few days later. </w:t>
      </w:r>
    </w:p>
    <w:p w:rsidR="00806342" w:rsidRDefault="00806342" w:rsidP="00806342">
      <w:pPr>
        <w:tabs>
          <w:tab w:val="left" w:pos="720"/>
          <w:tab w:val="left" w:pos="1134"/>
        </w:tabs>
        <w:spacing w:before="120" w:after="120"/>
        <w:rPr>
          <w:i/>
          <w:szCs w:val="22"/>
        </w:rPr>
      </w:pPr>
      <w:r>
        <w:rPr>
          <w:i/>
          <w:szCs w:val="22"/>
        </w:rPr>
        <w:t>Findings</w:t>
      </w:r>
    </w:p>
    <w:p w:rsidR="00806342" w:rsidRDefault="00806342" w:rsidP="00806342">
      <w:pPr>
        <w:tabs>
          <w:tab w:val="left" w:pos="720"/>
          <w:tab w:val="left" w:pos="1134"/>
        </w:tabs>
        <w:spacing w:before="120" w:after="120"/>
        <w:rPr>
          <w:szCs w:val="22"/>
        </w:rPr>
      </w:pPr>
      <w:r>
        <w:rPr>
          <w:szCs w:val="22"/>
        </w:rPr>
        <w:t xml:space="preserve">The Commissioner considered that both Dr E and RN F missed several opportunities to establish Mrs A’s allergy status, including reading the notes, reviewing the drug chart, noting her </w:t>
      </w:r>
      <w:proofErr w:type="spellStart"/>
      <w:r>
        <w:rPr>
          <w:szCs w:val="22"/>
        </w:rPr>
        <w:t>MedicAlert</w:t>
      </w:r>
      <w:proofErr w:type="spellEnd"/>
      <w:r>
        <w:rPr>
          <w:szCs w:val="22"/>
        </w:rPr>
        <w:t xml:space="preserve"> bracelet, and asking Mrs A whether she had allergies. The Commissioner acknowledged that the ward was busy, but stated that it was Dr E’s responsibility to take the necessary steps to ensure that Mrs A was prescribed medication that was appropriate for her. The Commissioner also stated that RN F’s actions were a severe departure from accepted standards in relation to safe medication administration. Accordingly, both Dr E and RN F were found in breach of Right 4(1) of the Code.</w:t>
      </w:r>
    </w:p>
    <w:p w:rsidR="00806342" w:rsidRDefault="00806342" w:rsidP="00806342">
      <w:pPr>
        <w:tabs>
          <w:tab w:val="left" w:pos="720"/>
          <w:tab w:val="left" w:pos="1134"/>
        </w:tabs>
        <w:spacing w:before="120" w:after="120"/>
        <w:rPr>
          <w:szCs w:val="22"/>
        </w:rPr>
      </w:pPr>
      <w:r>
        <w:rPr>
          <w:szCs w:val="22"/>
        </w:rPr>
        <w:t>The Commissioner’s expert advisor considered that there were several systemic issues in the ward in that the workload was high, there were concerns about staffing levels and skill mix, and the environment was confrontational. He stated: “the contribution of the work environment must not be underestimated as these errors are not made by bad doctors or nurses but by systems that fail to support the prescribers and dispensers”. The Commissioner found that the staff and systems at the DHB let Mrs A down and that the DHB failed to provide Mrs A with services with reasonable care and skill, in breach of Right 4(1) of the Code. The Commissioner was also critical of suboptimal open disclosure and documentation at the DHB.</w:t>
      </w:r>
    </w:p>
    <w:p w:rsidR="00806342" w:rsidRDefault="00806342" w:rsidP="00806342">
      <w:pPr>
        <w:pStyle w:val="NoSpacing"/>
        <w:spacing w:before="120" w:after="120"/>
        <w:rPr>
          <w:rFonts w:cs="Times New Roman"/>
          <w:i/>
          <w:lang w:val="en-NZ"/>
        </w:rPr>
      </w:pPr>
      <w:r>
        <w:rPr>
          <w:rFonts w:cs="Times New Roman"/>
          <w:i/>
          <w:lang w:val="en-NZ"/>
        </w:rPr>
        <w:t>Recommendations</w:t>
      </w:r>
    </w:p>
    <w:p w:rsidR="00806342" w:rsidRDefault="00806342" w:rsidP="00806342">
      <w:pPr>
        <w:pStyle w:val="NoSpacing"/>
        <w:spacing w:before="120" w:after="120"/>
        <w:rPr>
          <w:rFonts w:cs="Times New Roman"/>
          <w:lang w:val="en-NZ"/>
        </w:rPr>
      </w:pPr>
      <w:r>
        <w:rPr>
          <w:rFonts w:cs="Times New Roman"/>
          <w:lang w:val="en-NZ"/>
        </w:rPr>
        <w:t>In accordance with the Commissioner’s recommendations, Dr E and RN F provided Mrs A’s family with a written apology. The Commissioner also recommended that the Nursing Council of New Zealand and the Medical Council of New Zealand consider whether a review of RN F’s and Dr E’s competence was warranted.</w:t>
      </w:r>
    </w:p>
    <w:p w:rsidR="00806342" w:rsidRDefault="00806342" w:rsidP="00806342">
      <w:pPr>
        <w:spacing w:after="120"/>
        <w:rPr>
          <w:szCs w:val="22"/>
        </w:rPr>
      </w:pPr>
      <w:r>
        <w:rPr>
          <w:szCs w:val="22"/>
        </w:rPr>
        <w:t>The Commissioner made a number of recommendations to the DHB, including that the DHB:</w:t>
      </w:r>
    </w:p>
    <w:p w:rsidR="00806342" w:rsidRDefault="00806342" w:rsidP="00806342">
      <w:pPr>
        <w:pStyle w:val="ListParagraph"/>
        <w:numPr>
          <w:ilvl w:val="0"/>
          <w:numId w:val="5"/>
        </w:numPr>
        <w:spacing w:after="120"/>
        <w:ind w:left="714" w:hanging="357"/>
        <w:rPr>
          <w:szCs w:val="22"/>
        </w:rPr>
      </w:pPr>
      <w:r>
        <w:rPr>
          <w:szCs w:val="22"/>
        </w:rPr>
        <w:t xml:space="preserve">provide a written apology to Mrs A’s family for its breach of the Code; </w:t>
      </w:r>
    </w:p>
    <w:p w:rsidR="00806342" w:rsidRDefault="00806342" w:rsidP="00806342">
      <w:pPr>
        <w:pStyle w:val="ListParagraph"/>
        <w:numPr>
          <w:ilvl w:val="0"/>
          <w:numId w:val="5"/>
        </w:numPr>
        <w:spacing w:after="120"/>
        <w:ind w:left="714" w:hanging="357"/>
        <w:rPr>
          <w:szCs w:val="22"/>
        </w:rPr>
      </w:pPr>
      <w:r>
        <w:rPr>
          <w:szCs w:val="22"/>
        </w:rPr>
        <w:t>report to HDC on its involvement to date in the Health Quality and Safety Commission’s National Medication Safety Programme;</w:t>
      </w:r>
    </w:p>
    <w:p w:rsidR="00806342" w:rsidRDefault="00806342" w:rsidP="00806342">
      <w:pPr>
        <w:pStyle w:val="ListParagraph"/>
        <w:numPr>
          <w:ilvl w:val="0"/>
          <w:numId w:val="5"/>
        </w:numPr>
        <w:spacing w:after="120"/>
        <w:ind w:left="714" w:hanging="357"/>
        <w:rPr>
          <w:szCs w:val="22"/>
        </w:rPr>
      </w:pPr>
      <w:r>
        <w:rPr>
          <w:szCs w:val="22"/>
        </w:rPr>
        <w:t xml:space="preserve">develop a policy requiring the routine checking of </w:t>
      </w:r>
      <w:proofErr w:type="spellStart"/>
      <w:r>
        <w:rPr>
          <w:szCs w:val="22"/>
        </w:rPr>
        <w:t>MedicAlert</w:t>
      </w:r>
      <w:proofErr w:type="spellEnd"/>
      <w:r>
        <w:rPr>
          <w:szCs w:val="22"/>
        </w:rPr>
        <w:t xml:space="preserve"> bracelets;</w:t>
      </w:r>
    </w:p>
    <w:p w:rsidR="00806342" w:rsidRDefault="00806342" w:rsidP="00806342">
      <w:pPr>
        <w:pStyle w:val="ListParagraph"/>
        <w:numPr>
          <w:ilvl w:val="0"/>
          <w:numId w:val="5"/>
        </w:numPr>
        <w:spacing w:after="120"/>
        <w:ind w:left="714" w:hanging="357"/>
        <w:rPr>
          <w:szCs w:val="22"/>
        </w:rPr>
      </w:pPr>
      <w:r>
        <w:rPr>
          <w:szCs w:val="22"/>
        </w:rPr>
        <w:t>report back to HDC on the recommendations outlined in its Root Cause Analysis (RCA), in particular its review of the workloads at the hospital and the measures it has instituted to identify and manage clinical risk and its review of the working environment and clinical governance of the ward;</w:t>
      </w:r>
    </w:p>
    <w:p w:rsidR="00806342" w:rsidRDefault="00806342" w:rsidP="00806342">
      <w:pPr>
        <w:pStyle w:val="ListParagraph"/>
        <w:numPr>
          <w:ilvl w:val="0"/>
          <w:numId w:val="5"/>
        </w:numPr>
        <w:spacing w:after="120"/>
        <w:ind w:left="714" w:hanging="357"/>
        <w:rPr>
          <w:szCs w:val="22"/>
        </w:rPr>
      </w:pPr>
      <w:r>
        <w:rPr>
          <w:szCs w:val="22"/>
        </w:rPr>
        <w:t>develop a process by which all staff are empowered to raise concerns about issues relating to patient safety, and the concerns are responded to and acted upon;</w:t>
      </w:r>
    </w:p>
    <w:p w:rsidR="00806342" w:rsidRDefault="00806342" w:rsidP="00806342">
      <w:pPr>
        <w:pStyle w:val="ListParagraph"/>
        <w:numPr>
          <w:ilvl w:val="0"/>
          <w:numId w:val="5"/>
        </w:numPr>
        <w:spacing w:after="120"/>
        <w:ind w:left="714" w:hanging="357"/>
        <w:rPr>
          <w:szCs w:val="22"/>
        </w:rPr>
      </w:pPr>
      <w:r>
        <w:rPr>
          <w:szCs w:val="22"/>
        </w:rPr>
        <w:t>develop a process to ensure that clinicians prescribing and administering medication are not interrupted or otherwise exposed to factors which increase errors; and</w:t>
      </w:r>
    </w:p>
    <w:p w:rsidR="00806342" w:rsidRDefault="00806342" w:rsidP="00806342">
      <w:pPr>
        <w:pStyle w:val="ListParagraph"/>
        <w:numPr>
          <w:ilvl w:val="0"/>
          <w:numId w:val="5"/>
        </w:numPr>
        <w:spacing w:after="120"/>
        <w:ind w:left="714" w:hanging="357"/>
        <w:rPr>
          <w:szCs w:val="22"/>
        </w:rPr>
      </w:pPr>
      <w:r>
        <w:rPr>
          <w:szCs w:val="22"/>
        </w:rPr>
        <w:t>review its policies and training on open disclosure.</w:t>
      </w:r>
    </w:p>
    <w:p w:rsidR="00806342" w:rsidRDefault="00806342" w:rsidP="00806342">
      <w:pPr>
        <w:spacing w:after="120"/>
        <w:rPr>
          <w:szCs w:val="22"/>
        </w:rPr>
      </w:pPr>
      <w:r>
        <w:rPr>
          <w:szCs w:val="22"/>
        </w:rPr>
        <w:br/>
        <w:t>These recommendations have been met by the DHB.</w:t>
      </w:r>
    </w:p>
    <w:p w:rsidR="00806342" w:rsidRDefault="00806342" w:rsidP="00806342">
      <w:pPr>
        <w:rPr>
          <w:b/>
          <w:szCs w:val="22"/>
        </w:rPr>
      </w:pPr>
    </w:p>
    <w:p w:rsidR="00806342" w:rsidRDefault="00806342" w:rsidP="00806342">
      <w:pPr>
        <w:rPr>
          <w:b/>
          <w:szCs w:val="22"/>
        </w:rPr>
      </w:pPr>
      <w:r>
        <w:rPr>
          <w:b/>
          <w:szCs w:val="22"/>
        </w:rPr>
        <w:t>Delayed antibiotics for patient with sepsis (</w:t>
      </w:r>
      <w:r>
        <w:rPr>
          <w:b/>
          <w:noProof/>
          <w:szCs w:val="22"/>
        </w:rPr>
        <w:t>13HDC00343</w:t>
      </w:r>
      <w:r>
        <w:rPr>
          <w:b/>
          <w:szCs w:val="22"/>
        </w:rPr>
        <w:t>)</w:t>
      </w:r>
    </w:p>
    <w:p w:rsidR="00806342" w:rsidRDefault="00806342" w:rsidP="00806342">
      <w:pPr>
        <w:spacing w:before="120" w:after="120"/>
        <w:rPr>
          <w:i/>
          <w:szCs w:val="22"/>
        </w:rPr>
      </w:pPr>
      <w:r>
        <w:rPr>
          <w:i/>
          <w:szCs w:val="22"/>
        </w:rPr>
        <w:t>Background</w:t>
      </w:r>
    </w:p>
    <w:p w:rsidR="00806342" w:rsidRDefault="00806342" w:rsidP="00806342">
      <w:pPr>
        <w:spacing w:before="120" w:after="120"/>
        <w:rPr>
          <w:szCs w:val="22"/>
        </w:rPr>
      </w:pPr>
      <w:r>
        <w:rPr>
          <w:szCs w:val="22"/>
        </w:rPr>
        <w:t xml:space="preserve">Mr A, a 60 year old man, experienced sudden severe back pain several weeks after having back and shoulder surgery. He was assessed in the emergency care department (the ED) as having musculoskeletal back pain and he was discharged. </w:t>
      </w:r>
    </w:p>
    <w:p w:rsidR="00806342" w:rsidRDefault="00806342" w:rsidP="00806342">
      <w:pPr>
        <w:spacing w:before="120" w:after="120"/>
        <w:rPr>
          <w:szCs w:val="22"/>
        </w:rPr>
      </w:pPr>
      <w:r>
        <w:rPr>
          <w:szCs w:val="22"/>
        </w:rPr>
        <w:t xml:space="preserve">Mr A re-presented to the ED four days later with back pain and dizziness. He was assessed and found to have low blood pressure and an elevated heart rate. Blood samples were taken and X-rays were performed. At 11am, emergency care medical officer special scale (MOSS), Dr I, reviewed Mr A and queried whether Mr A had sepsis. Dr I planned to give Mr A antibiotics. However, Dr I discussed Mr A’s presentation with the orthopaedic team, and they asked to review Mr A before antibiotics were given. </w:t>
      </w:r>
    </w:p>
    <w:p w:rsidR="00806342" w:rsidRDefault="00806342" w:rsidP="00806342">
      <w:pPr>
        <w:spacing w:before="120" w:after="120"/>
        <w:rPr>
          <w:szCs w:val="22"/>
        </w:rPr>
      </w:pPr>
      <w:r>
        <w:rPr>
          <w:szCs w:val="22"/>
        </w:rPr>
        <w:t>Mr A was reviewed that afternoon by an Intensive Care Unit (ICU) senior medical officer (SMO), Dr C, to determine whether Mr A was eligible for a trial of patients with sepsis that was being undertaken at the hospital. Dr C noted that Mr A’s high INR (test of blood clotting) discounted him from the trial. Dr C felt that Mr A did not need ICU care, and noted that his blood pressure had improved.</w:t>
      </w:r>
    </w:p>
    <w:p w:rsidR="00806342" w:rsidRDefault="00806342" w:rsidP="00806342">
      <w:pPr>
        <w:spacing w:before="120" w:after="120"/>
        <w:rPr>
          <w:szCs w:val="22"/>
        </w:rPr>
      </w:pPr>
      <w:r>
        <w:rPr>
          <w:szCs w:val="22"/>
        </w:rPr>
        <w:t xml:space="preserve">That afternoon Mr A was also reviewed by an orthopaedic register and the medical team. The medical team noted that Mr A was hypoxic and in acute renal failure. An MRI of Mr A’s lumbar spine showed a large inflammatory mass and discitis. Intravenous antibiotics were not commenced until 7:15pm. </w:t>
      </w:r>
    </w:p>
    <w:p w:rsidR="00806342" w:rsidRDefault="00806342" w:rsidP="00806342">
      <w:pPr>
        <w:spacing w:before="120" w:after="120"/>
        <w:rPr>
          <w:szCs w:val="22"/>
        </w:rPr>
      </w:pPr>
      <w:r>
        <w:rPr>
          <w:szCs w:val="22"/>
        </w:rPr>
        <w:t xml:space="preserve">At 11:03pm Mr A was transferred to the orthopaedic ward, but he was transferred to the High Dependency Unit shortly afterwards due to respiratory distress. At 4:30am Mr A was transferred to the ICU. He developed multiple organ failure and sadly died later that day.  </w:t>
      </w:r>
    </w:p>
    <w:p w:rsidR="00806342" w:rsidRDefault="00806342" w:rsidP="00806342">
      <w:pPr>
        <w:spacing w:before="120" w:after="120"/>
        <w:rPr>
          <w:i/>
          <w:szCs w:val="22"/>
        </w:rPr>
      </w:pPr>
      <w:r>
        <w:rPr>
          <w:i/>
          <w:szCs w:val="22"/>
        </w:rPr>
        <w:t>Findings</w:t>
      </w:r>
    </w:p>
    <w:p w:rsidR="00806342" w:rsidRDefault="00806342" w:rsidP="00806342">
      <w:pPr>
        <w:spacing w:before="120" w:after="120"/>
        <w:rPr>
          <w:szCs w:val="22"/>
        </w:rPr>
      </w:pPr>
      <w:r>
        <w:rPr>
          <w:szCs w:val="22"/>
        </w:rPr>
        <w:t>The Commissioner found that although Mr A was promptly identified as having sepsis on his second presentation to ED, he should have received antibiotics soon after admission. There were missed opportunities for clinicians to recognise that because Mr A was unstable, antibiotics should not have been withheld. There was a lack of clear understanding in the ED regarding when it is appropriate to withhold antibiotics, and clinicians were reliant on an unwritten policy that did not provide guidance regarding unstable patients.</w:t>
      </w:r>
    </w:p>
    <w:p w:rsidR="00806342" w:rsidRDefault="00806342" w:rsidP="00806342">
      <w:pPr>
        <w:spacing w:before="120" w:after="120"/>
        <w:rPr>
          <w:szCs w:val="22"/>
        </w:rPr>
      </w:pPr>
      <w:r>
        <w:rPr>
          <w:szCs w:val="22"/>
        </w:rPr>
        <w:t>The Commissioner also found that the delay in transferring Mr A to ICU was unacceptable. The Commissioner stated: “although he was reviewed by multiple clinicians during his time in ED, no one individual identified that the seriousness of Mr A’s condition required him to be admitted to ICU, and advocated for him for this to occur. No single person had the full picture of Mr A’s condition”</w:t>
      </w:r>
    </w:p>
    <w:p w:rsidR="00806342" w:rsidRDefault="00806342" w:rsidP="00806342">
      <w:pPr>
        <w:spacing w:before="120" w:after="120"/>
        <w:rPr>
          <w:szCs w:val="22"/>
        </w:rPr>
      </w:pPr>
      <w:r>
        <w:rPr>
          <w:szCs w:val="22"/>
        </w:rPr>
        <w:t xml:space="preserve">The Commissioner held that these failures were the result of systems and cultural issues at the hospital. Therefore, by not providing clear direction and guidance to its staff regarding withholding antibiotics, together with the failure of multiple clinicians to exercise critical thinking, the DHB did not provide services to Mr A with reasonable care and skill, in breach of Right 4(1) of the Code. The Commissioner was also critical of the management of Mr A’s pain, the delay in managing his high INR and the DHB’s record keeping, including the fact that the DHB was unable to provide HDC with some of Mr A’s postoperative records. </w:t>
      </w:r>
    </w:p>
    <w:p w:rsidR="00806342" w:rsidRDefault="00806342" w:rsidP="00806342">
      <w:pPr>
        <w:spacing w:before="120" w:after="120"/>
        <w:rPr>
          <w:i/>
          <w:szCs w:val="22"/>
        </w:rPr>
      </w:pPr>
      <w:r>
        <w:rPr>
          <w:i/>
          <w:szCs w:val="22"/>
        </w:rPr>
        <w:t>Recommendations</w:t>
      </w:r>
    </w:p>
    <w:p w:rsidR="00806342" w:rsidRDefault="00806342" w:rsidP="00806342">
      <w:pPr>
        <w:spacing w:before="120" w:after="120"/>
        <w:rPr>
          <w:szCs w:val="22"/>
        </w:rPr>
      </w:pPr>
      <w:r>
        <w:rPr>
          <w:szCs w:val="22"/>
        </w:rPr>
        <w:t>In response to this complaint, the DHB apologised to Mr A’s family and made a number of changes to its practice to prevent a similar event from occurring. The Commissioner made further recommendations to the DHB, including that it:</w:t>
      </w:r>
    </w:p>
    <w:p w:rsidR="00806342" w:rsidRDefault="00806342" w:rsidP="00806342">
      <w:pPr>
        <w:pStyle w:val="ListParagraph"/>
        <w:numPr>
          <w:ilvl w:val="0"/>
          <w:numId w:val="10"/>
        </w:numPr>
        <w:spacing w:before="120" w:after="120"/>
        <w:rPr>
          <w:szCs w:val="22"/>
        </w:rPr>
      </w:pPr>
      <w:r>
        <w:rPr>
          <w:szCs w:val="22"/>
        </w:rPr>
        <w:t>report back to HDC on whether the target, that 70% of patients with probable severe sepsis will have a door to antibiotic time of less than 60 minutes, had been reached;</w:t>
      </w:r>
    </w:p>
    <w:p w:rsidR="00806342" w:rsidRDefault="00806342" w:rsidP="00806342">
      <w:pPr>
        <w:pStyle w:val="ListParagraph"/>
        <w:numPr>
          <w:ilvl w:val="0"/>
          <w:numId w:val="10"/>
        </w:numPr>
        <w:spacing w:before="120" w:after="120"/>
        <w:rPr>
          <w:szCs w:val="22"/>
        </w:rPr>
      </w:pPr>
      <w:r>
        <w:rPr>
          <w:szCs w:val="22"/>
        </w:rPr>
        <w:t>evaluate the effectiveness of its guidelines on withholding of antibiotics in suspected spinal infections and any other relevant guidelines and/policies;</w:t>
      </w:r>
    </w:p>
    <w:p w:rsidR="00806342" w:rsidRDefault="00806342" w:rsidP="00806342">
      <w:pPr>
        <w:pStyle w:val="ListParagraph"/>
        <w:numPr>
          <w:ilvl w:val="0"/>
          <w:numId w:val="10"/>
        </w:numPr>
        <w:spacing w:before="120" w:after="120"/>
        <w:rPr>
          <w:szCs w:val="22"/>
        </w:rPr>
      </w:pPr>
      <w:r>
        <w:rPr>
          <w:szCs w:val="22"/>
        </w:rPr>
        <w:t>review its documentation management procedures to ensure safe storage and monitored access to documentation, and report back to HDC with any changes made; and</w:t>
      </w:r>
    </w:p>
    <w:p w:rsidR="00806342" w:rsidRDefault="00806342" w:rsidP="00806342">
      <w:pPr>
        <w:spacing w:before="120" w:after="120"/>
        <w:rPr>
          <w:szCs w:val="22"/>
        </w:rPr>
      </w:pPr>
      <w:r>
        <w:rPr>
          <w:szCs w:val="22"/>
        </w:rPr>
        <w:t>These recommendations have been met by the DHB.</w:t>
      </w:r>
    </w:p>
    <w:p w:rsidR="00806342" w:rsidRDefault="00806342" w:rsidP="00806342">
      <w:pPr>
        <w:spacing w:before="120" w:after="120"/>
        <w:rPr>
          <w:szCs w:val="22"/>
        </w:rPr>
      </w:pPr>
    </w:p>
    <w:p w:rsidR="00806342" w:rsidRDefault="00806342" w:rsidP="00806342">
      <w:pPr>
        <w:rPr>
          <w:b/>
          <w:szCs w:val="22"/>
        </w:rPr>
      </w:pPr>
      <w:r>
        <w:rPr>
          <w:b/>
          <w:szCs w:val="22"/>
        </w:rPr>
        <w:t>Transfer of trauma patient (</w:t>
      </w:r>
      <w:r>
        <w:rPr>
          <w:b/>
          <w:noProof/>
          <w:szCs w:val="22"/>
        </w:rPr>
        <w:t>13HDC00046</w:t>
      </w:r>
      <w:r>
        <w:rPr>
          <w:b/>
          <w:szCs w:val="22"/>
        </w:rPr>
        <w:t>)</w:t>
      </w:r>
    </w:p>
    <w:p w:rsidR="00806342" w:rsidRDefault="00806342" w:rsidP="00806342">
      <w:pPr>
        <w:spacing w:before="120" w:after="120"/>
        <w:rPr>
          <w:i/>
          <w:szCs w:val="22"/>
        </w:rPr>
      </w:pPr>
      <w:r>
        <w:rPr>
          <w:i/>
          <w:szCs w:val="22"/>
        </w:rPr>
        <w:t>Background</w:t>
      </w:r>
    </w:p>
    <w:p w:rsidR="00806342" w:rsidRDefault="00806342" w:rsidP="00806342">
      <w:pPr>
        <w:spacing w:before="120" w:after="120"/>
        <w:rPr>
          <w:szCs w:val="22"/>
        </w:rPr>
      </w:pPr>
      <w:r>
        <w:rPr>
          <w:szCs w:val="22"/>
        </w:rPr>
        <w:t xml:space="preserve">Mr A, a 58-year old man, was involved in an accident and sustained multiple injuries. He was taken to hospital in a critical condition, and underwent multiple surgeries. Mr A spent time in the Intensive Care Unit (ICU) and was placed under the care of the DHB’s trauma service. On discharge from ICU, Mr A’s medications included 40mg </w:t>
      </w:r>
      <w:proofErr w:type="spellStart"/>
      <w:r>
        <w:rPr>
          <w:szCs w:val="22"/>
        </w:rPr>
        <w:t>Clexane</w:t>
      </w:r>
      <w:proofErr w:type="spellEnd"/>
      <w:r>
        <w:rPr>
          <w:szCs w:val="22"/>
        </w:rPr>
        <w:t>, a medication which reduces the risk of deep vein thrombosis (DVT), once a day. Mr A was transferred to the surgical ward and encouraged to mobilise. Mr A made good progress and hospital staff decided to transfer him to a rehabilitation provider.</w:t>
      </w:r>
    </w:p>
    <w:p w:rsidR="00806342" w:rsidRDefault="00806342" w:rsidP="00806342">
      <w:pPr>
        <w:spacing w:before="120" w:after="120"/>
        <w:rPr>
          <w:szCs w:val="22"/>
        </w:rPr>
      </w:pPr>
      <w:r>
        <w:rPr>
          <w:szCs w:val="22"/>
        </w:rPr>
        <w:t>The DHB said it was advised by the rehabilitation provider that a doctor would admit the man on arrival. The rehabilitation provider said that at no stage did it indicate that the man would be admitted by a doctor. No medical staff were contracted to work at the rehabilitation provider at the time of Mr A’s transfer.</w:t>
      </w:r>
    </w:p>
    <w:p w:rsidR="00806342" w:rsidRDefault="00806342" w:rsidP="00806342">
      <w:pPr>
        <w:spacing w:before="120" w:after="120"/>
        <w:rPr>
          <w:szCs w:val="22"/>
        </w:rPr>
      </w:pPr>
      <w:r>
        <w:rPr>
          <w:szCs w:val="22"/>
        </w:rPr>
        <w:t xml:space="preserve">The final arrangements for Mr A’s discharge and transfer were made late on a Friday. Public hospital staff met with Mr and Mrs A prior to discharge. Three syringes of </w:t>
      </w:r>
      <w:proofErr w:type="spellStart"/>
      <w:r>
        <w:rPr>
          <w:szCs w:val="22"/>
        </w:rPr>
        <w:t>Clexane</w:t>
      </w:r>
      <w:proofErr w:type="spellEnd"/>
      <w:r>
        <w:rPr>
          <w:szCs w:val="22"/>
        </w:rPr>
        <w:t xml:space="preserve"> and a prescription for analgesia were given to Mrs A to take with them. DHB staff also met with the transfer flight nurse, but the details of this meeting were not documented by DHB staff. The flight nurse’s transport record does not refer to being advised of the </w:t>
      </w:r>
      <w:proofErr w:type="spellStart"/>
      <w:r>
        <w:rPr>
          <w:szCs w:val="22"/>
        </w:rPr>
        <w:t>Clexane</w:t>
      </w:r>
      <w:proofErr w:type="spellEnd"/>
      <w:r>
        <w:rPr>
          <w:szCs w:val="22"/>
        </w:rPr>
        <w:t xml:space="preserve"> regime.</w:t>
      </w:r>
    </w:p>
    <w:p w:rsidR="00806342" w:rsidRDefault="00806342" w:rsidP="00806342">
      <w:pPr>
        <w:spacing w:before="120" w:after="120"/>
        <w:rPr>
          <w:szCs w:val="22"/>
        </w:rPr>
      </w:pPr>
      <w:r>
        <w:rPr>
          <w:szCs w:val="22"/>
        </w:rPr>
        <w:t xml:space="preserve">The public hospital discharge summary did not refer to discharge medications or to the ongoing use of </w:t>
      </w:r>
      <w:proofErr w:type="spellStart"/>
      <w:r>
        <w:rPr>
          <w:szCs w:val="22"/>
        </w:rPr>
        <w:t>Clexane</w:t>
      </w:r>
      <w:proofErr w:type="spellEnd"/>
      <w:r>
        <w:rPr>
          <w:szCs w:val="22"/>
        </w:rPr>
        <w:t xml:space="preserve">, and nor did it refer to supplementary documentation which outlined the discharge medications. At 8:15pm on Friday evening, Mr A arrived at the rehabilitation provider. He was not reviewed or admitted by a doctor on arrival. </w:t>
      </w:r>
    </w:p>
    <w:p w:rsidR="00806342" w:rsidRDefault="00806342" w:rsidP="00806342">
      <w:pPr>
        <w:spacing w:before="120" w:after="120"/>
        <w:rPr>
          <w:szCs w:val="22"/>
        </w:rPr>
      </w:pPr>
      <w:r>
        <w:rPr>
          <w:szCs w:val="22"/>
        </w:rPr>
        <w:t xml:space="preserve">The </w:t>
      </w:r>
      <w:proofErr w:type="spellStart"/>
      <w:r>
        <w:rPr>
          <w:szCs w:val="22"/>
        </w:rPr>
        <w:t>Clexane</w:t>
      </w:r>
      <w:proofErr w:type="spellEnd"/>
      <w:r>
        <w:rPr>
          <w:szCs w:val="22"/>
        </w:rPr>
        <w:t xml:space="preserve"> was not given to Mr A by the staff at the rehabilitation provider. Mr and Mrs A enquired why Mr A had not yet been given </w:t>
      </w:r>
      <w:proofErr w:type="spellStart"/>
      <w:r>
        <w:rPr>
          <w:szCs w:val="22"/>
        </w:rPr>
        <w:t>Clexane</w:t>
      </w:r>
      <w:proofErr w:type="spellEnd"/>
      <w:r>
        <w:rPr>
          <w:szCs w:val="22"/>
        </w:rPr>
        <w:t xml:space="preserve">. A rehabilitation nurse then telephoned the public hospital for clarification but was given erroneous advice that </w:t>
      </w:r>
      <w:proofErr w:type="spellStart"/>
      <w:r>
        <w:rPr>
          <w:szCs w:val="22"/>
        </w:rPr>
        <w:t>Clexane</w:t>
      </w:r>
      <w:proofErr w:type="spellEnd"/>
      <w:r>
        <w:rPr>
          <w:szCs w:val="22"/>
        </w:rPr>
        <w:t xml:space="preserve"> was no longer needed. </w:t>
      </w:r>
    </w:p>
    <w:p w:rsidR="00806342" w:rsidRDefault="00806342" w:rsidP="00806342">
      <w:pPr>
        <w:spacing w:before="120" w:after="120"/>
        <w:rPr>
          <w:szCs w:val="22"/>
        </w:rPr>
      </w:pPr>
      <w:r>
        <w:rPr>
          <w:szCs w:val="22"/>
        </w:rPr>
        <w:t>For two days Mr A was given inadequate pain relief at the rehabilitation provider, as confusion had arisen for the rehabilitation nursing staff in the absence of information on the hospital discharge documentation.</w:t>
      </w:r>
    </w:p>
    <w:p w:rsidR="00806342" w:rsidRDefault="00806342" w:rsidP="00806342">
      <w:pPr>
        <w:spacing w:before="120" w:after="120"/>
        <w:rPr>
          <w:szCs w:val="22"/>
        </w:rPr>
      </w:pPr>
      <w:r>
        <w:rPr>
          <w:szCs w:val="22"/>
        </w:rPr>
        <w:t xml:space="preserve">Four days after arriving at the rehabilitation provider, Mr A developed chest pain and sadly died.  </w:t>
      </w:r>
    </w:p>
    <w:p w:rsidR="00806342" w:rsidRDefault="00806342" w:rsidP="00806342">
      <w:pPr>
        <w:spacing w:before="120" w:after="120"/>
        <w:rPr>
          <w:i/>
          <w:szCs w:val="22"/>
        </w:rPr>
      </w:pPr>
      <w:r>
        <w:rPr>
          <w:i/>
          <w:szCs w:val="22"/>
        </w:rPr>
        <w:t>Findings</w:t>
      </w:r>
    </w:p>
    <w:p w:rsidR="00806342" w:rsidRDefault="00806342" w:rsidP="00806342">
      <w:pPr>
        <w:spacing w:before="120" w:after="120"/>
        <w:rPr>
          <w:szCs w:val="22"/>
        </w:rPr>
      </w:pPr>
      <w:r>
        <w:rPr>
          <w:szCs w:val="22"/>
        </w:rPr>
        <w:t>The Commissioner commented that having undergone a significant trauma, Mr A’s transfer demanded co-operation and effective communication between all staff to ensure clarity and seamless co-ordination and continuity of services, and that did not occur in this case. The Commissioner found that Mr A’s co-ordination and continuity of care was compromised for the following key reasons:</w:t>
      </w:r>
    </w:p>
    <w:p w:rsidR="00806342" w:rsidRDefault="00806342" w:rsidP="00806342">
      <w:pPr>
        <w:pStyle w:val="ListParagraph"/>
        <w:numPr>
          <w:ilvl w:val="0"/>
          <w:numId w:val="11"/>
        </w:numPr>
        <w:spacing w:before="120" w:after="120"/>
        <w:rPr>
          <w:szCs w:val="22"/>
        </w:rPr>
      </w:pPr>
      <w:r>
        <w:rPr>
          <w:szCs w:val="22"/>
        </w:rPr>
        <w:t>the transfer by the DHB without obtaining verbal acceptance by a doctor from the rehabilitation provider was not in accordance with DHB policy;</w:t>
      </w:r>
    </w:p>
    <w:p w:rsidR="00806342" w:rsidRDefault="00806342" w:rsidP="00806342">
      <w:pPr>
        <w:pStyle w:val="ListParagraph"/>
        <w:numPr>
          <w:ilvl w:val="0"/>
          <w:numId w:val="11"/>
        </w:numPr>
        <w:spacing w:before="120" w:after="120"/>
        <w:rPr>
          <w:szCs w:val="22"/>
        </w:rPr>
      </w:pPr>
      <w:r>
        <w:rPr>
          <w:szCs w:val="22"/>
        </w:rPr>
        <w:t>transfer documentation did not contain all the relevant and important clinical information;</w:t>
      </w:r>
    </w:p>
    <w:p w:rsidR="00806342" w:rsidRDefault="00806342" w:rsidP="00806342">
      <w:pPr>
        <w:pStyle w:val="ListParagraph"/>
        <w:numPr>
          <w:ilvl w:val="0"/>
          <w:numId w:val="11"/>
        </w:numPr>
        <w:spacing w:before="120" w:after="120"/>
        <w:rPr>
          <w:szCs w:val="22"/>
        </w:rPr>
      </w:pPr>
      <w:r>
        <w:rPr>
          <w:szCs w:val="22"/>
        </w:rPr>
        <w:t xml:space="preserve">DHB staff did not ensure that there were clear written instructions passed on about Mr A’s </w:t>
      </w:r>
      <w:proofErr w:type="spellStart"/>
      <w:r>
        <w:rPr>
          <w:szCs w:val="22"/>
        </w:rPr>
        <w:t>Clexane</w:t>
      </w:r>
      <w:proofErr w:type="spellEnd"/>
      <w:r>
        <w:rPr>
          <w:szCs w:val="22"/>
        </w:rPr>
        <w:t xml:space="preserve"> regime; and</w:t>
      </w:r>
    </w:p>
    <w:p w:rsidR="00806342" w:rsidRDefault="00806342" w:rsidP="00806342">
      <w:pPr>
        <w:pStyle w:val="ListParagraph"/>
        <w:numPr>
          <w:ilvl w:val="0"/>
          <w:numId w:val="11"/>
        </w:numPr>
        <w:spacing w:before="120" w:after="120"/>
        <w:rPr>
          <w:szCs w:val="22"/>
        </w:rPr>
      </w:pPr>
      <w:r>
        <w:rPr>
          <w:szCs w:val="22"/>
        </w:rPr>
        <w:t>Mr A was transferred late on a Friday.</w:t>
      </w:r>
    </w:p>
    <w:p w:rsidR="00806342" w:rsidRDefault="00806342" w:rsidP="00806342">
      <w:pPr>
        <w:spacing w:before="120" w:after="120"/>
        <w:rPr>
          <w:szCs w:val="22"/>
        </w:rPr>
      </w:pPr>
      <w:r>
        <w:rPr>
          <w:szCs w:val="22"/>
        </w:rPr>
        <w:t xml:space="preserve">The Commissioner considered that this case is a salutary reminder of the importance of clear and accurate communication and documentation, stating that “clear communication and accurate documentation form two of the layers of protection that operate to deliver seamless care”. The DHB was found in breach of Right 4(5) of the Code for failing to ensure adequate quality and continuity of services for Mr A. </w:t>
      </w:r>
    </w:p>
    <w:p w:rsidR="00806342" w:rsidRDefault="00806342" w:rsidP="00806342">
      <w:pPr>
        <w:spacing w:before="120" w:after="120"/>
        <w:rPr>
          <w:szCs w:val="22"/>
        </w:rPr>
      </w:pPr>
      <w:r>
        <w:rPr>
          <w:szCs w:val="22"/>
        </w:rPr>
        <w:t xml:space="preserve">The Commissioner found that the rehabilitation provider provided unclear direction to its staff about the requirements for admission and the timing of medical review. Therefore the rehabilitation provider failed to provide services to Mr A with reasonable care and skill, in breach of Right 4(1) of the Code. The Commissioner was also critical that, for approximately two days, Mr A had less analgesia than he needed. </w:t>
      </w:r>
    </w:p>
    <w:p w:rsidR="00806342" w:rsidRDefault="00806342" w:rsidP="00806342">
      <w:pPr>
        <w:spacing w:before="120" w:after="120"/>
        <w:rPr>
          <w:i/>
          <w:szCs w:val="22"/>
        </w:rPr>
      </w:pPr>
      <w:r>
        <w:rPr>
          <w:i/>
          <w:szCs w:val="22"/>
        </w:rPr>
        <w:t>Recommendations</w:t>
      </w:r>
    </w:p>
    <w:p w:rsidR="00806342" w:rsidRDefault="00806342" w:rsidP="00806342">
      <w:pPr>
        <w:spacing w:before="120" w:after="120"/>
        <w:rPr>
          <w:szCs w:val="22"/>
        </w:rPr>
      </w:pPr>
      <w:r>
        <w:rPr>
          <w:szCs w:val="22"/>
        </w:rPr>
        <w:t>The Commissioner made a number of recommendations to the rehabilitation provider, including that it report back to HDC on changes made to its processes and policies for admission, its process for communication of updates and changes to policy to staff, and its medication management system.</w:t>
      </w:r>
    </w:p>
    <w:p w:rsidR="00806342" w:rsidRDefault="00806342" w:rsidP="00806342">
      <w:pPr>
        <w:spacing w:before="120" w:after="120"/>
        <w:rPr>
          <w:szCs w:val="22"/>
        </w:rPr>
      </w:pPr>
      <w:r>
        <w:rPr>
          <w:szCs w:val="22"/>
        </w:rPr>
        <w:t>The Commissioner also made a number of recommendations to the DHB, including that it:</w:t>
      </w:r>
    </w:p>
    <w:p w:rsidR="00806342" w:rsidRDefault="00806342" w:rsidP="00806342">
      <w:pPr>
        <w:pStyle w:val="ListParagraph"/>
        <w:numPr>
          <w:ilvl w:val="0"/>
          <w:numId w:val="12"/>
        </w:numPr>
        <w:spacing w:before="120" w:after="120"/>
        <w:rPr>
          <w:szCs w:val="22"/>
        </w:rPr>
      </w:pPr>
      <w:r>
        <w:rPr>
          <w:szCs w:val="22"/>
        </w:rPr>
        <w:t>apologise to Mrs A for its beach of the Code;</w:t>
      </w:r>
    </w:p>
    <w:p w:rsidR="00806342" w:rsidRDefault="00806342" w:rsidP="00806342">
      <w:pPr>
        <w:pStyle w:val="ListParagraph"/>
        <w:numPr>
          <w:ilvl w:val="0"/>
          <w:numId w:val="12"/>
        </w:numPr>
        <w:spacing w:before="120" w:after="120"/>
        <w:rPr>
          <w:szCs w:val="22"/>
        </w:rPr>
      </w:pPr>
      <w:r>
        <w:rPr>
          <w:szCs w:val="22"/>
        </w:rPr>
        <w:t>complete a random audit of Trauma Service discharge summaries for compliance with completion, accuracy, and the responsible medical team checking procedures instigated;</w:t>
      </w:r>
    </w:p>
    <w:p w:rsidR="00806342" w:rsidRDefault="00806342" w:rsidP="00806342">
      <w:pPr>
        <w:pStyle w:val="ListParagraph"/>
        <w:numPr>
          <w:ilvl w:val="0"/>
          <w:numId w:val="12"/>
        </w:numPr>
        <w:spacing w:before="120" w:after="120"/>
        <w:rPr>
          <w:szCs w:val="22"/>
        </w:rPr>
      </w:pPr>
      <w:r>
        <w:rPr>
          <w:szCs w:val="22"/>
        </w:rPr>
        <w:t>report to HDC on the outcome of the DHB’s internal review of the criteria for transfer of major trauma patients to facilities with or without guaranteed and immediate medical back-up, its policies for transfers occurring on Friday afternoons, and the process of critical information exchange between the hospital and the rehabilitation provider. This review should outline changes made to policy wording to ensure clarity about assigned responsibilities;</w:t>
      </w:r>
    </w:p>
    <w:p w:rsidR="00806342" w:rsidRDefault="00806342" w:rsidP="00806342">
      <w:pPr>
        <w:pStyle w:val="ListParagraph"/>
        <w:numPr>
          <w:ilvl w:val="0"/>
          <w:numId w:val="12"/>
        </w:numPr>
        <w:spacing w:before="120" w:after="120"/>
        <w:rPr>
          <w:szCs w:val="22"/>
        </w:rPr>
      </w:pPr>
      <w:r>
        <w:rPr>
          <w:szCs w:val="22"/>
        </w:rPr>
        <w:t>report to HDC on the tasking of surgical RMOs to cover the Trauma Service roster so that changes to staff are minimised and discharge processes are clear and consistent; and</w:t>
      </w:r>
    </w:p>
    <w:p w:rsidR="00806342" w:rsidRDefault="00806342" w:rsidP="00806342">
      <w:pPr>
        <w:pStyle w:val="ListParagraph"/>
        <w:numPr>
          <w:ilvl w:val="0"/>
          <w:numId w:val="12"/>
        </w:numPr>
        <w:spacing w:before="120" w:after="120"/>
        <w:rPr>
          <w:szCs w:val="22"/>
        </w:rPr>
      </w:pPr>
      <w:r>
        <w:rPr>
          <w:szCs w:val="22"/>
        </w:rPr>
        <w:t>report to HDC on the effectiveness of the newly introduced transfer checklist for major trauma patients.</w:t>
      </w:r>
    </w:p>
    <w:p w:rsidR="00806342" w:rsidRPr="00806342" w:rsidRDefault="00806342" w:rsidP="00806342">
      <w:pPr>
        <w:spacing w:before="120" w:after="120"/>
        <w:rPr>
          <w:szCs w:val="22"/>
        </w:rPr>
      </w:pPr>
      <w:r>
        <w:rPr>
          <w:szCs w:val="22"/>
        </w:rPr>
        <w:t xml:space="preserve">These recommendations are due to be completed within three months of the date of this report. </w:t>
      </w:r>
    </w:p>
    <w:p w:rsidR="00806342" w:rsidRDefault="00806342" w:rsidP="00806342">
      <w:pPr>
        <w:rPr>
          <w:b/>
          <w:szCs w:val="22"/>
        </w:rPr>
      </w:pPr>
      <w:r>
        <w:rPr>
          <w:b/>
          <w:szCs w:val="22"/>
        </w:rPr>
        <w:t>Informed consent for use of haloperidol (</w:t>
      </w:r>
      <w:r>
        <w:rPr>
          <w:b/>
          <w:noProof/>
          <w:szCs w:val="22"/>
        </w:rPr>
        <w:t>13HDC01252</w:t>
      </w:r>
      <w:r>
        <w:rPr>
          <w:b/>
          <w:szCs w:val="22"/>
        </w:rPr>
        <w:t>)</w:t>
      </w:r>
    </w:p>
    <w:p w:rsidR="00806342" w:rsidRDefault="00806342" w:rsidP="00806342">
      <w:pPr>
        <w:spacing w:before="120" w:after="120"/>
        <w:rPr>
          <w:i/>
          <w:szCs w:val="22"/>
        </w:rPr>
      </w:pPr>
      <w:r>
        <w:rPr>
          <w:i/>
          <w:szCs w:val="22"/>
        </w:rPr>
        <w:t>Background</w:t>
      </w:r>
    </w:p>
    <w:p w:rsidR="00806342" w:rsidRDefault="00806342" w:rsidP="00806342">
      <w:pPr>
        <w:spacing w:before="120" w:after="120"/>
        <w:rPr>
          <w:szCs w:val="22"/>
        </w:rPr>
      </w:pPr>
      <w:r>
        <w:rPr>
          <w:szCs w:val="22"/>
        </w:rPr>
        <w:t>Mrs A, an 86 year old woman, was admitted to a public hospital for investigations into a medical condition. Mrs A had a complex medical history, including dementia. At the time of her admission Mrs A was noted to have had a recent fall, and was confused. Mrs A’s daughter, Mrs B, had previously been appointed to be her Enduring Power of Attorney (EPOA) for personal care and welfare, although the EPOA had not been activated.</w:t>
      </w:r>
    </w:p>
    <w:p w:rsidR="00806342" w:rsidRDefault="00806342" w:rsidP="00806342">
      <w:pPr>
        <w:spacing w:before="120" w:after="120"/>
        <w:rPr>
          <w:szCs w:val="22"/>
        </w:rPr>
      </w:pPr>
      <w:r>
        <w:rPr>
          <w:szCs w:val="22"/>
        </w:rPr>
        <w:t xml:space="preserve">At hospital Mrs A was thought to have delirium in addition to cognitive impairment. Mrs B was advised that Mrs A’s behaviour was disrupting the ward, and Mrs A was prescribed low dose haloperidol (an antipsychotic) to be administered two-hourly as required. Mrs A was not assessed to ascertain whether she was competent to consent to the proposed treatment, and there was no evidence of any discussion with Mrs A or Mrs B about the treatment. </w:t>
      </w:r>
    </w:p>
    <w:p w:rsidR="00806342" w:rsidRDefault="00806342" w:rsidP="00806342">
      <w:pPr>
        <w:spacing w:before="120" w:after="120"/>
        <w:rPr>
          <w:szCs w:val="22"/>
        </w:rPr>
      </w:pPr>
      <w:r>
        <w:rPr>
          <w:szCs w:val="22"/>
        </w:rPr>
        <w:t xml:space="preserve">Following Mrs A’s discharge from hospital, Mrs A’s GP stopped prescribing haloperidol. Mrs B considered that the haloperidol lead to a deterioration in Mrs A’s condition, in that prior to the hospital admission, Mrs A had been able to walk well without an aid, but following discharge she shuffled, took small steps, had a blank expression, and was unable to get in and out of bed by herself.    </w:t>
      </w:r>
    </w:p>
    <w:p w:rsidR="00806342" w:rsidRDefault="00806342" w:rsidP="00806342">
      <w:pPr>
        <w:spacing w:before="120" w:after="120"/>
        <w:rPr>
          <w:szCs w:val="22"/>
        </w:rPr>
      </w:pPr>
      <w:r>
        <w:rPr>
          <w:szCs w:val="22"/>
        </w:rPr>
        <w:t xml:space="preserve">A short time later Mrs A was readmitted to hospital as she had not managed at home and was considered to have a severe risk of suffering falls. A cognitive assessment was not fully completed at admission. Mrs B requested that haloperidol not be administered to Mrs A; however it was administered without consent on five occasions when Mrs A was agitated or non-compliant with cares. The haloperidol was subsequently ceased and replaced with an alternative antipsychotic. </w:t>
      </w:r>
    </w:p>
    <w:p w:rsidR="00806342" w:rsidRDefault="00806342" w:rsidP="00806342">
      <w:pPr>
        <w:spacing w:before="120" w:after="120"/>
        <w:rPr>
          <w:i/>
          <w:szCs w:val="22"/>
        </w:rPr>
      </w:pPr>
      <w:r>
        <w:rPr>
          <w:i/>
          <w:szCs w:val="22"/>
        </w:rPr>
        <w:t>Findings</w:t>
      </w:r>
    </w:p>
    <w:p w:rsidR="00806342" w:rsidRDefault="00806342" w:rsidP="00806342">
      <w:pPr>
        <w:spacing w:before="120" w:after="120"/>
        <w:rPr>
          <w:szCs w:val="22"/>
        </w:rPr>
      </w:pPr>
      <w:r>
        <w:rPr>
          <w:szCs w:val="22"/>
        </w:rPr>
        <w:t>The Deputy Commissioner found that the hospital clinicians failed to be clear as to the legal basis on which haloperidol was being administered to Mrs A. There was a lack of consideration as to who was able to provide informed consent to the administration of haloperidol. As a result, appropriate steps were not taken regarding that administration, either in terms of consent from Mrs A herself if there were no reasonable grounds for believing she was incompetent, or if there were reasonable grounds for believing that she was incompetent, within the terms of Right 7(4) of the Code after appropriate consultation with Mrs B. Accordingly, the DHB was found in breach of Right 7(1) of the Code.</w:t>
      </w:r>
    </w:p>
    <w:p w:rsidR="00806342" w:rsidRDefault="00806342" w:rsidP="00806342">
      <w:pPr>
        <w:spacing w:before="120" w:after="120"/>
        <w:rPr>
          <w:szCs w:val="22"/>
        </w:rPr>
      </w:pPr>
      <w:r>
        <w:rPr>
          <w:szCs w:val="22"/>
        </w:rPr>
        <w:t>The Deputy Commissioner was also concerned that the use of haloperidol during Mrs A’s second admission was unwise, and the issue of cessation of the haloperidol should have been discussed and considered earlier during that admission. Furthermore, the Deputy Commissioner considered the overall standard of communication between the DHB, Mrs A and Mrs B could have been much improved. It was also noted that the DHB should have updated Mrs B more regularly when she complained to them about Mrs A’s care, as to the progress of that complaint.</w:t>
      </w:r>
    </w:p>
    <w:p w:rsidR="00806342" w:rsidRDefault="00806342" w:rsidP="00806342">
      <w:pPr>
        <w:spacing w:before="120" w:after="120"/>
        <w:rPr>
          <w:szCs w:val="22"/>
        </w:rPr>
      </w:pPr>
      <w:r>
        <w:rPr>
          <w:szCs w:val="22"/>
        </w:rPr>
        <w:t>The Deputy Commissioner also found that there was a pattern of suboptimal documentation by numerous DHB staff in this case. For example, there were no neurological examinations documented, there was no documentation that explained the rationale for the prescribing of haloperidol, the poor legibility of the records meant that the doctor who first prescribed the haloperidol could not be identified and assessment documentation was not fully completed at either admission. Accordingly the DHB was found in breach of Right 4(2) of the Code for failing to comply with legal standards.</w:t>
      </w:r>
    </w:p>
    <w:p w:rsidR="00806342" w:rsidRDefault="00806342" w:rsidP="00806342">
      <w:pPr>
        <w:spacing w:before="120" w:after="120"/>
        <w:rPr>
          <w:i/>
          <w:szCs w:val="22"/>
        </w:rPr>
      </w:pPr>
      <w:r>
        <w:rPr>
          <w:i/>
          <w:szCs w:val="22"/>
        </w:rPr>
        <w:t>Recommendations</w:t>
      </w:r>
    </w:p>
    <w:p w:rsidR="00806342" w:rsidRDefault="00806342" w:rsidP="00806342">
      <w:pPr>
        <w:rPr>
          <w:szCs w:val="22"/>
        </w:rPr>
      </w:pPr>
      <w:r>
        <w:rPr>
          <w:szCs w:val="22"/>
        </w:rPr>
        <w:t>The Deputy Commissioner made a number of recommendations to the DHB, including that it:</w:t>
      </w:r>
    </w:p>
    <w:p w:rsidR="00806342" w:rsidRDefault="00806342" w:rsidP="00806342">
      <w:pPr>
        <w:rPr>
          <w:szCs w:val="22"/>
        </w:rPr>
      </w:pPr>
    </w:p>
    <w:p w:rsidR="00806342" w:rsidRDefault="00806342" w:rsidP="00806342">
      <w:pPr>
        <w:pStyle w:val="ListParagraph"/>
        <w:numPr>
          <w:ilvl w:val="0"/>
          <w:numId w:val="13"/>
        </w:numPr>
        <w:spacing w:after="120"/>
        <w:ind w:left="714" w:hanging="357"/>
        <w:rPr>
          <w:szCs w:val="22"/>
        </w:rPr>
      </w:pPr>
      <w:r>
        <w:rPr>
          <w:szCs w:val="22"/>
        </w:rPr>
        <w:t>apologise to Mrs B for its breaches of the Code;</w:t>
      </w:r>
    </w:p>
    <w:p w:rsidR="00806342" w:rsidRDefault="00806342" w:rsidP="00806342">
      <w:pPr>
        <w:pStyle w:val="ListParagraph"/>
        <w:numPr>
          <w:ilvl w:val="0"/>
          <w:numId w:val="13"/>
        </w:numPr>
        <w:spacing w:after="120"/>
        <w:ind w:left="714" w:hanging="357"/>
        <w:rPr>
          <w:szCs w:val="22"/>
        </w:rPr>
      </w:pPr>
      <w:r>
        <w:rPr>
          <w:szCs w:val="22"/>
        </w:rPr>
        <w:t>review the medical ward admission processes;</w:t>
      </w:r>
    </w:p>
    <w:p w:rsidR="00806342" w:rsidRDefault="00806342" w:rsidP="00806342">
      <w:pPr>
        <w:pStyle w:val="ListParagraph"/>
        <w:numPr>
          <w:ilvl w:val="0"/>
          <w:numId w:val="13"/>
        </w:numPr>
        <w:spacing w:after="120"/>
        <w:ind w:left="714" w:hanging="357"/>
        <w:rPr>
          <w:szCs w:val="22"/>
        </w:rPr>
      </w:pPr>
      <w:r>
        <w:rPr>
          <w:szCs w:val="22"/>
        </w:rPr>
        <w:t>conduct an audit of a random selection of dementia patient admission notes from the last 12 months for compliance and completion of admission and cognitive assessment documentation. This audit should include the recording of contact details for a liaising family member and any individuals holding EPOA for personal care and welfare, and clearly ascertaining whether the EPOA has been formally activated by medical certification before decisions were made regarding significant matters and the appropriate documents sighted by staff;</w:t>
      </w:r>
    </w:p>
    <w:p w:rsidR="00806342" w:rsidRDefault="00806342" w:rsidP="00806342">
      <w:pPr>
        <w:pStyle w:val="ListParagraph"/>
        <w:numPr>
          <w:ilvl w:val="0"/>
          <w:numId w:val="13"/>
        </w:numPr>
        <w:spacing w:after="120"/>
        <w:ind w:left="714" w:hanging="357"/>
        <w:rPr>
          <w:szCs w:val="22"/>
        </w:rPr>
      </w:pPr>
      <w:r>
        <w:rPr>
          <w:szCs w:val="22"/>
        </w:rPr>
        <w:t>update the DHB’s Older Persons Health Specialist Service (OPHS) guidelines and the DHB policy on informed consent, and implement a process that ensures and records that pertinent patient information obtained on admission includes that of cognitive functioning and assessment of competency, and this is brought to the attention of the senior clinician with primary responsibility for the patient, and is included in the patient care plan;</w:t>
      </w:r>
    </w:p>
    <w:p w:rsidR="00806342" w:rsidRDefault="00806342" w:rsidP="00806342">
      <w:pPr>
        <w:pStyle w:val="ListParagraph"/>
        <w:numPr>
          <w:ilvl w:val="0"/>
          <w:numId w:val="13"/>
        </w:numPr>
        <w:spacing w:after="120"/>
        <w:ind w:left="714" w:hanging="357"/>
        <w:rPr>
          <w:szCs w:val="22"/>
        </w:rPr>
      </w:pPr>
      <w:r>
        <w:rPr>
          <w:szCs w:val="22"/>
        </w:rPr>
        <w:t>provide HDC with a copy of the general medical admission document, which now has a specific section prompting a neurological examination for patients with dementia and/or delirium;</w:t>
      </w:r>
    </w:p>
    <w:p w:rsidR="00806342" w:rsidRDefault="00806342" w:rsidP="00806342">
      <w:pPr>
        <w:pStyle w:val="ListParagraph"/>
        <w:numPr>
          <w:ilvl w:val="0"/>
          <w:numId w:val="13"/>
        </w:numPr>
        <w:spacing w:after="120"/>
        <w:ind w:left="714" w:hanging="357"/>
        <w:rPr>
          <w:szCs w:val="22"/>
        </w:rPr>
      </w:pPr>
      <w:r>
        <w:rPr>
          <w:szCs w:val="22"/>
        </w:rPr>
        <w:t xml:space="preserve">provide HDC with a copy of the “4 Questions Form” developed to improve communication with patients and their families by outlining basic information regarding the current working diagnosis and management plan, together with a copy of the revised Patient Admission Questionnaire, Risk Screening/Assessment and care plans now in use; and </w:t>
      </w:r>
    </w:p>
    <w:p w:rsidR="00806342" w:rsidRDefault="00806342" w:rsidP="00806342">
      <w:pPr>
        <w:pStyle w:val="ListParagraph"/>
        <w:numPr>
          <w:ilvl w:val="0"/>
          <w:numId w:val="13"/>
        </w:numPr>
        <w:rPr>
          <w:szCs w:val="22"/>
        </w:rPr>
      </w:pPr>
      <w:r>
        <w:rPr>
          <w:szCs w:val="22"/>
        </w:rPr>
        <w:t>survey OPHS nursing staff regarding knowledge of how to access online and web-based procedures governing care of elderly patients with delirium or dementia.</w:t>
      </w:r>
    </w:p>
    <w:p w:rsidR="00806342" w:rsidRDefault="00806342" w:rsidP="00806342">
      <w:pPr>
        <w:rPr>
          <w:szCs w:val="22"/>
        </w:rPr>
      </w:pPr>
    </w:p>
    <w:p w:rsidR="00806342" w:rsidRDefault="00806342" w:rsidP="00806342">
      <w:pPr>
        <w:rPr>
          <w:szCs w:val="22"/>
        </w:rPr>
      </w:pPr>
      <w:r>
        <w:rPr>
          <w:szCs w:val="22"/>
        </w:rPr>
        <w:t>These recommendations have been met by the DHB.</w:t>
      </w:r>
    </w:p>
    <w:p w:rsidR="00251465" w:rsidRDefault="00251465"/>
    <w:sectPr w:rsidR="00251465" w:rsidSect="005F578D">
      <w:footerReference w:type="first" r:id="rId25"/>
      <w:pgSz w:w="11906" w:h="16838" w:code="9"/>
      <w:pgMar w:top="1134" w:right="1412" w:bottom="907" w:left="1412" w:header="720" w:footer="59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D9" w:rsidRDefault="00DE17D9" w:rsidP="00806342">
      <w:r>
        <w:separator/>
      </w:r>
    </w:p>
  </w:endnote>
  <w:endnote w:type="continuationSeparator" w:id="0">
    <w:p w:rsidR="00DE17D9" w:rsidRDefault="00DE17D9" w:rsidP="0080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rsidP="008C3A00">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447213">
      <w:rPr>
        <w:noProof/>
        <w:szCs w:val="22"/>
      </w:rPr>
      <w:t>20</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rsidP="008C3A00">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Pr="00BE06F1" w:rsidRDefault="00DE17D9" w:rsidP="008C3A00">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5</w:t>
    </w:r>
    <w:r w:rsidRPr="0073317F">
      <w:rPr>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Pr="00F535C5" w:rsidRDefault="00DE17D9" w:rsidP="008C3A00">
    <w:pPr>
      <w:pStyle w:val="Footer"/>
      <w:jc w:val="both"/>
      <w:rPr>
        <w:sz w:val="18"/>
        <w:szCs w:val="18"/>
      </w:rPr>
    </w:pPr>
    <w:r w:rsidRPr="00DD3AD4">
      <w:rPr>
        <w:sz w:val="18"/>
        <w:szCs w:val="18"/>
      </w:rPr>
      <w:tab/>
    </w:r>
    <w:proofErr w:type="spellStart"/>
    <w:r>
      <w:rPr>
        <w:szCs w:val="22"/>
      </w:rPr>
      <w:t>i</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Pr="00202287" w:rsidRDefault="00DE17D9" w:rsidP="00F25598">
    <w:pPr>
      <w:pStyle w:val="Footer"/>
      <w:spacing w:before="24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447213">
      <w:rPr>
        <w:noProof/>
        <w:szCs w:val="22"/>
      </w:rPr>
      <w:t>19</w:t>
    </w:r>
    <w:r w:rsidRPr="0073317F">
      <w:rPr>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Pr="00F535C5" w:rsidRDefault="00DE17D9" w:rsidP="00811023">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447213">
      <w:rPr>
        <w:noProof/>
        <w:szCs w:val="22"/>
      </w:rPr>
      <w:t>i</w:t>
    </w:r>
    <w:r w:rsidRPr="00166DD6">
      <w:rPr>
        <w:szCs w:val="22"/>
      </w:rPr>
      <w:fldChar w:fldCharType="end"/>
    </w:r>
    <w:proofErr w:type="spellStart"/>
    <w:r>
      <w:rPr>
        <w:szCs w:val="22"/>
      </w:rPr>
      <w:t>i</w:t>
    </w:r>
    <w:proofErr w:type="spell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Pr="00F535C5" w:rsidRDefault="00DE17D9" w:rsidP="008C3A00">
    <w:pPr>
      <w:pStyle w:val="Footer"/>
      <w:jc w:val="both"/>
      <w:rPr>
        <w:sz w:val="18"/>
        <w:szCs w:val="18"/>
      </w:rPr>
    </w:pPr>
    <w:r w:rsidRPr="00DD3AD4">
      <w:rPr>
        <w:sz w:val="18"/>
        <w:szCs w:val="18"/>
      </w:rPr>
      <w:tab/>
    </w:r>
    <w:r>
      <w:rPr>
        <w:szCs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D9" w:rsidRDefault="00DE17D9" w:rsidP="00806342">
      <w:r>
        <w:separator/>
      </w:r>
    </w:p>
  </w:footnote>
  <w:footnote w:type="continuationSeparator" w:id="0">
    <w:p w:rsidR="00DE17D9" w:rsidRDefault="00DE17D9" w:rsidP="00806342">
      <w:r>
        <w:continuationSeparator/>
      </w:r>
    </w:p>
  </w:footnote>
  <w:footnote w:id="1">
    <w:p w:rsidR="00DE17D9" w:rsidRDefault="00DE17D9" w:rsidP="00F25598">
      <w:pPr>
        <w:pStyle w:val="FootnoteText"/>
        <w:rPr>
          <w:lang w:val="en-US"/>
        </w:rPr>
      </w:pPr>
      <w:r>
        <w:rPr>
          <w:rStyle w:val="FootnoteReference"/>
        </w:rPr>
        <w:footnoteRef/>
      </w:r>
      <w:r>
        <w:t xml:space="preserve"> </w:t>
      </w:r>
      <w:r>
        <w:rPr>
          <w:lang w:val="en-US"/>
        </w:rPr>
        <w:t>Provisional as of date of extraction (8 January 2016).</w:t>
      </w:r>
    </w:p>
  </w:footnote>
  <w:footnote w:id="2">
    <w:p w:rsidR="00DE17D9" w:rsidRDefault="00DE17D9" w:rsidP="00F25598">
      <w:pPr>
        <w:pStyle w:val="FootnoteText"/>
      </w:pPr>
      <w:r>
        <w:rPr>
          <w:rStyle w:val="FootnoteReference"/>
        </w:rPr>
        <w:footnoteRef/>
      </w:r>
      <w:r>
        <w:t xml:space="preserve"> </w:t>
      </w:r>
      <w:r>
        <w:rPr>
          <w:lang w:eastAsia="en-NZ" w:bidi="ar-SA"/>
        </w:rPr>
        <w:t>The rate for Jan</w:t>
      </w:r>
      <w:r>
        <w:rPr>
          <w:rFonts w:ascii="Calibri" w:hAnsi="Calibri"/>
          <w:lang w:eastAsia="en-NZ" w:bidi="ar-SA"/>
        </w:rPr>
        <w:t>–</w:t>
      </w:r>
      <w:r>
        <w:rPr>
          <w:lang w:eastAsia="en-NZ" w:bidi="ar-SA"/>
        </w:rPr>
        <w:t>Jun 2015 has been recalculated based on the most recent discharge data.</w:t>
      </w:r>
    </w:p>
  </w:footnote>
  <w:footnote w:id="3">
    <w:p w:rsidR="00DE17D9" w:rsidRDefault="00DE17D9" w:rsidP="00F25598">
      <w:pPr>
        <w:pStyle w:val="FootnoteText"/>
        <w:rPr>
          <w:lang w:val="en-US"/>
        </w:rPr>
      </w:pPr>
      <w:r>
        <w:rPr>
          <w:rStyle w:val="FootnoteReference"/>
        </w:rPr>
        <w:footnoteRef/>
      </w:r>
      <w:r>
        <w:t xml:space="preserve"> </w:t>
      </w:r>
      <w:r>
        <w:rPr>
          <w:lang w:val="en-US"/>
        </w:rPr>
        <w:t>Please note that some complaints will involve more than one DHB, therefore the total number of complaints received for each DHB will be larger than the number of complaints received about care provided by DHBs.</w:t>
      </w:r>
    </w:p>
  </w:footnote>
  <w:footnote w:id="4">
    <w:p w:rsidR="00DE17D9" w:rsidRDefault="00DE17D9" w:rsidP="00806342">
      <w:pPr>
        <w:pStyle w:val="FootnoteText"/>
        <w:spacing w:after="240"/>
      </w:pPr>
      <w:r>
        <w:rPr>
          <w:rStyle w:val="FootnoteReference"/>
        </w:rPr>
        <w:footnoteRef/>
      </w:r>
      <w:r>
        <w:t xml:space="preserve"> Note that complaints may be received in one six month period and closed in another six month period </w:t>
      </w:r>
      <w:r>
        <w:rPr>
          <w:rFonts w:ascii="Calibri" w:hAnsi="Calibri"/>
        </w:rPr>
        <w:t>—</w:t>
      </w:r>
      <w:r>
        <w:t xml:space="preserve">   therefore, the number of complaints received will not correlate with the number of complaints closed. </w:t>
      </w:r>
    </w:p>
  </w:footnote>
  <w:footnote w:id="5">
    <w:p w:rsidR="00DE17D9" w:rsidRDefault="00DE17D9" w:rsidP="00806342">
      <w:pPr>
        <w:pStyle w:val="FootnoteText"/>
      </w:pPr>
      <w:r>
        <w:rPr>
          <w:rStyle w:val="FootnoteReference"/>
        </w:rPr>
        <w:footnoteRef/>
      </w:r>
      <w:r>
        <w:t xml:space="preserve"> Note that outcomes are displayed in descending order. If there is more than one outcome for a DHB upon resolution of a complaint then only the outcome which is listed highest in the table is included.</w:t>
      </w:r>
    </w:p>
  </w:footnote>
  <w:footnote w:id="6">
    <w:p w:rsidR="00DE17D9" w:rsidRDefault="00DE17D9" w:rsidP="00806342">
      <w:pPr>
        <w:pStyle w:val="FootnoteText"/>
        <w:rPr>
          <w:lang w:val="en-US"/>
        </w:rPr>
      </w:pPr>
      <w:r>
        <w:rPr>
          <w:rStyle w:val="FootnoteReference"/>
        </w:rPr>
        <w:footnoteRef/>
      </w:r>
      <w:r>
        <w:t xml:space="preserve"> </w:t>
      </w:r>
      <w:r>
        <w:rPr>
          <w:lang w:val="en-US"/>
        </w:rPr>
        <w:t>The Commissioner has a wide discretion to take no further action on a complaint. 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a District Inspector). Assessment of a complaint prior to a decision to take no further action will usually involve obtaining and reviewing a response from the provider and, in many cases, expert clinical advice.</w:t>
      </w:r>
    </w:p>
  </w:footnote>
  <w:footnote w:id="7">
    <w:p w:rsidR="00DE17D9" w:rsidRDefault="00DE17D9" w:rsidP="00806342">
      <w:pPr>
        <w:pStyle w:val="FootnoteText"/>
        <w:rPr>
          <w:lang w:val="en-US"/>
        </w:rPr>
      </w:pPr>
      <w:r>
        <w:rPr>
          <w:rStyle w:val="FootnoteReference"/>
        </w:rPr>
        <w:footnoteRef/>
      </w:r>
      <w:r>
        <w:t xml:space="preserve"> </w:t>
      </w:r>
      <w:r>
        <w:rPr>
          <w:lang w:val="en-US"/>
        </w:rPr>
        <w:t>In line with their responsibilities under the Code, DHBs have increasingly developed good systems to address complaints in a timely and appropriate way. It is often appropriate for HDC to refer a complaint to the DHB to resolve, with a requirement that the DHB report back to HDC on the outcome of its handling of the complaint.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9" w:rsidRDefault="00DE1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B0DAB"/>
    <w:multiLevelType w:val="hybridMultilevel"/>
    <w:tmpl w:val="F0DA64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1EA554BE"/>
    <w:multiLevelType w:val="hybridMultilevel"/>
    <w:tmpl w:val="7F54382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2">
    <w:nsid w:val="25F13AE7"/>
    <w:multiLevelType w:val="hybridMultilevel"/>
    <w:tmpl w:val="45788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B867B73"/>
    <w:multiLevelType w:val="hybridMultilevel"/>
    <w:tmpl w:val="7F8C9B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323255B3"/>
    <w:multiLevelType w:val="hybridMultilevel"/>
    <w:tmpl w:val="ED8010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nsid w:val="445C2F95"/>
    <w:multiLevelType w:val="hybridMultilevel"/>
    <w:tmpl w:val="45982D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nsid w:val="4FEC5C44"/>
    <w:multiLevelType w:val="hybridMultilevel"/>
    <w:tmpl w:val="ADE01D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504704C7"/>
    <w:multiLevelType w:val="hybridMultilevel"/>
    <w:tmpl w:val="0E043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2B23088"/>
    <w:multiLevelType w:val="hybridMultilevel"/>
    <w:tmpl w:val="389C0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2AC767D"/>
    <w:multiLevelType w:val="hybridMultilevel"/>
    <w:tmpl w:val="BFB65B34"/>
    <w:lvl w:ilvl="0" w:tplc="14090001">
      <w:start w:val="1"/>
      <w:numFmt w:val="bullet"/>
      <w:lvlText w:val=""/>
      <w:lvlJc w:val="left"/>
      <w:pPr>
        <w:ind w:left="772" w:hanging="360"/>
      </w:pPr>
      <w:rPr>
        <w:rFonts w:ascii="Symbol" w:hAnsi="Symbol" w:hint="default"/>
      </w:rPr>
    </w:lvl>
    <w:lvl w:ilvl="1" w:tplc="14090003">
      <w:start w:val="1"/>
      <w:numFmt w:val="bullet"/>
      <w:lvlText w:val="o"/>
      <w:lvlJc w:val="left"/>
      <w:pPr>
        <w:ind w:left="1492" w:hanging="360"/>
      </w:pPr>
      <w:rPr>
        <w:rFonts w:ascii="Courier New" w:hAnsi="Courier New" w:cs="Courier New" w:hint="default"/>
      </w:rPr>
    </w:lvl>
    <w:lvl w:ilvl="2" w:tplc="14090005">
      <w:start w:val="1"/>
      <w:numFmt w:val="bullet"/>
      <w:lvlText w:val=""/>
      <w:lvlJc w:val="left"/>
      <w:pPr>
        <w:ind w:left="2212" w:hanging="360"/>
      </w:pPr>
      <w:rPr>
        <w:rFonts w:ascii="Wingdings" w:hAnsi="Wingdings" w:hint="default"/>
      </w:rPr>
    </w:lvl>
    <w:lvl w:ilvl="3" w:tplc="14090001">
      <w:start w:val="1"/>
      <w:numFmt w:val="bullet"/>
      <w:lvlText w:val=""/>
      <w:lvlJc w:val="left"/>
      <w:pPr>
        <w:ind w:left="2932" w:hanging="360"/>
      </w:pPr>
      <w:rPr>
        <w:rFonts w:ascii="Symbol" w:hAnsi="Symbol" w:hint="default"/>
      </w:rPr>
    </w:lvl>
    <w:lvl w:ilvl="4" w:tplc="14090003">
      <w:start w:val="1"/>
      <w:numFmt w:val="bullet"/>
      <w:lvlText w:val="o"/>
      <w:lvlJc w:val="left"/>
      <w:pPr>
        <w:ind w:left="3652" w:hanging="360"/>
      </w:pPr>
      <w:rPr>
        <w:rFonts w:ascii="Courier New" w:hAnsi="Courier New" w:cs="Courier New" w:hint="default"/>
      </w:rPr>
    </w:lvl>
    <w:lvl w:ilvl="5" w:tplc="14090005">
      <w:start w:val="1"/>
      <w:numFmt w:val="bullet"/>
      <w:lvlText w:val=""/>
      <w:lvlJc w:val="left"/>
      <w:pPr>
        <w:ind w:left="4372" w:hanging="360"/>
      </w:pPr>
      <w:rPr>
        <w:rFonts w:ascii="Wingdings" w:hAnsi="Wingdings" w:hint="default"/>
      </w:rPr>
    </w:lvl>
    <w:lvl w:ilvl="6" w:tplc="14090001">
      <w:start w:val="1"/>
      <w:numFmt w:val="bullet"/>
      <w:lvlText w:val=""/>
      <w:lvlJc w:val="left"/>
      <w:pPr>
        <w:ind w:left="5092" w:hanging="360"/>
      </w:pPr>
      <w:rPr>
        <w:rFonts w:ascii="Symbol" w:hAnsi="Symbol" w:hint="default"/>
      </w:rPr>
    </w:lvl>
    <w:lvl w:ilvl="7" w:tplc="14090003">
      <w:start w:val="1"/>
      <w:numFmt w:val="bullet"/>
      <w:lvlText w:val="o"/>
      <w:lvlJc w:val="left"/>
      <w:pPr>
        <w:ind w:left="5812" w:hanging="360"/>
      </w:pPr>
      <w:rPr>
        <w:rFonts w:ascii="Courier New" w:hAnsi="Courier New" w:cs="Courier New" w:hint="default"/>
      </w:rPr>
    </w:lvl>
    <w:lvl w:ilvl="8" w:tplc="14090005">
      <w:start w:val="1"/>
      <w:numFmt w:val="bullet"/>
      <w:lvlText w:val=""/>
      <w:lvlJc w:val="left"/>
      <w:pPr>
        <w:ind w:left="6532" w:hanging="360"/>
      </w:pPr>
      <w:rPr>
        <w:rFonts w:ascii="Wingdings" w:hAnsi="Wingdings" w:hint="default"/>
      </w:rPr>
    </w:lvl>
  </w:abstractNum>
  <w:abstractNum w:abstractNumId="10">
    <w:nsid w:val="73EE45F9"/>
    <w:multiLevelType w:val="hybridMultilevel"/>
    <w:tmpl w:val="13480324"/>
    <w:lvl w:ilvl="0" w:tplc="FB2E97EE">
      <w:start w:val="1"/>
      <w:numFmt w:val="decimal"/>
      <w:lvlText w:val="%1."/>
      <w:lvlJc w:val="left"/>
      <w:pPr>
        <w:ind w:left="360" w:hanging="360"/>
      </w:pPr>
      <w:rPr>
        <w:b w:val="0"/>
        <w:i w:val="0"/>
        <w:sz w:val="16"/>
        <w:szCs w:val="16"/>
      </w:rPr>
    </w:lvl>
    <w:lvl w:ilvl="1" w:tplc="14090019">
      <w:start w:val="1"/>
      <w:numFmt w:val="lowerLetter"/>
      <w:lvlText w:val="%2."/>
      <w:lvlJc w:val="left"/>
      <w:pPr>
        <w:ind w:left="1069" w:hanging="360"/>
      </w:pPr>
    </w:lvl>
    <w:lvl w:ilvl="2" w:tplc="1409001B">
      <w:start w:val="1"/>
      <w:numFmt w:val="lowerRoman"/>
      <w:lvlText w:val="%3."/>
      <w:lvlJc w:val="right"/>
      <w:pPr>
        <w:ind w:left="9891" w:hanging="180"/>
      </w:pPr>
    </w:lvl>
    <w:lvl w:ilvl="3" w:tplc="1409000F" w:tentative="1">
      <w:start w:val="1"/>
      <w:numFmt w:val="decimal"/>
      <w:lvlText w:val="%4."/>
      <w:lvlJc w:val="left"/>
      <w:pPr>
        <w:ind w:left="10611" w:hanging="360"/>
      </w:pPr>
    </w:lvl>
    <w:lvl w:ilvl="4" w:tplc="14090019" w:tentative="1">
      <w:start w:val="1"/>
      <w:numFmt w:val="lowerLetter"/>
      <w:lvlText w:val="%5."/>
      <w:lvlJc w:val="left"/>
      <w:pPr>
        <w:ind w:left="11331" w:hanging="360"/>
      </w:pPr>
    </w:lvl>
    <w:lvl w:ilvl="5" w:tplc="1409001B" w:tentative="1">
      <w:start w:val="1"/>
      <w:numFmt w:val="lowerRoman"/>
      <w:lvlText w:val="%6."/>
      <w:lvlJc w:val="right"/>
      <w:pPr>
        <w:ind w:left="12051" w:hanging="180"/>
      </w:pPr>
    </w:lvl>
    <w:lvl w:ilvl="6" w:tplc="1409000F" w:tentative="1">
      <w:start w:val="1"/>
      <w:numFmt w:val="decimal"/>
      <w:lvlText w:val="%7."/>
      <w:lvlJc w:val="left"/>
      <w:pPr>
        <w:ind w:left="12771" w:hanging="360"/>
      </w:pPr>
    </w:lvl>
    <w:lvl w:ilvl="7" w:tplc="14090019" w:tentative="1">
      <w:start w:val="1"/>
      <w:numFmt w:val="lowerLetter"/>
      <w:lvlText w:val="%8."/>
      <w:lvlJc w:val="left"/>
      <w:pPr>
        <w:ind w:left="13491" w:hanging="360"/>
      </w:pPr>
    </w:lvl>
    <w:lvl w:ilvl="8" w:tplc="1409001B" w:tentative="1">
      <w:start w:val="1"/>
      <w:numFmt w:val="lowerRoman"/>
      <w:lvlText w:val="%9."/>
      <w:lvlJc w:val="right"/>
      <w:pPr>
        <w:ind w:left="14211" w:hanging="180"/>
      </w:pPr>
    </w:lvl>
  </w:abstractNum>
  <w:abstractNum w:abstractNumId="11">
    <w:nsid w:val="792308FF"/>
    <w:multiLevelType w:val="hybridMultilevel"/>
    <w:tmpl w:val="B2FE51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7D3A7E64"/>
    <w:multiLevelType w:val="hybridMultilevel"/>
    <w:tmpl w:val="0B483D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5"/>
  </w:num>
  <w:num w:numId="6">
    <w:abstractNumId w:val="12"/>
  </w:num>
  <w:num w:numId="7">
    <w:abstractNumId w:val="2"/>
  </w:num>
  <w:num w:numId="8">
    <w:abstractNumId w:val="8"/>
  </w:num>
  <w:num w:numId="9">
    <w:abstractNumId w:val="10"/>
  </w:num>
  <w:num w:numId="10">
    <w:abstractNumId w:val="4"/>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42"/>
    <w:rsid w:val="00251465"/>
    <w:rsid w:val="00447213"/>
    <w:rsid w:val="005F578D"/>
    <w:rsid w:val="006816A0"/>
    <w:rsid w:val="00806342"/>
    <w:rsid w:val="00811023"/>
    <w:rsid w:val="008C3A00"/>
    <w:rsid w:val="00A41DB2"/>
    <w:rsid w:val="00A81DC1"/>
    <w:rsid w:val="00B42F5B"/>
    <w:rsid w:val="00D075CC"/>
    <w:rsid w:val="00DE17D9"/>
    <w:rsid w:val="00F25598"/>
    <w:rsid w:val="00FB69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342"/>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qFormat/>
    <w:rsid w:val="00806342"/>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806342"/>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806342"/>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342"/>
    <w:rPr>
      <w:rFonts w:eastAsia="Times New Roman" w:cs="Times New Roman"/>
      <w:b/>
      <w:bCs/>
      <w:sz w:val="32"/>
      <w:szCs w:val="24"/>
      <w:lang w:val="en-AU"/>
    </w:rPr>
  </w:style>
  <w:style w:type="character" w:customStyle="1" w:styleId="Heading2Char">
    <w:name w:val="Heading 2 Char"/>
    <w:basedOn w:val="DefaultParagraphFont"/>
    <w:link w:val="Heading2"/>
    <w:rsid w:val="00806342"/>
    <w:rPr>
      <w:rFonts w:eastAsia="Times New Roman" w:cs="Times New Roman"/>
      <w:b/>
      <w:iCs/>
      <w:sz w:val="24"/>
      <w:szCs w:val="24"/>
      <w:lang w:val="en-AU"/>
    </w:rPr>
  </w:style>
  <w:style w:type="character" w:customStyle="1" w:styleId="Heading3Char">
    <w:name w:val="Heading 3 Char"/>
    <w:basedOn w:val="DefaultParagraphFont"/>
    <w:link w:val="Heading3"/>
    <w:rsid w:val="00806342"/>
    <w:rPr>
      <w:rFonts w:eastAsia="Times New Roman" w:cs="Arial"/>
      <w:bCs/>
      <w:i/>
      <w:szCs w:val="26"/>
      <w:lang w:bidi="he-IL"/>
    </w:rPr>
  </w:style>
  <w:style w:type="table" w:styleId="TableGrid">
    <w:name w:val="Table Grid"/>
    <w:basedOn w:val="TableNormal"/>
    <w:uiPriority w:val="59"/>
    <w:rsid w:val="00806342"/>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0634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6342"/>
    <w:rPr>
      <w:rFonts w:ascii="Tahoma" w:eastAsia="Times New Roman" w:hAnsi="Tahoma" w:cs="Tahoma"/>
      <w:szCs w:val="24"/>
      <w:shd w:val="clear" w:color="auto" w:fill="000080"/>
      <w:lang w:bidi="he-IL"/>
    </w:rPr>
  </w:style>
  <w:style w:type="paragraph" w:styleId="BalloonText">
    <w:name w:val="Balloon Text"/>
    <w:basedOn w:val="Normal"/>
    <w:link w:val="BalloonTextChar"/>
    <w:uiPriority w:val="99"/>
    <w:semiHidden/>
    <w:rsid w:val="00806342"/>
    <w:rPr>
      <w:rFonts w:ascii="Tahoma" w:hAnsi="Tahoma" w:cs="Tahoma"/>
      <w:sz w:val="16"/>
      <w:szCs w:val="16"/>
    </w:rPr>
  </w:style>
  <w:style w:type="character" w:customStyle="1" w:styleId="BalloonTextChar">
    <w:name w:val="Balloon Text Char"/>
    <w:basedOn w:val="DefaultParagraphFont"/>
    <w:link w:val="BalloonText"/>
    <w:uiPriority w:val="99"/>
    <w:semiHidden/>
    <w:rsid w:val="00806342"/>
    <w:rPr>
      <w:rFonts w:ascii="Tahoma" w:eastAsia="Times New Roman" w:hAnsi="Tahoma" w:cs="Tahoma"/>
      <w:sz w:val="16"/>
      <w:szCs w:val="16"/>
      <w:lang w:bidi="he-IL"/>
    </w:rPr>
  </w:style>
  <w:style w:type="paragraph" w:styleId="Header">
    <w:name w:val="header"/>
    <w:basedOn w:val="Normal"/>
    <w:link w:val="HeaderChar"/>
    <w:uiPriority w:val="99"/>
    <w:rsid w:val="00806342"/>
    <w:pPr>
      <w:tabs>
        <w:tab w:val="center" w:pos="4153"/>
        <w:tab w:val="right" w:pos="8306"/>
      </w:tabs>
    </w:pPr>
  </w:style>
  <w:style w:type="character" w:customStyle="1" w:styleId="HeaderChar">
    <w:name w:val="Header Char"/>
    <w:basedOn w:val="DefaultParagraphFont"/>
    <w:link w:val="Header"/>
    <w:uiPriority w:val="99"/>
    <w:rsid w:val="00806342"/>
    <w:rPr>
      <w:rFonts w:eastAsia="Times New Roman" w:cs="Times New Roman"/>
      <w:szCs w:val="24"/>
      <w:lang w:bidi="he-IL"/>
    </w:rPr>
  </w:style>
  <w:style w:type="paragraph" w:styleId="Footer">
    <w:name w:val="footer"/>
    <w:basedOn w:val="Normal"/>
    <w:link w:val="FooterChar"/>
    <w:uiPriority w:val="99"/>
    <w:rsid w:val="00806342"/>
    <w:pPr>
      <w:tabs>
        <w:tab w:val="center" w:pos="4153"/>
        <w:tab w:val="right" w:pos="8306"/>
      </w:tabs>
      <w:jc w:val="right"/>
    </w:pPr>
  </w:style>
  <w:style w:type="character" w:customStyle="1" w:styleId="FooterChar">
    <w:name w:val="Footer Char"/>
    <w:basedOn w:val="DefaultParagraphFont"/>
    <w:link w:val="Footer"/>
    <w:uiPriority w:val="99"/>
    <w:rsid w:val="00806342"/>
    <w:rPr>
      <w:rFonts w:eastAsia="Times New Roman" w:cs="Times New Roman"/>
      <w:szCs w:val="24"/>
      <w:lang w:bidi="he-IL"/>
    </w:rPr>
  </w:style>
  <w:style w:type="paragraph" w:styleId="FootnoteText">
    <w:name w:val="footnote text"/>
    <w:basedOn w:val="Normal"/>
    <w:link w:val="FootnoteTextChar"/>
    <w:uiPriority w:val="99"/>
    <w:semiHidden/>
    <w:rsid w:val="00806342"/>
    <w:rPr>
      <w:sz w:val="20"/>
      <w:szCs w:val="20"/>
    </w:rPr>
  </w:style>
  <w:style w:type="character" w:customStyle="1" w:styleId="FootnoteTextChar">
    <w:name w:val="Footnote Text Char"/>
    <w:basedOn w:val="DefaultParagraphFont"/>
    <w:link w:val="FootnoteText"/>
    <w:uiPriority w:val="99"/>
    <w:semiHidden/>
    <w:rsid w:val="00806342"/>
    <w:rPr>
      <w:rFonts w:eastAsia="Times New Roman" w:cs="Times New Roman"/>
      <w:sz w:val="20"/>
      <w:szCs w:val="20"/>
      <w:lang w:bidi="he-IL"/>
    </w:rPr>
  </w:style>
  <w:style w:type="character" w:styleId="FootnoteReference">
    <w:name w:val="footnote reference"/>
    <w:basedOn w:val="DefaultParagraphFont"/>
    <w:semiHidden/>
    <w:rsid w:val="00806342"/>
    <w:rPr>
      <w:vertAlign w:val="superscript"/>
    </w:rPr>
  </w:style>
  <w:style w:type="character" w:styleId="EndnoteReference">
    <w:name w:val="endnote reference"/>
    <w:basedOn w:val="DefaultParagraphFont"/>
    <w:semiHidden/>
    <w:rsid w:val="00806342"/>
    <w:rPr>
      <w:vertAlign w:val="superscript"/>
    </w:rPr>
  </w:style>
  <w:style w:type="character" w:styleId="CommentReference">
    <w:name w:val="annotation reference"/>
    <w:basedOn w:val="DefaultParagraphFont"/>
    <w:uiPriority w:val="99"/>
    <w:semiHidden/>
    <w:rsid w:val="00806342"/>
    <w:rPr>
      <w:sz w:val="16"/>
      <w:szCs w:val="16"/>
    </w:rPr>
  </w:style>
  <w:style w:type="paragraph" w:styleId="CommentText">
    <w:name w:val="annotation text"/>
    <w:basedOn w:val="Normal"/>
    <w:link w:val="CommentTextChar"/>
    <w:uiPriority w:val="99"/>
    <w:semiHidden/>
    <w:rsid w:val="00806342"/>
    <w:rPr>
      <w:sz w:val="20"/>
      <w:szCs w:val="20"/>
    </w:rPr>
  </w:style>
  <w:style w:type="character" w:customStyle="1" w:styleId="CommentTextChar">
    <w:name w:val="Comment Text Char"/>
    <w:basedOn w:val="DefaultParagraphFont"/>
    <w:link w:val="CommentText"/>
    <w:uiPriority w:val="99"/>
    <w:semiHidden/>
    <w:rsid w:val="00806342"/>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rsid w:val="00806342"/>
    <w:rPr>
      <w:b/>
      <w:bCs/>
    </w:rPr>
  </w:style>
  <w:style w:type="character" w:customStyle="1" w:styleId="CommentSubjectChar">
    <w:name w:val="Comment Subject Char"/>
    <w:basedOn w:val="CommentTextChar"/>
    <w:link w:val="CommentSubject"/>
    <w:uiPriority w:val="99"/>
    <w:semiHidden/>
    <w:rsid w:val="00806342"/>
    <w:rPr>
      <w:rFonts w:eastAsia="Times New Roman" w:cs="Times New Roman"/>
      <w:b/>
      <w:bCs/>
      <w:sz w:val="20"/>
      <w:szCs w:val="20"/>
      <w:lang w:bidi="he-IL"/>
    </w:rPr>
  </w:style>
  <w:style w:type="character" w:styleId="Hyperlink">
    <w:name w:val="Hyperlink"/>
    <w:basedOn w:val="DefaultParagraphFont"/>
    <w:uiPriority w:val="99"/>
    <w:rsid w:val="00806342"/>
    <w:rPr>
      <w:color w:val="0000FF"/>
      <w:u w:val="single"/>
    </w:rPr>
  </w:style>
  <w:style w:type="character" w:styleId="PageNumber">
    <w:name w:val="page number"/>
    <w:basedOn w:val="DefaultParagraphFont"/>
    <w:rsid w:val="00806342"/>
  </w:style>
  <w:style w:type="paragraph" w:customStyle="1" w:styleId="Default">
    <w:name w:val="Default"/>
    <w:uiPriority w:val="99"/>
    <w:rsid w:val="00806342"/>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NZ"/>
    </w:rPr>
  </w:style>
  <w:style w:type="paragraph" w:customStyle="1" w:styleId="Bulletindent">
    <w:name w:val="Bullet indent"/>
    <w:basedOn w:val="Normal"/>
    <w:uiPriority w:val="99"/>
    <w:rsid w:val="00806342"/>
    <w:pPr>
      <w:tabs>
        <w:tab w:val="left" w:pos="1134"/>
      </w:tabs>
      <w:ind w:left="340" w:hanging="340"/>
    </w:pPr>
    <w:rPr>
      <w:lang w:bidi="ar-SA"/>
    </w:rPr>
  </w:style>
  <w:style w:type="paragraph" w:customStyle="1" w:styleId="Paragraph">
    <w:name w:val="Paragraph"/>
    <w:uiPriority w:val="99"/>
    <w:rsid w:val="00806342"/>
    <w:pPr>
      <w:spacing w:line="240" w:lineRule="auto"/>
      <w:jc w:val="both"/>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806342"/>
    <w:rPr>
      <w:szCs w:val="20"/>
      <w:lang w:val="en-US" w:bidi="ar-SA"/>
    </w:rPr>
  </w:style>
  <w:style w:type="character" w:customStyle="1" w:styleId="BodyTextChar">
    <w:name w:val="Body Text Char"/>
    <w:basedOn w:val="DefaultParagraphFont"/>
    <w:link w:val="BodyText"/>
    <w:uiPriority w:val="99"/>
    <w:rsid w:val="00806342"/>
    <w:rPr>
      <w:rFonts w:eastAsia="Times New Roman" w:cs="Times New Roman"/>
      <w:szCs w:val="20"/>
      <w:lang w:val="en-US"/>
    </w:rPr>
  </w:style>
  <w:style w:type="paragraph" w:styleId="ListParagraph">
    <w:name w:val="List Paragraph"/>
    <w:basedOn w:val="Normal"/>
    <w:uiPriority w:val="34"/>
    <w:qFormat/>
    <w:rsid w:val="00806342"/>
    <w:pPr>
      <w:ind w:left="720"/>
    </w:pPr>
  </w:style>
  <w:style w:type="paragraph" w:styleId="Revision">
    <w:name w:val="Revision"/>
    <w:hidden/>
    <w:uiPriority w:val="99"/>
    <w:semiHidden/>
    <w:rsid w:val="00806342"/>
    <w:pPr>
      <w:spacing w:after="0" w:line="240" w:lineRule="auto"/>
      <w:jc w:val="both"/>
    </w:pPr>
    <w:rPr>
      <w:rFonts w:ascii="Times New Roman" w:eastAsia="Times New Roman" w:hAnsi="Times New Roman" w:cs="Times New Roman"/>
      <w:sz w:val="24"/>
      <w:szCs w:val="24"/>
      <w:lang w:bidi="he-IL"/>
    </w:rPr>
  </w:style>
  <w:style w:type="paragraph" w:styleId="NoSpacing">
    <w:name w:val="No Spacing"/>
    <w:link w:val="NoSpacingChar"/>
    <w:uiPriority w:val="1"/>
    <w:qFormat/>
    <w:rsid w:val="00806342"/>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806342"/>
    <w:rPr>
      <w:rFonts w:eastAsiaTheme="minorEastAsia"/>
      <w:lang w:val="en-US"/>
    </w:rPr>
  </w:style>
  <w:style w:type="paragraph" w:styleId="Caption">
    <w:name w:val="caption"/>
    <w:basedOn w:val="Normal"/>
    <w:next w:val="Normal"/>
    <w:uiPriority w:val="35"/>
    <w:unhideWhenUsed/>
    <w:qFormat/>
    <w:rsid w:val="00806342"/>
    <w:pPr>
      <w:tabs>
        <w:tab w:val="left" w:pos="1440"/>
        <w:tab w:val="decimal" w:pos="4320"/>
      </w:tabs>
      <w:outlineLvl w:val="0"/>
    </w:pPr>
    <w:rPr>
      <w:rFonts w:ascii="Calibri" w:hAnsi="Calibri"/>
      <w:b/>
      <w:szCs w:val="22"/>
      <w:lang w:eastAsia="en-NZ" w:bidi="ar-SA"/>
    </w:rPr>
  </w:style>
  <w:style w:type="paragraph" w:styleId="NormalWeb">
    <w:name w:val="Normal (Web)"/>
    <w:basedOn w:val="Normal"/>
    <w:uiPriority w:val="99"/>
    <w:semiHidden/>
    <w:unhideWhenUsed/>
    <w:rsid w:val="00806342"/>
    <w:pPr>
      <w:spacing w:before="100" w:beforeAutospacing="1" w:after="100" w:afterAutospacing="1"/>
      <w:jc w:val="left"/>
    </w:pPr>
    <w:rPr>
      <w:lang w:eastAsia="en-NZ" w:bidi="ar-SA"/>
    </w:rPr>
  </w:style>
  <w:style w:type="character" w:customStyle="1" w:styleId="st1">
    <w:name w:val="st1"/>
    <w:basedOn w:val="DefaultParagraphFont"/>
    <w:rsid w:val="00806342"/>
  </w:style>
  <w:style w:type="paragraph" w:styleId="TOCHeading">
    <w:name w:val="TOC Heading"/>
    <w:basedOn w:val="Heading1"/>
    <w:next w:val="Normal"/>
    <w:uiPriority w:val="39"/>
    <w:unhideWhenUsed/>
    <w:qFormat/>
    <w:rsid w:val="00806342"/>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806342"/>
    <w:pPr>
      <w:spacing w:before="120"/>
      <w:jc w:val="left"/>
    </w:pPr>
    <w:rPr>
      <w:b/>
      <w:sz w:val="24"/>
    </w:rPr>
  </w:style>
  <w:style w:type="paragraph" w:styleId="TOC2">
    <w:name w:val="toc 2"/>
    <w:basedOn w:val="Normal"/>
    <w:next w:val="Normal"/>
    <w:autoRedefine/>
    <w:uiPriority w:val="39"/>
    <w:unhideWhenUsed/>
    <w:rsid w:val="00806342"/>
    <w:pPr>
      <w:ind w:left="220"/>
      <w:jc w:val="left"/>
    </w:pPr>
    <w:rPr>
      <w:b/>
      <w:szCs w:val="22"/>
    </w:rPr>
  </w:style>
  <w:style w:type="paragraph" w:styleId="TOC3">
    <w:name w:val="toc 3"/>
    <w:basedOn w:val="Normal"/>
    <w:next w:val="Normal"/>
    <w:autoRedefine/>
    <w:uiPriority w:val="39"/>
    <w:unhideWhenUsed/>
    <w:rsid w:val="00806342"/>
    <w:pPr>
      <w:ind w:left="440"/>
      <w:jc w:val="left"/>
    </w:pPr>
    <w:rPr>
      <w:szCs w:val="22"/>
    </w:rPr>
  </w:style>
  <w:style w:type="paragraph" w:styleId="TOC4">
    <w:name w:val="toc 4"/>
    <w:basedOn w:val="Normal"/>
    <w:next w:val="Normal"/>
    <w:autoRedefine/>
    <w:uiPriority w:val="39"/>
    <w:unhideWhenUsed/>
    <w:rsid w:val="00806342"/>
    <w:pPr>
      <w:ind w:left="660"/>
      <w:jc w:val="left"/>
    </w:pPr>
    <w:rPr>
      <w:sz w:val="20"/>
      <w:szCs w:val="20"/>
    </w:rPr>
  </w:style>
  <w:style w:type="paragraph" w:styleId="TOC5">
    <w:name w:val="toc 5"/>
    <w:basedOn w:val="Normal"/>
    <w:next w:val="Normal"/>
    <w:autoRedefine/>
    <w:uiPriority w:val="39"/>
    <w:unhideWhenUsed/>
    <w:rsid w:val="00806342"/>
    <w:pPr>
      <w:ind w:left="880"/>
      <w:jc w:val="left"/>
    </w:pPr>
    <w:rPr>
      <w:sz w:val="20"/>
      <w:szCs w:val="20"/>
    </w:rPr>
  </w:style>
  <w:style w:type="paragraph" w:styleId="TOC6">
    <w:name w:val="toc 6"/>
    <w:basedOn w:val="Normal"/>
    <w:next w:val="Normal"/>
    <w:autoRedefine/>
    <w:uiPriority w:val="39"/>
    <w:unhideWhenUsed/>
    <w:rsid w:val="00806342"/>
    <w:pPr>
      <w:ind w:left="1100"/>
      <w:jc w:val="left"/>
    </w:pPr>
    <w:rPr>
      <w:sz w:val="20"/>
      <w:szCs w:val="20"/>
    </w:rPr>
  </w:style>
  <w:style w:type="paragraph" w:styleId="TOC7">
    <w:name w:val="toc 7"/>
    <w:basedOn w:val="Normal"/>
    <w:next w:val="Normal"/>
    <w:autoRedefine/>
    <w:uiPriority w:val="39"/>
    <w:unhideWhenUsed/>
    <w:rsid w:val="00806342"/>
    <w:pPr>
      <w:ind w:left="1320"/>
      <w:jc w:val="left"/>
    </w:pPr>
    <w:rPr>
      <w:sz w:val="20"/>
      <w:szCs w:val="20"/>
    </w:rPr>
  </w:style>
  <w:style w:type="paragraph" w:styleId="TOC8">
    <w:name w:val="toc 8"/>
    <w:basedOn w:val="Normal"/>
    <w:next w:val="Normal"/>
    <w:autoRedefine/>
    <w:uiPriority w:val="39"/>
    <w:unhideWhenUsed/>
    <w:rsid w:val="00806342"/>
    <w:pPr>
      <w:ind w:left="1540"/>
      <w:jc w:val="left"/>
    </w:pPr>
    <w:rPr>
      <w:sz w:val="20"/>
      <w:szCs w:val="20"/>
    </w:rPr>
  </w:style>
  <w:style w:type="paragraph" w:styleId="TOC9">
    <w:name w:val="toc 9"/>
    <w:basedOn w:val="Normal"/>
    <w:next w:val="Normal"/>
    <w:autoRedefine/>
    <w:uiPriority w:val="39"/>
    <w:unhideWhenUsed/>
    <w:rsid w:val="00806342"/>
    <w:pPr>
      <w:ind w:left="1760"/>
      <w:jc w:val="left"/>
    </w:pPr>
    <w:rPr>
      <w:sz w:val="20"/>
      <w:szCs w:val="20"/>
    </w:rPr>
  </w:style>
  <w:style w:type="character" w:styleId="FollowedHyperlink">
    <w:name w:val="FollowedHyperlink"/>
    <w:basedOn w:val="DefaultParagraphFont"/>
    <w:uiPriority w:val="99"/>
    <w:semiHidden/>
    <w:unhideWhenUsed/>
    <w:rsid w:val="00806342"/>
    <w:rPr>
      <w:color w:val="800080" w:themeColor="followedHyperlink"/>
      <w:u w:val="single"/>
    </w:rPr>
  </w:style>
  <w:style w:type="character" w:styleId="Strong">
    <w:name w:val="Strong"/>
    <w:basedOn w:val="DefaultParagraphFont"/>
    <w:uiPriority w:val="22"/>
    <w:qFormat/>
    <w:rsid w:val="008063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342"/>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qFormat/>
    <w:rsid w:val="00806342"/>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806342"/>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806342"/>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342"/>
    <w:rPr>
      <w:rFonts w:eastAsia="Times New Roman" w:cs="Times New Roman"/>
      <w:b/>
      <w:bCs/>
      <w:sz w:val="32"/>
      <w:szCs w:val="24"/>
      <w:lang w:val="en-AU"/>
    </w:rPr>
  </w:style>
  <w:style w:type="character" w:customStyle="1" w:styleId="Heading2Char">
    <w:name w:val="Heading 2 Char"/>
    <w:basedOn w:val="DefaultParagraphFont"/>
    <w:link w:val="Heading2"/>
    <w:rsid w:val="00806342"/>
    <w:rPr>
      <w:rFonts w:eastAsia="Times New Roman" w:cs="Times New Roman"/>
      <w:b/>
      <w:iCs/>
      <w:sz w:val="24"/>
      <w:szCs w:val="24"/>
      <w:lang w:val="en-AU"/>
    </w:rPr>
  </w:style>
  <w:style w:type="character" w:customStyle="1" w:styleId="Heading3Char">
    <w:name w:val="Heading 3 Char"/>
    <w:basedOn w:val="DefaultParagraphFont"/>
    <w:link w:val="Heading3"/>
    <w:rsid w:val="00806342"/>
    <w:rPr>
      <w:rFonts w:eastAsia="Times New Roman" w:cs="Arial"/>
      <w:bCs/>
      <w:i/>
      <w:szCs w:val="26"/>
      <w:lang w:bidi="he-IL"/>
    </w:rPr>
  </w:style>
  <w:style w:type="table" w:styleId="TableGrid">
    <w:name w:val="Table Grid"/>
    <w:basedOn w:val="TableNormal"/>
    <w:uiPriority w:val="59"/>
    <w:rsid w:val="00806342"/>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0634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6342"/>
    <w:rPr>
      <w:rFonts w:ascii="Tahoma" w:eastAsia="Times New Roman" w:hAnsi="Tahoma" w:cs="Tahoma"/>
      <w:szCs w:val="24"/>
      <w:shd w:val="clear" w:color="auto" w:fill="000080"/>
      <w:lang w:bidi="he-IL"/>
    </w:rPr>
  </w:style>
  <w:style w:type="paragraph" w:styleId="BalloonText">
    <w:name w:val="Balloon Text"/>
    <w:basedOn w:val="Normal"/>
    <w:link w:val="BalloonTextChar"/>
    <w:uiPriority w:val="99"/>
    <w:semiHidden/>
    <w:rsid w:val="00806342"/>
    <w:rPr>
      <w:rFonts w:ascii="Tahoma" w:hAnsi="Tahoma" w:cs="Tahoma"/>
      <w:sz w:val="16"/>
      <w:szCs w:val="16"/>
    </w:rPr>
  </w:style>
  <w:style w:type="character" w:customStyle="1" w:styleId="BalloonTextChar">
    <w:name w:val="Balloon Text Char"/>
    <w:basedOn w:val="DefaultParagraphFont"/>
    <w:link w:val="BalloonText"/>
    <w:uiPriority w:val="99"/>
    <w:semiHidden/>
    <w:rsid w:val="00806342"/>
    <w:rPr>
      <w:rFonts w:ascii="Tahoma" w:eastAsia="Times New Roman" w:hAnsi="Tahoma" w:cs="Tahoma"/>
      <w:sz w:val="16"/>
      <w:szCs w:val="16"/>
      <w:lang w:bidi="he-IL"/>
    </w:rPr>
  </w:style>
  <w:style w:type="paragraph" w:styleId="Header">
    <w:name w:val="header"/>
    <w:basedOn w:val="Normal"/>
    <w:link w:val="HeaderChar"/>
    <w:uiPriority w:val="99"/>
    <w:rsid w:val="00806342"/>
    <w:pPr>
      <w:tabs>
        <w:tab w:val="center" w:pos="4153"/>
        <w:tab w:val="right" w:pos="8306"/>
      </w:tabs>
    </w:pPr>
  </w:style>
  <w:style w:type="character" w:customStyle="1" w:styleId="HeaderChar">
    <w:name w:val="Header Char"/>
    <w:basedOn w:val="DefaultParagraphFont"/>
    <w:link w:val="Header"/>
    <w:uiPriority w:val="99"/>
    <w:rsid w:val="00806342"/>
    <w:rPr>
      <w:rFonts w:eastAsia="Times New Roman" w:cs="Times New Roman"/>
      <w:szCs w:val="24"/>
      <w:lang w:bidi="he-IL"/>
    </w:rPr>
  </w:style>
  <w:style w:type="paragraph" w:styleId="Footer">
    <w:name w:val="footer"/>
    <w:basedOn w:val="Normal"/>
    <w:link w:val="FooterChar"/>
    <w:uiPriority w:val="99"/>
    <w:rsid w:val="00806342"/>
    <w:pPr>
      <w:tabs>
        <w:tab w:val="center" w:pos="4153"/>
        <w:tab w:val="right" w:pos="8306"/>
      </w:tabs>
      <w:jc w:val="right"/>
    </w:pPr>
  </w:style>
  <w:style w:type="character" w:customStyle="1" w:styleId="FooterChar">
    <w:name w:val="Footer Char"/>
    <w:basedOn w:val="DefaultParagraphFont"/>
    <w:link w:val="Footer"/>
    <w:uiPriority w:val="99"/>
    <w:rsid w:val="00806342"/>
    <w:rPr>
      <w:rFonts w:eastAsia="Times New Roman" w:cs="Times New Roman"/>
      <w:szCs w:val="24"/>
      <w:lang w:bidi="he-IL"/>
    </w:rPr>
  </w:style>
  <w:style w:type="paragraph" w:styleId="FootnoteText">
    <w:name w:val="footnote text"/>
    <w:basedOn w:val="Normal"/>
    <w:link w:val="FootnoteTextChar"/>
    <w:uiPriority w:val="99"/>
    <w:semiHidden/>
    <w:rsid w:val="00806342"/>
    <w:rPr>
      <w:sz w:val="20"/>
      <w:szCs w:val="20"/>
    </w:rPr>
  </w:style>
  <w:style w:type="character" w:customStyle="1" w:styleId="FootnoteTextChar">
    <w:name w:val="Footnote Text Char"/>
    <w:basedOn w:val="DefaultParagraphFont"/>
    <w:link w:val="FootnoteText"/>
    <w:uiPriority w:val="99"/>
    <w:semiHidden/>
    <w:rsid w:val="00806342"/>
    <w:rPr>
      <w:rFonts w:eastAsia="Times New Roman" w:cs="Times New Roman"/>
      <w:sz w:val="20"/>
      <w:szCs w:val="20"/>
      <w:lang w:bidi="he-IL"/>
    </w:rPr>
  </w:style>
  <w:style w:type="character" w:styleId="FootnoteReference">
    <w:name w:val="footnote reference"/>
    <w:basedOn w:val="DefaultParagraphFont"/>
    <w:semiHidden/>
    <w:rsid w:val="00806342"/>
    <w:rPr>
      <w:vertAlign w:val="superscript"/>
    </w:rPr>
  </w:style>
  <w:style w:type="character" w:styleId="EndnoteReference">
    <w:name w:val="endnote reference"/>
    <w:basedOn w:val="DefaultParagraphFont"/>
    <w:semiHidden/>
    <w:rsid w:val="00806342"/>
    <w:rPr>
      <w:vertAlign w:val="superscript"/>
    </w:rPr>
  </w:style>
  <w:style w:type="character" w:styleId="CommentReference">
    <w:name w:val="annotation reference"/>
    <w:basedOn w:val="DefaultParagraphFont"/>
    <w:uiPriority w:val="99"/>
    <w:semiHidden/>
    <w:rsid w:val="00806342"/>
    <w:rPr>
      <w:sz w:val="16"/>
      <w:szCs w:val="16"/>
    </w:rPr>
  </w:style>
  <w:style w:type="paragraph" w:styleId="CommentText">
    <w:name w:val="annotation text"/>
    <w:basedOn w:val="Normal"/>
    <w:link w:val="CommentTextChar"/>
    <w:uiPriority w:val="99"/>
    <w:semiHidden/>
    <w:rsid w:val="00806342"/>
    <w:rPr>
      <w:sz w:val="20"/>
      <w:szCs w:val="20"/>
    </w:rPr>
  </w:style>
  <w:style w:type="character" w:customStyle="1" w:styleId="CommentTextChar">
    <w:name w:val="Comment Text Char"/>
    <w:basedOn w:val="DefaultParagraphFont"/>
    <w:link w:val="CommentText"/>
    <w:uiPriority w:val="99"/>
    <w:semiHidden/>
    <w:rsid w:val="00806342"/>
    <w:rPr>
      <w:rFonts w:eastAsia="Times New Roman" w:cs="Times New Roman"/>
      <w:sz w:val="20"/>
      <w:szCs w:val="20"/>
      <w:lang w:bidi="he-IL"/>
    </w:rPr>
  </w:style>
  <w:style w:type="paragraph" w:styleId="CommentSubject">
    <w:name w:val="annotation subject"/>
    <w:basedOn w:val="CommentText"/>
    <w:next w:val="CommentText"/>
    <w:link w:val="CommentSubjectChar"/>
    <w:uiPriority w:val="99"/>
    <w:semiHidden/>
    <w:rsid w:val="00806342"/>
    <w:rPr>
      <w:b/>
      <w:bCs/>
    </w:rPr>
  </w:style>
  <w:style w:type="character" w:customStyle="1" w:styleId="CommentSubjectChar">
    <w:name w:val="Comment Subject Char"/>
    <w:basedOn w:val="CommentTextChar"/>
    <w:link w:val="CommentSubject"/>
    <w:uiPriority w:val="99"/>
    <w:semiHidden/>
    <w:rsid w:val="00806342"/>
    <w:rPr>
      <w:rFonts w:eastAsia="Times New Roman" w:cs="Times New Roman"/>
      <w:b/>
      <w:bCs/>
      <w:sz w:val="20"/>
      <w:szCs w:val="20"/>
      <w:lang w:bidi="he-IL"/>
    </w:rPr>
  </w:style>
  <w:style w:type="character" w:styleId="Hyperlink">
    <w:name w:val="Hyperlink"/>
    <w:basedOn w:val="DefaultParagraphFont"/>
    <w:uiPriority w:val="99"/>
    <w:rsid w:val="00806342"/>
    <w:rPr>
      <w:color w:val="0000FF"/>
      <w:u w:val="single"/>
    </w:rPr>
  </w:style>
  <w:style w:type="character" w:styleId="PageNumber">
    <w:name w:val="page number"/>
    <w:basedOn w:val="DefaultParagraphFont"/>
    <w:rsid w:val="00806342"/>
  </w:style>
  <w:style w:type="paragraph" w:customStyle="1" w:styleId="Default">
    <w:name w:val="Default"/>
    <w:uiPriority w:val="99"/>
    <w:rsid w:val="00806342"/>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NZ"/>
    </w:rPr>
  </w:style>
  <w:style w:type="paragraph" w:customStyle="1" w:styleId="Bulletindent">
    <w:name w:val="Bullet indent"/>
    <w:basedOn w:val="Normal"/>
    <w:uiPriority w:val="99"/>
    <w:rsid w:val="00806342"/>
    <w:pPr>
      <w:tabs>
        <w:tab w:val="left" w:pos="1134"/>
      </w:tabs>
      <w:ind w:left="340" w:hanging="340"/>
    </w:pPr>
    <w:rPr>
      <w:lang w:bidi="ar-SA"/>
    </w:rPr>
  </w:style>
  <w:style w:type="paragraph" w:customStyle="1" w:styleId="Paragraph">
    <w:name w:val="Paragraph"/>
    <w:uiPriority w:val="99"/>
    <w:rsid w:val="00806342"/>
    <w:pPr>
      <w:spacing w:line="240" w:lineRule="auto"/>
      <w:jc w:val="both"/>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806342"/>
    <w:rPr>
      <w:szCs w:val="20"/>
      <w:lang w:val="en-US" w:bidi="ar-SA"/>
    </w:rPr>
  </w:style>
  <w:style w:type="character" w:customStyle="1" w:styleId="BodyTextChar">
    <w:name w:val="Body Text Char"/>
    <w:basedOn w:val="DefaultParagraphFont"/>
    <w:link w:val="BodyText"/>
    <w:uiPriority w:val="99"/>
    <w:rsid w:val="00806342"/>
    <w:rPr>
      <w:rFonts w:eastAsia="Times New Roman" w:cs="Times New Roman"/>
      <w:szCs w:val="20"/>
      <w:lang w:val="en-US"/>
    </w:rPr>
  </w:style>
  <w:style w:type="paragraph" w:styleId="ListParagraph">
    <w:name w:val="List Paragraph"/>
    <w:basedOn w:val="Normal"/>
    <w:uiPriority w:val="34"/>
    <w:qFormat/>
    <w:rsid w:val="00806342"/>
    <w:pPr>
      <w:ind w:left="720"/>
    </w:pPr>
  </w:style>
  <w:style w:type="paragraph" w:styleId="Revision">
    <w:name w:val="Revision"/>
    <w:hidden/>
    <w:uiPriority w:val="99"/>
    <w:semiHidden/>
    <w:rsid w:val="00806342"/>
    <w:pPr>
      <w:spacing w:after="0" w:line="240" w:lineRule="auto"/>
      <w:jc w:val="both"/>
    </w:pPr>
    <w:rPr>
      <w:rFonts w:ascii="Times New Roman" w:eastAsia="Times New Roman" w:hAnsi="Times New Roman" w:cs="Times New Roman"/>
      <w:sz w:val="24"/>
      <w:szCs w:val="24"/>
      <w:lang w:bidi="he-IL"/>
    </w:rPr>
  </w:style>
  <w:style w:type="paragraph" w:styleId="NoSpacing">
    <w:name w:val="No Spacing"/>
    <w:link w:val="NoSpacingChar"/>
    <w:uiPriority w:val="1"/>
    <w:qFormat/>
    <w:rsid w:val="00806342"/>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806342"/>
    <w:rPr>
      <w:rFonts w:eastAsiaTheme="minorEastAsia"/>
      <w:lang w:val="en-US"/>
    </w:rPr>
  </w:style>
  <w:style w:type="paragraph" w:styleId="Caption">
    <w:name w:val="caption"/>
    <w:basedOn w:val="Normal"/>
    <w:next w:val="Normal"/>
    <w:uiPriority w:val="35"/>
    <w:unhideWhenUsed/>
    <w:qFormat/>
    <w:rsid w:val="00806342"/>
    <w:pPr>
      <w:tabs>
        <w:tab w:val="left" w:pos="1440"/>
        <w:tab w:val="decimal" w:pos="4320"/>
      </w:tabs>
      <w:outlineLvl w:val="0"/>
    </w:pPr>
    <w:rPr>
      <w:rFonts w:ascii="Calibri" w:hAnsi="Calibri"/>
      <w:b/>
      <w:szCs w:val="22"/>
      <w:lang w:eastAsia="en-NZ" w:bidi="ar-SA"/>
    </w:rPr>
  </w:style>
  <w:style w:type="paragraph" w:styleId="NormalWeb">
    <w:name w:val="Normal (Web)"/>
    <w:basedOn w:val="Normal"/>
    <w:uiPriority w:val="99"/>
    <w:semiHidden/>
    <w:unhideWhenUsed/>
    <w:rsid w:val="00806342"/>
    <w:pPr>
      <w:spacing w:before="100" w:beforeAutospacing="1" w:after="100" w:afterAutospacing="1"/>
      <w:jc w:val="left"/>
    </w:pPr>
    <w:rPr>
      <w:lang w:eastAsia="en-NZ" w:bidi="ar-SA"/>
    </w:rPr>
  </w:style>
  <w:style w:type="character" w:customStyle="1" w:styleId="st1">
    <w:name w:val="st1"/>
    <w:basedOn w:val="DefaultParagraphFont"/>
    <w:rsid w:val="00806342"/>
  </w:style>
  <w:style w:type="paragraph" w:styleId="TOCHeading">
    <w:name w:val="TOC Heading"/>
    <w:basedOn w:val="Heading1"/>
    <w:next w:val="Normal"/>
    <w:uiPriority w:val="39"/>
    <w:unhideWhenUsed/>
    <w:qFormat/>
    <w:rsid w:val="00806342"/>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806342"/>
    <w:pPr>
      <w:spacing w:before="120"/>
      <w:jc w:val="left"/>
    </w:pPr>
    <w:rPr>
      <w:b/>
      <w:sz w:val="24"/>
    </w:rPr>
  </w:style>
  <w:style w:type="paragraph" w:styleId="TOC2">
    <w:name w:val="toc 2"/>
    <w:basedOn w:val="Normal"/>
    <w:next w:val="Normal"/>
    <w:autoRedefine/>
    <w:uiPriority w:val="39"/>
    <w:unhideWhenUsed/>
    <w:rsid w:val="00806342"/>
    <w:pPr>
      <w:ind w:left="220"/>
      <w:jc w:val="left"/>
    </w:pPr>
    <w:rPr>
      <w:b/>
      <w:szCs w:val="22"/>
    </w:rPr>
  </w:style>
  <w:style w:type="paragraph" w:styleId="TOC3">
    <w:name w:val="toc 3"/>
    <w:basedOn w:val="Normal"/>
    <w:next w:val="Normal"/>
    <w:autoRedefine/>
    <w:uiPriority w:val="39"/>
    <w:unhideWhenUsed/>
    <w:rsid w:val="00806342"/>
    <w:pPr>
      <w:ind w:left="440"/>
      <w:jc w:val="left"/>
    </w:pPr>
    <w:rPr>
      <w:szCs w:val="22"/>
    </w:rPr>
  </w:style>
  <w:style w:type="paragraph" w:styleId="TOC4">
    <w:name w:val="toc 4"/>
    <w:basedOn w:val="Normal"/>
    <w:next w:val="Normal"/>
    <w:autoRedefine/>
    <w:uiPriority w:val="39"/>
    <w:unhideWhenUsed/>
    <w:rsid w:val="00806342"/>
    <w:pPr>
      <w:ind w:left="660"/>
      <w:jc w:val="left"/>
    </w:pPr>
    <w:rPr>
      <w:sz w:val="20"/>
      <w:szCs w:val="20"/>
    </w:rPr>
  </w:style>
  <w:style w:type="paragraph" w:styleId="TOC5">
    <w:name w:val="toc 5"/>
    <w:basedOn w:val="Normal"/>
    <w:next w:val="Normal"/>
    <w:autoRedefine/>
    <w:uiPriority w:val="39"/>
    <w:unhideWhenUsed/>
    <w:rsid w:val="00806342"/>
    <w:pPr>
      <w:ind w:left="880"/>
      <w:jc w:val="left"/>
    </w:pPr>
    <w:rPr>
      <w:sz w:val="20"/>
      <w:szCs w:val="20"/>
    </w:rPr>
  </w:style>
  <w:style w:type="paragraph" w:styleId="TOC6">
    <w:name w:val="toc 6"/>
    <w:basedOn w:val="Normal"/>
    <w:next w:val="Normal"/>
    <w:autoRedefine/>
    <w:uiPriority w:val="39"/>
    <w:unhideWhenUsed/>
    <w:rsid w:val="00806342"/>
    <w:pPr>
      <w:ind w:left="1100"/>
      <w:jc w:val="left"/>
    </w:pPr>
    <w:rPr>
      <w:sz w:val="20"/>
      <w:szCs w:val="20"/>
    </w:rPr>
  </w:style>
  <w:style w:type="paragraph" w:styleId="TOC7">
    <w:name w:val="toc 7"/>
    <w:basedOn w:val="Normal"/>
    <w:next w:val="Normal"/>
    <w:autoRedefine/>
    <w:uiPriority w:val="39"/>
    <w:unhideWhenUsed/>
    <w:rsid w:val="00806342"/>
    <w:pPr>
      <w:ind w:left="1320"/>
      <w:jc w:val="left"/>
    </w:pPr>
    <w:rPr>
      <w:sz w:val="20"/>
      <w:szCs w:val="20"/>
    </w:rPr>
  </w:style>
  <w:style w:type="paragraph" w:styleId="TOC8">
    <w:name w:val="toc 8"/>
    <w:basedOn w:val="Normal"/>
    <w:next w:val="Normal"/>
    <w:autoRedefine/>
    <w:uiPriority w:val="39"/>
    <w:unhideWhenUsed/>
    <w:rsid w:val="00806342"/>
    <w:pPr>
      <w:ind w:left="1540"/>
      <w:jc w:val="left"/>
    </w:pPr>
    <w:rPr>
      <w:sz w:val="20"/>
      <w:szCs w:val="20"/>
    </w:rPr>
  </w:style>
  <w:style w:type="paragraph" w:styleId="TOC9">
    <w:name w:val="toc 9"/>
    <w:basedOn w:val="Normal"/>
    <w:next w:val="Normal"/>
    <w:autoRedefine/>
    <w:uiPriority w:val="39"/>
    <w:unhideWhenUsed/>
    <w:rsid w:val="00806342"/>
    <w:pPr>
      <w:ind w:left="1760"/>
      <w:jc w:val="left"/>
    </w:pPr>
    <w:rPr>
      <w:sz w:val="20"/>
      <w:szCs w:val="20"/>
    </w:rPr>
  </w:style>
  <w:style w:type="character" w:styleId="FollowedHyperlink">
    <w:name w:val="FollowedHyperlink"/>
    <w:basedOn w:val="DefaultParagraphFont"/>
    <w:uiPriority w:val="99"/>
    <w:semiHidden/>
    <w:unhideWhenUsed/>
    <w:rsid w:val="00806342"/>
    <w:rPr>
      <w:color w:val="800080" w:themeColor="followedHyperlink"/>
      <w:u w:val="single"/>
    </w:rPr>
  </w:style>
  <w:style w:type="character" w:styleId="Strong">
    <w:name w:val="Strong"/>
    <w:basedOn w:val="DefaultParagraphFont"/>
    <w:uiPriority w:val="22"/>
    <w:qFormat/>
    <w:rsid w:val="0080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5%20Jul%20to%20Dec\Analysis\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'Complaints over time'!$A$1:$J$1</c:f>
              <c:strCache>
                <c:ptCount val="10"/>
                <c:pt idx="0">
                  <c:v>Jan-Jun 11</c:v>
                </c:pt>
                <c:pt idx="1">
                  <c:v>Jul-Dec 11</c:v>
                </c:pt>
                <c:pt idx="2">
                  <c:v>Jan-Jun 12</c:v>
                </c:pt>
                <c:pt idx="3">
                  <c:v>Jul-Dec 12</c:v>
                </c:pt>
                <c:pt idx="4">
                  <c:v>Jan-Jun 13</c:v>
                </c:pt>
                <c:pt idx="5">
                  <c:v>Jul-Dec 13</c:v>
                </c:pt>
                <c:pt idx="6">
                  <c:v>Jan-Jun 14</c:v>
                </c:pt>
                <c:pt idx="7">
                  <c:v>Jul-Dec 14</c:v>
                </c:pt>
                <c:pt idx="8">
                  <c:v>Jan-Jun 15</c:v>
                </c:pt>
                <c:pt idx="9">
                  <c:v>Jul-Dec 15</c:v>
                </c:pt>
              </c:strCache>
            </c:strRef>
          </c:cat>
          <c:val>
            <c:numRef>
              <c:f>'Complaints over time'!$A$2:$J$2</c:f>
              <c:numCache>
                <c:formatCode>General</c:formatCode>
                <c:ptCount val="10"/>
                <c:pt idx="0">
                  <c:v>268</c:v>
                </c:pt>
                <c:pt idx="1">
                  <c:v>255</c:v>
                </c:pt>
                <c:pt idx="2">
                  <c:v>355</c:v>
                </c:pt>
                <c:pt idx="3">
                  <c:v>292</c:v>
                </c:pt>
                <c:pt idx="4">
                  <c:v>324</c:v>
                </c:pt>
                <c:pt idx="5">
                  <c:v>330</c:v>
                </c:pt>
                <c:pt idx="6">
                  <c:v>330</c:v>
                </c:pt>
                <c:pt idx="7">
                  <c:v>368</c:v>
                </c:pt>
                <c:pt idx="8">
                  <c:v>389</c:v>
                </c:pt>
                <c:pt idx="9">
                  <c:v>422</c:v>
                </c:pt>
              </c:numCache>
            </c:numRef>
          </c:val>
          <c:smooth val="0"/>
        </c:ser>
        <c:dLbls>
          <c:showLegendKey val="0"/>
          <c:showVal val="0"/>
          <c:showCatName val="0"/>
          <c:showSerName val="0"/>
          <c:showPercent val="0"/>
          <c:showBubbleSize val="0"/>
        </c:dLbls>
        <c:marker val="1"/>
        <c:smooth val="0"/>
        <c:axId val="34506240"/>
        <c:axId val="34507776"/>
      </c:lineChart>
      <c:catAx>
        <c:axId val="34506240"/>
        <c:scaling>
          <c:orientation val="minMax"/>
        </c:scaling>
        <c:delete val="0"/>
        <c:axPos val="b"/>
        <c:majorTickMark val="out"/>
        <c:minorTickMark val="none"/>
        <c:tickLblPos val="nextTo"/>
        <c:crossAx val="34507776"/>
        <c:crosses val="autoZero"/>
        <c:auto val="1"/>
        <c:lblAlgn val="ctr"/>
        <c:lblOffset val="100"/>
        <c:noMultiLvlLbl val="0"/>
      </c:catAx>
      <c:valAx>
        <c:axId val="34507776"/>
        <c:scaling>
          <c:orientation val="minMax"/>
        </c:scaling>
        <c:delete val="0"/>
        <c:axPos val="l"/>
        <c:majorGridlines/>
        <c:numFmt formatCode="General" sourceLinked="1"/>
        <c:majorTickMark val="out"/>
        <c:minorTickMark val="none"/>
        <c:tickLblPos val="nextTo"/>
        <c:crossAx val="345062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A96E-F996-4ECD-82B5-F28D9F1E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7EADAA90</Template>
  <TotalTime>0</TotalTime>
  <Pages>26</Pages>
  <Words>6727</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2016-04-07T04:21:00Z</dcterms:created>
  <dcterms:modified xsi:type="dcterms:W3CDTF">2016-04-07T04:29:00Z</dcterms:modified>
</cp:coreProperties>
</file>