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AED14" w14:textId="77777777" w:rsidR="00841E1C" w:rsidRPr="009F7E9D" w:rsidRDefault="00841E1C" w:rsidP="00841E1C">
      <w:pPr>
        <w:jc w:val="center"/>
      </w:pPr>
    </w:p>
    <w:p w14:paraId="4C05E1EB" w14:textId="77777777" w:rsidR="00841E1C" w:rsidRPr="009F7E9D" w:rsidRDefault="00841E1C" w:rsidP="00841E1C"/>
    <w:p w14:paraId="18B8E36B" w14:textId="77777777" w:rsidR="00841E1C" w:rsidRPr="009F7E9D" w:rsidRDefault="00841E1C" w:rsidP="00841E1C"/>
    <w:p w14:paraId="07F93AB2" w14:textId="77777777" w:rsidR="00841E1C" w:rsidRPr="009F7E9D" w:rsidRDefault="00841E1C" w:rsidP="00841E1C"/>
    <w:p w14:paraId="7F4D6254" w14:textId="77777777" w:rsidR="00841E1C" w:rsidRPr="009F7E9D" w:rsidRDefault="00841E1C" w:rsidP="00841E1C"/>
    <w:p w14:paraId="56C21C09" w14:textId="77777777" w:rsidR="00841E1C" w:rsidRPr="009F7E9D" w:rsidRDefault="00841E1C" w:rsidP="00841E1C"/>
    <w:p w14:paraId="6FBA7848" w14:textId="77777777" w:rsidR="00841E1C" w:rsidRPr="009F7E9D" w:rsidRDefault="00841E1C" w:rsidP="00841E1C"/>
    <w:p w14:paraId="5FA55B63" w14:textId="77777777" w:rsidR="00841E1C" w:rsidRPr="009F7E9D" w:rsidRDefault="00841E1C" w:rsidP="00841E1C"/>
    <w:p w14:paraId="65AFE145" w14:textId="77777777" w:rsidR="00841E1C" w:rsidRPr="009F7E9D" w:rsidRDefault="00841E1C" w:rsidP="00841E1C"/>
    <w:p w14:paraId="2761FB05" w14:textId="77777777" w:rsidR="00841E1C" w:rsidRPr="009F7E9D" w:rsidRDefault="00841E1C" w:rsidP="00841E1C"/>
    <w:p w14:paraId="74E7B851" w14:textId="77777777" w:rsidR="00841E1C" w:rsidRPr="009F7E9D" w:rsidRDefault="00841E1C" w:rsidP="00841E1C"/>
    <w:p w14:paraId="789702E5" w14:textId="77777777" w:rsidR="00841E1C" w:rsidRDefault="00841E1C" w:rsidP="00841E1C"/>
    <w:p w14:paraId="5456F49D" w14:textId="77777777" w:rsidR="00841E1C" w:rsidRPr="009F7E9D" w:rsidRDefault="00841E1C" w:rsidP="00841E1C"/>
    <w:p w14:paraId="26F31AC1" w14:textId="77777777" w:rsidR="00841E1C" w:rsidRPr="009F7E9D" w:rsidRDefault="00841E1C" w:rsidP="00841E1C"/>
    <w:p w14:paraId="57563148" w14:textId="77777777" w:rsidR="00841E1C" w:rsidRPr="009F7E9D" w:rsidRDefault="00841E1C" w:rsidP="00841E1C"/>
    <w:p w14:paraId="20AD88D3" w14:textId="77777777" w:rsidR="00841E1C" w:rsidRPr="009F7E9D" w:rsidRDefault="00841E1C" w:rsidP="00841E1C"/>
    <w:p w14:paraId="3C66CF2F" w14:textId="77777777" w:rsidR="00841E1C" w:rsidRPr="009F7E9D" w:rsidRDefault="00841E1C" w:rsidP="00841E1C">
      <w:pPr>
        <w:pStyle w:val="NoSpacing"/>
        <w:jc w:val="center"/>
        <w:rPr>
          <w:rFonts w:eastAsiaTheme="majorEastAsia" w:cstheme="majorBidi"/>
          <w:b/>
          <w:sz w:val="48"/>
          <w:szCs w:val="48"/>
          <w:lang w:val="en-NZ"/>
        </w:rPr>
      </w:pPr>
      <w:bookmarkStart w:id="0" w:name="_GoBack"/>
      <w:r w:rsidRPr="009F7E9D">
        <w:rPr>
          <w:rFonts w:eastAsiaTheme="majorEastAsia" w:cstheme="majorBidi"/>
          <w:b/>
          <w:sz w:val="48"/>
          <w:szCs w:val="48"/>
          <w:lang w:val="en-NZ"/>
        </w:rPr>
        <w:t xml:space="preserve">Complaints to HDC involving </w:t>
      </w:r>
    </w:p>
    <w:p w14:paraId="4F271152" w14:textId="77777777" w:rsidR="00841E1C" w:rsidRPr="009F7E9D" w:rsidRDefault="00841E1C" w:rsidP="00841E1C">
      <w:pPr>
        <w:pStyle w:val="NoSpacing"/>
        <w:jc w:val="center"/>
        <w:rPr>
          <w:rFonts w:eastAsiaTheme="majorEastAsia" w:cstheme="majorBidi"/>
          <w:b/>
          <w:sz w:val="48"/>
          <w:szCs w:val="48"/>
          <w:lang w:val="en-NZ"/>
        </w:rPr>
      </w:pPr>
      <w:r>
        <w:rPr>
          <w:rFonts w:eastAsiaTheme="majorEastAsia" w:cstheme="majorBidi"/>
          <w:b/>
          <w:sz w:val="48"/>
          <w:szCs w:val="48"/>
          <w:lang w:val="en-NZ"/>
        </w:rPr>
        <w:t>District Health Boards</w:t>
      </w:r>
    </w:p>
    <w:bookmarkEnd w:id="0"/>
    <w:p w14:paraId="28D04910" w14:textId="77777777" w:rsidR="00841E1C" w:rsidRPr="009F7E9D" w:rsidRDefault="00841E1C" w:rsidP="00841E1C">
      <w:pPr>
        <w:pStyle w:val="NoSpacing"/>
        <w:jc w:val="center"/>
        <w:rPr>
          <w:rFonts w:eastAsiaTheme="majorEastAsia" w:cstheme="majorBidi"/>
          <w:b/>
          <w:sz w:val="40"/>
          <w:szCs w:val="40"/>
          <w:lang w:val="en-NZ"/>
        </w:rPr>
      </w:pPr>
    </w:p>
    <w:p w14:paraId="7841F153" w14:textId="77777777" w:rsidR="00841E1C" w:rsidRPr="009F7E9D" w:rsidRDefault="00841E1C" w:rsidP="00841E1C">
      <w:pPr>
        <w:pStyle w:val="NoSpacing"/>
        <w:jc w:val="center"/>
        <w:rPr>
          <w:rFonts w:eastAsiaTheme="majorEastAsia" w:cstheme="majorBidi"/>
          <w:b/>
          <w:sz w:val="36"/>
          <w:szCs w:val="36"/>
          <w:lang w:val="en-NZ"/>
        </w:rPr>
      </w:pPr>
    </w:p>
    <w:p w14:paraId="14D3F245" w14:textId="77777777" w:rsidR="00841E1C" w:rsidRPr="009F7E9D" w:rsidRDefault="00841E1C" w:rsidP="00841E1C">
      <w:pPr>
        <w:pStyle w:val="NoSpacing"/>
        <w:jc w:val="center"/>
        <w:rPr>
          <w:rFonts w:eastAsiaTheme="majorEastAsia" w:cstheme="majorBidi"/>
          <w:b/>
          <w:sz w:val="32"/>
          <w:szCs w:val="32"/>
          <w:lang w:val="en-NZ"/>
        </w:rPr>
      </w:pPr>
      <w:r w:rsidRPr="009F7E9D">
        <w:rPr>
          <w:rFonts w:eastAsiaTheme="majorEastAsia" w:cstheme="majorBidi"/>
          <w:b/>
          <w:sz w:val="32"/>
          <w:szCs w:val="32"/>
          <w:lang w:val="en-NZ"/>
        </w:rPr>
        <w:t>R</w:t>
      </w:r>
      <w:r>
        <w:rPr>
          <w:rFonts w:eastAsiaTheme="majorEastAsia" w:cstheme="majorBidi"/>
          <w:b/>
          <w:sz w:val="32"/>
          <w:szCs w:val="32"/>
          <w:lang w:val="en-NZ"/>
        </w:rPr>
        <w:t>eport and Analysis for period 1 July to 31 December 2019</w:t>
      </w:r>
    </w:p>
    <w:p w14:paraId="2201F0F3" w14:textId="77777777" w:rsidR="00841E1C" w:rsidRPr="009F7E9D" w:rsidRDefault="00841E1C" w:rsidP="00841E1C">
      <w:pPr>
        <w:pStyle w:val="NoSpacing"/>
        <w:jc w:val="center"/>
        <w:rPr>
          <w:rFonts w:eastAsiaTheme="majorEastAsia" w:cstheme="majorBidi"/>
          <w:b/>
          <w:sz w:val="32"/>
          <w:szCs w:val="32"/>
          <w:lang w:val="en-NZ"/>
        </w:rPr>
      </w:pPr>
    </w:p>
    <w:p w14:paraId="3F855060" w14:textId="77777777" w:rsidR="00841E1C" w:rsidRPr="009F7E9D" w:rsidRDefault="00841E1C" w:rsidP="00841E1C">
      <w:pPr>
        <w:pStyle w:val="NoSpacing"/>
        <w:jc w:val="center"/>
        <w:rPr>
          <w:rFonts w:eastAsiaTheme="majorEastAsia" w:cstheme="majorBidi"/>
          <w:b/>
          <w:sz w:val="32"/>
          <w:szCs w:val="32"/>
          <w:lang w:val="en-NZ"/>
        </w:rPr>
      </w:pPr>
    </w:p>
    <w:p w14:paraId="78695241" w14:textId="77777777" w:rsidR="00841E1C" w:rsidRPr="009F7E9D" w:rsidRDefault="00841E1C" w:rsidP="00841E1C">
      <w:pPr>
        <w:pStyle w:val="NoSpacing"/>
        <w:jc w:val="center"/>
        <w:rPr>
          <w:rFonts w:eastAsiaTheme="majorEastAsia" w:cstheme="majorBidi"/>
          <w:b/>
          <w:sz w:val="32"/>
          <w:szCs w:val="32"/>
          <w:lang w:val="en-NZ"/>
        </w:rPr>
      </w:pPr>
    </w:p>
    <w:p w14:paraId="7B859094" w14:textId="77777777" w:rsidR="00841E1C" w:rsidRPr="009F7E9D" w:rsidRDefault="00841E1C" w:rsidP="00841E1C">
      <w:pPr>
        <w:pStyle w:val="NoSpacing"/>
        <w:jc w:val="center"/>
        <w:rPr>
          <w:rFonts w:eastAsiaTheme="majorEastAsia" w:cstheme="majorBidi"/>
          <w:b/>
          <w:sz w:val="32"/>
          <w:szCs w:val="32"/>
          <w:lang w:val="en-NZ"/>
        </w:rPr>
      </w:pPr>
    </w:p>
    <w:p w14:paraId="4E087F77" w14:textId="77777777" w:rsidR="00841E1C" w:rsidRPr="009F7E9D" w:rsidRDefault="00841E1C" w:rsidP="00841E1C">
      <w:pPr>
        <w:pStyle w:val="NoSpacing"/>
        <w:jc w:val="center"/>
        <w:rPr>
          <w:rFonts w:eastAsiaTheme="majorEastAsia" w:cstheme="majorBidi"/>
          <w:b/>
          <w:sz w:val="32"/>
          <w:szCs w:val="32"/>
          <w:lang w:val="en-NZ"/>
        </w:rPr>
      </w:pPr>
    </w:p>
    <w:p w14:paraId="370EE241" w14:textId="77777777" w:rsidR="00841E1C" w:rsidRPr="009F7E9D" w:rsidRDefault="00841E1C" w:rsidP="00841E1C">
      <w:pPr>
        <w:pStyle w:val="NoSpacing"/>
        <w:jc w:val="center"/>
        <w:rPr>
          <w:rFonts w:eastAsiaTheme="majorEastAsia" w:cstheme="majorBidi"/>
          <w:b/>
          <w:sz w:val="32"/>
          <w:szCs w:val="32"/>
          <w:lang w:val="en-NZ"/>
        </w:rPr>
      </w:pPr>
    </w:p>
    <w:p w14:paraId="510AB247" w14:textId="77777777" w:rsidR="00841E1C" w:rsidRPr="009F7E9D" w:rsidRDefault="00841E1C" w:rsidP="00841E1C">
      <w:pPr>
        <w:pStyle w:val="NoSpacing"/>
        <w:jc w:val="center"/>
        <w:rPr>
          <w:rFonts w:eastAsiaTheme="majorEastAsia" w:cstheme="majorBidi"/>
          <w:b/>
          <w:sz w:val="32"/>
          <w:szCs w:val="32"/>
          <w:lang w:val="en-NZ"/>
        </w:rPr>
      </w:pPr>
    </w:p>
    <w:p w14:paraId="22661F64" w14:textId="77777777" w:rsidR="00841E1C" w:rsidRPr="009F7E9D" w:rsidRDefault="00841E1C" w:rsidP="00841E1C">
      <w:pPr>
        <w:pStyle w:val="NoSpacing"/>
        <w:jc w:val="center"/>
        <w:rPr>
          <w:rFonts w:eastAsiaTheme="majorEastAsia" w:cstheme="majorBidi"/>
          <w:b/>
          <w:sz w:val="32"/>
          <w:szCs w:val="32"/>
          <w:lang w:val="en-NZ"/>
        </w:rPr>
      </w:pPr>
    </w:p>
    <w:p w14:paraId="42CF11C0" w14:textId="77777777" w:rsidR="00841E1C" w:rsidRPr="009F7E9D" w:rsidRDefault="00841E1C" w:rsidP="00841E1C">
      <w:pPr>
        <w:pStyle w:val="NoSpacing"/>
        <w:jc w:val="center"/>
        <w:rPr>
          <w:rFonts w:eastAsiaTheme="majorEastAsia" w:cstheme="majorBidi"/>
          <w:b/>
          <w:sz w:val="32"/>
          <w:szCs w:val="32"/>
          <w:lang w:val="en-NZ"/>
        </w:rPr>
      </w:pPr>
    </w:p>
    <w:p w14:paraId="1CE8C519" w14:textId="77777777" w:rsidR="00841E1C" w:rsidRPr="009F7E9D" w:rsidRDefault="00841E1C" w:rsidP="00841E1C">
      <w:pPr>
        <w:pStyle w:val="NoSpacing"/>
        <w:jc w:val="center"/>
        <w:rPr>
          <w:rFonts w:eastAsiaTheme="majorEastAsia" w:cstheme="majorBidi"/>
          <w:b/>
          <w:sz w:val="32"/>
          <w:szCs w:val="32"/>
          <w:lang w:val="en-NZ"/>
        </w:rPr>
      </w:pPr>
    </w:p>
    <w:p w14:paraId="28DE1B76" w14:textId="77777777" w:rsidR="00841E1C" w:rsidRPr="009F7E9D" w:rsidRDefault="00841E1C" w:rsidP="00841E1C">
      <w:pPr>
        <w:pStyle w:val="NoSpacing"/>
        <w:jc w:val="center"/>
        <w:rPr>
          <w:rFonts w:eastAsiaTheme="majorEastAsia" w:cstheme="majorBidi"/>
          <w:b/>
          <w:sz w:val="32"/>
          <w:szCs w:val="32"/>
          <w:lang w:val="en-NZ"/>
        </w:rPr>
      </w:pPr>
    </w:p>
    <w:p w14:paraId="6BD04D5D" w14:textId="77777777" w:rsidR="00841E1C" w:rsidRPr="009F7E9D" w:rsidRDefault="00841E1C" w:rsidP="00841E1C">
      <w:pPr>
        <w:pStyle w:val="NoSpacing"/>
        <w:jc w:val="center"/>
        <w:rPr>
          <w:rFonts w:eastAsiaTheme="majorEastAsia" w:cstheme="majorBidi"/>
          <w:b/>
          <w:sz w:val="32"/>
          <w:szCs w:val="32"/>
          <w:lang w:val="en-NZ"/>
        </w:rPr>
      </w:pPr>
    </w:p>
    <w:p w14:paraId="3134DE46" w14:textId="77777777" w:rsidR="00841E1C" w:rsidRPr="009F7E9D" w:rsidRDefault="00841E1C" w:rsidP="00841E1C">
      <w:pPr>
        <w:pStyle w:val="NoSpacing"/>
        <w:jc w:val="center"/>
        <w:rPr>
          <w:rFonts w:eastAsiaTheme="majorEastAsia" w:cstheme="majorBidi"/>
          <w:b/>
          <w:sz w:val="32"/>
          <w:szCs w:val="32"/>
          <w:lang w:val="en-NZ"/>
        </w:rPr>
      </w:pPr>
      <w:r>
        <w:rPr>
          <w:rFonts w:eastAsiaTheme="majorEastAsia" w:cstheme="majorBidi"/>
          <w:b/>
          <w:noProof/>
          <w:sz w:val="32"/>
          <w:szCs w:val="32"/>
          <w:lang w:val="en-NZ" w:eastAsia="en-NZ"/>
        </w:rPr>
        <w:drawing>
          <wp:anchor distT="0" distB="0" distL="114300" distR="114300" simplePos="0" relativeHeight="251657728" behindDoc="0" locked="0" layoutInCell="1" allowOverlap="1" wp14:anchorId="6AA6A18E" wp14:editId="1590A2B3">
            <wp:simplePos x="0" y="0"/>
            <wp:positionH relativeFrom="page">
              <wp:align>center</wp:align>
            </wp:positionH>
            <wp:positionV relativeFrom="paragraph">
              <wp:posOffset>975995</wp:posOffset>
            </wp:positionV>
            <wp:extent cx="1016000" cy="551815"/>
            <wp:effectExtent l="19050" t="0" r="0" b="0"/>
            <wp:wrapSquare wrapText="bothSides"/>
            <wp:docPr id="3" name="Picture 0" descr="HD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ogo-text.jpg"/>
                    <pic:cNvPicPr/>
                  </pic:nvPicPr>
                  <pic:blipFill>
                    <a:blip r:embed="rId7" cstate="print"/>
                    <a:stretch>
                      <a:fillRect/>
                    </a:stretch>
                  </pic:blipFill>
                  <pic:spPr>
                    <a:xfrm>
                      <a:off x="0" y="0"/>
                      <a:ext cx="1016000" cy="551815"/>
                    </a:xfrm>
                    <a:prstGeom prst="rect">
                      <a:avLst/>
                    </a:prstGeom>
                  </pic:spPr>
                </pic:pic>
              </a:graphicData>
            </a:graphic>
          </wp:anchor>
        </w:drawing>
      </w:r>
    </w:p>
    <w:p w14:paraId="543FF613" w14:textId="77777777" w:rsidR="00841E1C" w:rsidRDefault="00841E1C" w:rsidP="00841E1C">
      <w:pPr>
        <w:jc w:val="center"/>
        <w:sectPr w:rsidR="00841E1C" w:rsidSect="00841E1C">
          <w:headerReference w:type="even" r:id="rId8"/>
          <w:headerReference w:type="default" r:id="rId9"/>
          <w:footerReference w:type="even" r:id="rId10"/>
          <w:footerReference w:type="default" r:id="rId11"/>
          <w:headerReference w:type="first" r:id="rId12"/>
          <w:footerReference w:type="first" r:id="rId13"/>
          <w:pgSz w:w="11906" w:h="16838" w:code="9"/>
          <w:pgMar w:top="1140" w:right="1412" w:bottom="851" w:left="1412" w:header="720" w:footer="590" w:gutter="0"/>
          <w:cols w:space="720"/>
          <w:titlePg/>
          <w:docGrid w:linePitch="360"/>
        </w:sectPr>
      </w:pPr>
    </w:p>
    <w:p w14:paraId="34D01E28" w14:textId="3DBC1E22" w:rsidR="00841E1C" w:rsidRDefault="00841E1C" w:rsidP="00841E1C"/>
    <w:p w14:paraId="6C7462A3" w14:textId="77777777" w:rsidR="00ED7A15" w:rsidRDefault="00ED7A15" w:rsidP="00ED7A15">
      <w:pPr>
        <w:rPr>
          <w:b/>
          <w:szCs w:val="22"/>
        </w:rPr>
      </w:pPr>
    </w:p>
    <w:p w14:paraId="353A213D" w14:textId="77777777" w:rsidR="00ED7A15" w:rsidRDefault="00ED7A15" w:rsidP="00ED7A15">
      <w:pPr>
        <w:rPr>
          <w:b/>
          <w:szCs w:val="22"/>
        </w:rPr>
      </w:pPr>
    </w:p>
    <w:p w14:paraId="0B151149" w14:textId="77777777" w:rsidR="00ED7A15" w:rsidRDefault="00ED7A15" w:rsidP="00ED7A15">
      <w:pPr>
        <w:rPr>
          <w:b/>
          <w:szCs w:val="22"/>
        </w:rPr>
      </w:pPr>
    </w:p>
    <w:p w14:paraId="66406ABA" w14:textId="77777777" w:rsidR="00ED7A15" w:rsidRDefault="00ED7A15" w:rsidP="00ED7A15">
      <w:pPr>
        <w:rPr>
          <w:b/>
          <w:szCs w:val="22"/>
        </w:rPr>
      </w:pPr>
    </w:p>
    <w:p w14:paraId="75466DDE" w14:textId="77777777" w:rsidR="00ED7A15" w:rsidRDefault="00ED7A15" w:rsidP="00ED7A15">
      <w:pPr>
        <w:rPr>
          <w:b/>
          <w:szCs w:val="22"/>
        </w:rPr>
      </w:pPr>
    </w:p>
    <w:p w14:paraId="3ED02641" w14:textId="77777777" w:rsidR="00ED7A15" w:rsidRDefault="00ED7A15" w:rsidP="00ED7A15">
      <w:pPr>
        <w:rPr>
          <w:b/>
          <w:szCs w:val="22"/>
        </w:rPr>
      </w:pPr>
    </w:p>
    <w:p w14:paraId="2601F040" w14:textId="77777777" w:rsidR="00ED7A15" w:rsidRDefault="00ED7A15" w:rsidP="00ED7A15">
      <w:pPr>
        <w:rPr>
          <w:b/>
          <w:szCs w:val="22"/>
        </w:rPr>
      </w:pPr>
    </w:p>
    <w:p w14:paraId="1C2BA71C" w14:textId="77777777" w:rsidR="00ED7A15" w:rsidRDefault="00ED7A15" w:rsidP="00ED7A15">
      <w:pPr>
        <w:rPr>
          <w:b/>
          <w:szCs w:val="22"/>
        </w:rPr>
      </w:pPr>
    </w:p>
    <w:p w14:paraId="640E9F84" w14:textId="77777777" w:rsidR="00ED7A15" w:rsidRDefault="00ED7A15" w:rsidP="00ED7A15">
      <w:pPr>
        <w:rPr>
          <w:b/>
          <w:szCs w:val="22"/>
        </w:rPr>
      </w:pPr>
    </w:p>
    <w:p w14:paraId="4F3BB2B2" w14:textId="77777777" w:rsidR="00ED7A15" w:rsidRDefault="00ED7A15" w:rsidP="00ED7A15">
      <w:pPr>
        <w:rPr>
          <w:b/>
          <w:szCs w:val="22"/>
        </w:rPr>
      </w:pPr>
    </w:p>
    <w:p w14:paraId="6C04BDE8" w14:textId="77777777" w:rsidR="00ED7A15" w:rsidRDefault="00ED7A15" w:rsidP="00ED7A15">
      <w:pPr>
        <w:rPr>
          <w:b/>
          <w:szCs w:val="22"/>
        </w:rPr>
      </w:pPr>
    </w:p>
    <w:p w14:paraId="5FB71A8F" w14:textId="77777777" w:rsidR="00ED7A15" w:rsidRDefault="00ED7A15" w:rsidP="00ED7A15">
      <w:pPr>
        <w:rPr>
          <w:b/>
          <w:szCs w:val="22"/>
        </w:rPr>
      </w:pPr>
    </w:p>
    <w:p w14:paraId="4D17B2C3" w14:textId="77777777" w:rsidR="00ED7A15" w:rsidRDefault="00ED7A15" w:rsidP="00ED7A15">
      <w:pPr>
        <w:rPr>
          <w:b/>
          <w:szCs w:val="22"/>
        </w:rPr>
      </w:pPr>
    </w:p>
    <w:p w14:paraId="0E6D7660" w14:textId="77777777" w:rsidR="00ED7A15" w:rsidRDefault="00ED7A15" w:rsidP="00ED7A15">
      <w:pPr>
        <w:rPr>
          <w:b/>
          <w:szCs w:val="22"/>
        </w:rPr>
      </w:pPr>
    </w:p>
    <w:p w14:paraId="27141491" w14:textId="77777777" w:rsidR="00ED7A15" w:rsidRDefault="00ED7A15" w:rsidP="00ED7A15">
      <w:pPr>
        <w:rPr>
          <w:b/>
          <w:szCs w:val="22"/>
        </w:rPr>
      </w:pPr>
    </w:p>
    <w:p w14:paraId="051EFDEA" w14:textId="77777777" w:rsidR="00ED7A15" w:rsidRDefault="00ED7A15" w:rsidP="00ED7A15">
      <w:pPr>
        <w:rPr>
          <w:b/>
          <w:szCs w:val="22"/>
        </w:rPr>
      </w:pPr>
    </w:p>
    <w:p w14:paraId="3CCBD2EA" w14:textId="77777777" w:rsidR="00ED7A15" w:rsidRDefault="00ED7A15" w:rsidP="00ED7A15">
      <w:pPr>
        <w:rPr>
          <w:b/>
          <w:szCs w:val="22"/>
        </w:rPr>
      </w:pPr>
    </w:p>
    <w:p w14:paraId="7E6B8318" w14:textId="77777777" w:rsidR="00ED7A15" w:rsidRDefault="00ED7A15" w:rsidP="00ED7A15">
      <w:pPr>
        <w:rPr>
          <w:b/>
          <w:szCs w:val="22"/>
        </w:rPr>
      </w:pPr>
    </w:p>
    <w:p w14:paraId="434D607C" w14:textId="77777777" w:rsidR="00ED7A15" w:rsidRDefault="00ED7A15" w:rsidP="00ED7A15">
      <w:pPr>
        <w:rPr>
          <w:b/>
          <w:szCs w:val="22"/>
        </w:rPr>
      </w:pPr>
    </w:p>
    <w:p w14:paraId="381825EE" w14:textId="77777777" w:rsidR="00ED7A15" w:rsidRDefault="00ED7A15" w:rsidP="00ED7A15">
      <w:pPr>
        <w:rPr>
          <w:b/>
          <w:szCs w:val="22"/>
        </w:rPr>
      </w:pPr>
    </w:p>
    <w:p w14:paraId="279F27C5" w14:textId="77777777" w:rsidR="00ED7A15" w:rsidRDefault="00ED7A15" w:rsidP="00ED7A15">
      <w:pPr>
        <w:rPr>
          <w:b/>
          <w:szCs w:val="22"/>
        </w:rPr>
      </w:pPr>
    </w:p>
    <w:p w14:paraId="73E93CAA" w14:textId="77777777" w:rsidR="00ED7A15" w:rsidRDefault="00ED7A15" w:rsidP="00ED7A15">
      <w:pPr>
        <w:rPr>
          <w:b/>
          <w:szCs w:val="22"/>
        </w:rPr>
      </w:pPr>
    </w:p>
    <w:p w14:paraId="22D61F6A" w14:textId="77777777" w:rsidR="00ED7A15" w:rsidRDefault="00ED7A15" w:rsidP="00ED7A15">
      <w:pPr>
        <w:rPr>
          <w:b/>
          <w:szCs w:val="22"/>
        </w:rPr>
      </w:pPr>
    </w:p>
    <w:p w14:paraId="43A8623A" w14:textId="77777777" w:rsidR="00ED7A15" w:rsidRDefault="00ED7A15" w:rsidP="00ED7A15">
      <w:pPr>
        <w:rPr>
          <w:b/>
          <w:szCs w:val="22"/>
        </w:rPr>
      </w:pPr>
    </w:p>
    <w:p w14:paraId="313BF9C2" w14:textId="77777777" w:rsidR="00ED7A15" w:rsidRDefault="00ED7A15" w:rsidP="00ED7A15">
      <w:pPr>
        <w:rPr>
          <w:b/>
          <w:szCs w:val="22"/>
        </w:rPr>
      </w:pPr>
    </w:p>
    <w:p w14:paraId="674D1D59" w14:textId="77777777" w:rsidR="00ED7A15" w:rsidRDefault="00ED7A15" w:rsidP="00ED7A15">
      <w:pPr>
        <w:rPr>
          <w:b/>
          <w:szCs w:val="22"/>
        </w:rPr>
      </w:pPr>
    </w:p>
    <w:p w14:paraId="0597288C" w14:textId="77777777" w:rsidR="00ED7A15" w:rsidRDefault="00ED7A15" w:rsidP="00ED7A15">
      <w:pPr>
        <w:rPr>
          <w:b/>
          <w:szCs w:val="22"/>
        </w:rPr>
      </w:pPr>
    </w:p>
    <w:p w14:paraId="482FCC22" w14:textId="77777777" w:rsidR="00ED7A15" w:rsidRDefault="00ED7A15" w:rsidP="00ED7A15">
      <w:pPr>
        <w:rPr>
          <w:b/>
          <w:szCs w:val="22"/>
        </w:rPr>
      </w:pPr>
    </w:p>
    <w:p w14:paraId="454963BE" w14:textId="77777777" w:rsidR="00ED7A15" w:rsidRDefault="00ED7A15" w:rsidP="00ED7A15">
      <w:pPr>
        <w:rPr>
          <w:b/>
          <w:szCs w:val="22"/>
        </w:rPr>
      </w:pPr>
    </w:p>
    <w:p w14:paraId="0A6653BD" w14:textId="77777777" w:rsidR="00ED7A15" w:rsidRDefault="00ED7A15" w:rsidP="00ED7A15">
      <w:pPr>
        <w:rPr>
          <w:b/>
          <w:szCs w:val="22"/>
        </w:rPr>
      </w:pPr>
    </w:p>
    <w:p w14:paraId="35ABC4A9" w14:textId="77777777" w:rsidR="00ED7A15" w:rsidRDefault="00ED7A15" w:rsidP="00ED7A15">
      <w:pPr>
        <w:rPr>
          <w:b/>
          <w:szCs w:val="22"/>
        </w:rPr>
      </w:pPr>
    </w:p>
    <w:p w14:paraId="4F366EDE" w14:textId="77777777" w:rsidR="00ED7A15" w:rsidRDefault="00ED7A15" w:rsidP="00ED7A15">
      <w:pPr>
        <w:rPr>
          <w:b/>
          <w:szCs w:val="22"/>
        </w:rPr>
      </w:pPr>
    </w:p>
    <w:p w14:paraId="4982ABD6" w14:textId="77777777" w:rsidR="00ED7A15" w:rsidRDefault="00ED7A15" w:rsidP="00ED7A15">
      <w:pPr>
        <w:rPr>
          <w:b/>
          <w:szCs w:val="22"/>
        </w:rPr>
      </w:pPr>
    </w:p>
    <w:p w14:paraId="3D93AB9D" w14:textId="76482A10" w:rsidR="00ED7A15" w:rsidRPr="00ED7A15" w:rsidRDefault="00ED7A15" w:rsidP="00ED7A15">
      <w:pPr>
        <w:rPr>
          <w:b/>
          <w:szCs w:val="22"/>
        </w:rPr>
      </w:pPr>
      <w:r w:rsidRPr="00666BAC">
        <w:rPr>
          <w:b/>
          <w:szCs w:val="22"/>
        </w:rPr>
        <w:t>Feedback</w:t>
      </w:r>
    </w:p>
    <w:p w14:paraId="652B87F7" w14:textId="4113F204" w:rsidR="00ED7A15" w:rsidRPr="00ED7A15" w:rsidRDefault="00ED7A15" w:rsidP="00ED7A15">
      <w:pPr>
        <w:jc w:val="left"/>
        <w:rPr>
          <w:szCs w:val="22"/>
        </w:rPr>
      </w:pPr>
      <w:r w:rsidRPr="00ED7A15">
        <w:rPr>
          <w:szCs w:val="22"/>
        </w:rPr>
        <w:t>We welcome your feedback on this report. Please contact L</w:t>
      </w:r>
      <w:r w:rsidRPr="00ED7A15">
        <w:rPr>
          <w:rFonts w:cs="Arial"/>
          <w:szCs w:val="22"/>
        </w:rPr>
        <w:t>é</w:t>
      </w:r>
      <w:r>
        <w:rPr>
          <w:szCs w:val="22"/>
        </w:rPr>
        <w:t xml:space="preserve">onie Walker </w:t>
      </w:r>
      <w:r w:rsidRPr="00ED7A15">
        <w:rPr>
          <w:szCs w:val="22"/>
        </w:rPr>
        <w:t>at hdc@hdc.org.nz</w:t>
      </w:r>
    </w:p>
    <w:p w14:paraId="520BF814" w14:textId="77777777" w:rsidR="00ED7A15" w:rsidRPr="00ED7A15" w:rsidRDefault="00ED7A15" w:rsidP="00ED7A15">
      <w:pPr>
        <w:jc w:val="left"/>
        <w:rPr>
          <w:szCs w:val="22"/>
        </w:rPr>
      </w:pPr>
    </w:p>
    <w:p w14:paraId="3038FFF1" w14:textId="35385D38" w:rsidR="00ED7A15" w:rsidRPr="00ED7A15" w:rsidRDefault="00ED7A15" w:rsidP="00ED7A15">
      <w:pPr>
        <w:jc w:val="left"/>
        <w:rPr>
          <w:b/>
          <w:szCs w:val="22"/>
        </w:rPr>
      </w:pPr>
      <w:r w:rsidRPr="00ED7A15">
        <w:rPr>
          <w:b/>
          <w:szCs w:val="22"/>
        </w:rPr>
        <w:t>Author</w:t>
      </w:r>
      <w:r>
        <w:rPr>
          <w:b/>
          <w:szCs w:val="22"/>
        </w:rPr>
        <w:t>s</w:t>
      </w:r>
    </w:p>
    <w:p w14:paraId="3BA20337" w14:textId="2924B21E" w:rsidR="006D0558" w:rsidRPr="00ED7A15" w:rsidRDefault="00ED7A15" w:rsidP="006D0558">
      <w:pPr>
        <w:jc w:val="left"/>
        <w:rPr>
          <w:szCs w:val="22"/>
        </w:rPr>
      </w:pPr>
      <w:r w:rsidRPr="00ED7A15">
        <w:rPr>
          <w:szCs w:val="22"/>
        </w:rPr>
        <w:t xml:space="preserve">This report was prepared by </w:t>
      </w:r>
      <w:r w:rsidR="00681BC2">
        <w:rPr>
          <w:szCs w:val="22"/>
        </w:rPr>
        <w:t xml:space="preserve">Dr </w:t>
      </w:r>
      <w:r w:rsidRPr="00ED7A15">
        <w:rPr>
          <w:szCs w:val="22"/>
        </w:rPr>
        <w:t>L</w:t>
      </w:r>
      <w:r w:rsidRPr="00ED7A15">
        <w:rPr>
          <w:rFonts w:cs="Arial"/>
          <w:szCs w:val="22"/>
        </w:rPr>
        <w:t>é</w:t>
      </w:r>
      <w:r>
        <w:rPr>
          <w:szCs w:val="22"/>
        </w:rPr>
        <w:t xml:space="preserve">onie Walker </w:t>
      </w:r>
      <w:r w:rsidR="006D0558" w:rsidRPr="00ED7A15">
        <w:rPr>
          <w:szCs w:val="22"/>
        </w:rPr>
        <w:t>(</w:t>
      </w:r>
      <w:r w:rsidR="006D0558">
        <w:rPr>
          <w:szCs w:val="22"/>
        </w:rPr>
        <w:t>Senior</w:t>
      </w:r>
      <w:r w:rsidR="006D0558" w:rsidRPr="00ED7A15">
        <w:rPr>
          <w:szCs w:val="22"/>
        </w:rPr>
        <w:t xml:space="preserve"> Ad</w:t>
      </w:r>
      <w:r w:rsidR="006D0558">
        <w:rPr>
          <w:szCs w:val="22"/>
        </w:rPr>
        <w:t>visor — Research and Education)</w:t>
      </w:r>
    </w:p>
    <w:p w14:paraId="15BF90E0" w14:textId="12FBFCC7" w:rsidR="00ED7A15" w:rsidRPr="00ED7A15" w:rsidRDefault="00ED7A15" w:rsidP="00ED7A15">
      <w:pPr>
        <w:jc w:val="left"/>
        <w:rPr>
          <w:szCs w:val="22"/>
        </w:rPr>
      </w:pPr>
      <w:r w:rsidRPr="00ED7A15">
        <w:rPr>
          <w:szCs w:val="22"/>
        </w:rPr>
        <w:t>and Natasha Davidson (Principal Advisor — Research and Education).</w:t>
      </w:r>
    </w:p>
    <w:p w14:paraId="7125B06C" w14:textId="77777777" w:rsidR="00ED7A15" w:rsidRPr="00ED7A15" w:rsidRDefault="00ED7A15" w:rsidP="00ED7A15">
      <w:pPr>
        <w:jc w:val="left"/>
        <w:rPr>
          <w:szCs w:val="22"/>
        </w:rPr>
      </w:pPr>
    </w:p>
    <w:p w14:paraId="4DEE1146" w14:textId="0C7B59F3" w:rsidR="00ED7A15" w:rsidRPr="00666BAC" w:rsidRDefault="00ED7A15" w:rsidP="00ED7A15">
      <w:pPr>
        <w:jc w:val="left"/>
        <w:rPr>
          <w:i/>
          <w:szCs w:val="22"/>
        </w:rPr>
      </w:pPr>
      <w:r w:rsidRPr="00ED7A15">
        <w:rPr>
          <w:szCs w:val="22"/>
        </w:rPr>
        <w:t>Citation: The Health and Disability Commissioner</w:t>
      </w:r>
      <w:r>
        <w:rPr>
          <w:szCs w:val="22"/>
        </w:rPr>
        <w:t>. 2019</w:t>
      </w:r>
      <w:r w:rsidRPr="00666BAC">
        <w:rPr>
          <w:szCs w:val="22"/>
        </w:rPr>
        <w:t xml:space="preserve">. </w:t>
      </w:r>
      <w:r w:rsidRPr="00666BAC">
        <w:rPr>
          <w:i/>
          <w:szCs w:val="22"/>
        </w:rPr>
        <w:t xml:space="preserve">Complaints to the Health and Disability Commissioner involving District Health Boards: </w:t>
      </w:r>
      <w:r>
        <w:rPr>
          <w:i/>
          <w:szCs w:val="22"/>
        </w:rPr>
        <w:t>Report and Analysis for the period 1 July to 31 December 2019.</w:t>
      </w:r>
    </w:p>
    <w:p w14:paraId="411995F4" w14:textId="77777777" w:rsidR="00ED7A15" w:rsidRPr="00666BAC" w:rsidRDefault="00ED7A15" w:rsidP="00ED7A15">
      <w:pPr>
        <w:jc w:val="left"/>
        <w:rPr>
          <w:szCs w:val="22"/>
        </w:rPr>
      </w:pPr>
    </w:p>
    <w:p w14:paraId="0D9A7E39" w14:textId="761621E4" w:rsidR="00ED7A15" w:rsidRPr="00666BAC" w:rsidRDefault="00ED7A15" w:rsidP="00ED7A15">
      <w:pPr>
        <w:jc w:val="left"/>
        <w:rPr>
          <w:szCs w:val="22"/>
        </w:rPr>
      </w:pPr>
      <w:r>
        <w:rPr>
          <w:szCs w:val="22"/>
        </w:rPr>
        <w:t xml:space="preserve">Published in </w:t>
      </w:r>
      <w:r w:rsidR="00681BC2">
        <w:rPr>
          <w:szCs w:val="22"/>
        </w:rPr>
        <w:t>June</w:t>
      </w:r>
      <w:r w:rsidR="002D7A73">
        <w:rPr>
          <w:szCs w:val="22"/>
        </w:rPr>
        <w:t xml:space="preserve"> 2020</w:t>
      </w:r>
    </w:p>
    <w:p w14:paraId="7AE8F63E" w14:textId="77777777" w:rsidR="00ED7A15" w:rsidRPr="00666BAC" w:rsidRDefault="00ED7A15" w:rsidP="00ED7A15">
      <w:pPr>
        <w:jc w:val="left"/>
        <w:rPr>
          <w:szCs w:val="22"/>
        </w:rPr>
      </w:pPr>
      <w:r w:rsidRPr="00666BAC">
        <w:rPr>
          <w:szCs w:val="22"/>
        </w:rPr>
        <w:t>by the Health and Disability Commissioner</w:t>
      </w:r>
    </w:p>
    <w:p w14:paraId="563BA8CD" w14:textId="77777777" w:rsidR="00ED7A15" w:rsidRPr="00666BAC" w:rsidRDefault="00ED7A15" w:rsidP="00ED7A15">
      <w:pPr>
        <w:jc w:val="left"/>
        <w:rPr>
          <w:szCs w:val="22"/>
        </w:rPr>
      </w:pPr>
      <w:r w:rsidRPr="00666BAC">
        <w:rPr>
          <w:szCs w:val="22"/>
        </w:rPr>
        <w:t>PO Box 1791, Auckland 1140</w:t>
      </w:r>
    </w:p>
    <w:p w14:paraId="49C7991D" w14:textId="77777777" w:rsidR="00ED7A15" w:rsidRPr="00666BAC" w:rsidRDefault="00ED7A15" w:rsidP="00ED7A15">
      <w:pPr>
        <w:jc w:val="left"/>
        <w:rPr>
          <w:b/>
          <w:szCs w:val="22"/>
        </w:rPr>
      </w:pPr>
    </w:p>
    <w:p w14:paraId="0949C2CF" w14:textId="3626A5B6" w:rsidR="00ED7A15" w:rsidRPr="00666BAC" w:rsidRDefault="00ED7A15" w:rsidP="00ED7A15">
      <w:pPr>
        <w:jc w:val="left"/>
        <w:rPr>
          <w:szCs w:val="22"/>
        </w:rPr>
      </w:pPr>
      <w:r>
        <w:rPr>
          <w:szCs w:val="22"/>
        </w:rPr>
        <w:t>©2019</w:t>
      </w:r>
      <w:r w:rsidRPr="00666BAC">
        <w:rPr>
          <w:szCs w:val="22"/>
        </w:rPr>
        <w:t xml:space="preserve"> The Health and Disability Commissioner</w:t>
      </w:r>
    </w:p>
    <w:p w14:paraId="6DC3276F" w14:textId="77777777" w:rsidR="00ED7A15" w:rsidRPr="00666BAC" w:rsidRDefault="00ED7A15" w:rsidP="00ED7A15">
      <w:pPr>
        <w:jc w:val="left"/>
        <w:rPr>
          <w:b/>
          <w:szCs w:val="22"/>
        </w:rPr>
      </w:pPr>
    </w:p>
    <w:p w14:paraId="72CCBBEA" w14:textId="77777777" w:rsidR="00ED7A15" w:rsidRPr="00666BAC" w:rsidRDefault="00ED7A15" w:rsidP="00ED7A15">
      <w:pPr>
        <w:jc w:val="left"/>
        <w:rPr>
          <w:b/>
          <w:szCs w:val="22"/>
        </w:rPr>
        <w:sectPr w:rsidR="00ED7A15" w:rsidRPr="00666BAC" w:rsidSect="00ED7A15">
          <w:pgSz w:w="11906" w:h="16838" w:code="9"/>
          <w:pgMar w:top="1140" w:right="1412" w:bottom="851" w:left="1412" w:header="720" w:footer="590" w:gutter="0"/>
          <w:pgNumType w:start="0"/>
          <w:cols w:space="720"/>
          <w:titlePg/>
          <w:docGrid w:linePitch="360"/>
        </w:sectPr>
      </w:pPr>
      <w:r w:rsidRPr="00666BAC">
        <w:rPr>
          <w:szCs w:val="22"/>
        </w:rPr>
        <w:t>This report is available on our website at www.hdc.org.nz</w:t>
      </w:r>
    </w:p>
    <w:p w14:paraId="2F21A38C" w14:textId="77777777" w:rsidR="00841E1C" w:rsidRDefault="00841E1C" w:rsidP="00841E1C">
      <w:pPr>
        <w:jc w:val="center"/>
        <w:rPr>
          <w:b/>
          <w:color w:val="000000" w:themeColor="text1"/>
          <w:sz w:val="32"/>
          <w:szCs w:val="32"/>
        </w:rPr>
      </w:pPr>
      <w:r>
        <w:rPr>
          <w:b/>
          <w:color w:val="000000" w:themeColor="text1"/>
          <w:sz w:val="32"/>
          <w:szCs w:val="32"/>
        </w:rPr>
        <w:lastRenderedPageBreak/>
        <w:t>Contents</w:t>
      </w:r>
    </w:p>
    <w:p w14:paraId="388C027C" w14:textId="77777777" w:rsidR="00841E1C" w:rsidRDefault="00841E1C" w:rsidP="00841E1C">
      <w:pPr>
        <w:jc w:val="center"/>
        <w:rPr>
          <w:b/>
          <w:color w:val="000000" w:themeColor="text1"/>
          <w:sz w:val="32"/>
          <w:szCs w:val="32"/>
        </w:rPr>
      </w:pPr>
    </w:p>
    <w:p w14:paraId="1C66E3FB" w14:textId="7EC4DDF8" w:rsidR="00ED7A15" w:rsidRDefault="00841E1C" w:rsidP="00ED7A15">
      <w:pPr>
        <w:pStyle w:val="TOC1"/>
        <w:tabs>
          <w:tab w:val="right" w:leader="dot" w:pos="9072"/>
        </w:tabs>
        <w:rPr>
          <w:rFonts w:eastAsiaTheme="minorEastAsia" w:cstheme="minorBidi"/>
          <w:b w:val="0"/>
          <w:noProof/>
          <w:sz w:val="22"/>
          <w:szCs w:val="22"/>
          <w:lang w:eastAsia="en-NZ" w:bidi="ar-SA"/>
        </w:rPr>
      </w:pPr>
      <w:r>
        <w:rPr>
          <w:b w:val="0"/>
          <w:color w:val="000000" w:themeColor="text1"/>
          <w:sz w:val="32"/>
          <w:szCs w:val="32"/>
        </w:rPr>
        <w:fldChar w:fldCharType="begin"/>
      </w:r>
      <w:r>
        <w:rPr>
          <w:b w:val="0"/>
          <w:color w:val="000000" w:themeColor="text1"/>
          <w:sz w:val="32"/>
          <w:szCs w:val="32"/>
        </w:rPr>
        <w:instrText xml:space="preserve"> TOC \o "2-3" \h \z \t "Heading 1,1" </w:instrText>
      </w:r>
      <w:r>
        <w:rPr>
          <w:b w:val="0"/>
          <w:color w:val="000000" w:themeColor="text1"/>
          <w:sz w:val="32"/>
          <w:szCs w:val="32"/>
        </w:rPr>
        <w:fldChar w:fldCharType="separate"/>
      </w:r>
      <w:hyperlink w:anchor="_Toc39138040" w:history="1">
        <w:r w:rsidR="00ED7A15" w:rsidRPr="00C33C5D">
          <w:rPr>
            <w:rStyle w:val="Hyperlink"/>
            <w:noProof/>
          </w:rPr>
          <w:t>Commissioner’s Foreword</w:t>
        </w:r>
        <w:r w:rsidR="00ED7A15">
          <w:rPr>
            <w:noProof/>
            <w:webHidden/>
          </w:rPr>
          <w:tab/>
        </w:r>
        <w:r w:rsidR="00ED7A15">
          <w:rPr>
            <w:noProof/>
            <w:webHidden/>
          </w:rPr>
          <w:fldChar w:fldCharType="begin"/>
        </w:r>
        <w:r w:rsidR="00ED7A15">
          <w:rPr>
            <w:noProof/>
            <w:webHidden/>
          </w:rPr>
          <w:instrText xml:space="preserve"> PAGEREF _Toc39138040 \h </w:instrText>
        </w:r>
        <w:r w:rsidR="00ED7A15">
          <w:rPr>
            <w:noProof/>
            <w:webHidden/>
          </w:rPr>
        </w:r>
        <w:r w:rsidR="00ED7A15">
          <w:rPr>
            <w:noProof/>
            <w:webHidden/>
          </w:rPr>
          <w:fldChar w:fldCharType="separate"/>
        </w:r>
        <w:r w:rsidR="001A7A8B">
          <w:rPr>
            <w:noProof/>
            <w:webHidden/>
          </w:rPr>
          <w:t>2</w:t>
        </w:r>
        <w:r w:rsidR="00ED7A15">
          <w:rPr>
            <w:noProof/>
            <w:webHidden/>
          </w:rPr>
          <w:fldChar w:fldCharType="end"/>
        </w:r>
      </w:hyperlink>
    </w:p>
    <w:p w14:paraId="3244E362" w14:textId="346B3424" w:rsidR="00ED7A15" w:rsidRDefault="001A7A8B" w:rsidP="00ED7A15">
      <w:pPr>
        <w:pStyle w:val="TOC1"/>
        <w:tabs>
          <w:tab w:val="right" w:leader="dot" w:pos="9072"/>
        </w:tabs>
        <w:rPr>
          <w:rFonts w:eastAsiaTheme="minorEastAsia" w:cstheme="minorBidi"/>
          <w:b w:val="0"/>
          <w:noProof/>
          <w:sz w:val="22"/>
          <w:szCs w:val="22"/>
          <w:lang w:eastAsia="en-NZ" w:bidi="ar-SA"/>
        </w:rPr>
      </w:pPr>
      <w:hyperlink w:anchor="_Toc39138041" w:history="1">
        <w:r w:rsidR="00ED7A15" w:rsidRPr="00C33C5D">
          <w:rPr>
            <w:rStyle w:val="Hyperlink"/>
            <w:noProof/>
          </w:rPr>
          <w:t>National Data for all District Health Boards</w:t>
        </w:r>
        <w:r w:rsidR="00ED7A15">
          <w:rPr>
            <w:noProof/>
            <w:webHidden/>
          </w:rPr>
          <w:tab/>
        </w:r>
        <w:r w:rsidR="00ED7A15">
          <w:rPr>
            <w:noProof/>
            <w:webHidden/>
          </w:rPr>
          <w:fldChar w:fldCharType="begin"/>
        </w:r>
        <w:r w:rsidR="00ED7A15">
          <w:rPr>
            <w:noProof/>
            <w:webHidden/>
          </w:rPr>
          <w:instrText xml:space="preserve"> PAGEREF _Toc39138041 \h </w:instrText>
        </w:r>
        <w:r w:rsidR="00ED7A15">
          <w:rPr>
            <w:noProof/>
            <w:webHidden/>
          </w:rPr>
        </w:r>
        <w:r w:rsidR="00ED7A15">
          <w:rPr>
            <w:noProof/>
            <w:webHidden/>
          </w:rPr>
          <w:fldChar w:fldCharType="separate"/>
        </w:r>
        <w:r>
          <w:rPr>
            <w:noProof/>
            <w:webHidden/>
          </w:rPr>
          <w:t>3</w:t>
        </w:r>
        <w:r w:rsidR="00ED7A15">
          <w:rPr>
            <w:noProof/>
            <w:webHidden/>
          </w:rPr>
          <w:fldChar w:fldCharType="end"/>
        </w:r>
      </w:hyperlink>
    </w:p>
    <w:p w14:paraId="17D40038" w14:textId="3F8EA34D" w:rsidR="00ED7A15" w:rsidRDefault="001A7A8B" w:rsidP="00ED7A15">
      <w:pPr>
        <w:pStyle w:val="TOC2"/>
        <w:tabs>
          <w:tab w:val="left" w:pos="880"/>
          <w:tab w:val="right" w:leader="dot" w:pos="9072"/>
        </w:tabs>
        <w:rPr>
          <w:rFonts w:eastAsiaTheme="minorEastAsia" w:cstheme="minorBidi"/>
          <w:b w:val="0"/>
          <w:noProof/>
          <w:lang w:eastAsia="en-NZ" w:bidi="ar-SA"/>
        </w:rPr>
      </w:pPr>
      <w:hyperlink w:anchor="_Toc39138042" w:history="1">
        <w:r w:rsidR="00ED7A15" w:rsidRPr="00C33C5D">
          <w:rPr>
            <w:rStyle w:val="Hyperlink"/>
            <w:noProof/>
          </w:rPr>
          <w:t>1.0</w:t>
        </w:r>
        <w:r w:rsidR="00ED7A15">
          <w:rPr>
            <w:rFonts w:eastAsiaTheme="minorEastAsia" w:cstheme="minorBidi"/>
            <w:b w:val="0"/>
            <w:noProof/>
            <w:lang w:eastAsia="en-NZ" w:bidi="ar-SA"/>
          </w:rPr>
          <w:tab/>
        </w:r>
        <w:r w:rsidR="00ED7A15" w:rsidRPr="00C33C5D">
          <w:rPr>
            <w:rStyle w:val="Hyperlink"/>
            <w:noProof/>
          </w:rPr>
          <w:t>Number of complaints received</w:t>
        </w:r>
        <w:r w:rsidR="00ED7A15">
          <w:rPr>
            <w:noProof/>
            <w:webHidden/>
          </w:rPr>
          <w:tab/>
        </w:r>
        <w:r w:rsidR="00ED7A15">
          <w:rPr>
            <w:noProof/>
            <w:webHidden/>
          </w:rPr>
          <w:fldChar w:fldCharType="begin"/>
        </w:r>
        <w:r w:rsidR="00ED7A15">
          <w:rPr>
            <w:noProof/>
            <w:webHidden/>
          </w:rPr>
          <w:instrText xml:space="preserve"> PAGEREF _Toc39138042 \h </w:instrText>
        </w:r>
        <w:r w:rsidR="00ED7A15">
          <w:rPr>
            <w:noProof/>
            <w:webHidden/>
          </w:rPr>
        </w:r>
        <w:r w:rsidR="00ED7A15">
          <w:rPr>
            <w:noProof/>
            <w:webHidden/>
          </w:rPr>
          <w:fldChar w:fldCharType="separate"/>
        </w:r>
        <w:r>
          <w:rPr>
            <w:noProof/>
            <w:webHidden/>
          </w:rPr>
          <w:t>3</w:t>
        </w:r>
        <w:r w:rsidR="00ED7A15">
          <w:rPr>
            <w:noProof/>
            <w:webHidden/>
          </w:rPr>
          <w:fldChar w:fldCharType="end"/>
        </w:r>
      </w:hyperlink>
    </w:p>
    <w:p w14:paraId="3B19211C" w14:textId="6539E1C8" w:rsidR="00ED7A15" w:rsidRDefault="001A7A8B" w:rsidP="00ED7A15">
      <w:pPr>
        <w:pStyle w:val="TOC3"/>
        <w:spacing w:line="240" w:lineRule="auto"/>
        <w:rPr>
          <w:rFonts w:eastAsiaTheme="minorEastAsia" w:cstheme="minorBidi"/>
          <w:noProof/>
          <w:lang w:eastAsia="en-NZ" w:bidi="ar-SA"/>
        </w:rPr>
      </w:pPr>
      <w:hyperlink w:anchor="_Toc39138043" w:history="1">
        <w:r w:rsidR="00ED7A15" w:rsidRPr="00C33C5D">
          <w:rPr>
            <w:rStyle w:val="Hyperlink"/>
            <w:noProof/>
          </w:rPr>
          <w:t xml:space="preserve">1.1 </w:t>
        </w:r>
        <w:r w:rsidR="00ED7A15">
          <w:rPr>
            <w:rFonts w:eastAsiaTheme="minorEastAsia" w:cstheme="minorBidi"/>
            <w:noProof/>
            <w:lang w:eastAsia="en-NZ" w:bidi="ar-SA"/>
          </w:rPr>
          <w:tab/>
        </w:r>
        <w:r w:rsidR="00ED7A15" w:rsidRPr="00C33C5D">
          <w:rPr>
            <w:rStyle w:val="Hyperlink"/>
            <w:noProof/>
          </w:rPr>
          <w:t>Raw number of complaints received</w:t>
        </w:r>
        <w:r w:rsidR="00ED7A15">
          <w:rPr>
            <w:noProof/>
            <w:webHidden/>
          </w:rPr>
          <w:tab/>
        </w:r>
        <w:r w:rsidR="00ED7A15">
          <w:rPr>
            <w:noProof/>
            <w:webHidden/>
          </w:rPr>
          <w:fldChar w:fldCharType="begin"/>
        </w:r>
        <w:r w:rsidR="00ED7A15">
          <w:rPr>
            <w:noProof/>
            <w:webHidden/>
          </w:rPr>
          <w:instrText xml:space="preserve"> PAGEREF _Toc39138043 \h </w:instrText>
        </w:r>
        <w:r w:rsidR="00ED7A15">
          <w:rPr>
            <w:noProof/>
            <w:webHidden/>
          </w:rPr>
        </w:r>
        <w:r w:rsidR="00ED7A15">
          <w:rPr>
            <w:noProof/>
            <w:webHidden/>
          </w:rPr>
          <w:fldChar w:fldCharType="separate"/>
        </w:r>
        <w:r>
          <w:rPr>
            <w:noProof/>
            <w:webHidden/>
          </w:rPr>
          <w:t>3</w:t>
        </w:r>
        <w:r w:rsidR="00ED7A15">
          <w:rPr>
            <w:noProof/>
            <w:webHidden/>
          </w:rPr>
          <w:fldChar w:fldCharType="end"/>
        </w:r>
      </w:hyperlink>
    </w:p>
    <w:p w14:paraId="0CE79534" w14:textId="6E1A56BF" w:rsidR="00ED7A15" w:rsidRDefault="001A7A8B" w:rsidP="00ED7A15">
      <w:pPr>
        <w:pStyle w:val="TOC3"/>
        <w:spacing w:line="240" w:lineRule="auto"/>
        <w:rPr>
          <w:rFonts w:eastAsiaTheme="minorEastAsia" w:cstheme="minorBidi"/>
          <w:noProof/>
          <w:lang w:eastAsia="en-NZ" w:bidi="ar-SA"/>
        </w:rPr>
      </w:pPr>
      <w:hyperlink w:anchor="_Toc39138045" w:history="1">
        <w:r w:rsidR="00ED7A15" w:rsidRPr="00C33C5D">
          <w:rPr>
            <w:rStyle w:val="Hyperlink"/>
            <w:noProof/>
          </w:rPr>
          <w:t>1.2</w:t>
        </w:r>
        <w:r w:rsidR="00ED7A15">
          <w:rPr>
            <w:rFonts w:eastAsiaTheme="minorEastAsia" w:cstheme="minorBidi"/>
            <w:noProof/>
            <w:lang w:eastAsia="en-NZ" w:bidi="ar-SA"/>
          </w:rPr>
          <w:tab/>
        </w:r>
        <w:r w:rsidR="00ED7A15" w:rsidRPr="00C33C5D">
          <w:rPr>
            <w:rStyle w:val="Hyperlink"/>
            <w:noProof/>
          </w:rPr>
          <w:t>Rate of complaints received</w:t>
        </w:r>
        <w:r w:rsidR="00ED7A15">
          <w:rPr>
            <w:noProof/>
            <w:webHidden/>
          </w:rPr>
          <w:tab/>
        </w:r>
        <w:r w:rsidR="00ED7A15">
          <w:rPr>
            <w:noProof/>
            <w:webHidden/>
          </w:rPr>
          <w:fldChar w:fldCharType="begin"/>
        </w:r>
        <w:r w:rsidR="00ED7A15">
          <w:rPr>
            <w:noProof/>
            <w:webHidden/>
          </w:rPr>
          <w:instrText xml:space="preserve"> PAGEREF _Toc39138045 \h </w:instrText>
        </w:r>
        <w:r w:rsidR="00ED7A15">
          <w:rPr>
            <w:noProof/>
            <w:webHidden/>
          </w:rPr>
        </w:r>
        <w:r w:rsidR="00ED7A15">
          <w:rPr>
            <w:noProof/>
            <w:webHidden/>
          </w:rPr>
          <w:fldChar w:fldCharType="separate"/>
        </w:r>
        <w:r>
          <w:rPr>
            <w:noProof/>
            <w:webHidden/>
          </w:rPr>
          <w:t>4</w:t>
        </w:r>
        <w:r w:rsidR="00ED7A15">
          <w:rPr>
            <w:noProof/>
            <w:webHidden/>
          </w:rPr>
          <w:fldChar w:fldCharType="end"/>
        </w:r>
      </w:hyperlink>
    </w:p>
    <w:p w14:paraId="2B539BD9" w14:textId="358635EA" w:rsidR="00ED7A15" w:rsidRDefault="001A7A8B" w:rsidP="00ED7A15">
      <w:pPr>
        <w:pStyle w:val="TOC2"/>
        <w:tabs>
          <w:tab w:val="left" w:pos="880"/>
          <w:tab w:val="right" w:leader="dot" w:pos="9072"/>
        </w:tabs>
        <w:rPr>
          <w:rFonts w:eastAsiaTheme="minorEastAsia" w:cstheme="minorBidi"/>
          <w:b w:val="0"/>
          <w:noProof/>
          <w:lang w:eastAsia="en-NZ" w:bidi="ar-SA"/>
        </w:rPr>
      </w:pPr>
      <w:hyperlink w:anchor="_Toc39138046" w:history="1">
        <w:r w:rsidR="00ED7A15" w:rsidRPr="00C33C5D">
          <w:rPr>
            <w:rStyle w:val="Hyperlink"/>
            <w:noProof/>
          </w:rPr>
          <w:t>2.0</w:t>
        </w:r>
        <w:r w:rsidR="00ED7A15">
          <w:rPr>
            <w:rFonts w:eastAsiaTheme="minorEastAsia" w:cstheme="minorBidi"/>
            <w:b w:val="0"/>
            <w:noProof/>
            <w:lang w:eastAsia="en-NZ" w:bidi="ar-SA"/>
          </w:rPr>
          <w:tab/>
        </w:r>
        <w:r w:rsidR="00ED7A15" w:rsidRPr="00C33C5D">
          <w:rPr>
            <w:rStyle w:val="Hyperlink"/>
            <w:noProof/>
          </w:rPr>
          <w:t>Service types complained about</w:t>
        </w:r>
        <w:r w:rsidR="00ED7A15">
          <w:rPr>
            <w:noProof/>
            <w:webHidden/>
          </w:rPr>
          <w:tab/>
        </w:r>
        <w:r w:rsidR="00ED7A15">
          <w:rPr>
            <w:noProof/>
            <w:webHidden/>
          </w:rPr>
          <w:fldChar w:fldCharType="begin"/>
        </w:r>
        <w:r w:rsidR="00ED7A15">
          <w:rPr>
            <w:noProof/>
            <w:webHidden/>
          </w:rPr>
          <w:instrText xml:space="preserve"> PAGEREF _Toc39138046 \h </w:instrText>
        </w:r>
        <w:r w:rsidR="00ED7A15">
          <w:rPr>
            <w:noProof/>
            <w:webHidden/>
          </w:rPr>
        </w:r>
        <w:r w:rsidR="00ED7A15">
          <w:rPr>
            <w:noProof/>
            <w:webHidden/>
          </w:rPr>
          <w:fldChar w:fldCharType="separate"/>
        </w:r>
        <w:r>
          <w:rPr>
            <w:noProof/>
            <w:webHidden/>
          </w:rPr>
          <w:t>6</w:t>
        </w:r>
        <w:r w:rsidR="00ED7A15">
          <w:rPr>
            <w:noProof/>
            <w:webHidden/>
          </w:rPr>
          <w:fldChar w:fldCharType="end"/>
        </w:r>
      </w:hyperlink>
    </w:p>
    <w:p w14:paraId="418E90E6" w14:textId="3B9EBA5D" w:rsidR="00ED7A15" w:rsidRDefault="001A7A8B" w:rsidP="00ED7A15">
      <w:pPr>
        <w:pStyle w:val="TOC3"/>
        <w:spacing w:line="240" w:lineRule="auto"/>
        <w:rPr>
          <w:rFonts w:eastAsiaTheme="minorEastAsia" w:cstheme="minorBidi"/>
          <w:noProof/>
          <w:lang w:eastAsia="en-NZ" w:bidi="ar-SA"/>
        </w:rPr>
      </w:pPr>
      <w:hyperlink w:anchor="_Toc39138047" w:history="1">
        <w:r w:rsidR="00ED7A15" w:rsidRPr="00C33C5D">
          <w:rPr>
            <w:rStyle w:val="Hyperlink"/>
            <w:noProof/>
          </w:rPr>
          <w:t>2.1</w:t>
        </w:r>
        <w:r w:rsidR="00ED7A15">
          <w:rPr>
            <w:rFonts w:eastAsiaTheme="minorEastAsia" w:cstheme="minorBidi"/>
            <w:noProof/>
            <w:lang w:eastAsia="en-NZ" w:bidi="ar-SA"/>
          </w:rPr>
          <w:tab/>
        </w:r>
        <w:r w:rsidR="00ED7A15" w:rsidRPr="00C33C5D">
          <w:rPr>
            <w:rStyle w:val="Hyperlink"/>
            <w:noProof/>
          </w:rPr>
          <w:t>Service type category</w:t>
        </w:r>
        <w:r w:rsidR="00ED7A15">
          <w:rPr>
            <w:noProof/>
            <w:webHidden/>
          </w:rPr>
          <w:tab/>
        </w:r>
        <w:r w:rsidR="00ED7A15">
          <w:rPr>
            <w:noProof/>
            <w:webHidden/>
          </w:rPr>
          <w:fldChar w:fldCharType="begin"/>
        </w:r>
        <w:r w:rsidR="00ED7A15">
          <w:rPr>
            <w:noProof/>
            <w:webHidden/>
          </w:rPr>
          <w:instrText xml:space="preserve"> PAGEREF _Toc39138047 \h </w:instrText>
        </w:r>
        <w:r w:rsidR="00ED7A15">
          <w:rPr>
            <w:noProof/>
            <w:webHidden/>
          </w:rPr>
        </w:r>
        <w:r w:rsidR="00ED7A15">
          <w:rPr>
            <w:noProof/>
            <w:webHidden/>
          </w:rPr>
          <w:fldChar w:fldCharType="separate"/>
        </w:r>
        <w:r>
          <w:rPr>
            <w:noProof/>
            <w:webHidden/>
          </w:rPr>
          <w:t>6</w:t>
        </w:r>
        <w:r w:rsidR="00ED7A15">
          <w:rPr>
            <w:noProof/>
            <w:webHidden/>
          </w:rPr>
          <w:fldChar w:fldCharType="end"/>
        </w:r>
      </w:hyperlink>
    </w:p>
    <w:p w14:paraId="1559A2D2" w14:textId="306334EC" w:rsidR="00ED7A15" w:rsidRDefault="001A7A8B" w:rsidP="00ED7A15">
      <w:pPr>
        <w:pStyle w:val="TOC2"/>
        <w:tabs>
          <w:tab w:val="left" w:pos="880"/>
          <w:tab w:val="right" w:leader="dot" w:pos="9072"/>
        </w:tabs>
        <w:rPr>
          <w:rFonts w:eastAsiaTheme="minorEastAsia" w:cstheme="minorBidi"/>
          <w:b w:val="0"/>
          <w:noProof/>
          <w:lang w:eastAsia="en-NZ" w:bidi="ar-SA"/>
        </w:rPr>
      </w:pPr>
      <w:hyperlink w:anchor="_Toc39138048" w:history="1">
        <w:r w:rsidR="00ED7A15" w:rsidRPr="00C33C5D">
          <w:rPr>
            <w:rStyle w:val="Hyperlink"/>
            <w:noProof/>
          </w:rPr>
          <w:t>3.0</w:t>
        </w:r>
        <w:r w:rsidR="00ED7A15">
          <w:rPr>
            <w:rFonts w:eastAsiaTheme="minorEastAsia" w:cstheme="minorBidi"/>
            <w:b w:val="0"/>
            <w:noProof/>
            <w:lang w:eastAsia="en-NZ" w:bidi="ar-SA"/>
          </w:rPr>
          <w:tab/>
        </w:r>
        <w:r w:rsidR="00ED7A15" w:rsidRPr="00C33C5D">
          <w:rPr>
            <w:rStyle w:val="Hyperlink"/>
            <w:noProof/>
          </w:rPr>
          <w:t>Issues complained about</w:t>
        </w:r>
        <w:r w:rsidR="00ED7A15">
          <w:rPr>
            <w:noProof/>
            <w:webHidden/>
          </w:rPr>
          <w:tab/>
        </w:r>
        <w:r w:rsidR="00ED7A15">
          <w:rPr>
            <w:noProof/>
            <w:webHidden/>
          </w:rPr>
          <w:fldChar w:fldCharType="begin"/>
        </w:r>
        <w:r w:rsidR="00ED7A15">
          <w:rPr>
            <w:noProof/>
            <w:webHidden/>
          </w:rPr>
          <w:instrText xml:space="preserve"> PAGEREF _Toc39138048 \h </w:instrText>
        </w:r>
        <w:r w:rsidR="00ED7A15">
          <w:rPr>
            <w:noProof/>
            <w:webHidden/>
          </w:rPr>
        </w:r>
        <w:r w:rsidR="00ED7A15">
          <w:rPr>
            <w:noProof/>
            <w:webHidden/>
          </w:rPr>
          <w:fldChar w:fldCharType="separate"/>
        </w:r>
        <w:r>
          <w:rPr>
            <w:noProof/>
            <w:webHidden/>
          </w:rPr>
          <w:t>8</w:t>
        </w:r>
        <w:r w:rsidR="00ED7A15">
          <w:rPr>
            <w:noProof/>
            <w:webHidden/>
          </w:rPr>
          <w:fldChar w:fldCharType="end"/>
        </w:r>
      </w:hyperlink>
    </w:p>
    <w:p w14:paraId="2AC80EE8" w14:textId="294CBCC5" w:rsidR="00ED7A15" w:rsidRDefault="001A7A8B" w:rsidP="00ED7A15">
      <w:pPr>
        <w:pStyle w:val="TOC3"/>
        <w:spacing w:line="240" w:lineRule="auto"/>
        <w:rPr>
          <w:rFonts w:eastAsiaTheme="minorEastAsia" w:cstheme="minorBidi"/>
          <w:noProof/>
          <w:lang w:eastAsia="en-NZ" w:bidi="ar-SA"/>
        </w:rPr>
      </w:pPr>
      <w:hyperlink w:anchor="_Toc39138049" w:history="1">
        <w:r w:rsidR="00ED7A15" w:rsidRPr="00C33C5D">
          <w:rPr>
            <w:rStyle w:val="Hyperlink"/>
            <w:noProof/>
          </w:rPr>
          <w:t>3.1</w:t>
        </w:r>
        <w:r w:rsidR="00ED7A15">
          <w:rPr>
            <w:rFonts w:eastAsiaTheme="minorEastAsia" w:cstheme="minorBidi"/>
            <w:noProof/>
            <w:lang w:eastAsia="en-NZ" w:bidi="ar-SA"/>
          </w:rPr>
          <w:tab/>
        </w:r>
        <w:r w:rsidR="00ED7A15" w:rsidRPr="00C33C5D">
          <w:rPr>
            <w:rStyle w:val="Hyperlink"/>
            <w:noProof/>
          </w:rPr>
          <w:t>Primary complaint issues</w:t>
        </w:r>
        <w:r w:rsidR="00ED7A15">
          <w:rPr>
            <w:noProof/>
            <w:webHidden/>
          </w:rPr>
          <w:tab/>
        </w:r>
        <w:r w:rsidR="00ED7A15">
          <w:rPr>
            <w:noProof/>
            <w:webHidden/>
          </w:rPr>
          <w:fldChar w:fldCharType="begin"/>
        </w:r>
        <w:r w:rsidR="00ED7A15">
          <w:rPr>
            <w:noProof/>
            <w:webHidden/>
          </w:rPr>
          <w:instrText xml:space="preserve"> PAGEREF _Toc39138049 \h </w:instrText>
        </w:r>
        <w:r w:rsidR="00ED7A15">
          <w:rPr>
            <w:noProof/>
            <w:webHidden/>
          </w:rPr>
        </w:r>
        <w:r w:rsidR="00ED7A15">
          <w:rPr>
            <w:noProof/>
            <w:webHidden/>
          </w:rPr>
          <w:fldChar w:fldCharType="separate"/>
        </w:r>
        <w:r>
          <w:rPr>
            <w:noProof/>
            <w:webHidden/>
          </w:rPr>
          <w:t>8</w:t>
        </w:r>
        <w:r w:rsidR="00ED7A15">
          <w:rPr>
            <w:noProof/>
            <w:webHidden/>
          </w:rPr>
          <w:fldChar w:fldCharType="end"/>
        </w:r>
      </w:hyperlink>
    </w:p>
    <w:p w14:paraId="57F0B219" w14:textId="16E97D08" w:rsidR="00ED7A15" w:rsidRDefault="001A7A8B" w:rsidP="00ED7A15">
      <w:pPr>
        <w:pStyle w:val="TOC3"/>
        <w:spacing w:line="240" w:lineRule="auto"/>
        <w:rPr>
          <w:rFonts w:eastAsiaTheme="minorEastAsia" w:cstheme="minorBidi"/>
          <w:noProof/>
          <w:lang w:eastAsia="en-NZ" w:bidi="ar-SA"/>
        </w:rPr>
      </w:pPr>
      <w:hyperlink w:anchor="_Toc39138050" w:history="1">
        <w:r w:rsidR="00ED7A15" w:rsidRPr="00C33C5D">
          <w:rPr>
            <w:rStyle w:val="Hyperlink"/>
            <w:noProof/>
          </w:rPr>
          <w:t>3.2</w:t>
        </w:r>
        <w:r w:rsidR="00ED7A15">
          <w:rPr>
            <w:rFonts w:eastAsiaTheme="minorEastAsia" w:cstheme="minorBidi"/>
            <w:noProof/>
            <w:lang w:eastAsia="en-NZ" w:bidi="ar-SA"/>
          </w:rPr>
          <w:tab/>
        </w:r>
        <w:r w:rsidR="00ED7A15" w:rsidRPr="00C33C5D">
          <w:rPr>
            <w:rStyle w:val="Hyperlink"/>
            <w:noProof/>
          </w:rPr>
          <w:t>All complaint  issues</w:t>
        </w:r>
        <w:r w:rsidR="00ED7A15">
          <w:rPr>
            <w:noProof/>
            <w:webHidden/>
          </w:rPr>
          <w:tab/>
        </w:r>
        <w:r w:rsidR="00ED7A15">
          <w:rPr>
            <w:noProof/>
            <w:webHidden/>
          </w:rPr>
          <w:fldChar w:fldCharType="begin"/>
        </w:r>
        <w:r w:rsidR="00ED7A15">
          <w:rPr>
            <w:noProof/>
            <w:webHidden/>
          </w:rPr>
          <w:instrText xml:space="preserve"> PAGEREF _Toc39138050 \h </w:instrText>
        </w:r>
        <w:r w:rsidR="00ED7A15">
          <w:rPr>
            <w:noProof/>
            <w:webHidden/>
          </w:rPr>
        </w:r>
        <w:r w:rsidR="00ED7A15">
          <w:rPr>
            <w:noProof/>
            <w:webHidden/>
          </w:rPr>
          <w:fldChar w:fldCharType="separate"/>
        </w:r>
        <w:r>
          <w:rPr>
            <w:noProof/>
            <w:webHidden/>
          </w:rPr>
          <w:t>11</w:t>
        </w:r>
        <w:r w:rsidR="00ED7A15">
          <w:rPr>
            <w:noProof/>
            <w:webHidden/>
          </w:rPr>
          <w:fldChar w:fldCharType="end"/>
        </w:r>
      </w:hyperlink>
    </w:p>
    <w:p w14:paraId="47ED3E6D" w14:textId="22BF9F11" w:rsidR="00ED7A15" w:rsidRDefault="001A7A8B" w:rsidP="00ED7A15">
      <w:pPr>
        <w:pStyle w:val="TOC3"/>
        <w:spacing w:line="240" w:lineRule="auto"/>
        <w:rPr>
          <w:rFonts w:eastAsiaTheme="minorEastAsia" w:cstheme="minorBidi"/>
          <w:noProof/>
          <w:lang w:eastAsia="en-NZ" w:bidi="ar-SA"/>
        </w:rPr>
      </w:pPr>
      <w:hyperlink w:anchor="_Toc39138051" w:history="1">
        <w:r w:rsidR="00ED7A15" w:rsidRPr="00C33C5D">
          <w:rPr>
            <w:rStyle w:val="Hyperlink"/>
            <w:noProof/>
          </w:rPr>
          <w:t>3.3</w:t>
        </w:r>
        <w:r w:rsidR="00ED7A15">
          <w:rPr>
            <w:rFonts w:eastAsiaTheme="minorEastAsia" w:cstheme="minorBidi"/>
            <w:noProof/>
            <w:lang w:eastAsia="en-NZ" w:bidi="ar-SA"/>
          </w:rPr>
          <w:tab/>
        </w:r>
        <w:r w:rsidR="00ED7A15" w:rsidRPr="00C33C5D">
          <w:rPr>
            <w:rStyle w:val="Hyperlink"/>
            <w:noProof/>
          </w:rPr>
          <w:t>Service type and primary issue</w:t>
        </w:r>
        <w:r w:rsidR="00ED7A15">
          <w:rPr>
            <w:noProof/>
            <w:webHidden/>
          </w:rPr>
          <w:tab/>
        </w:r>
        <w:r w:rsidR="00ED7A15">
          <w:rPr>
            <w:noProof/>
            <w:webHidden/>
          </w:rPr>
          <w:fldChar w:fldCharType="begin"/>
        </w:r>
        <w:r w:rsidR="00ED7A15">
          <w:rPr>
            <w:noProof/>
            <w:webHidden/>
          </w:rPr>
          <w:instrText xml:space="preserve"> PAGEREF _Toc39138051 \h </w:instrText>
        </w:r>
        <w:r w:rsidR="00ED7A15">
          <w:rPr>
            <w:noProof/>
            <w:webHidden/>
          </w:rPr>
        </w:r>
        <w:r w:rsidR="00ED7A15">
          <w:rPr>
            <w:noProof/>
            <w:webHidden/>
          </w:rPr>
          <w:fldChar w:fldCharType="separate"/>
        </w:r>
        <w:r>
          <w:rPr>
            <w:noProof/>
            <w:webHidden/>
          </w:rPr>
          <w:t>13</w:t>
        </w:r>
        <w:r w:rsidR="00ED7A15">
          <w:rPr>
            <w:noProof/>
            <w:webHidden/>
          </w:rPr>
          <w:fldChar w:fldCharType="end"/>
        </w:r>
      </w:hyperlink>
    </w:p>
    <w:p w14:paraId="7380B12A" w14:textId="1702B9C5" w:rsidR="00ED7A15" w:rsidRDefault="001A7A8B" w:rsidP="00ED7A15">
      <w:pPr>
        <w:pStyle w:val="TOC2"/>
        <w:tabs>
          <w:tab w:val="left" w:pos="880"/>
          <w:tab w:val="right" w:leader="dot" w:pos="9072"/>
        </w:tabs>
        <w:rPr>
          <w:rFonts w:eastAsiaTheme="minorEastAsia" w:cstheme="minorBidi"/>
          <w:b w:val="0"/>
          <w:noProof/>
          <w:lang w:eastAsia="en-NZ" w:bidi="ar-SA"/>
        </w:rPr>
      </w:pPr>
      <w:hyperlink w:anchor="_Toc39138052" w:history="1">
        <w:r w:rsidR="00ED7A15" w:rsidRPr="00C33C5D">
          <w:rPr>
            <w:rStyle w:val="Hyperlink"/>
            <w:noProof/>
          </w:rPr>
          <w:t>4.0</w:t>
        </w:r>
        <w:r w:rsidR="00ED7A15">
          <w:rPr>
            <w:rFonts w:eastAsiaTheme="minorEastAsia" w:cstheme="minorBidi"/>
            <w:b w:val="0"/>
            <w:noProof/>
            <w:lang w:eastAsia="en-NZ" w:bidi="ar-SA"/>
          </w:rPr>
          <w:tab/>
        </w:r>
        <w:r w:rsidR="00ED7A15" w:rsidRPr="00C33C5D">
          <w:rPr>
            <w:rStyle w:val="Hyperlink"/>
            <w:noProof/>
          </w:rPr>
          <w:t>Complaints closed</w:t>
        </w:r>
        <w:r w:rsidR="00ED7A15">
          <w:rPr>
            <w:noProof/>
            <w:webHidden/>
          </w:rPr>
          <w:tab/>
        </w:r>
        <w:r w:rsidR="00ED7A15">
          <w:rPr>
            <w:noProof/>
            <w:webHidden/>
          </w:rPr>
          <w:fldChar w:fldCharType="begin"/>
        </w:r>
        <w:r w:rsidR="00ED7A15">
          <w:rPr>
            <w:noProof/>
            <w:webHidden/>
          </w:rPr>
          <w:instrText xml:space="preserve"> PAGEREF _Toc39138052 \h </w:instrText>
        </w:r>
        <w:r w:rsidR="00ED7A15">
          <w:rPr>
            <w:noProof/>
            <w:webHidden/>
          </w:rPr>
        </w:r>
        <w:r w:rsidR="00ED7A15">
          <w:rPr>
            <w:noProof/>
            <w:webHidden/>
          </w:rPr>
          <w:fldChar w:fldCharType="separate"/>
        </w:r>
        <w:r>
          <w:rPr>
            <w:noProof/>
            <w:webHidden/>
          </w:rPr>
          <w:t>14</w:t>
        </w:r>
        <w:r w:rsidR="00ED7A15">
          <w:rPr>
            <w:noProof/>
            <w:webHidden/>
          </w:rPr>
          <w:fldChar w:fldCharType="end"/>
        </w:r>
      </w:hyperlink>
    </w:p>
    <w:p w14:paraId="2B1982BC" w14:textId="5BE64763" w:rsidR="00ED7A15" w:rsidRDefault="001A7A8B" w:rsidP="00ED7A15">
      <w:pPr>
        <w:pStyle w:val="TOC3"/>
        <w:spacing w:line="240" w:lineRule="auto"/>
        <w:rPr>
          <w:rFonts w:eastAsiaTheme="minorEastAsia" w:cstheme="minorBidi"/>
          <w:noProof/>
          <w:lang w:eastAsia="en-NZ" w:bidi="ar-SA"/>
        </w:rPr>
      </w:pPr>
      <w:hyperlink w:anchor="_Toc39138053" w:history="1">
        <w:r w:rsidR="00ED7A15" w:rsidRPr="00C33C5D">
          <w:rPr>
            <w:rStyle w:val="Hyperlink"/>
            <w:noProof/>
          </w:rPr>
          <w:t>4.1</w:t>
        </w:r>
        <w:r w:rsidR="00ED7A15">
          <w:rPr>
            <w:rFonts w:eastAsiaTheme="minorEastAsia" w:cstheme="minorBidi"/>
            <w:noProof/>
            <w:lang w:eastAsia="en-NZ" w:bidi="ar-SA"/>
          </w:rPr>
          <w:tab/>
        </w:r>
        <w:r w:rsidR="00ED7A15" w:rsidRPr="00C33C5D">
          <w:rPr>
            <w:rStyle w:val="Hyperlink"/>
            <w:noProof/>
          </w:rPr>
          <w:t>Number of complaints closed</w:t>
        </w:r>
        <w:r w:rsidR="00ED7A15">
          <w:rPr>
            <w:noProof/>
            <w:webHidden/>
          </w:rPr>
          <w:tab/>
        </w:r>
        <w:r w:rsidR="00ED7A15">
          <w:rPr>
            <w:noProof/>
            <w:webHidden/>
          </w:rPr>
          <w:fldChar w:fldCharType="begin"/>
        </w:r>
        <w:r w:rsidR="00ED7A15">
          <w:rPr>
            <w:noProof/>
            <w:webHidden/>
          </w:rPr>
          <w:instrText xml:space="preserve"> PAGEREF _Toc39138053 \h </w:instrText>
        </w:r>
        <w:r w:rsidR="00ED7A15">
          <w:rPr>
            <w:noProof/>
            <w:webHidden/>
          </w:rPr>
        </w:r>
        <w:r w:rsidR="00ED7A15">
          <w:rPr>
            <w:noProof/>
            <w:webHidden/>
          </w:rPr>
          <w:fldChar w:fldCharType="separate"/>
        </w:r>
        <w:r>
          <w:rPr>
            <w:noProof/>
            <w:webHidden/>
          </w:rPr>
          <w:t>14</w:t>
        </w:r>
        <w:r w:rsidR="00ED7A15">
          <w:rPr>
            <w:noProof/>
            <w:webHidden/>
          </w:rPr>
          <w:fldChar w:fldCharType="end"/>
        </w:r>
      </w:hyperlink>
    </w:p>
    <w:p w14:paraId="0CB91E1F" w14:textId="3486B5D6" w:rsidR="00ED7A15" w:rsidRDefault="001A7A8B" w:rsidP="00ED7A15">
      <w:pPr>
        <w:pStyle w:val="TOC3"/>
        <w:spacing w:line="240" w:lineRule="auto"/>
        <w:rPr>
          <w:rFonts w:eastAsiaTheme="minorEastAsia" w:cstheme="minorBidi"/>
          <w:noProof/>
          <w:lang w:eastAsia="en-NZ" w:bidi="ar-SA"/>
        </w:rPr>
      </w:pPr>
      <w:hyperlink w:anchor="_Toc39138054" w:history="1">
        <w:r w:rsidR="00ED7A15" w:rsidRPr="00C33C5D">
          <w:rPr>
            <w:rStyle w:val="Hyperlink"/>
            <w:noProof/>
          </w:rPr>
          <w:t>4.2</w:t>
        </w:r>
        <w:r w:rsidR="00ED7A15">
          <w:rPr>
            <w:rFonts w:eastAsiaTheme="minorEastAsia" w:cstheme="minorBidi"/>
            <w:noProof/>
            <w:lang w:eastAsia="en-NZ" w:bidi="ar-SA"/>
          </w:rPr>
          <w:tab/>
        </w:r>
        <w:r w:rsidR="00ED7A15" w:rsidRPr="00C33C5D">
          <w:rPr>
            <w:rStyle w:val="Hyperlink"/>
            <w:noProof/>
          </w:rPr>
          <w:t>Outcomes of complaints closed</w:t>
        </w:r>
        <w:r w:rsidR="00ED7A15">
          <w:rPr>
            <w:noProof/>
            <w:webHidden/>
          </w:rPr>
          <w:tab/>
        </w:r>
        <w:r w:rsidR="00ED7A15">
          <w:rPr>
            <w:noProof/>
            <w:webHidden/>
          </w:rPr>
          <w:fldChar w:fldCharType="begin"/>
        </w:r>
        <w:r w:rsidR="00ED7A15">
          <w:rPr>
            <w:noProof/>
            <w:webHidden/>
          </w:rPr>
          <w:instrText xml:space="preserve"> PAGEREF _Toc39138054 \h </w:instrText>
        </w:r>
        <w:r w:rsidR="00ED7A15">
          <w:rPr>
            <w:noProof/>
            <w:webHidden/>
          </w:rPr>
        </w:r>
        <w:r w:rsidR="00ED7A15">
          <w:rPr>
            <w:noProof/>
            <w:webHidden/>
          </w:rPr>
          <w:fldChar w:fldCharType="separate"/>
        </w:r>
        <w:r>
          <w:rPr>
            <w:noProof/>
            <w:webHidden/>
          </w:rPr>
          <w:t>14</w:t>
        </w:r>
        <w:r w:rsidR="00ED7A15">
          <w:rPr>
            <w:noProof/>
            <w:webHidden/>
          </w:rPr>
          <w:fldChar w:fldCharType="end"/>
        </w:r>
      </w:hyperlink>
    </w:p>
    <w:p w14:paraId="34C54B1A" w14:textId="5EA2457E" w:rsidR="00ED7A15" w:rsidRDefault="001A7A8B" w:rsidP="00ED7A15">
      <w:pPr>
        <w:pStyle w:val="TOC3"/>
        <w:spacing w:line="240" w:lineRule="auto"/>
        <w:rPr>
          <w:rFonts w:eastAsiaTheme="minorEastAsia" w:cstheme="minorBidi"/>
          <w:noProof/>
          <w:lang w:eastAsia="en-NZ" w:bidi="ar-SA"/>
        </w:rPr>
      </w:pPr>
      <w:hyperlink w:anchor="_Toc39138055" w:history="1">
        <w:r w:rsidR="00ED7A15" w:rsidRPr="00C33C5D">
          <w:rPr>
            <w:rStyle w:val="Hyperlink"/>
            <w:noProof/>
          </w:rPr>
          <w:t xml:space="preserve">4.3 </w:t>
        </w:r>
        <w:r w:rsidR="00ED7A15">
          <w:rPr>
            <w:rFonts w:eastAsiaTheme="minorEastAsia" w:cstheme="minorBidi"/>
            <w:noProof/>
            <w:lang w:eastAsia="en-NZ" w:bidi="ar-SA"/>
          </w:rPr>
          <w:tab/>
        </w:r>
        <w:r w:rsidR="00ED7A15" w:rsidRPr="00C33C5D">
          <w:rPr>
            <w:rStyle w:val="Hyperlink"/>
            <w:noProof/>
          </w:rPr>
          <w:t>Recommendations made to DHBs following a complaint</w:t>
        </w:r>
        <w:r w:rsidR="00ED7A15">
          <w:rPr>
            <w:noProof/>
            <w:webHidden/>
          </w:rPr>
          <w:tab/>
        </w:r>
        <w:r w:rsidR="00ED7A15">
          <w:rPr>
            <w:noProof/>
            <w:webHidden/>
          </w:rPr>
          <w:fldChar w:fldCharType="begin"/>
        </w:r>
        <w:r w:rsidR="00ED7A15">
          <w:rPr>
            <w:noProof/>
            <w:webHidden/>
          </w:rPr>
          <w:instrText xml:space="preserve"> PAGEREF _Toc39138055 \h </w:instrText>
        </w:r>
        <w:r w:rsidR="00ED7A15">
          <w:rPr>
            <w:noProof/>
            <w:webHidden/>
          </w:rPr>
        </w:r>
        <w:r w:rsidR="00ED7A15">
          <w:rPr>
            <w:noProof/>
            <w:webHidden/>
          </w:rPr>
          <w:fldChar w:fldCharType="separate"/>
        </w:r>
        <w:r>
          <w:rPr>
            <w:noProof/>
            <w:webHidden/>
          </w:rPr>
          <w:t>16</w:t>
        </w:r>
        <w:r w:rsidR="00ED7A15">
          <w:rPr>
            <w:noProof/>
            <w:webHidden/>
          </w:rPr>
          <w:fldChar w:fldCharType="end"/>
        </w:r>
      </w:hyperlink>
    </w:p>
    <w:p w14:paraId="0FDEF4FF" w14:textId="446F8A8C" w:rsidR="00ED7A15" w:rsidRDefault="001A7A8B" w:rsidP="00ED7A15">
      <w:pPr>
        <w:pStyle w:val="TOC1"/>
        <w:tabs>
          <w:tab w:val="left" w:pos="660"/>
          <w:tab w:val="right" w:leader="dot" w:pos="9072"/>
        </w:tabs>
        <w:rPr>
          <w:rFonts w:eastAsiaTheme="minorEastAsia" w:cstheme="minorBidi"/>
          <w:b w:val="0"/>
          <w:noProof/>
          <w:sz w:val="22"/>
          <w:szCs w:val="22"/>
          <w:lang w:eastAsia="en-NZ" w:bidi="ar-SA"/>
        </w:rPr>
      </w:pPr>
      <w:hyperlink w:anchor="_Toc39138056" w:history="1">
        <w:r w:rsidR="00ED7A15" w:rsidRPr="00C33C5D">
          <w:rPr>
            <w:rStyle w:val="Hyperlink"/>
            <w:noProof/>
          </w:rPr>
          <w:t>5.0</w:t>
        </w:r>
        <w:r w:rsidR="00ED7A15">
          <w:rPr>
            <w:rFonts w:eastAsiaTheme="minorEastAsia" w:cstheme="minorBidi"/>
            <w:b w:val="0"/>
            <w:noProof/>
            <w:sz w:val="22"/>
            <w:szCs w:val="22"/>
            <w:lang w:eastAsia="en-NZ" w:bidi="ar-SA"/>
          </w:rPr>
          <w:tab/>
        </w:r>
        <w:r w:rsidR="00ED7A15" w:rsidRPr="00C33C5D">
          <w:rPr>
            <w:rStyle w:val="Hyperlink"/>
            <w:noProof/>
          </w:rPr>
          <w:t>Learning from complaints — HDC case reports</w:t>
        </w:r>
        <w:r w:rsidR="00ED7A15">
          <w:rPr>
            <w:noProof/>
            <w:webHidden/>
          </w:rPr>
          <w:tab/>
        </w:r>
        <w:r w:rsidR="00ED7A15">
          <w:rPr>
            <w:noProof/>
            <w:webHidden/>
          </w:rPr>
          <w:fldChar w:fldCharType="begin"/>
        </w:r>
        <w:r w:rsidR="00ED7A15">
          <w:rPr>
            <w:noProof/>
            <w:webHidden/>
          </w:rPr>
          <w:instrText xml:space="preserve"> PAGEREF _Toc39138056 \h </w:instrText>
        </w:r>
        <w:r w:rsidR="00ED7A15">
          <w:rPr>
            <w:noProof/>
            <w:webHidden/>
          </w:rPr>
        </w:r>
        <w:r w:rsidR="00ED7A15">
          <w:rPr>
            <w:noProof/>
            <w:webHidden/>
          </w:rPr>
          <w:fldChar w:fldCharType="separate"/>
        </w:r>
        <w:r>
          <w:rPr>
            <w:noProof/>
            <w:webHidden/>
          </w:rPr>
          <w:t>17</w:t>
        </w:r>
        <w:r w:rsidR="00ED7A15">
          <w:rPr>
            <w:noProof/>
            <w:webHidden/>
          </w:rPr>
          <w:fldChar w:fldCharType="end"/>
        </w:r>
      </w:hyperlink>
    </w:p>
    <w:p w14:paraId="427B96B3" w14:textId="1328B9A6" w:rsidR="00841E1C" w:rsidRDefault="00841E1C" w:rsidP="00ED7A15">
      <w:pPr>
        <w:jc w:val="left"/>
        <w:rPr>
          <w:b/>
          <w:color w:val="000000" w:themeColor="text1"/>
          <w:sz w:val="32"/>
          <w:szCs w:val="32"/>
        </w:rPr>
      </w:pPr>
      <w:r>
        <w:rPr>
          <w:b/>
          <w:color w:val="000000" w:themeColor="text1"/>
          <w:sz w:val="32"/>
          <w:szCs w:val="32"/>
        </w:rPr>
        <w:fldChar w:fldCharType="end"/>
      </w:r>
    </w:p>
    <w:p w14:paraId="1A512A15" w14:textId="77777777" w:rsidR="00841E1C" w:rsidRDefault="00841E1C" w:rsidP="00841E1C">
      <w:pPr>
        <w:jc w:val="left"/>
        <w:rPr>
          <w:b/>
          <w:color w:val="000000" w:themeColor="text1"/>
          <w:sz w:val="32"/>
          <w:szCs w:val="32"/>
        </w:rPr>
        <w:sectPr w:rsidR="00841E1C">
          <w:pgSz w:w="11906" w:h="16838"/>
          <w:pgMar w:top="1140" w:right="1412" w:bottom="851" w:left="1412" w:header="720" w:footer="590" w:gutter="0"/>
          <w:pgNumType w:fmt="lowerRoman" w:start="1"/>
          <w:cols w:space="720"/>
        </w:sectPr>
      </w:pPr>
    </w:p>
    <w:p w14:paraId="36C829B7" w14:textId="588CAB52" w:rsidR="00841E1C" w:rsidRDefault="00841E1C" w:rsidP="00841E1C">
      <w:pPr>
        <w:pStyle w:val="Heading1"/>
        <w:spacing w:before="0" w:after="240"/>
      </w:pPr>
      <w:bookmarkStart w:id="1" w:name="_Toc383707794"/>
      <w:bookmarkStart w:id="2" w:name="_Toc414442656"/>
      <w:bookmarkStart w:id="3" w:name="_Toc414461837"/>
      <w:bookmarkStart w:id="4" w:name="_Toc414875835"/>
      <w:bookmarkStart w:id="5" w:name="_Toc414886545"/>
      <w:bookmarkStart w:id="6" w:name="_Toc414952830"/>
      <w:bookmarkStart w:id="7" w:name="_Toc415039801"/>
      <w:bookmarkStart w:id="8" w:name="_Toc415046457"/>
      <w:bookmarkStart w:id="9" w:name="_Toc415135529"/>
      <w:bookmarkStart w:id="10" w:name="_Toc415147243"/>
      <w:bookmarkStart w:id="11" w:name="_Toc415153517"/>
      <w:bookmarkStart w:id="12" w:name="_Toc415221218"/>
      <w:bookmarkStart w:id="13" w:name="_Toc426462636"/>
      <w:bookmarkStart w:id="14" w:name="_Toc447527523"/>
      <w:bookmarkStart w:id="15" w:name="_Toc447291466"/>
      <w:bookmarkStart w:id="16" w:name="_Toc443992220"/>
      <w:bookmarkStart w:id="17" w:name="_Toc384047606"/>
      <w:bookmarkStart w:id="18" w:name="_Toc426462625"/>
      <w:r>
        <w:rPr>
          <w:lang w:val="en-NZ"/>
        </w:rPr>
        <w:t xml:space="preserve"> </w:t>
      </w:r>
      <w:bookmarkStart w:id="19" w:name="_Toc493684121"/>
      <w:bookmarkStart w:id="20" w:name="_Toc3913804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0760A3">
        <w:t>Commissioner’s Foreword</w:t>
      </w:r>
      <w:bookmarkEnd w:id="19"/>
      <w:bookmarkEnd w:id="20"/>
    </w:p>
    <w:p w14:paraId="5C2DF3DB" w14:textId="6A141B1C" w:rsidR="00122583" w:rsidRDefault="00122583" w:rsidP="00122583">
      <w:r w:rsidRPr="003E5D6C">
        <w:t xml:space="preserve">I am pleased </w:t>
      </w:r>
      <w:r>
        <w:t>to present you with HDC’s</w:t>
      </w:r>
      <w:r w:rsidRPr="003E5D6C">
        <w:t xml:space="preserve"> six monthly D</w:t>
      </w:r>
      <w:r>
        <w:t>HB complaint report detailing</w:t>
      </w:r>
      <w:r w:rsidRPr="00A8497F">
        <w:t xml:space="preserve"> the trends in complaints received by HDC about DHBs between </w:t>
      </w:r>
      <w:r>
        <w:t>1 July and 31 December 2019.</w:t>
      </w:r>
    </w:p>
    <w:p w14:paraId="2060EB33" w14:textId="412BB7D4" w:rsidR="00E966CD" w:rsidRDefault="00E966CD" w:rsidP="00122583"/>
    <w:p w14:paraId="4538119D" w14:textId="2D2F5E93" w:rsidR="00E966CD" w:rsidRPr="00E966CD" w:rsidRDefault="00E966CD" w:rsidP="00122583">
      <w:pPr>
        <w:rPr>
          <w:lang w:val="en-AU" w:bidi="ar-SA"/>
        </w:rPr>
      </w:pPr>
      <w:r w:rsidRPr="00E966CD">
        <w:rPr>
          <w:rFonts w:eastAsiaTheme="minorHAnsi" w:cs="Helv"/>
          <w:color w:val="000000"/>
          <w:szCs w:val="22"/>
          <w:lang w:bidi="ar-SA"/>
        </w:rPr>
        <w:t>Firstly, I would like to acknowledge the contributions of everyone working in the health and disability sector in responding to the Covid-19 pandemic. An enormous amount of work has occurred in a short space of time, and exceptional commitment and care has been demonstrated across the sector by the many thousands of individuals who together make our system what it is.  I appreciate that these are extraordinary times.  Issues relating to COVID-19, unheralded in New Zealand in the time covered by this report, will be traversed in the next DHB report.</w:t>
      </w:r>
    </w:p>
    <w:p w14:paraId="2544D1B6" w14:textId="77777777" w:rsidR="00122583" w:rsidRDefault="00122583" w:rsidP="00337477">
      <w:pPr>
        <w:rPr>
          <w:lang w:val="en-AU" w:bidi="ar-SA"/>
        </w:rPr>
      </w:pPr>
    </w:p>
    <w:p w14:paraId="5BA4F2AA" w14:textId="519D4D91" w:rsidR="00841E1C" w:rsidRPr="00EC08F1" w:rsidRDefault="00B01533" w:rsidP="00841E1C">
      <w:r>
        <w:t>HDC received 47</w:t>
      </w:r>
      <w:r w:rsidR="002538E2">
        <w:t>1</w:t>
      </w:r>
      <w:r w:rsidR="00841E1C" w:rsidRPr="00EC08F1">
        <w:t xml:space="preserve"> complaints about DHB services between </w:t>
      </w:r>
      <w:r w:rsidR="002D7A73">
        <w:t xml:space="preserve">1 </w:t>
      </w:r>
      <w:r w:rsidR="00841E1C" w:rsidRPr="00EC08F1">
        <w:t>J</w:t>
      </w:r>
      <w:r w:rsidR="002D7A73">
        <w:t>uly</w:t>
      </w:r>
      <w:r w:rsidR="00841E1C" w:rsidRPr="00EC08F1">
        <w:t xml:space="preserve"> and </w:t>
      </w:r>
      <w:r w:rsidR="002D7A73">
        <w:t xml:space="preserve">31 December </w:t>
      </w:r>
      <w:r w:rsidR="00841E1C" w:rsidRPr="00EC08F1">
        <w:t xml:space="preserve">2019. This is a </w:t>
      </w:r>
      <w:r w:rsidR="002D7A73">
        <w:t>7 percent</w:t>
      </w:r>
      <w:r w:rsidR="00841E1C" w:rsidRPr="00EC08F1">
        <w:t xml:space="preserve"> increase on the average number of 440 complaints</w:t>
      </w:r>
      <w:r w:rsidR="00841E1C">
        <w:t xml:space="preserve"> </w:t>
      </w:r>
      <w:r w:rsidR="002D7A73">
        <w:t xml:space="preserve">received </w:t>
      </w:r>
      <w:r w:rsidR="00841E1C">
        <w:t>over the previous four reporting periods</w:t>
      </w:r>
      <w:r w:rsidR="00841E1C" w:rsidRPr="00EC08F1">
        <w:t>. The trends in complaints remain similar to what has been seen in previous six-month periods, with surgery being the most common service type complained about and</w:t>
      </w:r>
      <w:r w:rsidR="00841E1C">
        <w:t xml:space="preserve"> </w:t>
      </w:r>
      <w:r w:rsidR="002D7A73">
        <w:t>missed/incorrect/delayed diagnosis</w:t>
      </w:r>
      <w:r w:rsidR="00841E1C" w:rsidRPr="00EC08F1">
        <w:t xml:space="preserve"> being the most common primary issue.</w:t>
      </w:r>
    </w:p>
    <w:p w14:paraId="61FE59B1" w14:textId="77777777" w:rsidR="00841E1C" w:rsidRPr="00EC08F1" w:rsidRDefault="00841E1C" w:rsidP="00841E1C"/>
    <w:p w14:paraId="24B05765" w14:textId="654DC3C7" w:rsidR="0024163A" w:rsidRDefault="00841E1C" w:rsidP="00B01533">
      <w:pPr>
        <w:spacing w:after="200"/>
        <w:rPr>
          <w:lang w:bidi="ar-SA"/>
        </w:rPr>
      </w:pPr>
      <w:r w:rsidRPr="00D01035">
        <w:rPr>
          <w:lang w:bidi="ar-SA"/>
        </w:rPr>
        <w:t xml:space="preserve">Access to services continues to be a prominent </w:t>
      </w:r>
      <w:r>
        <w:rPr>
          <w:lang w:bidi="ar-SA"/>
        </w:rPr>
        <w:t xml:space="preserve">issue seen in complaints to HDC about DHB services, featuring in around a </w:t>
      </w:r>
      <w:r w:rsidRPr="00D01035">
        <w:rPr>
          <w:lang w:bidi="ar-SA"/>
        </w:rPr>
        <w:t xml:space="preserve">quarter of all complaints about DHBs. </w:t>
      </w:r>
      <w:r w:rsidR="00E463C2">
        <w:t>Inadequate prioritisation systems, where patients are not prioritised according to clinical risk, and poor communication with consumers, are a common feature of investigations by my Office into treatment delays</w:t>
      </w:r>
      <w:r w:rsidRPr="00D01035">
        <w:rPr>
          <w:lang w:bidi="ar-SA"/>
        </w:rPr>
        <w:t xml:space="preserve"> </w:t>
      </w:r>
    </w:p>
    <w:p w14:paraId="1A41D3E0" w14:textId="6911AF3C" w:rsidR="002D7A73" w:rsidRDefault="00122583" w:rsidP="00B01533">
      <w:pPr>
        <w:spacing w:after="200"/>
        <w:rPr>
          <w:lang w:bidi="ar-SA"/>
        </w:rPr>
      </w:pPr>
      <w:r>
        <w:rPr>
          <w:lang w:bidi="ar-SA"/>
        </w:rPr>
        <w:t>Currently hospitals</w:t>
      </w:r>
      <w:r w:rsidR="0024163A">
        <w:t xml:space="preserve"> across New Zealand are appropriately operating at different alert levels, with some freeing up hospital resources and deferring non-urgent care</w:t>
      </w:r>
      <w:r>
        <w:rPr>
          <w:lang w:bidi="ar-SA"/>
        </w:rPr>
        <w:t xml:space="preserve">. </w:t>
      </w:r>
      <w:r w:rsidR="0024163A">
        <w:rPr>
          <w:lang w:bidi="ar-SA"/>
        </w:rPr>
        <w:t xml:space="preserve">As I noted in my letter to the Minister of Health of 16 April 2020 (available on our website at </w:t>
      </w:r>
      <w:hyperlink r:id="rId14" w:history="1">
        <w:r w:rsidR="0024163A">
          <w:rPr>
            <w:rStyle w:val="Hyperlink"/>
          </w:rPr>
          <w:t>https://www.hdc.org.nz/media/5466/letter-to-minister-16-4-20.pdf</w:t>
        </w:r>
      </w:hyperlink>
      <w:r w:rsidR="0024163A">
        <w:t>)</w:t>
      </w:r>
      <w:r>
        <w:t xml:space="preserve">, it is vital that all services, and particularly those that are deferring non-urgent procedures and referrals, are regularly reviewing their waiting lists to ensure that patients are being appropriately prioritised according to shifting acuity. </w:t>
      </w:r>
    </w:p>
    <w:p w14:paraId="605E25EF" w14:textId="032E62E2" w:rsidR="002D7A73" w:rsidRDefault="00122583" w:rsidP="00B01533">
      <w:pPr>
        <w:spacing w:after="200"/>
        <w:rPr>
          <w:rFonts w:eastAsiaTheme="minorHAnsi" w:cstheme="minorBidi"/>
        </w:rPr>
      </w:pPr>
      <w:r>
        <w:rPr>
          <w:lang w:bidi="ar-SA"/>
        </w:rPr>
        <w:t xml:space="preserve">Every complaint is an opportunity to learn, and I </w:t>
      </w:r>
      <w:r w:rsidRPr="00F02A3C">
        <w:rPr>
          <w:szCs w:val="22"/>
        </w:rPr>
        <w:t xml:space="preserve">trust that this report </w:t>
      </w:r>
      <w:r>
        <w:rPr>
          <w:szCs w:val="22"/>
        </w:rPr>
        <w:t>will</w:t>
      </w:r>
      <w:r w:rsidRPr="00F02A3C">
        <w:rPr>
          <w:szCs w:val="22"/>
        </w:rPr>
        <w:t xml:space="preserve"> continue to promote ongoing quality improvement</w:t>
      </w:r>
      <w:r>
        <w:rPr>
          <w:szCs w:val="22"/>
        </w:rPr>
        <w:t>.</w:t>
      </w:r>
    </w:p>
    <w:p w14:paraId="7B37FB55" w14:textId="77777777" w:rsidR="002D7A73" w:rsidRDefault="002D7A73" w:rsidP="00B01533">
      <w:pPr>
        <w:spacing w:after="200"/>
        <w:rPr>
          <w:rFonts w:eastAsiaTheme="minorHAnsi" w:cstheme="minorBidi"/>
        </w:rPr>
      </w:pPr>
    </w:p>
    <w:p w14:paraId="3B2569B7" w14:textId="52B8D06E" w:rsidR="00841E1C" w:rsidRDefault="00841E1C" w:rsidP="00B01533">
      <w:pPr>
        <w:spacing w:after="200"/>
        <w:jc w:val="left"/>
        <w:rPr>
          <w:b/>
          <w:lang w:val="en-US"/>
        </w:rPr>
      </w:pPr>
      <w:r>
        <w:rPr>
          <w:lang w:val="en-US"/>
        </w:rPr>
        <w:t>Anthony Hill</w:t>
      </w:r>
      <w:r>
        <w:rPr>
          <w:lang w:val="en-US"/>
        </w:rPr>
        <w:br/>
      </w:r>
      <w:r w:rsidRPr="006E1CA7">
        <w:rPr>
          <w:b/>
          <w:lang w:val="en-US"/>
        </w:rPr>
        <w:t>Health and Disability Commissioner</w:t>
      </w:r>
    </w:p>
    <w:p w14:paraId="1720DC36" w14:textId="62ACCBB2" w:rsidR="00122583" w:rsidRDefault="00122583" w:rsidP="00B01533">
      <w:pPr>
        <w:spacing w:after="200"/>
        <w:jc w:val="left"/>
        <w:rPr>
          <w:b/>
          <w:lang w:val="en-US"/>
        </w:rPr>
      </w:pPr>
    </w:p>
    <w:p w14:paraId="1A0F61D4" w14:textId="78441B22" w:rsidR="00122583" w:rsidRDefault="00122583" w:rsidP="0080255D">
      <w:pPr>
        <w:tabs>
          <w:tab w:val="left" w:pos="5205"/>
        </w:tabs>
        <w:spacing w:after="200"/>
        <w:jc w:val="left"/>
        <w:rPr>
          <w:b/>
          <w:lang w:val="en-US"/>
        </w:rPr>
      </w:pPr>
      <w:r>
        <w:rPr>
          <w:b/>
          <w:lang w:val="en-US"/>
        </w:rPr>
        <w:tab/>
      </w:r>
    </w:p>
    <w:p w14:paraId="4659B6D4" w14:textId="7AC7CBC3" w:rsidR="00122583" w:rsidRDefault="00122583" w:rsidP="00B01533">
      <w:pPr>
        <w:spacing w:after="200"/>
        <w:jc w:val="left"/>
        <w:rPr>
          <w:b/>
          <w:lang w:val="en-US"/>
        </w:rPr>
      </w:pPr>
    </w:p>
    <w:p w14:paraId="5DE0F57E" w14:textId="1A36D424" w:rsidR="00122583" w:rsidRDefault="00122583" w:rsidP="00B01533">
      <w:pPr>
        <w:spacing w:after="200"/>
        <w:jc w:val="left"/>
        <w:rPr>
          <w:b/>
          <w:lang w:val="en-US"/>
        </w:rPr>
      </w:pPr>
    </w:p>
    <w:p w14:paraId="44753C19" w14:textId="77777777" w:rsidR="00122583" w:rsidRPr="006E1CA7" w:rsidRDefault="00122583" w:rsidP="00B01533">
      <w:pPr>
        <w:spacing w:after="200"/>
        <w:jc w:val="left"/>
        <w:rPr>
          <w:b/>
          <w:lang w:val="en-US"/>
        </w:rPr>
      </w:pPr>
    </w:p>
    <w:p w14:paraId="4E8FC2FA" w14:textId="77777777" w:rsidR="00841E1C" w:rsidRPr="000760A3" w:rsidRDefault="00841E1C" w:rsidP="00841E1C">
      <w:pPr>
        <w:pStyle w:val="Heading1"/>
      </w:pPr>
      <w:bookmarkStart w:id="21" w:name="_Toc426462626"/>
      <w:bookmarkStart w:id="22" w:name="_Toc443992221"/>
      <w:bookmarkStart w:id="23" w:name="_Toc447291467"/>
      <w:bookmarkStart w:id="24" w:name="_Toc447527524"/>
      <w:bookmarkStart w:id="25" w:name="_Toc493684122"/>
      <w:bookmarkStart w:id="26" w:name="_Toc39138041"/>
      <w:r w:rsidRPr="000760A3">
        <w:t>National Data for all District Health Boards</w:t>
      </w:r>
      <w:bookmarkEnd w:id="21"/>
      <w:bookmarkEnd w:id="22"/>
      <w:bookmarkEnd w:id="23"/>
      <w:bookmarkEnd w:id="24"/>
      <w:bookmarkEnd w:id="25"/>
      <w:bookmarkEnd w:id="26"/>
    </w:p>
    <w:p w14:paraId="7C37CA48" w14:textId="77777777" w:rsidR="00841E1C" w:rsidRDefault="00841E1C" w:rsidP="00841E1C">
      <w:pPr>
        <w:pStyle w:val="Heading2"/>
      </w:pPr>
      <w:bookmarkStart w:id="27" w:name="_Toc22101996"/>
      <w:bookmarkStart w:id="28" w:name="_Toc22018288"/>
      <w:bookmarkStart w:id="29" w:name="_Toc493684123"/>
      <w:bookmarkStart w:id="30" w:name="_Toc447527525"/>
      <w:bookmarkStart w:id="31" w:name="_Toc447291468"/>
      <w:bookmarkStart w:id="32" w:name="_Toc443992222"/>
      <w:bookmarkStart w:id="33" w:name="_Toc426462627"/>
      <w:bookmarkStart w:id="34" w:name="_Toc39138042"/>
      <w:bookmarkStart w:id="35" w:name="_Toc447291470"/>
      <w:bookmarkStart w:id="36" w:name="_Toc447527527"/>
      <w:bookmarkStart w:id="37" w:name="_Toc493684125"/>
      <w:r>
        <w:t>1.0</w:t>
      </w:r>
      <w:r>
        <w:tab/>
        <w:t>Number of complaints received</w:t>
      </w:r>
      <w:bookmarkEnd w:id="27"/>
      <w:bookmarkEnd w:id="28"/>
      <w:bookmarkEnd w:id="29"/>
      <w:bookmarkEnd w:id="30"/>
      <w:bookmarkEnd w:id="31"/>
      <w:bookmarkEnd w:id="32"/>
      <w:bookmarkEnd w:id="33"/>
      <w:bookmarkEnd w:id="34"/>
    </w:p>
    <w:p w14:paraId="035827B8" w14:textId="77777777" w:rsidR="00841E1C" w:rsidRDefault="00841E1C" w:rsidP="00841E1C">
      <w:pPr>
        <w:pStyle w:val="Heading3"/>
      </w:pPr>
      <w:bookmarkStart w:id="38" w:name="_Toc22101997"/>
      <w:bookmarkStart w:id="39" w:name="_Toc22018289"/>
      <w:bookmarkStart w:id="40" w:name="_Toc493684124"/>
      <w:bookmarkStart w:id="41" w:name="_Toc447527526"/>
      <w:bookmarkStart w:id="42" w:name="_Toc447291469"/>
      <w:bookmarkStart w:id="43" w:name="_Toc443992223"/>
      <w:bookmarkStart w:id="44" w:name="_Toc426462628"/>
      <w:bookmarkStart w:id="45" w:name="_Toc39138043"/>
      <w:r>
        <w:t xml:space="preserve">1.1 </w:t>
      </w:r>
      <w:r>
        <w:tab/>
        <w:t>Raw number of complaints received</w:t>
      </w:r>
      <w:bookmarkEnd w:id="38"/>
      <w:bookmarkEnd w:id="39"/>
      <w:bookmarkEnd w:id="40"/>
      <w:bookmarkEnd w:id="41"/>
      <w:bookmarkEnd w:id="42"/>
      <w:bookmarkEnd w:id="43"/>
      <w:bookmarkEnd w:id="44"/>
      <w:bookmarkEnd w:id="45"/>
      <w:r>
        <w:t xml:space="preserve"> </w:t>
      </w:r>
    </w:p>
    <w:p w14:paraId="67F85F2F" w14:textId="776C7C2C" w:rsidR="00841E1C" w:rsidRPr="00CE600B" w:rsidRDefault="00841E1C" w:rsidP="00841E1C">
      <w:pPr>
        <w:pStyle w:val="Heading3"/>
        <w:rPr>
          <w:i w:val="0"/>
          <w:spacing w:val="-2"/>
        </w:rPr>
      </w:pPr>
      <w:bookmarkStart w:id="46" w:name="_Toc37315210"/>
      <w:bookmarkStart w:id="47" w:name="_Toc39138044"/>
      <w:r>
        <w:rPr>
          <w:rFonts w:cs="Times New Roman"/>
          <w:bCs w:val="0"/>
          <w:i w:val="0"/>
          <w:spacing w:val="-2"/>
          <w:szCs w:val="24"/>
        </w:rPr>
        <w:t xml:space="preserve">In the period Jul-Dec </w:t>
      </w:r>
      <w:r w:rsidR="00CF0053">
        <w:rPr>
          <w:rFonts w:cs="Times New Roman"/>
          <w:bCs w:val="0"/>
          <w:i w:val="0"/>
          <w:spacing w:val="-2"/>
          <w:szCs w:val="24"/>
        </w:rPr>
        <w:t>2019,</w:t>
      </w:r>
      <w:r>
        <w:rPr>
          <w:rFonts w:cs="Times New Roman"/>
          <w:bCs w:val="0"/>
          <w:i w:val="0"/>
          <w:spacing w:val="-2"/>
          <w:szCs w:val="24"/>
        </w:rPr>
        <w:t xml:space="preserve"> HDC received </w:t>
      </w:r>
      <w:r w:rsidR="002538E2">
        <w:rPr>
          <w:rFonts w:cs="Times New Roman"/>
          <w:bCs w:val="0"/>
          <w:i w:val="0"/>
          <w:spacing w:val="-2"/>
          <w:szCs w:val="24"/>
        </w:rPr>
        <w:t>471</w:t>
      </w:r>
      <w:r w:rsidRPr="003E5338">
        <w:rPr>
          <w:rStyle w:val="FootnoteReference"/>
        </w:rPr>
        <w:footnoteReference w:id="1"/>
      </w:r>
      <w:r w:rsidRPr="00CE600B">
        <w:rPr>
          <w:i w:val="0"/>
          <w:spacing w:val="-2"/>
        </w:rPr>
        <w:t xml:space="preserve"> complaints about care provided by District Health Boards. Numbers of complaints received in previous six-month periods are reported in Table 1.</w:t>
      </w:r>
      <w:bookmarkEnd w:id="46"/>
      <w:bookmarkEnd w:id="47"/>
    </w:p>
    <w:p w14:paraId="3E6887C2" w14:textId="77777777" w:rsidR="00841E1C" w:rsidRDefault="00841E1C" w:rsidP="00841E1C"/>
    <w:p w14:paraId="4B2CF6B7" w14:textId="77777777" w:rsidR="00841E1C" w:rsidRDefault="00841E1C" w:rsidP="00841E1C">
      <w:pPr>
        <w:spacing w:after="60"/>
        <w:rPr>
          <w:b/>
        </w:rPr>
      </w:pPr>
      <w:r>
        <w:rPr>
          <w:b/>
        </w:rPr>
        <w:t xml:space="preserve">Table 1. </w:t>
      </w:r>
      <w:r>
        <w:t>Number of complaints received</w:t>
      </w:r>
      <w:r>
        <w:rPr>
          <w:rStyle w:val="NoSpacingChar"/>
        </w:rPr>
        <w:t xml:space="preserve"> in the last five years</w:t>
      </w:r>
    </w:p>
    <w:tbl>
      <w:tblPr>
        <w:tblStyle w:val="TableGrid"/>
        <w:tblpPr w:leftFromText="180" w:rightFromText="180" w:vertAnchor="text" w:horzAnchor="margin" w:tblpX="114" w:tblpY="105"/>
        <w:tblW w:w="4768" w:type="pct"/>
        <w:tblLook w:val="04A0" w:firstRow="1" w:lastRow="0" w:firstColumn="1" w:lastColumn="0" w:noHBand="0" w:noVBand="1"/>
      </w:tblPr>
      <w:tblGrid>
        <w:gridCol w:w="1158"/>
        <w:gridCol w:w="662"/>
        <w:gridCol w:w="555"/>
        <w:gridCol w:w="662"/>
        <w:gridCol w:w="664"/>
        <w:gridCol w:w="664"/>
        <w:gridCol w:w="664"/>
        <w:gridCol w:w="664"/>
        <w:gridCol w:w="664"/>
        <w:gridCol w:w="664"/>
        <w:gridCol w:w="939"/>
        <w:gridCol w:w="638"/>
      </w:tblGrid>
      <w:tr w:rsidR="00841E1C" w14:paraId="5780F08E" w14:textId="77777777" w:rsidTr="00841E1C">
        <w:trPr>
          <w:trHeight w:val="1135"/>
        </w:trPr>
        <w:tc>
          <w:tcPr>
            <w:tcW w:w="674" w:type="pct"/>
            <w:tcBorders>
              <w:top w:val="single" w:sz="4" w:space="0" w:color="auto"/>
              <w:left w:val="single" w:sz="4" w:space="0" w:color="auto"/>
              <w:bottom w:val="single" w:sz="4" w:space="0" w:color="auto"/>
              <w:right w:val="single" w:sz="4" w:space="0" w:color="auto"/>
            </w:tcBorders>
            <w:vAlign w:val="center"/>
          </w:tcPr>
          <w:p w14:paraId="1701B123" w14:textId="77777777" w:rsidR="00841E1C" w:rsidRDefault="00841E1C" w:rsidP="00841E1C">
            <w:pPr>
              <w:keepNext/>
              <w:keepLines/>
              <w:jc w:val="left"/>
              <w:rPr>
                <w:rFonts w:ascii="Calibri" w:hAnsi="Calibri"/>
                <w:b/>
                <w:szCs w:val="20"/>
              </w:rPr>
            </w:pPr>
          </w:p>
          <w:p w14:paraId="36F53959" w14:textId="77777777" w:rsidR="00841E1C" w:rsidRDefault="00841E1C" w:rsidP="00841E1C">
            <w:pPr>
              <w:keepNext/>
              <w:keepLines/>
              <w:jc w:val="left"/>
              <w:rPr>
                <w:rFonts w:ascii="Calibri" w:hAnsi="Calibri"/>
                <w:b/>
                <w:szCs w:val="20"/>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78A5D68F" w14:textId="77777777" w:rsidR="00841E1C" w:rsidRDefault="00841E1C" w:rsidP="00841E1C">
            <w:pPr>
              <w:keepNext/>
              <w:keepLines/>
              <w:jc w:val="center"/>
              <w:rPr>
                <w:rFonts w:ascii="Calibri" w:hAnsi="Calibri"/>
                <w:b/>
                <w:szCs w:val="20"/>
              </w:rPr>
            </w:pPr>
            <w:r>
              <w:rPr>
                <w:rFonts w:ascii="Calibri" w:hAnsi="Calibri"/>
                <w:b/>
                <w:szCs w:val="20"/>
              </w:rPr>
              <w:t xml:space="preserve">Jan–Jun </w:t>
            </w:r>
            <w:r>
              <w:rPr>
                <w:rFonts w:ascii="Calibri" w:hAnsi="Calibri"/>
                <w:b/>
                <w:szCs w:val="20"/>
              </w:rPr>
              <w:br/>
              <w:t>15</w:t>
            </w:r>
          </w:p>
        </w:tc>
        <w:tc>
          <w:tcPr>
            <w:tcW w:w="323" w:type="pct"/>
            <w:tcBorders>
              <w:top w:val="single" w:sz="4" w:space="0" w:color="auto"/>
              <w:left w:val="single" w:sz="4" w:space="0" w:color="auto"/>
              <w:bottom w:val="single" w:sz="4" w:space="0" w:color="auto"/>
              <w:right w:val="single" w:sz="4" w:space="0" w:color="auto"/>
            </w:tcBorders>
            <w:hideMark/>
          </w:tcPr>
          <w:p w14:paraId="0D2513E1" w14:textId="77777777" w:rsidR="00841E1C" w:rsidRDefault="00841E1C" w:rsidP="00841E1C">
            <w:pPr>
              <w:keepNext/>
              <w:keepLines/>
              <w:spacing w:before="180"/>
              <w:jc w:val="center"/>
              <w:rPr>
                <w:rFonts w:ascii="Calibri" w:hAnsi="Calibri"/>
                <w:b/>
                <w:szCs w:val="20"/>
              </w:rPr>
            </w:pPr>
            <w:r>
              <w:rPr>
                <w:rFonts w:ascii="Calibri" w:hAnsi="Calibri"/>
                <w:b/>
                <w:szCs w:val="20"/>
              </w:rPr>
              <w:t xml:space="preserve">Jul–Dec </w:t>
            </w:r>
            <w:r>
              <w:rPr>
                <w:rFonts w:ascii="Calibri" w:hAnsi="Calibri"/>
                <w:b/>
                <w:szCs w:val="20"/>
              </w:rPr>
              <w:br/>
              <w:t>15</w:t>
            </w:r>
          </w:p>
        </w:tc>
        <w:tc>
          <w:tcPr>
            <w:tcW w:w="385" w:type="pct"/>
            <w:tcBorders>
              <w:top w:val="single" w:sz="4" w:space="0" w:color="auto"/>
              <w:left w:val="single" w:sz="4" w:space="0" w:color="auto"/>
              <w:bottom w:val="single" w:sz="4" w:space="0" w:color="auto"/>
              <w:right w:val="single" w:sz="4" w:space="0" w:color="auto"/>
            </w:tcBorders>
            <w:hideMark/>
          </w:tcPr>
          <w:p w14:paraId="62784FD1" w14:textId="77777777" w:rsidR="00841E1C" w:rsidRDefault="00841E1C" w:rsidP="00841E1C">
            <w:pPr>
              <w:keepNext/>
              <w:keepLines/>
              <w:spacing w:before="180"/>
              <w:jc w:val="center"/>
              <w:rPr>
                <w:rFonts w:ascii="Calibri" w:hAnsi="Calibri"/>
                <w:b/>
                <w:szCs w:val="20"/>
              </w:rPr>
            </w:pPr>
            <w:r>
              <w:rPr>
                <w:rFonts w:ascii="Calibri" w:hAnsi="Calibri"/>
                <w:b/>
                <w:szCs w:val="20"/>
              </w:rPr>
              <w:t>Jan–Jun</w:t>
            </w:r>
            <w:r>
              <w:rPr>
                <w:rFonts w:ascii="Calibri" w:hAnsi="Calibri"/>
                <w:b/>
                <w:szCs w:val="20"/>
              </w:rPr>
              <w:br/>
              <w:t>16</w:t>
            </w:r>
          </w:p>
        </w:tc>
        <w:tc>
          <w:tcPr>
            <w:tcW w:w="386" w:type="pct"/>
            <w:tcBorders>
              <w:top w:val="single" w:sz="4" w:space="0" w:color="auto"/>
              <w:left w:val="single" w:sz="4" w:space="0" w:color="auto"/>
              <w:bottom w:val="single" w:sz="4" w:space="0" w:color="auto"/>
              <w:right w:val="single" w:sz="4" w:space="0" w:color="auto"/>
            </w:tcBorders>
            <w:hideMark/>
          </w:tcPr>
          <w:p w14:paraId="3C9ADDCB" w14:textId="77777777" w:rsidR="00841E1C" w:rsidRDefault="00841E1C" w:rsidP="00841E1C">
            <w:pPr>
              <w:keepNext/>
              <w:keepLines/>
              <w:spacing w:before="180"/>
              <w:jc w:val="center"/>
              <w:rPr>
                <w:rFonts w:ascii="Calibri" w:hAnsi="Calibri"/>
                <w:b/>
                <w:szCs w:val="20"/>
              </w:rPr>
            </w:pPr>
            <w:r>
              <w:rPr>
                <w:rFonts w:ascii="Calibri" w:hAnsi="Calibri"/>
                <w:b/>
                <w:szCs w:val="20"/>
              </w:rPr>
              <w:t>Jul–Dec</w:t>
            </w:r>
            <w:r>
              <w:rPr>
                <w:rFonts w:ascii="Calibri" w:hAnsi="Calibri"/>
                <w:b/>
                <w:szCs w:val="20"/>
              </w:rPr>
              <w:br/>
              <w:t>16</w:t>
            </w:r>
          </w:p>
        </w:tc>
        <w:tc>
          <w:tcPr>
            <w:tcW w:w="386" w:type="pct"/>
            <w:tcBorders>
              <w:top w:val="single" w:sz="4" w:space="0" w:color="auto"/>
              <w:left w:val="single" w:sz="4" w:space="0" w:color="auto"/>
              <w:bottom w:val="single" w:sz="4" w:space="0" w:color="auto"/>
              <w:right w:val="single" w:sz="4" w:space="0" w:color="auto"/>
            </w:tcBorders>
            <w:hideMark/>
          </w:tcPr>
          <w:p w14:paraId="1C3B788F" w14:textId="77777777" w:rsidR="00841E1C" w:rsidRDefault="00841E1C" w:rsidP="00841E1C">
            <w:pPr>
              <w:keepNext/>
              <w:keepLines/>
              <w:spacing w:before="180"/>
              <w:jc w:val="center"/>
              <w:rPr>
                <w:rFonts w:ascii="Calibri" w:hAnsi="Calibri"/>
                <w:b/>
                <w:szCs w:val="20"/>
              </w:rPr>
            </w:pPr>
            <w:r>
              <w:rPr>
                <w:rFonts w:ascii="Calibri" w:hAnsi="Calibri"/>
                <w:b/>
                <w:szCs w:val="20"/>
              </w:rPr>
              <w:t>Jan–Jun</w:t>
            </w:r>
            <w:r>
              <w:rPr>
                <w:rFonts w:ascii="Calibri" w:hAnsi="Calibri"/>
                <w:b/>
                <w:szCs w:val="20"/>
              </w:rPr>
              <w:br/>
              <w:t>17</w:t>
            </w:r>
          </w:p>
        </w:tc>
        <w:tc>
          <w:tcPr>
            <w:tcW w:w="386" w:type="pct"/>
            <w:tcBorders>
              <w:top w:val="single" w:sz="4" w:space="0" w:color="auto"/>
              <w:left w:val="single" w:sz="4" w:space="0" w:color="auto"/>
              <w:bottom w:val="single" w:sz="4" w:space="0" w:color="auto"/>
              <w:right w:val="single" w:sz="4" w:space="0" w:color="auto"/>
            </w:tcBorders>
            <w:hideMark/>
          </w:tcPr>
          <w:p w14:paraId="308CC830" w14:textId="77777777" w:rsidR="00841E1C" w:rsidRDefault="00841E1C" w:rsidP="00841E1C">
            <w:pPr>
              <w:keepNext/>
              <w:keepLines/>
              <w:spacing w:before="180"/>
              <w:jc w:val="center"/>
              <w:rPr>
                <w:rFonts w:ascii="Calibri" w:hAnsi="Calibri"/>
                <w:b/>
                <w:szCs w:val="20"/>
              </w:rPr>
            </w:pPr>
            <w:r>
              <w:rPr>
                <w:rFonts w:ascii="Calibri" w:hAnsi="Calibri"/>
                <w:b/>
                <w:szCs w:val="20"/>
              </w:rPr>
              <w:t>Jul–Dec</w:t>
            </w:r>
            <w:r>
              <w:rPr>
                <w:rFonts w:ascii="Calibri" w:hAnsi="Calibri"/>
                <w:b/>
                <w:szCs w:val="20"/>
              </w:rPr>
              <w:br/>
              <w:t>17</w:t>
            </w:r>
          </w:p>
        </w:tc>
        <w:tc>
          <w:tcPr>
            <w:tcW w:w="386" w:type="pct"/>
            <w:tcBorders>
              <w:top w:val="single" w:sz="4" w:space="0" w:color="auto"/>
              <w:left w:val="single" w:sz="4" w:space="0" w:color="auto"/>
              <w:bottom w:val="single" w:sz="4" w:space="0" w:color="auto"/>
              <w:right w:val="single" w:sz="4" w:space="0" w:color="auto"/>
            </w:tcBorders>
            <w:hideMark/>
          </w:tcPr>
          <w:p w14:paraId="23E8A2CB" w14:textId="77777777" w:rsidR="00841E1C" w:rsidRDefault="00841E1C" w:rsidP="00841E1C">
            <w:pPr>
              <w:keepNext/>
              <w:keepLines/>
              <w:spacing w:before="180"/>
              <w:jc w:val="center"/>
              <w:rPr>
                <w:rFonts w:ascii="Calibri" w:hAnsi="Calibri"/>
                <w:b/>
                <w:szCs w:val="20"/>
              </w:rPr>
            </w:pPr>
            <w:r>
              <w:rPr>
                <w:rFonts w:ascii="Calibri" w:hAnsi="Calibri"/>
                <w:b/>
                <w:szCs w:val="20"/>
              </w:rPr>
              <w:t>Jan–Jun</w:t>
            </w:r>
            <w:r>
              <w:rPr>
                <w:rFonts w:ascii="Calibri" w:hAnsi="Calibri"/>
                <w:b/>
                <w:szCs w:val="20"/>
              </w:rPr>
              <w:br/>
              <w:t>18</w:t>
            </w:r>
          </w:p>
        </w:tc>
        <w:tc>
          <w:tcPr>
            <w:tcW w:w="386" w:type="pct"/>
            <w:tcBorders>
              <w:top w:val="single" w:sz="4" w:space="0" w:color="auto"/>
              <w:left w:val="single" w:sz="4" w:space="0" w:color="auto"/>
              <w:bottom w:val="single" w:sz="4" w:space="0" w:color="auto"/>
              <w:right w:val="single" w:sz="4" w:space="0" w:color="auto"/>
            </w:tcBorders>
            <w:hideMark/>
          </w:tcPr>
          <w:p w14:paraId="2EBA18EB" w14:textId="77777777" w:rsidR="00841E1C" w:rsidRDefault="00841E1C" w:rsidP="00841E1C">
            <w:pPr>
              <w:keepNext/>
              <w:keepLines/>
              <w:spacing w:before="180"/>
              <w:jc w:val="center"/>
              <w:rPr>
                <w:rFonts w:ascii="Calibri" w:hAnsi="Calibri"/>
                <w:b/>
                <w:szCs w:val="20"/>
              </w:rPr>
            </w:pPr>
            <w:r>
              <w:rPr>
                <w:rFonts w:ascii="Calibri" w:hAnsi="Calibri"/>
                <w:b/>
                <w:szCs w:val="20"/>
              </w:rPr>
              <w:t>Jul–Dec</w:t>
            </w:r>
            <w:r>
              <w:rPr>
                <w:rFonts w:ascii="Calibri" w:hAnsi="Calibri"/>
                <w:b/>
                <w:szCs w:val="20"/>
              </w:rPr>
              <w:br/>
              <w:t>18</w:t>
            </w:r>
          </w:p>
        </w:tc>
        <w:tc>
          <w:tcPr>
            <w:tcW w:w="386" w:type="pct"/>
            <w:tcBorders>
              <w:top w:val="single" w:sz="4" w:space="0" w:color="auto"/>
              <w:left w:val="single" w:sz="4" w:space="0" w:color="auto"/>
              <w:bottom w:val="single" w:sz="4" w:space="0" w:color="auto"/>
              <w:right w:val="single" w:sz="4" w:space="0" w:color="auto"/>
            </w:tcBorders>
            <w:hideMark/>
          </w:tcPr>
          <w:p w14:paraId="345ABAAD" w14:textId="77777777" w:rsidR="00841E1C" w:rsidRDefault="00841E1C" w:rsidP="00841E1C">
            <w:pPr>
              <w:keepNext/>
              <w:keepLines/>
              <w:spacing w:before="180"/>
              <w:jc w:val="center"/>
              <w:rPr>
                <w:rFonts w:ascii="Calibri" w:hAnsi="Calibri"/>
                <w:b/>
                <w:szCs w:val="20"/>
              </w:rPr>
            </w:pPr>
            <w:r>
              <w:rPr>
                <w:rFonts w:ascii="Calibri" w:hAnsi="Calibri"/>
                <w:b/>
                <w:szCs w:val="20"/>
              </w:rPr>
              <w:t>Jan–Jun</w:t>
            </w:r>
          </w:p>
          <w:p w14:paraId="17B84762" w14:textId="77777777" w:rsidR="00841E1C" w:rsidRDefault="00841E1C" w:rsidP="00841E1C">
            <w:pPr>
              <w:keepNext/>
              <w:keepLines/>
              <w:jc w:val="center"/>
              <w:rPr>
                <w:rFonts w:ascii="Calibri" w:hAnsi="Calibri"/>
                <w:b/>
                <w:szCs w:val="20"/>
              </w:rPr>
            </w:pPr>
            <w:r>
              <w:rPr>
                <w:rFonts w:ascii="Calibri" w:hAnsi="Calibri"/>
                <w:b/>
                <w:szCs w:val="20"/>
              </w:rPr>
              <w:t>19</w:t>
            </w:r>
          </w:p>
        </w:tc>
        <w:tc>
          <w:tcPr>
            <w:tcW w:w="546" w:type="pct"/>
            <w:tcBorders>
              <w:top w:val="single" w:sz="4" w:space="0" w:color="auto"/>
              <w:left w:val="single" w:sz="4" w:space="0" w:color="auto"/>
              <w:bottom w:val="single" w:sz="4" w:space="0" w:color="auto"/>
              <w:right w:val="single" w:sz="4" w:space="0" w:color="auto"/>
            </w:tcBorders>
            <w:hideMark/>
          </w:tcPr>
          <w:p w14:paraId="1397277D" w14:textId="77777777" w:rsidR="00841E1C" w:rsidRDefault="00841E1C" w:rsidP="00841E1C">
            <w:pPr>
              <w:keepNext/>
              <w:keepLines/>
              <w:spacing w:before="120"/>
              <w:jc w:val="center"/>
              <w:rPr>
                <w:rFonts w:ascii="Calibri" w:hAnsi="Calibri"/>
                <w:b/>
                <w:szCs w:val="20"/>
              </w:rPr>
            </w:pPr>
            <w:r>
              <w:rPr>
                <w:rFonts w:ascii="Calibri" w:hAnsi="Calibri"/>
                <w:b/>
                <w:szCs w:val="20"/>
              </w:rPr>
              <w:t xml:space="preserve">Average of last 4  </w:t>
            </w:r>
          </w:p>
          <w:p w14:paraId="28D29252" w14:textId="77777777" w:rsidR="00841E1C" w:rsidRDefault="00841E1C" w:rsidP="00841E1C">
            <w:pPr>
              <w:keepNext/>
              <w:keepLines/>
              <w:jc w:val="center"/>
              <w:rPr>
                <w:rFonts w:ascii="Calibri" w:hAnsi="Calibri"/>
                <w:b/>
                <w:szCs w:val="20"/>
              </w:rPr>
            </w:pPr>
            <w:r>
              <w:rPr>
                <w:rFonts w:ascii="Calibri" w:hAnsi="Calibri"/>
                <w:b/>
                <w:szCs w:val="20"/>
              </w:rPr>
              <w:t>6-month periods</w:t>
            </w:r>
          </w:p>
        </w:tc>
        <w:tc>
          <w:tcPr>
            <w:tcW w:w="373" w:type="pct"/>
            <w:tcBorders>
              <w:top w:val="single" w:sz="4" w:space="0" w:color="auto"/>
              <w:left w:val="single" w:sz="4" w:space="0" w:color="auto"/>
              <w:bottom w:val="single" w:sz="4" w:space="0" w:color="auto"/>
              <w:right w:val="single" w:sz="4" w:space="0" w:color="auto"/>
            </w:tcBorders>
            <w:hideMark/>
          </w:tcPr>
          <w:p w14:paraId="31441833" w14:textId="77777777" w:rsidR="00841E1C" w:rsidRDefault="00841E1C" w:rsidP="00841E1C">
            <w:pPr>
              <w:keepNext/>
              <w:keepLines/>
              <w:spacing w:before="180"/>
              <w:jc w:val="center"/>
              <w:rPr>
                <w:rFonts w:ascii="Calibri" w:hAnsi="Calibri"/>
                <w:b/>
                <w:szCs w:val="20"/>
              </w:rPr>
            </w:pPr>
            <w:r>
              <w:rPr>
                <w:rFonts w:ascii="Calibri" w:hAnsi="Calibri"/>
                <w:b/>
                <w:szCs w:val="20"/>
              </w:rPr>
              <w:t>Jul -Dec</w:t>
            </w:r>
          </w:p>
          <w:p w14:paraId="1C613026" w14:textId="77777777" w:rsidR="00841E1C" w:rsidRDefault="00841E1C" w:rsidP="00841E1C">
            <w:pPr>
              <w:keepNext/>
              <w:keepLines/>
              <w:jc w:val="center"/>
              <w:rPr>
                <w:rFonts w:ascii="Calibri" w:hAnsi="Calibri"/>
                <w:b/>
                <w:szCs w:val="20"/>
              </w:rPr>
            </w:pPr>
            <w:r>
              <w:rPr>
                <w:rFonts w:ascii="Calibri" w:hAnsi="Calibri"/>
                <w:b/>
                <w:szCs w:val="20"/>
              </w:rPr>
              <w:t>19</w:t>
            </w:r>
          </w:p>
        </w:tc>
      </w:tr>
      <w:tr w:rsidR="00841E1C" w14:paraId="43B05C37" w14:textId="77777777" w:rsidTr="00841E1C">
        <w:trPr>
          <w:trHeight w:val="544"/>
        </w:trPr>
        <w:tc>
          <w:tcPr>
            <w:tcW w:w="674" w:type="pct"/>
            <w:tcBorders>
              <w:top w:val="single" w:sz="4" w:space="0" w:color="auto"/>
              <w:left w:val="single" w:sz="4" w:space="0" w:color="auto"/>
              <w:bottom w:val="single" w:sz="4" w:space="0" w:color="auto"/>
              <w:right w:val="single" w:sz="4" w:space="0" w:color="auto"/>
            </w:tcBorders>
            <w:vAlign w:val="center"/>
            <w:hideMark/>
          </w:tcPr>
          <w:p w14:paraId="08994DC2" w14:textId="77777777" w:rsidR="00841E1C" w:rsidRDefault="00841E1C" w:rsidP="00841E1C">
            <w:pPr>
              <w:keepNext/>
              <w:keepLines/>
              <w:spacing w:after="40"/>
              <w:jc w:val="left"/>
              <w:rPr>
                <w:rFonts w:ascii="Calibri" w:hAnsi="Calibri"/>
                <w:b/>
                <w:szCs w:val="20"/>
              </w:rPr>
            </w:pPr>
            <w:r>
              <w:rPr>
                <w:rFonts w:ascii="Calibri" w:hAnsi="Calibri"/>
                <w:b/>
                <w:szCs w:val="20"/>
              </w:rPr>
              <w:t>Number of complaints</w:t>
            </w:r>
          </w:p>
        </w:tc>
        <w:tc>
          <w:tcPr>
            <w:tcW w:w="385" w:type="pct"/>
            <w:tcBorders>
              <w:top w:val="single" w:sz="4" w:space="0" w:color="auto"/>
              <w:left w:val="single" w:sz="4" w:space="0" w:color="auto"/>
              <w:bottom w:val="single" w:sz="4" w:space="0" w:color="auto"/>
              <w:right w:val="single" w:sz="4" w:space="0" w:color="auto"/>
            </w:tcBorders>
            <w:vAlign w:val="center"/>
            <w:hideMark/>
          </w:tcPr>
          <w:p w14:paraId="7C48BA9A" w14:textId="77777777" w:rsidR="00841E1C" w:rsidRDefault="00841E1C" w:rsidP="00841E1C">
            <w:pPr>
              <w:keepNext/>
              <w:keepLines/>
              <w:jc w:val="center"/>
              <w:rPr>
                <w:rFonts w:ascii="Calibri" w:hAnsi="Calibri"/>
                <w:szCs w:val="20"/>
              </w:rPr>
            </w:pPr>
            <w:r>
              <w:rPr>
                <w:rFonts w:ascii="Calibri" w:hAnsi="Calibri"/>
                <w:szCs w:val="20"/>
              </w:rPr>
              <w:t>389</w:t>
            </w:r>
          </w:p>
        </w:tc>
        <w:tc>
          <w:tcPr>
            <w:tcW w:w="323" w:type="pct"/>
            <w:tcBorders>
              <w:top w:val="single" w:sz="4" w:space="0" w:color="auto"/>
              <w:left w:val="single" w:sz="4" w:space="0" w:color="auto"/>
              <w:bottom w:val="single" w:sz="4" w:space="0" w:color="auto"/>
              <w:right w:val="single" w:sz="4" w:space="0" w:color="auto"/>
            </w:tcBorders>
            <w:vAlign w:val="center"/>
            <w:hideMark/>
          </w:tcPr>
          <w:p w14:paraId="0D2BAFD1" w14:textId="77777777" w:rsidR="00841E1C" w:rsidRDefault="00841E1C" w:rsidP="00841E1C">
            <w:pPr>
              <w:keepNext/>
              <w:keepLines/>
              <w:jc w:val="center"/>
              <w:rPr>
                <w:rFonts w:ascii="Calibri" w:hAnsi="Calibri"/>
                <w:szCs w:val="20"/>
              </w:rPr>
            </w:pPr>
            <w:r>
              <w:rPr>
                <w:rFonts w:ascii="Calibri" w:hAnsi="Calibri"/>
                <w:szCs w:val="20"/>
              </w:rPr>
              <w:t>422</w:t>
            </w:r>
          </w:p>
        </w:tc>
        <w:tc>
          <w:tcPr>
            <w:tcW w:w="385" w:type="pct"/>
            <w:tcBorders>
              <w:top w:val="single" w:sz="4" w:space="0" w:color="auto"/>
              <w:left w:val="single" w:sz="4" w:space="0" w:color="auto"/>
              <w:bottom w:val="single" w:sz="4" w:space="0" w:color="auto"/>
              <w:right w:val="single" w:sz="4" w:space="0" w:color="auto"/>
            </w:tcBorders>
            <w:vAlign w:val="center"/>
            <w:hideMark/>
          </w:tcPr>
          <w:p w14:paraId="6004A0CB" w14:textId="77777777" w:rsidR="00841E1C" w:rsidRDefault="00841E1C" w:rsidP="00841E1C">
            <w:pPr>
              <w:keepNext/>
              <w:keepLines/>
              <w:jc w:val="center"/>
              <w:rPr>
                <w:rFonts w:ascii="Calibri" w:hAnsi="Calibri"/>
                <w:szCs w:val="20"/>
              </w:rPr>
            </w:pPr>
            <w:r>
              <w:rPr>
                <w:rFonts w:ascii="Calibri" w:hAnsi="Calibri"/>
                <w:szCs w:val="20"/>
              </w:rPr>
              <w:t>383</w:t>
            </w:r>
          </w:p>
        </w:tc>
        <w:tc>
          <w:tcPr>
            <w:tcW w:w="386" w:type="pct"/>
            <w:tcBorders>
              <w:top w:val="single" w:sz="4" w:space="0" w:color="auto"/>
              <w:left w:val="single" w:sz="4" w:space="0" w:color="auto"/>
              <w:bottom w:val="single" w:sz="4" w:space="0" w:color="auto"/>
              <w:right w:val="single" w:sz="4" w:space="0" w:color="auto"/>
            </w:tcBorders>
            <w:vAlign w:val="center"/>
            <w:hideMark/>
          </w:tcPr>
          <w:p w14:paraId="2C996A9B" w14:textId="77777777" w:rsidR="00841E1C" w:rsidRDefault="00841E1C" w:rsidP="00841E1C">
            <w:pPr>
              <w:keepNext/>
              <w:keepLines/>
              <w:jc w:val="center"/>
              <w:rPr>
                <w:rFonts w:ascii="Calibri" w:hAnsi="Calibri"/>
                <w:szCs w:val="20"/>
              </w:rPr>
            </w:pPr>
            <w:r>
              <w:rPr>
                <w:rFonts w:ascii="Calibri" w:hAnsi="Calibri"/>
                <w:szCs w:val="20"/>
              </w:rPr>
              <w:t>386</w:t>
            </w:r>
          </w:p>
        </w:tc>
        <w:tc>
          <w:tcPr>
            <w:tcW w:w="386" w:type="pct"/>
            <w:tcBorders>
              <w:top w:val="single" w:sz="4" w:space="0" w:color="auto"/>
              <w:left w:val="single" w:sz="4" w:space="0" w:color="auto"/>
              <w:bottom w:val="single" w:sz="4" w:space="0" w:color="auto"/>
              <w:right w:val="single" w:sz="4" w:space="0" w:color="auto"/>
            </w:tcBorders>
            <w:vAlign w:val="center"/>
            <w:hideMark/>
          </w:tcPr>
          <w:p w14:paraId="149B9481" w14:textId="77777777" w:rsidR="00841E1C" w:rsidRDefault="00841E1C" w:rsidP="00841E1C">
            <w:pPr>
              <w:keepNext/>
              <w:keepLines/>
              <w:jc w:val="center"/>
              <w:rPr>
                <w:rFonts w:ascii="Calibri" w:hAnsi="Calibri"/>
                <w:szCs w:val="20"/>
              </w:rPr>
            </w:pPr>
            <w:r>
              <w:rPr>
                <w:rFonts w:ascii="Calibri" w:hAnsi="Calibri"/>
                <w:szCs w:val="20"/>
              </w:rPr>
              <w:t>477</w:t>
            </w:r>
          </w:p>
        </w:tc>
        <w:tc>
          <w:tcPr>
            <w:tcW w:w="386" w:type="pct"/>
            <w:tcBorders>
              <w:top w:val="single" w:sz="4" w:space="0" w:color="auto"/>
              <w:left w:val="single" w:sz="4" w:space="0" w:color="auto"/>
              <w:bottom w:val="single" w:sz="4" w:space="0" w:color="auto"/>
              <w:right w:val="single" w:sz="4" w:space="0" w:color="auto"/>
            </w:tcBorders>
            <w:vAlign w:val="center"/>
            <w:hideMark/>
          </w:tcPr>
          <w:p w14:paraId="2F9CC453" w14:textId="77777777" w:rsidR="00841E1C" w:rsidRDefault="00841E1C" w:rsidP="00841E1C">
            <w:pPr>
              <w:keepNext/>
              <w:keepLines/>
              <w:jc w:val="center"/>
              <w:rPr>
                <w:rFonts w:ascii="Calibri" w:hAnsi="Calibri"/>
                <w:szCs w:val="20"/>
              </w:rPr>
            </w:pPr>
            <w:r>
              <w:rPr>
                <w:rFonts w:ascii="Calibri" w:hAnsi="Calibri"/>
                <w:szCs w:val="20"/>
              </w:rPr>
              <w:t>439</w:t>
            </w:r>
          </w:p>
        </w:tc>
        <w:tc>
          <w:tcPr>
            <w:tcW w:w="386" w:type="pct"/>
            <w:tcBorders>
              <w:top w:val="single" w:sz="4" w:space="0" w:color="auto"/>
              <w:left w:val="single" w:sz="4" w:space="0" w:color="auto"/>
              <w:bottom w:val="single" w:sz="4" w:space="0" w:color="auto"/>
              <w:right w:val="single" w:sz="4" w:space="0" w:color="auto"/>
            </w:tcBorders>
            <w:vAlign w:val="center"/>
            <w:hideMark/>
          </w:tcPr>
          <w:p w14:paraId="2C24651E" w14:textId="77777777" w:rsidR="00841E1C" w:rsidRDefault="00841E1C" w:rsidP="00841E1C">
            <w:pPr>
              <w:keepNext/>
              <w:keepLines/>
              <w:jc w:val="center"/>
              <w:rPr>
                <w:rFonts w:ascii="Calibri" w:hAnsi="Calibri"/>
                <w:szCs w:val="20"/>
              </w:rPr>
            </w:pPr>
            <w:r>
              <w:rPr>
                <w:rFonts w:ascii="Calibri" w:hAnsi="Calibri"/>
                <w:szCs w:val="20"/>
              </w:rPr>
              <w:t>450</w:t>
            </w:r>
          </w:p>
        </w:tc>
        <w:tc>
          <w:tcPr>
            <w:tcW w:w="386" w:type="pct"/>
            <w:tcBorders>
              <w:top w:val="single" w:sz="4" w:space="0" w:color="auto"/>
              <w:left w:val="single" w:sz="4" w:space="0" w:color="auto"/>
              <w:bottom w:val="single" w:sz="4" w:space="0" w:color="auto"/>
              <w:right w:val="single" w:sz="4" w:space="0" w:color="auto"/>
            </w:tcBorders>
            <w:vAlign w:val="center"/>
            <w:hideMark/>
          </w:tcPr>
          <w:p w14:paraId="0B47F5E3" w14:textId="77777777" w:rsidR="00841E1C" w:rsidRDefault="00841E1C" w:rsidP="00841E1C">
            <w:pPr>
              <w:keepNext/>
              <w:keepLines/>
              <w:jc w:val="center"/>
              <w:rPr>
                <w:rFonts w:ascii="Calibri" w:hAnsi="Calibri"/>
                <w:szCs w:val="20"/>
              </w:rPr>
            </w:pPr>
            <w:r>
              <w:rPr>
                <w:rFonts w:ascii="Calibri" w:hAnsi="Calibri"/>
                <w:szCs w:val="20"/>
              </w:rPr>
              <w:t>442</w:t>
            </w:r>
          </w:p>
        </w:tc>
        <w:tc>
          <w:tcPr>
            <w:tcW w:w="386" w:type="pct"/>
            <w:tcBorders>
              <w:top w:val="single" w:sz="4" w:space="0" w:color="auto"/>
              <w:left w:val="single" w:sz="4" w:space="0" w:color="auto"/>
              <w:bottom w:val="single" w:sz="4" w:space="0" w:color="auto"/>
              <w:right w:val="single" w:sz="4" w:space="0" w:color="auto"/>
            </w:tcBorders>
            <w:vAlign w:val="center"/>
            <w:hideMark/>
          </w:tcPr>
          <w:p w14:paraId="62B0AB9A" w14:textId="77777777" w:rsidR="00841E1C" w:rsidRPr="00484564" w:rsidRDefault="00841E1C" w:rsidP="00841E1C">
            <w:pPr>
              <w:keepNext/>
              <w:keepLines/>
              <w:jc w:val="center"/>
              <w:rPr>
                <w:rFonts w:ascii="Calibri" w:hAnsi="Calibri"/>
                <w:szCs w:val="20"/>
              </w:rPr>
            </w:pPr>
            <w:r w:rsidRPr="00484564">
              <w:rPr>
                <w:rFonts w:ascii="Calibri" w:hAnsi="Calibri"/>
                <w:szCs w:val="20"/>
              </w:rPr>
              <w:t>427</w:t>
            </w:r>
          </w:p>
        </w:tc>
        <w:tc>
          <w:tcPr>
            <w:tcW w:w="546" w:type="pct"/>
            <w:tcBorders>
              <w:top w:val="single" w:sz="4" w:space="0" w:color="auto"/>
              <w:left w:val="single" w:sz="4" w:space="0" w:color="auto"/>
              <w:bottom w:val="single" w:sz="4" w:space="0" w:color="auto"/>
              <w:right w:val="single" w:sz="4" w:space="0" w:color="auto"/>
            </w:tcBorders>
            <w:vAlign w:val="center"/>
            <w:hideMark/>
          </w:tcPr>
          <w:p w14:paraId="2EB41E3E" w14:textId="77777777" w:rsidR="00841E1C" w:rsidRDefault="00841E1C" w:rsidP="00841E1C">
            <w:pPr>
              <w:keepNext/>
              <w:keepLines/>
              <w:jc w:val="center"/>
              <w:rPr>
                <w:rFonts w:ascii="Calibri" w:hAnsi="Calibri"/>
                <w:b/>
                <w:szCs w:val="20"/>
              </w:rPr>
            </w:pPr>
            <w:r>
              <w:rPr>
                <w:rFonts w:ascii="Calibri" w:hAnsi="Calibri"/>
                <w:b/>
                <w:szCs w:val="20"/>
              </w:rPr>
              <w:t>440</w:t>
            </w:r>
          </w:p>
        </w:tc>
        <w:tc>
          <w:tcPr>
            <w:tcW w:w="373" w:type="pct"/>
            <w:tcBorders>
              <w:top w:val="single" w:sz="4" w:space="0" w:color="auto"/>
              <w:left w:val="single" w:sz="4" w:space="0" w:color="auto"/>
              <w:bottom w:val="single" w:sz="4" w:space="0" w:color="auto"/>
              <w:right w:val="single" w:sz="4" w:space="0" w:color="auto"/>
            </w:tcBorders>
            <w:vAlign w:val="center"/>
            <w:hideMark/>
          </w:tcPr>
          <w:p w14:paraId="4EF90E8F" w14:textId="1141AB0C" w:rsidR="00841E1C" w:rsidRDefault="002538E2" w:rsidP="00841E1C">
            <w:pPr>
              <w:keepNext/>
              <w:keepLines/>
              <w:jc w:val="center"/>
              <w:rPr>
                <w:rFonts w:ascii="Calibri" w:hAnsi="Calibri"/>
                <w:b/>
                <w:szCs w:val="20"/>
              </w:rPr>
            </w:pPr>
            <w:r>
              <w:rPr>
                <w:rFonts w:ascii="Calibri" w:hAnsi="Calibri"/>
                <w:b/>
                <w:szCs w:val="20"/>
              </w:rPr>
              <w:t>471</w:t>
            </w:r>
          </w:p>
        </w:tc>
      </w:tr>
    </w:tbl>
    <w:p w14:paraId="5FCE82C5" w14:textId="77777777" w:rsidR="00841E1C" w:rsidRDefault="00841E1C" w:rsidP="00841E1C"/>
    <w:p w14:paraId="107BA2C6" w14:textId="22B979B4" w:rsidR="00841E1C" w:rsidRDefault="00841E1C" w:rsidP="00841E1C">
      <w:pPr>
        <w:spacing w:before="120"/>
      </w:pPr>
      <w:r>
        <w:t xml:space="preserve">The total number of complaints received in </w:t>
      </w:r>
      <w:r>
        <w:rPr>
          <w:lang w:eastAsia="en-NZ" w:bidi="ar-SA"/>
        </w:rPr>
        <w:t xml:space="preserve">Jul-Dec 2019 </w:t>
      </w:r>
      <w:r w:rsidR="002538E2">
        <w:t>(471</w:t>
      </w:r>
      <w:r>
        <w:t>) shows a 7% increase over the average number of complaints received in the previous four periods.</w:t>
      </w:r>
    </w:p>
    <w:p w14:paraId="72204C49" w14:textId="77777777" w:rsidR="00841E1C" w:rsidRDefault="00841E1C" w:rsidP="00841E1C"/>
    <w:p w14:paraId="5C1B7BDD" w14:textId="77777777" w:rsidR="00841E1C" w:rsidRDefault="00841E1C" w:rsidP="00841E1C">
      <w:r>
        <w:t xml:space="preserve">The number of complaints received in </w:t>
      </w:r>
      <w:r>
        <w:rPr>
          <w:lang w:eastAsia="en-NZ" w:bidi="ar-SA"/>
        </w:rPr>
        <w:t xml:space="preserve">Jul-Dec 2019 </w:t>
      </w:r>
      <w:r>
        <w:t xml:space="preserve">and previous six-month periods are also displayed below in Figure 1. </w:t>
      </w:r>
    </w:p>
    <w:p w14:paraId="256BA421" w14:textId="77777777" w:rsidR="00841E1C" w:rsidRDefault="00841E1C" w:rsidP="00841E1C"/>
    <w:p w14:paraId="479CD95F" w14:textId="11230197" w:rsidR="00841E1C" w:rsidRDefault="00841E1C" w:rsidP="00841E1C">
      <w:pPr>
        <w:spacing w:after="120"/>
        <w:rPr>
          <w:b/>
        </w:rPr>
      </w:pPr>
      <w:r>
        <w:rPr>
          <w:b/>
        </w:rPr>
        <w:t xml:space="preserve">Figure 1. </w:t>
      </w:r>
      <w:r>
        <w:t>Number of complaints received over the last five years</w:t>
      </w:r>
    </w:p>
    <w:p w14:paraId="674BF71D" w14:textId="5D681033" w:rsidR="00841E1C" w:rsidRDefault="003E5338" w:rsidP="003E5338">
      <w:pPr>
        <w:spacing w:after="120"/>
        <w:ind w:left="426"/>
        <w:rPr>
          <w:b/>
        </w:rPr>
      </w:pPr>
      <w:r>
        <w:rPr>
          <w:noProof/>
          <w:lang w:eastAsia="en-NZ" w:bidi="ar-SA"/>
        </w:rPr>
        <w:drawing>
          <wp:inline distT="0" distB="0" distL="0" distR="0" wp14:anchorId="7C424DD7" wp14:editId="76C9C112">
            <wp:extent cx="5080635" cy="3131388"/>
            <wp:effectExtent l="0" t="0" r="5715"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853F910" w14:textId="3500BFB5" w:rsidR="00841E1C" w:rsidRDefault="00841E1C" w:rsidP="00841E1C">
      <w:pPr>
        <w:spacing w:after="120"/>
        <w:jc w:val="center"/>
        <w:rPr>
          <w:rFonts w:ascii="Calibri" w:hAnsi="Calibri"/>
          <w:szCs w:val="22"/>
        </w:rPr>
      </w:pPr>
    </w:p>
    <w:p w14:paraId="78C75971" w14:textId="77777777" w:rsidR="00A96DAD" w:rsidRDefault="00A96DAD" w:rsidP="00841E1C">
      <w:pPr>
        <w:spacing w:after="120"/>
        <w:jc w:val="center"/>
        <w:rPr>
          <w:rFonts w:ascii="Calibri" w:hAnsi="Calibri"/>
          <w:szCs w:val="22"/>
        </w:rPr>
      </w:pPr>
    </w:p>
    <w:p w14:paraId="4F9318CF" w14:textId="77777777" w:rsidR="00A96DAD" w:rsidRDefault="00A96DAD" w:rsidP="00841E1C">
      <w:pPr>
        <w:pStyle w:val="Heading3"/>
      </w:pPr>
      <w:bookmarkStart w:id="48" w:name="_Toc22101998"/>
      <w:bookmarkStart w:id="49" w:name="_Toc22018290"/>
      <w:bookmarkStart w:id="50" w:name="_Toc39138045"/>
    </w:p>
    <w:p w14:paraId="63825431" w14:textId="12BF4A53" w:rsidR="00841E1C" w:rsidRDefault="00841E1C" w:rsidP="00841E1C">
      <w:pPr>
        <w:pStyle w:val="Heading3"/>
      </w:pPr>
      <w:r w:rsidRPr="00C97276">
        <w:t>1.2</w:t>
      </w:r>
      <w:r w:rsidRPr="00C97276">
        <w:tab/>
        <w:t>Rate of complaints received</w:t>
      </w:r>
      <w:bookmarkEnd w:id="48"/>
      <w:bookmarkEnd w:id="49"/>
      <w:bookmarkEnd w:id="50"/>
      <w:r>
        <w:t xml:space="preserve"> </w:t>
      </w:r>
    </w:p>
    <w:bookmarkEnd w:id="35"/>
    <w:bookmarkEnd w:id="36"/>
    <w:bookmarkEnd w:id="37"/>
    <w:p w14:paraId="19E4BE2F" w14:textId="77777777" w:rsidR="00841E1C" w:rsidRDefault="00841E1C" w:rsidP="00841E1C">
      <w:r>
        <w:t xml:space="preserve">When numbers of </w:t>
      </w:r>
      <w:r>
        <w:rPr>
          <w:rFonts w:cs="Calibri"/>
        </w:rPr>
        <w:t>complaints</w:t>
      </w:r>
      <w:r>
        <w:t xml:space="preserve"> to HDC are expressed as a rate per 100,000 discharges, comparisons can be made between DHBs and within DHBs over time, enabling any trends to be observed. </w:t>
      </w:r>
    </w:p>
    <w:p w14:paraId="7760D781" w14:textId="77777777" w:rsidR="00841E1C" w:rsidRDefault="00841E1C" w:rsidP="00841E1C"/>
    <w:p w14:paraId="5938662D" w14:textId="77777777" w:rsidR="00841E1C" w:rsidRPr="005C5A48" w:rsidRDefault="00841E1C" w:rsidP="00841E1C">
      <w:pPr>
        <w:spacing w:after="360"/>
      </w:pPr>
      <w:r>
        <w:t xml:space="preserve">Rate of complaints calculations are </w:t>
      </w:r>
      <w:r w:rsidRPr="005C5A48">
        <w:t xml:space="preserve">made using discharge data provided by the Ministry of Health. This data is provisional as at the date of extraction (27 February 2020) and is likely incomplete; it will be updated in the next six-monthly report. It should be noted that this discharge data excludes short-stay emergency department discharges and patients attending outpatient clinics. </w:t>
      </w:r>
    </w:p>
    <w:p w14:paraId="63B49EFE" w14:textId="77777777" w:rsidR="00841E1C" w:rsidRPr="005C5A48" w:rsidRDefault="00841E1C" w:rsidP="00841E1C">
      <w:pPr>
        <w:spacing w:after="120"/>
        <w:rPr>
          <w:b/>
        </w:rPr>
      </w:pPr>
      <w:r w:rsidRPr="005C5A48">
        <w:rPr>
          <w:b/>
        </w:rPr>
        <w:t xml:space="preserve">Table 2. </w:t>
      </w:r>
      <w:r w:rsidRPr="005C5A48">
        <w:t xml:space="preserve">Rate of complaints received per 100,000 discharges during </w:t>
      </w:r>
      <w:r w:rsidRPr="005C5A48">
        <w:rPr>
          <w:lang w:eastAsia="en-NZ" w:bidi="ar-SA"/>
        </w:rPr>
        <w:t xml:space="preserve">Jul-Dec 2019 </w:t>
      </w:r>
    </w:p>
    <w:tbl>
      <w:tblPr>
        <w:tblStyle w:val="TableGrid"/>
        <w:tblW w:w="0" w:type="auto"/>
        <w:tblInd w:w="108" w:type="dxa"/>
        <w:tblLook w:val="04A0" w:firstRow="1" w:lastRow="0" w:firstColumn="1" w:lastColumn="0" w:noHBand="0" w:noVBand="1"/>
      </w:tblPr>
      <w:tblGrid>
        <w:gridCol w:w="3086"/>
        <w:gridCol w:w="2920"/>
        <w:gridCol w:w="2902"/>
      </w:tblGrid>
      <w:tr w:rsidR="00841E1C" w:rsidRPr="005C5A48" w14:paraId="175C8877" w14:textId="77777777" w:rsidTr="0080255D">
        <w:trPr>
          <w:trHeight w:val="652"/>
        </w:trPr>
        <w:tc>
          <w:tcPr>
            <w:tcW w:w="3577" w:type="dxa"/>
            <w:tcBorders>
              <w:top w:val="single" w:sz="4" w:space="0" w:color="auto"/>
              <w:left w:val="single" w:sz="4" w:space="0" w:color="auto"/>
              <w:bottom w:val="single" w:sz="4" w:space="0" w:color="auto"/>
              <w:right w:val="single" w:sz="4" w:space="0" w:color="auto"/>
            </w:tcBorders>
            <w:vAlign w:val="center"/>
            <w:hideMark/>
          </w:tcPr>
          <w:p w14:paraId="23445D87" w14:textId="77777777" w:rsidR="00841E1C" w:rsidRPr="0080255D" w:rsidRDefault="00841E1C" w:rsidP="00841E1C">
            <w:pPr>
              <w:jc w:val="center"/>
              <w:rPr>
                <w:rFonts w:asciiTheme="minorHAnsi" w:hAnsiTheme="minorHAnsi" w:cstheme="minorHAnsi"/>
                <w:b/>
                <w:sz w:val="22"/>
                <w:szCs w:val="22"/>
              </w:rPr>
            </w:pPr>
            <w:r w:rsidRPr="00833240">
              <w:rPr>
                <w:rFonts w:cstheme="minorHAnsi"/>
                <w:b/>
                <w:szCs w:val="22"/>
              </w:rPr>
              <w:t>Number of complaints received</w:t>
            </w:r>
          </w:p>
        </w:tc>
        <w:tc>
          <w:tcPr>
            <w:tcW w:w="3363" w:type="dxa"/>
            <w:tcBorders>
              <w:top w:val="single" w:sz="4" w:space="0" w:color="auto"/>
              <w:left w:val="single" w:sz="4" w:space="0" w:color="auto"/>
              <w:bottom w:val="single" w:sz="4" w:space="0" w:color="auto"/>
              <w:right w:val="single" w:sz="4" w:space="0" w:color="auto"/>
            </w:tcBorders>
            <w:vAlign w:val="center"/>
            <w:hideMark/>
          </w:tcPr>
          <w:p w14:paraId="10C4C310" w14:textId="414FD351" w:rsidR="00841E1C" w:rsidRPr="0080255D" w:rsidRDefault="00833240" w:rsidP="0080255D">
            <w:pPr>
              <w:tabs>
                <w:tab w:val="left" w:pos="1440"/>
                <w:tab w:val="left" w:pos="2610"/>
              </w:tabs>
              <w:jc w:val="center"/>
              <w:outlineLvl w:val="0"/>
              <w:rPr>
                <w:rFonts w:asciiTheme="minorHAnsi" w:hAnsiTheme="minorHAnsi"/>
                <w:b/>
                <w:sz w:val="22"/>
                <w:szCs w:val="22"/>
              </w:rPr>
            </w:pPr>
            <w:r>
              <w:rPr>
                <w:rFonts w:asciiTheme="minorHAnsi" w:hAnsiTheme="minorHAnsi"/>
                <w:b/>
                <w:sz w:val="22"/>
                <w:szCs w:val="22"/>
              </w:rPr>
              <w:t>Total number of discharges</w:t>
            </w:r>
          </w:p>
        </w:tc>
        <w:tc>
          <w:tcPr>
            <w:tcW w:w="3363" w:type="dxa"/>
            <w:tcBorders>
              <w:top w:val="single" w:sz="4" w:space="0" w:color="auto"/>
              <w:left w:val="single" w:sz="4" w:space="0" w:color="auto"/>
              <w:bottom w:val="single" w:sz="4" w:space="0" w:color="auto"/>
              <w:right w:val="single" w:sz="4" w:space="0" w:color="auto"/>
            </w:tcBorders>
            <w:vAlign w:val="center"/>
            <w:hideMark/>
          </w:tcPr>
          <w:p w14:paraId="677BE712" w14:textId="77777777" w:rsidR="00841E1C" w:rsidRPr="0080255D" w:rsidRDefault="00841E1C" w:rsidP="00841E1C">
            <w:pPr>
              <w:tabs>
                <w:tab w:val="left" w:pos="1440"/>
                <w:tab w:val="left" w:pos="2610"/>
              </w:tabs>
              <w:spacing w:before="180" w:after="240"/>
              <w:jc w:val="center"/>
              <w:outlineLvl w:val="0"/>
              <w:rPr>
                <w:rFonts w:asciiTheme="minorHAnsi" w:hAnsiTheme="minorHAnsi"/>
                <w:b/>
                <w:iCs/>
                <w:sz w:val="22"/>
                <w:szCs w:val="22"/>
              </w:rPr>
            </w:pPr>
            <w:r w:rsidRPr="0080255D">
              <w:rPr>
                <w:rFonts w:asciiTheme="minorHAnsi" w:hAnsiTheme="minorHAnsi"/>
                <w:b/>
                <w:szCs w:val="22"/>
              </w:rPr>
              <w:t>Rate per 100,000 discharges</w:t>
            </w:r>
          </w:p>
        </w:tc>
      </w:tr>
      <w:tr w:rsidR="00841E1C" w14:paraId="02B99C06" w14:textId="77777777" w:rsidTr="00841E1C">
        <w:trPr>
          <w:trHeight w:val="482"/>
        </w:trPr>
        <w:tc>
          <w:tcPr>
            <w:tcW w:w="3577" w:type="dxa"/>
            <w:tcBorders>
              <w:top w:val="single" w:sz="4" w:space="0" w:color="auto"/>
              <w:left w:val="single" w:sz="4" w:space="0" w:color="auto"/>
              <w:bottom w:val="single" w:sz="4" w:space="0" w:color="auto"/>
              <w:right w:val="single" w:sz="4" w:space="0" w:color="auto"/>
            </w:tcBorders>
            <w:vAlign w:val="center"/>
          </w:tcPr>
          <w:p w14:paraId="53EBF86C" w14:textId="007A2717" w:rsidR="00841E1C" w:rsidRPr="0080255D" w:rsidRDefault="00841E1C" w:rsidP="00841E1C">
            <w:pPr>
              <w:tabs>
                <w:tab w:val="left" w:pos="1440"/>
                <w:tab w:val="left" w:pos="2610"/>
              </w:tabs>
              <w:spacing w:before="120" w:after="240"/>
              <w:jc w:val="center"/>
              <w:outlineLvl w:val="0"/>
              <w:rPr>
                <w:rFonts w:asciiTheme="minorHAnsi" w:hAnsiTheme="minorHAnsi"/>
                <w:iCs/>
                <w:sz w:val="22"/>
                <w:szCs w:val="22"/>
              </w:rPr>
            </w:pPr>
            <w:r w:rsidRPr="0080255D">
              <w:rPr>
                <w:iCs/>
                <w:szCs w:val="22"/>
              </w:rPr>
              <w:t>47</w:t>
            </w:r>
            <w:r w:rsidR="002538E2">
              <w:rPr>
                <w:iCs/>
                <w:szCs w:val="22"/>
              </w:rPr>
              <w:t>1</w:t>
            </w:r>
          </w:p>
        </w:tc>
        <w:tc>
          <w:tcPr>
            <w:tcW w:w="3363" w:type="dxa"/>
            <w:tcBorders>
              <w:top w:val="single" w:sz="4" w:space="0" w:color="auto"/>
              <w:left w:val="single" w:sz="4" w:space="0" w:color="auto"/>
              <w:bottom w:val="single" w:sz="4" w:space="0" w:color="auto"/>
              <w:right w:val="single" w:sz="4" w:space="0" w:color="auto"/>
            </w:tcBorders>
            <w:vAlign w:val="center"/>
          </w:tcPr>
          <w:p w14:paraId="1EA6341C" w14:textId="77777777" w:rsidR="00841E1C" w:rsidRPr="0080255D" w:rsidRDefault="00841E1C" w:rsidP="00841E1C">
            <w:pPr>
              <w:tabs>
                <w:tab w:val="left" w:pos="1440"/>
                <w:tab w:val="left" w:pos="2610"/>
              </w:tabs>
              <w:spacing w:before="120" w:after="240"/>
              <w:jc w:val="center"/>
              <w:outlineLvl w:val="0"/>
              <w:rPr>
                <w:rFonts w:asciiTheme="minorHAnsi" w:hAnsiTheme="minorHAnsi"/>
                <w:iCs/>
                <w:sz w:val="22"/>
                <w:szCs w:val="22"/>
              </w:rPr>
            </w:pPr>
            <w:r w:rsidRPr="00833240">
              <w:rPr>
                <w:iCs/>
                <w:szCs w:val="22"/>
              </w:rPr>
              <w:t>501,245</w:t>
            </w:r>
          </w:p>
        </w:tc>
        <w:tc>
          <w:tcPr>
            <w:tcW w:w="3363" w:type="dxa"/>
            <w:tcBorders>
              <w:top w:val="single" w:sz="4" w:space="0" w:color="auto"/>
              <w:left w:val="single" w:sz="4" w:space="0" w:color="auto"/>
              <w:bottom w:val="single" w:sz="4" w:space="0" w:color="auto"/>
              <w:right w:val="single" w:sz="4" w:space="0" w:color="auto"/>
            </w:tcBorders>
            <w:vAlign w:val="center"/>
          </w:tcPr>
          <w:p w14:paraId="6929C6B9" w14:textId="693A41C5" w:rsidR="00841E1C" w:rsidRPr="0080255D" w:rsidRDefault="002538E2" w:rsidP="00841E1C">
            <w:pPr>
              <w:tabs>
                <w:tab w:val="left" w:pos="1440"/>
                <w:tab w:val="left" w:pos="2610"/>
              </w:tabs>
              <w:spacing w:before="120" w:after="240"/>
              <w:jc w:val="center"/>
              <w:outlineLvl w:val="0"/>
              <w:rPr>
                <w:rFonts w:asciiTheme="minorHAnsi" w:hAnsiTheme="minorHAnsi"/>
                <w:b/>
                <w:sz w:val="22"/>
                <w:szCs w:val="22"/>
              </w:rPr>
            </w:pPr>
            <w:r>
              <w:rPr>
                <w:b/>
                <w:szCs w:val="22"/>
              </w:rPr>
              <w:t>93.96</w:t>
            </w:r>
          </w:p>
        </w:tc>
      </w:tr>
    </w:tbl>
    <w:p w14:paraId="25A34C7A" w14:textId="77777777" w:rsidR="00841E1C" w:rsidRDefault="00841E1C" w:rsidP="00841E1C">
      <w:pPr>
        <w:spacing w:before="360" w:after="480"/>
        <w:rPr>
          <w:rFonts w:ascii="Calibri" w:hAnsi="Calibri"/>
          <w:szCs w:val="22"/>
          <w:lang w:eastAsia="en-NZ" w:bidi="ar-SA"/>
        </w:rPr>
      </w:pPr>
      <w:r>
        <w:rPr>
          <w:rFonts w:ascii="Calibri" w:hAnsi="Calibri"/>
          <w:szCs w:val="22"/>
          <w:lang w:eastAsia="en-NZ" w:bidi="ar-SA"/>
        </w:rPr>
        <w:t xml:space="preserve">Table 3 shows the </w:t>
      </w:r>
      <w:r>
        <w:rPr>
          <w:rFonts w:ascii="Calibri" w:hAnsi="Calibri" w:cs="Calibri"/>
          <w:szCs w:val="22"/>
        </w:rPr>
        <w:t>rate</w:t>
      </w:r>
      <w:r>
        <w:rPr>
          <w:rFonts w:ascii="Calibri" w:hAnsi="Calibri"/>
          <w:szCs w:val="22"/>
          <w:lang w:eastAsia="en-NZ" w:bidi="ar-SA"/>
        </w:rPr>
        <w:t xml:space="preserve"> of complaints received by HDC per 100,000 discharges, for </w:t>
      </w:r>
      <w:r>
        <w:rPr>
          <w:lang w:eastAsia="en-NZ" w:bidi="ar-SA"/>
        </w:rPr>
        <w:t xml:space="preserve">Jul–Dec 2019 </w:t>
      </w:r>
      <w:r>
        <w:rPr>
          <w:rFonts w:ascii="Calibri" w:hAnsi="Calibri"/>
          <w:szCs w:val="22"/>
          <w:lang w:eastAsia="en-NZ" w:bidi="ar-SA"/>
        </w:rPr>
        <w:t xml:space="preserve">and previous six-month periods. </w:t>
      </w:r>
    </w:p>
    <w:p w14:paraId="04B9A3F1" w14:textId="77777777" w:rsidR="00841E1C" w:rsidRDefault="00841E1C" w:rsidP="00841E1C">
      <w:pPr>
        <w:spacing w:after="120"/>
        <w:rPr>
          <w:b/>
        </w:rPr>
      </w:pPr>
      <w:r>
        <w:rPr>
          <w:b/>
        </w:rPr>
        <w:t xml:space="preserve">Table 3. </w:t>
      </w:r>
      <w:r>
        <w:t>Rate of complaints received in the last five years</w:t>
      </w:r>
      <w:r>
        <w:rPr>
          <w:b/>
        </w:rPr>
        <w:t xml:space="preserve"> </w:t>
      </w:r>
    </w:p>
    <w:tbl>
      <w:tblPr>
        <w:tblStyle w:val="TableGrid"/>
        <w:tblpPr w:leftFromText="180" w:rightFromText="180" w:vertAnchor="text" w:horzAnchor="margin" w:tblpX="114" w:tblpY="105"/>
        <w:tblW w:w="4900" w:type="pct"/>
        <w:tblLook w:val="04A0" w:firstRow="1" w:lastRow="0" w:firstColumn="1" w:lastColumn="0" w:noHBand="0" w:noVBand="1"/>
      </w:tblPr>
      <w:tblGrid>
        <w:gridCol w:w="1089"/>
        <w:gridCol w:w="676"/>
        <w:gridCol w:w="680"/>
        <w:gridCol w:w="678"/>
        <w:gridCol w:w="678"/>
        <w:gridCol w:w="678"/>
        <w:gridCol w:w="679"/>
        <w:gridCol w:w="681"/>
        <w:gridCol w:w="679"/>
        <w:gridCol w:w="679"/>
        <w:gridCol w:w="964"/>
        <w:gridCol w:w="675"/>
      </w:tblGrid>
      <w:tr w:rsidR="00841E1C" w:rsidRPr="005C5A48" w14:paraId="5B02AB36" w14:textId="77777777" w:rsidTr="00841E1C">
        <w:tc>
          <w:tcPr>
            <w:tcW w:w="601" w:type="pct"/>
            <w:tcBorders>
              <w:top w:val="single" w:sz="4" w:space="0" w:color="auto"/>
              <w:left w:val="single" w:sz="4" w:space="0" w:color="auto"/>
              <w:bottom w:val="single" w:sz="4" w:space="0" w:color="auto"/>
              <w:right w:val="single" w:sz="4" w:space="0" w:color="auto"/>
            </w:tcBorders>
            <w:vAlign w:val="center"/>
          </w:tcPr>
          <w:p w14:paraId="60D300D5" w14:textId="77777777" w:rsidR="00841E1C" w:rsidRDefault="00841E1C" w:rsidP="00841E1C">
            <w:pPr>
              <w:keepNext/>
              <w:keepLines/>
              <w:jc w:val="left"/>
              <w:rPr>
                <w:rFonts w:ascii="Calibri" w:hAnsi="Calibri"/>
                <w:b/>
                <w:szCs w:val="20"/>
              </w:rPr>
            </w:pPr>
          </w:p>
          <w:p w14:paraId="19D3D2A2" w14:textId="77777777" w:rsidR="00841E1C" w:rsidRDefault="00841E1C" w:rsidP="00841E1C">
            <w:pPr>
              <w:keepNext/>
              <w:keepLines/>
              <w:jc w:val="left"/>
              <w:rPr>
                <w:rFonts w:ascii="Calibri" w:hAnsi="Calibri"/>
                <w:b/>
                <w:szCs w:val="20"/>
              </w:rPr>
            </w:pPr>
          </w:p>
        </w:tc>
        <w:tc>
          <w:tcPr>
            <w:tcW w:w="385" w:type="pct"/>
            <w:tcBorders>
              <w:top w:val="single" w:sz="4" w:space="0" w:color="auto"/>
              <w:left w:val="single" w:sz="4" w:space="0" w:color="auto"/>
              <w:bottom w:val="single" w:sz="4" w:space="0" w:color="auto"/>
              <w:right w:val="single" w:sz="4" w:space="0" w:color="auto"/>
            </w:tcBorders>
            <w:vAlign w:val="center"/>
          </w:tcPr>
          <w:p w14:paraId="6E444FDD" w14:textId="77777777" w:rsidR="00841E1C" w:rsidRDefault="00841E1C" w:rsidP="00841E1C">
            <w:pPr>
              <w:keepNext/>
              <w:keepLines/>
              <w:jc w:val="center"/>
              <w:rPr>
                <w:rFonts w:ascii="Calibri" w:hAnsi="Calibri"/>
                <w:b/>
                <w:szCs w:val="20"/>
              </w:rPr>
            </w:pPr>
            <w:r>
              <w:rPr>
                <w:rFonts w:ascii="Calibri" w:hAnsi="Calibri"/>
                <w:b/>
                <w:szCs w:val="20"/>
              </w:rPr>
              <w:t xml:space="preserve">Jan–Jun </w:t>
            </w:r>
            <w:r>
              <w:rPr>
                <w:rFonts w:ascii="Calibri" w:hAnsi="Calibri"/>
                <w:b/>
                <w:szCs w:val="20"/>
              </w:rPr>
              <w:br/>
              <w:t>15</w:t>
            </w:r>
          </w:p>
        </w:tc>
        <w:tc>
          <w:tcPr>
            <w:tcW w:w="387" w:type="pct"/>
            <w:tcBorders>
              <w:top w:val="single" w:sz="4" w:space="0" w:color="auto"/>
              <w:left w:val="single" w:sz="4" w:space="0" w:color="auto"/>
              <w:bottom w:val="single" w:sz="4" w:space="0" w:color="auto"/>
              <w:right w:val="single" w:sz="4" w:space="0" w:color="auto"/>
            </w:tcBorders>
          </w:tcPr>
          <w:p w14:paraId="4DB8C845" w14:textId="77777777" w:rsidR="00841E1C" w:rsidRDefault="00841E1C" w:rsidP="00841E1C">
            <w:pPr>
              <w:keepNext/>
              <w:keepLines/>
              <w:spacing w:before="180"/>
              <w:jc w:val="center"/>
              <w:rPr>
                <w:rFonts w:ascii="Calibri" w:hAnsi="Calibri"/>
                <w:b/>
                <w:szCs w:val="20"/>
              </w:rPr>
            </w:pPr>
            <w:r>
              <w:rPr>
                <w:rFonts w:ascii="Calibri" w:hAnsi="Calibri"/>
                <w:b/>
                <w:szCs w:val="20"/>
              </w:rPr>
              <w:t xml:space="preserve">Jul–Dec </w:t>
            </w:r>
            <w:r>
              <w:rPr>
                <w:rFonts w:ascii="Calibri" w:hAnsi="Calibri"/>
                <w:b/>
                <w:szCs w:val="20"/>
              </w:rPr>
              <w:br/>
              <w:t>15</w:t>
            </w:r>
          </w:p>
        </w:tc>
        <w:tc>
          <w:tcPr>
            <w:tcW w:w="386" w:type="pct"/>
            <w:tcBorders>
              <w:top w:val="single" w:sz="4" w:space="0" w:color="auto"/>
              <w:left w:val="single" w:sz="4" w:space="0" w:color="auto"/>
              <w:bottom w:val="single" w:sz="4" w:space="0" w:color="auto"/>
              <w:right w:val="single" w:sz="4" w:space="0" w:color="auto"/>
            </w:tcBorders>
          </w:tcPr>
          <w:p w14:paraId="44E7E9FD" w14:textId="77777777" w:rsidR="00841E1C" w:rsidRDefault="00841E1C" w:rsidP="00841E1C">
            <w:pPr>
              <w:keepNext/>
              <w:keepLines/>
              <w:spacing w:before="180"/>
              <w:jc w:val="center"/>
              <w:rPr>
                <w:rFonts w:ascii="Calibri" w:hAnsi="Calibri"/>
                <w:b/>
                <w:szCs w:val="20"/>
              </w:rPr>
            </w:pPr>
            <w:r>
              <w:rPr>
                <w:rFonts w:ascii="Calibri" w:hAnsi="Calibri"/>
                <w:b/>
                <w:szCs w:val="20"/>
              </w:rPr>
              <w:t xml:space="preserve">Jan–Jun </w:t>
            </w:r>
            <w:r>
              <w:rPr>
                <w:rFonts w:ascii="Calibri" w:hAnsi="Calibri"/>
                <w:b/>
                <w:szCs w:val="20"/>
              </w:rPr>
              <w:br/>
              <w:t>16</w:t>
            </w:r>
          </w:p>
        </w:tc>
        <w:tc>
          <w:tcPr>
            <w:tcW w:w="386" w:type="pct"/>
            <w:tcBorders>
              <w:top w:val="single" w:sz="4" w:space="0" w:color="auto"/>
              <w:left w:val="single" w:sz="4" w:space="0" w:color="auto"/>
              <w:bottom w:val="single" w:sz="4" w:space="0" w:color="auto"/>
              <w:right w:val="single" w:sz="4" w:space="0" w:color="auto"/>
            </w:tcBorders>
          </w:tcPr>
          <w:p w14:paraId="10087078" w14:textId="77777777" w:rsidR="00841E1C" w:rsidRDefault="00841E1C" w:rsidP="00841E1C">
            <w:pPr>
              <w:keepNext/>
              <w:keepLines/>
              <w:spacing w:before="180"/>
              <w:jc w:val="center"/>
              <w:rPr>
                <w:rFonts w:ascii="Calibri" w:hAnsi="Calibri"/>
                <w:b/>
                <w:szCs w:val="20"/>
              </w:rPr>
            </w:pPr>
            <w:r>
              <w:rPr>
                <w:rFonts w:ascii="Calibri" w:hAnsi="Calibri"/>
                <w:b/>
                <w:szCs w:val="20"/>
              </w:rPr>
              <w:t xml:space="preserve">Jul–Dec </w:t>
            </w:r>
            <w:r>
              <w:rPr>
                <w:rFonts w:ascii="Calibri" w:hAnsi="Calibri"/>
                <w:b/>
                <w:szCs w:val="20"/>
              </w:rPr>
              <w:br/>
              <w:t>16</w:t>
            </w:r>
          </w:p>
        </w:tc>
        <w:tc>
          <w:tcPr>
            <w:tcW w:w="386" w:type="pct"/>
            <w:tcBorders>
              <w:top w:val="single" w:sz="4" w:space="0" w:color="auto"/>
              <w:left w:val="single" w:sz="4" w:space="0" w:color="auto"/>
              <w:bottom w:val="single" w:sz="4" w:space="0" w:color="auto"/>
              <w:right w:val="single" w:sz="4" w:space="0" w:color="auto"/>
            </w:tcBorders>
          </w:tcPr>
          <w:p w14:paraId="2ECF721A" w14:textId="77777777" w:rsidR="00841E1C" w:rsidRDefault="00841E1C" w:rsidP="00841E1C">
            <w:pPr>
              <w:keepNext/>
              <w:keepLines/>
              <w:spacing w:before="180"/>
              <w:jc w:val="center"/>
              <w:rPr>
                <w:rFonts w:ascii="Calibri" w:hAnsi="Calibri"/>
                <w:b/>
                <w:szCs w:val="20"/>
              </w:rPr>
            </w:pPr>
            <w:r>
              <w:rPr>
                <w:rFonts w:ascii="Calibri" w:hAnsi="Calibri"/>
                <w:b/>
                <w:szCs w:val="20"/>
              </w:rPr>
              <w:t xml:space="preserve">Jan–Jun </w:t>
            </w:r>
            <w:r>
              <w:rPr>
                <w:rFonts w:ascii="Calibri" w:hAnsi="Calibri"/>
                <w:b/>
                <w:szCs w:val="20"/>
              </w:rPr>
              <w:br/>
              <w:t>17</w:t>
            </w:r>
          </w:p>
        </w:tc>
        <w:tc>
          <w:tcPr>
            <w:tcW w:w="386" w:type="pct"/>
            <w:tcBorders>
              <w:top w:val="single" w:sz="4" w:space="0" w:color="auto"/>
              <w:left w:val="single" w:sz="4" w:space="0" w:color="auto"/>
              <w:bottom w:val="single" w:sz="4" w:space="0" w:color="auto"/>
              <w:right w:val="single" w:sz="4" w:space="0" w:color="auto"/>
            </w:tcBorders>
          </w:tcPr>
          <w:p w14:paraId="6759265C" w14:textId="77777777" w:rsidR="00841E1C" w:rsidRDefault="00841E1C" w:rsidP="00841E1C">
            <w:pPr>
              <w:keepNext/>
              <w:keepLines/>
              <w:spacing w:before="180"/>
              <w:jc w:val="center"/>
              <w:rPr>
                <w:rFonts w:ascii="Calibri" w:hAnsi="Calibri"/>
                <w:b/>
                <w:szCs w:val="20"/>
              </w:rPr>
            </w:pPr>
            <w:r>
              <w:rPr>
                <w:rFonts w:ascii="Calibri" w:hAnsi="Calibri"/>
                <w:b/>
                <w:szCs w:val="20"/>
              </w:rPr>
              <w:t xml:space="preserve">Jul–Dec </w:t>
            </w:r>
            <w:r>
              <w:rPr>
                <w:rFonts w:ascii="Calibri" w:hAnsi="Calibri"/>
                <w:b/>
                <w:szCs w:val="20"/>
              </w:rPr>
              <w:br/>
              <w:t>17</w:t>
            </w:r>
          </w:p>
        </w:tc>
        <w:tc>
          <w:tcPr>
            <w:tcW w:w="387" w:type="pct"/>
            <w:tcBorders>
              <w:top w:val="single" w:sz="4" w:space="0" w:color="auto"/>
              <w:left w:val="single" w:sz="4" w:space="0" w:color="auto"/>
              <w:bottom w:val="single" w:sz="4" w:space="0" w:color="auto"/>
              <w:right w:val="single" w:sz="4" w:space="0" w:color="auto"/>
            </w:tcBorders>
          </w:tcPr>
          <w:p w14:paraId="62218C3C" w14:textId="77777777" w:rsidR="00841E1C" w:rsidRDefault="00841E1C" w:rsidP="00841E1C">
            <w:pPr>
              <w:keepNext/>
              <w:keepLines/>
              <w:spacing w:before="180"/>
              <w:jc w:val="center"/>
              <w:rPr>
                <w:rFonts w:ascii="Calibri" w:hAnsi="Calibri"/>
                <w:b/>
                <w:szCs w:val="20"/>
              </w:rPr>
            </w:pPr>
            <w:r>
              <w:rPr>
                <w:rFonts w:ascii="Calibri" w:hAnsi="Calibri"/>
                <w:b/>
                <w:szCs w:val="20"/>
              </w:rPr>
              <w:t xml:space="preserve">Jan–Jun </w:t>
            </w:r>
            <w:r>
              <w:rPr>
                <w:rFonts w:ascii="Calibri" w:hAnsi="Calibri"/>
                <w:b/>
                <w:szCs w:val="20"/>
              </w:rPr>
              <w:br/>
              <w:t>18</w:t>
            </w:r>
          </w:p>
        </w:tc>
        <w:tc>
          <w:tcPr>
            <w:tcW w:w="386" w:type="pct"/>
            <w:tcBorders>
              <w:top w:val="single" w:sz="4" w:space="0" w:color="auto"/>
              <w:left w:val="single" w:sz="4" w:space="0" w:color="auto"/>
              <w:bottom w:val="single" w:sz="4" w:space="0" w:color="auto"/>
              <w:right w:val="single" w:sz="4" w:space="0" w:color="auto"/>
            </w:tcBorders>
          </w:tcPr>
          <w:p w14:paraId="3C0DBA74" w14:textId="77777777" w:rsidR="00841E1C" w:rsidRDefault="00841E1C" w:rsidP="00841E1C">
            <w:pPr>
              <w:keepNext/>
              <w:keepLines/>
              <w:spacing w:before="180"/>
              <w:jc w:val="center"/>
              <w:rPr>
                <w:rFonts w:ascii="Calibri" w:hAnsi="Calibri"/>
                <w:b/>
                <w:szCs w:val="20"/>
              </w:rPr>
            </w:pPr>
            <w:r>
              <w:rPr>
                <w:rFonts w:ascii="Calibri" w:hAnsi="Calibri"/>
                <w:b/>
                <w:szCs w:val="20"/>
              </w:rPr>
              <w:t xml:space="preserve">Jul–Dec </w:t>
            </w:r>
            <w:r>
              <w:rPr>
                <w:rFonts w:ascii="Calibri" w:hAnsi="Calibri"/>
                <w:b/>
                <w:szCs w:val="20"/>
              </w:rPr>
              <w:br/>
              <w:t>18</w:t>
            </w:r>
          </w:p>
        </w:tc>
        <w:tc>
          <w:tcPr>
            <w:tcW w:w="386" w:type="pct"/>
            <w:tcBorders>
              <w:top w:val="single" w:sz="4" w:space="0" w:color="auto"/>
              <w:left w:val="single" w:sz="4" w:space="0" w:color="auto"/>
              <w:bottom w:val="single" w:sz="4" w:space="0" w:color="auto"/>
              <w:right w:val="single" w:sz="4" w:space="0" w:color="auto"/>
            </w:tcBorders>
          </w:tcPr>
          <w:p w14:paraId="75B6DA1D" w14:textId="77777777" w:rsidR="00841E1C" w:rsidRDefault="00841E1C" w:rsidP="00841E1C">
            <w:pPr>
              <w:keepNext/>
              <w:keepLines/>
              <w:spacing w:before="180"/>
              <w:jc w:val="center"/>
              <w:rPr>
                <w:rFonts w:ascii="Calibri" w:hAnsi="Calibri"/>
                <w:b/>
                <w:szCs w:val="20"/>
              </w:rPr>
            </w:pPr>
            <w:r>
              <w:rPr>
                <w:rFonts w:ascii="Calibri" w:hAnsi="Calibri"/>
                <w:b/>
                <w:szCs w:val="20"/>
              </w:rPr>
              <w:t>Jan–Jun</w:t>
            </w:r>
          </w:p>
          <w:p w14:paraId="02DA92E9" w14:textId="6679280B" w:rsidR="00841E1C" w:rsidRPr="00CE600B" w:rsidRDefault="00841E1C" w:rsidP="00841E1C">
            <w:pPr>
              <w:keepNext/>
              <w:keepLines/>
              <w:jc w:val="center"/>
              <w:rPr>
                <w:rFonts w:ascii="Calibri" w:hAnsi="Calibri"/>
                <w:b/>
                <w:szCs w:val="20"/>
                <w:vertAlign w:val="superscript"/>
              </w:rPr>
            </w:pPr>
            <w:r>
              <w:rPr>
                <w:rFonts w:ascii="Calibri" w:hAnsi="Calibri"/>
                <w:b/>
                <w:szCs w:val="20"/>
              </w:rPr>
              <w:t>19</w:t>
            </w:r>
            <w:r>
              <w:rPr>
                <w:rFonts w:ascii="Calibri" w:hAnsi="Calibri"/>
                <w:b/>
                <w:szCs w:val="20"/>
                <w:vertAlign w:val="superscript"/>
              </w:rPr>
              <w:t>2</w:t>
            </w:r>
            <w:r w:rsidR="00091B1A" w:rsidRPr="003E5338">
              <w:rPr>
                <w:rStyle w:val="FootnoteReference"/>
              </w:rPr>
              <w:footnoteReference w:id="2"/>
            </w:r>
          </w:p>
        </w:tc>
        <w:tc>
          <w:tcPr>
            <w:tcW w:w="547" w:type="pct"/>
            <w:tcBorders>
              <w:top w:val="single" w:sz="4" w:space="0" w:color="auto"/>
              <w:left w:val="single" w:sz="4" w:space="0" w:color="auto"/>
              <w:bottom w:val="single" w:sz="4" w:space="0" w:color="auto"/>
              <w:right w:val="single" w:sz="4" w:space="0" w:color="auto"/>
            </w:tcBorders>
            <w:hideMark/>
          </w:tcPr>
          <w:p w14:paraId="1642983D" w14:textId="77777777" w:rsidR="00841E1C" w:rsidRDefault="00841E1C" w:rsidP="00841E1C">
            <w:pPr>
              <w:keepNext/>
              <w:keepLines/>
              <w:spacing w:before="120"/>
              <w:jc w:val="center"/>
              <w:rPr>
                <w:rFonts w:ascii="Calibri" w:hAnsi="Calibri"/>
                <w:b/>
                <w:szCs w:val="20"/>
              </w:rPr>
            </w:pPr>
            <w:r>
              <w:rPr>
                <w:rFonts w:ascii="Calibri" w:hAnsi="Calibri"/>
                <w:b/>
                <w:szCs w:val="20"/>
              </w:rPr>
              <w:t xml:space="preserve">Average of last 4  </w:t>
            </w:r>
          </w:p>
          <w:p w14:paraId="13D71A5B" w14:textId="77777777" w:rsidR="00841E1C" w:rsidRDefault="00841E1C" w:rsidP="00841E1C">
            <w:pPr>
              <w:keepNext/>
              <w:keepLines/>
              <w:jc w:val="center"/>
              <w:rPr>
                <w:rFonts w:ascii="Calibri" w:hAnsi="Calibri"/>
                <w:b/>
                <w:szCs w:val="20"/>
              </w:rPr>
            </w:pPr>
            <w:r>
              <w:rPr>
                <w:rFonts w:ascii="Calibri" w:hAnsi="Calibri"/>
                <w:b/>
                <w:szCs w:val="20"/>
              </w:rPr>
              <w:t>6-month periods</w:t>
            </w:r>
          </w:p>
        </w:tc>
        <w:tc>
          <w:tcPr>
            <w:tcW w:w="379" w:type="pct"/>
            <w:tcBorders>
              <w:top w:val="single" w:sz="4" w:space="0" w:color="auto"/>
              <w:left w:val="single" w:sz="4" w:space="0" w:color="auto"/>
              <w:bottom w:val="single" w:sz="4" w:space="0" w:color="auto"/>
              <w:right w:val="single" w:sz="4" w:space="0" w:color="auto"/>
            </w:tcBorders>
          </w:tcPr>
          <w:p w14:paraId="3E1AD666" w14:textId="77777777" w:rsidR="00841E1C" w:rsidRPr="005C5A48" w:rsidRDefault="00841E1C" w:rsidP="00841E1C">
            <w:pPr>
              <w:keepNext/>
              <w:keepLines/>
              <w:jc w:val="center"/>
              <w:rPr>
                <w:rFonts w:ascii="Calibri" w:hAnsi="Calibri"/>
                <w:b/>
                <w:szCs w:val="20"/>
              </w:rPr>
            </w:pPr>
          </w:p>
          <w:p w14:paraId="269FC985" w14:textId="77777777" w:rsidR="00841E1C" w:rsidRPr="005C5A48" w:rsidRDefault="00841E1C" w:rsidP="00841E1C">
            <w:pPr>
              <w:keepNext/>
              <w:keepLines/>
              <w:jc w:val="center"/>
              <w:rPr>
                <w:rFonts w:ascii="Calibri" w:hAnsi="Calibri"/>
                <w:b/>
                <w:szCs w:val="20"/>
              </w:rPr>
            </w:pPr>
            <w:r w:rsidRPr="005C5A48">
              <w:rPr>
                <w:rFonts w:ascii="Calibri" w:hAnsi="Calibri"/>
                <w:b/>
                <w:szCs w:val="20"/>
              </w:rPr>
              <w:t>Jul-Dec 19</w:t>
            </w:r>
          </w:p>
        </w:tc>
      </w:tr>
      <w:tr w:rsidR="00841E1C" w:rsidRPr="005C5A48" w14:paraId="0D645132" w14:textId="77777777" w:rsidTr="00841E1C">
        <w:tc>
          <w:tcPr>
            <w:tcW w:w="601" w:type="pct"/>
            <w:tcBorders>
              <w:top w:val="single" w:sz="4" w:space="0" w:color="auto"/>
              <w:left w:val="single" w:sz="4" w:space="0" w:color="auto"/>
              <w:bottom w:val="single" w:sz="4" w:space="0" w:color="auto"/>
              <w:right w:val="single" w:sz="4" w:space="0" w:color="auto"/>
            </w:tcBorders>
            <w:vAlign w:val="center"/>
            <w:hideMark/>
          </w:tcPr>
          <w:p w14:paraId="106F23CA" w14:textId="77777777" w:rsidR="00841E1C" w:rsidRDefault="00841E1C" w:rsidP="00841E1C">
            <w:pPr>
              <w:keepNext/>
              <w:keepLines/>
              <w:spacing w:after="40"/>
              <w:jc w:val="left"/>
              <w:rPr>
                <w:rFonts w:ascii="Calibri" w:hAnsi="Calibri"/>
                <w:b/>
                <w:szCs w:val="20"/>
              </w:rPr>
            </w:pPr>
            <w:r>
              <w:rPr>
                <w:rFonts w:ascii="Calibri" w:hAnsi="Calibri"/>
                <w:b/>
                <w:szCs w:val="20"/>
              </w:rPr>
              <w:t>Rate per 100,000 discharges</w:t>
            </w:r>
          </w:p>
        </w:tc>
        <w:tc>
          <w:tcPr>
            <w:tcW w:w="385" w:type="pct"/>
            <w:tcBorders>
              <w:top w:val="single" w:sz="4" w:space="0" w:color="auto"/>
              <w:left w:val="single" w:sz="4" w:space="0" w:color="auto"/>
              <w:bottom w:val="single" w:sz="4" w:space="0" w:color="auto"/>
              <w:right w:val="single" w:sz="4" w:space="0" w:color="auto"/>
            </w:tcBorders>
            <w:vAlign w:val="center"/>
          </w:tcPr>
          <w:p w14:paraId="12BCC8D0" w14:textId="77777777" w:rsidR="00841E1C" w:rsidRPr="00D12A0D" w:rsidRDefault="00841E1C" w:rsidP="00841E1C">
            <w:pPr>
              <w:keepNext/>
              <w:keepLines/>
              <w:jc w:val="center"/>
              <w:rPr>
                <w:rFonts w:ascii="Calibri" w:hAnsi="Calibri"/>
                <w:szCs w:val="20"/>
              </w:rPr>
            </w:pPr>
            <w:r w:rsidRPr="00D12A0D">
              <w:rPr>
                <w:rFonts w:ascii="Calibri" w:hAnsi="Calibri"/>
                <w:szCs w:val="20"/>
              </w:rPr>
              <w:t>84.60</w:t>
            </w:r>
          </w:p>
        </w:tc>
        <w:tc>
          <w:tcPr>
            <w:tcW w:w="387" w:type="pct"/>
            <w:tcBorders>
              <w:top w:val="single" w:sz="4" w:space="0" w:color="auto"/>
              <w:left w:val="single" w:sz="4" w:space="0" w:color="auto"/>
              <w:bottom w:val="single" w:sz="4" w:space="0" w:color="auto"/>
              <w:right w:val="single" w:sz="4" w:space="0" w:color="auto"/>
            </w:tcBorders>
            <w:vAlign w:val="center"/>
          </w:tcPr>
          <w:p w14:paraId="6F709187" w14:textId="77777777" w:rsidR="00841E1C" w:rsidRPr="00D12A0D" w:rsidRDefault="00841E1C" w:rsidP="00841E1C">
            <w:pPr>
              <w:keepNext/>
              <w:keepLines/>
              <w:jc w:val="center"/>
              <w:rPr>
                <w:rFonts w:ascii="Calibri" w:hAnsi="Calibri"/>
                <w:szCs w:val="20"/>
              </w:rPr>
            </w:pPr>
            <w:r>
              <w:rPr>
                <w:rFonts w:ascii="Calibri" w:hAnsi="Calibri"/>
                <w:szCs w:val="20"/>
              </w:rPr>
              <w:t>87.57</w:t>
            </w:r>
          </w:p>
        </w:tc>
        <w:tc>
          <w:tcPr>
            <w:tcW w:w="386" w:type="pct"/>
            <w:tcBorders>
              <w:top w:val="single" w:sz="4" w:space="0" w:color="auto"/>
              <w:left w:val="single" w:sz="4" w:space="0" w:color="auto"/>
              <w:bottom w:val="single" w:sz="4" w:space="0" w:color="auto"/>
              <w:right w:val="single" w:sz="4" w:space="0" w:color="auto"/>
            </w:tcBorders>
            <w:vAlign w:val="center"/>
          </w:tcPr>
          <w:p w14:paraId="4C8BCA33" w14:textId="77777777" w:rsidR="00841E1C" w:rsidRPr="00D12A0D" w:rsidRDefault="00841E1C" w:rsidP="00841E1C">
            <w:pPr>
              <w:keepNext/>
              <w:keepLines/>
              <w:jc w:val="center"/>
              <w:rPr>
                <w:rFonts w:ascii="Calibri" w:hAnsi="Calibri"/>
                <w:szCs w:val="20"/>
              </w:rPr>
            </w:pPr>
            <w:r>
              <w:rPr>
                <w:rFonts w:ascii="Calibri" w:hAnsi="Calibri"/>
                <w:szCs w:val="20"/>
              </w:rPr>
              <w:t>81</w:t>
            </w:r>
            <w:r w:rsidRPr="00D12A0D">
              <w:rPr>
                <w:rFonts w:ascii="Calibri" w:hAnsi="Calibri"/>
                <w:szCs w:val="20"/>
              </w:rPr>
              <w:t>.</w:t>
            </w:r>
            <w:r>
              <w:rPr>
                <w:rFonts w:ascii="Calibri" w:hAnsi="Calibri"/>
                <w:szCs w:val="20"/>
              </w:rPr>
              <w:t>44</w:t>
            </w:r>
          </w:p>
        </w:tc>
        <w:tc>
          <w:tcPr>
            <w:tcW w:w="386" w:type="pct"/>
            <w:tcBorders>
              <w:top w:val="single" w:sz="4" w:space="0" w:color="auto"/>
              <w:left w:val="single" w:sz="4" w:space="0" w:color="auto"/>
              <w:bottom w:val="single" w:sz="4" w:space="0" w:color="auto"/>
              <w:right w:val="single" w:sz="4" w:space="0" w:color="auto"/>
            </w:tcBorders>
            <w:vAlign w:val="center"/>
          </w:tcPr>
          <w:p w14:paraId="29D8DE92" w14:textId="77777777" w:rsidR="00841E1C" w:rsidRPr="00D12A0D" w:rsidRDefault="00841E1C" w:rsidP="00841E1C">
            <w:pPr>
              <w:keepNext/>
              <w:keepLines/>
              <w:jc w:val="center"/>
              <w:rPr>
                <w:rFonts w:ascii="Calibri" w:hAnsi="Calibri"/>
                <w:szCs w:val="20"/>
              </w:rPr>
            </w:pPr>
            <w:r>
              <w:rPr>
                <w:rFonts w:ascii="Calibri" w:hAnsi="Calibri"/>
                <w:szCs w:val="20"/>
              </w:rPr>
              <w:t>78.79</w:t>
            </w:r>
          </w:p>
        </w:tc>
        <w:tc>
          <w:tcPr>
            <w:tcW w:w="386" w:type="pct"/>
            <w:tcBorders>
              <w:top w:val="single" w:sz="4" w:space="0" w:color="auto"/>
              <w:left w:val="single" w:sz="4" w:space="0" w:color="auto"/>
              <w:bottom w:val="single" w:sz="4" w:space="0" w:color="auto"/>
              <w:right w:val="single" w:sz="4" w:space="0" w:color="auto"/>
            </w:tcBorders>
            <w:vAlign w:val="center"/>
          </w:tcPr>
          <w:p w14:paraId="7FDF4AEC" w14:textId="77777777" w:rsidR="00841E1C" w:rsidRPr="00D12A0D" w:rsidRDefault="00841E1C" w:rsidP="00841E1C">
            <w:pPr>
              <w:keepNext/>
              <w:keepLines/>
              <w:jc w:val="center"/>
              <w:rPr>
                <w:rFonts w:ascii="Calibri" w:hAnsi="Calibri"/>
                <w:szCs w:val="20"/>
              </w:rPr>
            </w:pPr>
            <w:r>
              <w:rPr>
                <w:rFonts w:ascii="Calibri" w:hAnsi="Calibri"/>
                <w:szCs w:val="20"/>
              </w:rPr>
              <w:t>99.08</w:t>
            </w:r>
          </w:p>
        </w:tc>
        <w:tc>
          <w:tcPr>
            <w:tcW w:w="386" w:type="pct"/>
            <w:tcBorders>
              <w:top w:val="single" w:sz="4" w:space="0" w:color="auto"/>
              <w:left w:val="single" w:sz="4" w:space="0" w:color="auto"/>
              <w:bottom w:val="single" w:sz="4" w:space="0" w:color="auto"/>
              <w:right w:val="single" w:sz="4" w:space="0" w:color="auto"/>
            </w:tcBorders>
            <w:vAlign w:val="center"/>
          </w:tcPr>
          <w:p w14:paraId="344A2F4E" w14:textId="77777777" w:rsidR="00841E1C" w:rsidRPr="00D12A0D" w:rsidRDefault="00841E1C" w:rsidP="00841E1C">
            <w:pPr>
              <w:keepNext/>
              <w:keepLines/>
              <w:jc w:val="center"/>
              <w:rPr>
                <w:rFonts w:ascii="Calibri" w:hAnsi="Calibri"/>
                <w:szCs w:val="20"/>
              </w:rPr>
            </w:pPr>
            <w:r>
              <w:rPr>
                <w:rFonts w:ascii="Calibri" w:hAnsi="Calibri"/>
                <w:szCs w:val="20"/>
              </w:rPr>
              <w:t>88.23</w:t>
            </w:r>
          </w:p>
        </w:tc>
        <w:tc>
          <w:tcPr>
            <w:tcW w:w="387" w:type="pct"/>
            <w:tcBorders>
              <w:top w:val="single" w:sz="4" w:space="0" w:color="auto"/>
              <w:left w:val="single" w:sz="4" w:space="0" w:color="auto"/>
              <w:bottom w:val="single" w:sz="4" w:space="0" w:color="auto"/>
              <w:right w:val="single" w:sz="4" w:space="0" w:color="auto"/>
            </w:tcBorders>
            <w:vAlign w:val="center"/>
          </w:tcPr>
          <w:p w14:paraId="1D0588A6" w14:textId="77777777" w:rsidR="00841E1C" w:rsidRPr="00D12A0D" w:rsidRDefault="00841E1C" w:rsidP="00841E1C">
            <w:pPr>
              <w:keepNext/>
              <w:keepLines/>
              <w:jc w:val="center"/>
              <w:rPr>
                <w:rFonts w:ascii="Calibri" w:hAnsi="Calibri"/>
                <w:szCs w:val="20"/>
              </w:rPr>
            </w:pPr>
            <w:r>
              <w:rPr>
                <w:rFonts w:ascii="Calibri" w:hAnsi="Calibri"/>
                <w:szCs w:val="20"/>
              </w:rPr>
              <w:t>93.80</w:t>
            </w:r>
          </w:p>
        </w:tc>
        <w:tc>
          <w:tcPr>
            <w:tcW w:w="386" w:type="pct"/>
            <w:tcBorders>
              <w:top w:val="single" w:sz="4" w:space="0" w:color="auto"/>
              <w:left w:val="single" w:sz="4" w:space="0" w:color="auto"/>
              <w:bottom w:val="single" w:sz="4" w:space="0" w:color="auto"/>
              <w:right w:val="single" w:sz="4" w:space="0" w:color="auto"/>
            </w:tcBorders>
            <w:vAlign w:val="center"/>
          </w:tcPr>
          <w:p w14:paraId="7857FC74" w14:textId="77777777" w:rsidR="00841E1C" w:rsidRPr="00D12A0D" w:rsidRDefault="00841E1C" w:rsidP="00841E1C">
            <w:pPr>
              <w:keepNext/>
              <w:keepLines/>
              <w:jc w:val="center"/>
              <w:rPr>
                <w:rFonts w:ascii="Calibri" w:hAnsi="Calibri"/>
                <w:szCs w:val="20"/>
              </w:rPr>
            </w:pPr>
            <w:r>
              <w:rPr>
                <w:rFonts w:ascii="Calibri" w:hAnsi="Calibri"/>
                <w:szCs w:val="20"/>
              </w:rPr>
              <w:t>88.47</w:t>
            </w:r>
          </w:p>
        </w:tc>
        <w:tc>
          <w:tcPr>
            <w:tcW w:w="386" w:type="pct"/>
            <w:tcBorders>
              <w:top w:val="single" w:sz="4" w:space="0" w:color="auto"/>
              <w:left w:val="single" w:sz="4" w:space="0" w:color="auto"/>
              <w:bottom w:val="single" w:sz="4" w:space="0" w:color="auto"/>
              <w:right w:val="single" w:sz="4" w:space="0" w:color="auto"/>
            </w:tcBorders>
            <w:vAlign w:val="center"/>
          </w:tcPr>
          <w:p w14:paraId="627CD82A" w14:textId="77777777" w:rsidR="00841E1C" w:rsidRPr="00AD2B47" w:rsidRDefault="00841E1C" w:rsidP="00841E1C">
            <w:pPr>
              <w:keepNext/>
              <w:keepLines/>
              <w:jc w:val="center"/>
              <w:rPr>
                <w:rFonts w:ascii="Calibri" w:hAnsi="Calibri"/>
                <w:szCs w:val="20"/>
              </w:rPr>
            </w:pPr>
            <w:r>
              <w:rPr>
                <w:rFonts w:ascii="Calibri" w:hAnsi="Calibri"/>
                <w:szCs w:val="20"/>
              </w:rPr>
              <w:t>87.97</w:t>
            </w:r>
          </w:p>
        </w:tc>
        <w:tc>
          <w:tcPr>
            <w:tcW w:w="547" w:type="pct"/>
            <w:tcBorders>
              <w:top w:val="single" w:sz="4" w:space="0" w:color="auto"/>
              <w:left w:val="single" w:sz="4" w:space="0" w:color="auto"/>
              <w:bottom w:val="single" w:sz="4" w:space="0" w:color="auto"/>
              <w:right w:val="single" w:sz="4" w:space="0" w:color="auto"/>
            </w:tcBorders>
            <w:vAlign w:val="center"/>
            <w:hideMark/>
          </w:tcPr>
          <w:p w14:paraId="6A7D9DFE" w14:textId="2E6AB1AE" w:rsidR="00841E1C" w:rsidRPr="00D12A0D" w:rsidRDefault="00841E1C" w:rsidP="00841E1C">
            <w:pPr>
              <w:keepNext/>
              <w:keepLines/>
              <w:jc w:val="center"/>
              <w:rPr>
                <w:rFonts w:ascii="Calibri" w:hAnsi="Calibri"/>
                <w:b/>
                <w:szCs w:val="20"/>
              </w:rPr>
            </w:pPr>
            <w:r>
              <w:rPr>
                <w:rFonts w:ascii="Calibri" w:hAnsi="Calibri"/>
                <w:b/>
                <w:szCs w:val="20"/>
              </w:rPr>
              <w:t>89.6</w:t>
            </w:r>
            <w:r w:rsidR="00F726AA">
              <w:rPr>
                <w:rFonts w:ascii="Calibri" w:hAnsi="Calibri"/>
                <w:b/>
                <w:szCs w:val="20"/>
              </w:rPr>
              <w:t>2</w:t>
            </w:r>
          </w:p>
        </w:tc>
        <w:tc>
          <w:tcPr>
            <w:tcW w:w="379" w:type="pct"/>
            <w:tcBorders>
              <w:top w:val="single" w:sz="4" w:space="0" w:color="auto"/>
              <w:left w:val="single" w:sz="4" w:space="0" w:color="auto"/>
              <w:bottom w:val="single" w:sz="4" w:space="0" w:color="auto"/>
              <w:right w:val="single" w:sz="4" w:space="0" w:color="auto"/>
            </w:tcBorders>
            <w:vAlign w:val="center"/>
          </w:tcPr>
          <w:p w14:paraId="70231833" w14:textId="5E9A9863" w:rsidR="00841E1C" w:rsidRPr="005C5A48" w:rsidRDefault="002538E2" w:rsidP="00841E1C">
            <w:pPr>
              <w:keepNext/>
              <w:keepLines/>
              <w:jc w:val="center"/>
              <w:rPr>
                <w:rFonts w:ascii="Calibri" w:hAnsi="Calibri"/>
                <w:b/>
                <w:szCs w:val="20"/>
              </w:rPr>
            </w:pPr>
            <w:r>
              <w:rPr>
                <w:rFonts w:ascii="Calibri" w:hAnsi="Calibri"/>
                <w:b/>
                <w:szCs w:val="20"/>
              </w:rPr>
              <w:t>93.96</w:t>
            </w:r>
          </w:p>
        </w:tc>
      </w:tr>
    </w:tbl>
    <w:p w14:paraId="5C8B9798" w14:textId="11A30043" w:rsidR="00841E1C" w:rsidRDefault="00841E1C" w:rsidP="00841E1C">
      <w:pPr>
        <w:spacing w:before="480"/>
      </w:pPr>
      <w:r>
        <w:rPr>
          <w:lang w:eastAsia="en-NZ" w:bidi="ar-SA"/>
        </w:rPr>
        <w:t>The rate of complaints received during Jul-Dec 2019 (</w:t>
      </w:r>
      <w:r w:rsidR="002538E2">
        <w:rPr>
          <w:lang w:eastAsia="en-NZ" w:bidi="ar-SA"/>
        </w:rPr>
        <w:t>93.96</w:t>
      </w:r>
      <w:r>
        <w:rPr>
          <w:lang w:eastAsia="en-NZ" w:bidi="ar-SA"/>
        </w:rPr>
        <w:t xml:space="preserve">) shows </w:t>
      </w:r>
      <w:r w:rsidRPr="005C5A48">
        <w:rPr>
          <w:lang w:eastAsia="en-NZ" w:bidi="ar-SA"/>
        </w:rPr>
        <w:t xml:space="preserve">a </w:t>
      </w:r>
      <w:r>
        <w:rPr>
          <w:lang w:eastAsia="en-NZ" w:bidi="ar-SA"/>
        </w:rPr>
        <w:t>5</w:t>
      </w:r>
      <w:r w:rsidRPr="005C5A48">
        <w:rPr>
          <w:lang w:eastAsia="en-NZ" w:bidi="ar-SA"/>
        </w:rPr>
        <w:t>% increase</w:t>
      </w:r>
      <w:r>
        <w:rPr>
          <w:lang w:eastAsia="en-NZ" w:bidi="ar-SA"/>
        </w:rPr>
        <w:t xml:space="preserve"> on the</w:t>
      </w:r>
      <w:r>
        <w:t xml:space="preserve"> average rate of complaints received for the previous four periods.</w:t>
      </w:r>
    </w:p>
    <w:p w14:paraId="72439767" w14:textId="77777777" w:rsidR="00841E1C" w:rsidRDefault="00841E1C" w:rsidP="00841E1C">
      <w:pPr>
        <w:jc w:val="left"/>
        <w:rPr>
          <w:rFonts w:ascii="Calibri" w:hAnsi="Calibri"/>
          <w:szCs w:val="22"/>
        </w:rPr>
      </w:pPr>
      <w:r>
        <w:rPr>
          <w:lang w:eastAsia="en-NZ" w:bidi="ar-SA"/>
        </w:rPr>
        <w:br/>
      </w:r>
      <w:r>
        <w:rPr>
          <w:rFonts w:ascii="Calibri" w:hAnsi="Calibri"/>
          <w:szCs w:val="22"/>
        </w:rPr>
        <w:t>Table 4 shows the number and rate of complaints received by HDC for each DHB.</w:t>
      </w:r>
      <w:r w:rsidRPr="003E5338">
        <w:rPr>
          <w:rStyle w:val="FootnoteReference"/>
        </w:rPr>
        <w:footnoteReference w:id="3"/>
      </w:r>
    </w:p>
    <w:p w14:paraId="26144DEB" w14:textId="77777777" w:rsidR="00841E1C" w:rsidRDefault="00841E1C" w:rsidP="00841E1C">
      <w:pPr>
        <w:rPr>
          <w:highlight w:val="yellow"/>
        </w:rPr>
      </w:pPr>
    </w:p>
    <w:p w14:paraId="73FE01D1" w14:textId="77777777" w:rsidR="00841E1C" w:rsidRDefault="00841E1C" w:rsidP="00841E1C">
      <w:pPr>
        <w:rPr>
          <w:highlight w:val="yellow"/>
        </w:rPr>
      </w:pPr>
    </w:p>
    <w:p w14:paraId="729899C5" w14:textId="77777777" w:rsidR="00841E1C" w:rsidRDefault="00841E1C" w:rsidP="00841E1C">
      <w:pPr>
        <w:rPr>
          <w:highlight w:val="yellow"/>
        </w:rPr>
      </w:pPr>
      <w:r>
        <w:rPr>
          <w:highlight w:val="yellow"/>
        </w:rPr>
        <w:t xml:space="preserve"> </w:t>
      </w:r>
    </w:p>
    <w:p w14:paraId="63501BAB" w14:textId="77777777" w:rsidR="00841E1C" w:rsidRDefault="00841E1C" w:rsidP="00841E1C">
      <w:pPr>
        <w:rPr>
          <w:highlight w:val="yellow"/>
        </w:rPr>
      </w:pPr>
    </w:p>
    <w:p w14:paraId="134247C4" w14:textId="77777777" w:rsidR="00841E1C" w:rsidRDefault="00841E1C" w:rsidP="00841E1C">
      <w:pPr>
        <w:rPr>
          <w:highlight w:val="yellow"/>
        </w:rPr>
      </w:pPr>
    </w:p>
    <w:p w14:paraId="70C7D91B" w14:textId="77777777" w:rsidR="00841E1C" w:rsidRDefault="00841E1C" w:rsidP="00841E1C">
      <w:pPr>
        <w:rPr>
          <w:highlight w:val="yellow"/>
        </w:rPr>
      </w:pPr>
    </w:p>
    <w:p w14:paraId="3DE0D5C6" w14:textId="77777777" w:rsidR="00841E1C" w:rsidRDefault="00841E1C" w:rsidP="00841E1C">
      <w:pPr>
        <w:rPr>
          <w:highlight w:val="yellow"/>
        </w:rPr>
      </w:pPr>
    </w:p>
    <w:p w14:paraId="7575D53C" w14:textId="77777777" w:rsidR="00841E1C" w:rsidRDefault="00841E1C" w:rsidP="00841E1C">
      <w:pPr>
        <w:rPr>
          <w:highlight w:val="yellow"/>
        </w:rPr>
      </w:pPr>
    </w:p>
    <w:p w14:paraId="44824380" w14:textId="77777777" w:rsidR="00841E1C" w:rsidRDefault="00841E1C" w:rsidP="00841E1C">
      <w:pPr>
        <w:rPr>
          <w:highlight w:val="yellow"/>
        </w:rPr>
      </w:pPr>
    </w:p>
    <w:p w14:paraId="54646422" w14:textId="77777777" w:rsidR="00841E1C" w:rsidRDefault="00841E1C" w:rsidP="00841E1C">
      <w:pPr>
        <w:rPr>
          <w:highlight w:val="yellow"/>
        </w:rPr>
      </w:pPr>
    </w:p>
    <w:p w14:paraId="2A625601" w14:textId="77777777" w:rsidR="00841E1C" w:rsidRDefault="00841E1C" w:rsidP="00841E1C">
      <w:pPr>
        <w:rPr>
          <w:highlight w:val="yellow"/>
        </w:rPr>
      </w:pPr>
    </w:p>
    <w:p w14:paraId="198A1C30" w14:textId="77777777" w:rsidR="00841E1C" w:rsidRDefault="00841E1C" w:rsidP="00841E1C">
      <w:pPr>
        <w:rPr>
          <w:highlight w:val="yellow"/>
        </w:rPr>
      </w:pPr>
    </w:p>
    <w:p w14:paraId="62681D46" w14:textId="77777777" w:rsidR="00841E1C" w:rsidRDefault="00841E1C" w:rsidP="00841E1C">
      <w:pPr>
        <w:rPr>
          <w:highlight w:val="yellow"/>
        </w:rPr>
      </w:pPr>
    </w:p>
    <w:p w14:paraId="4F37FD57" w14:textId="77777777" w:rsidR="00841E1C" w:rsidRDefault="00841E1C" w:rsidP="00841E1C">
      <w:pPr>
        <w:spacing w:after="120"/>
        <w:rPr>
          <w:szCs w:val="22"/>
        </w:rPr>
      </w:pPr>
      <w:r w:rsidRPr="00C97276">
        <w:rPr>
          <w:b/>
          <w:szCs w:val="22"/>
        </w:rPr>
        <w:t>Table 4.</w:t>
      </w:r>
      <w:r w:rsidRPr="00C97276">
        <w:rPr>
          <w:szCs w:val="22"/>
        </w:rPr>
        <w:t xml:space="preserve"> Number </w:t>
      </w:r>
      <w:r>
        <w:rPr>
          <w:szCs w:val="22"/>
        </w:rPr>
        <w:t xml:space="preserve">and </w:t>
      </w:r>
      <w:r w:rsidRPr="00C97276">
        <w:rPr>
          <w:szCs w:val="22"/>
        </w:rPr>
        <w:t>rate of complaints received for each DHB in Jul-Dec 2019</w:t>
      </w:r>
    </w:p>
    <w:tbl>
      <w:tblPr>
        <w:tblStyle w:val="TableGrid"/>
        <w:tblW w:w="9210" w:type="dxa"/>
        <w:tblLayout w:type="fixed"/>
        <w:tblLook w:val="04A0" w:firstRow="1" w:lastRow="0" w:firstColumn="1" w:lastColumn="0" w:noHBand="0" w:noVBand="1"/>
      </w:tblPr>
      <w:tblGrid>
        <w:gridCol w:w="2443"/>
        <w:gridCol w:w="2312"/>
        <w:gridCol w:w="2213"/>
        <w:gridCol w:w="2242"/>
      </w:tblGrid>
      <w:tr w:rsidR="00841E1C" w:rsidRPr="00091B1A" w14:paraId="6BACA895" w14:textId="77777777" w:rsidTr="00091B1A">
        <w:trPr>
          <w:trHeight w:val="703"/>
        </w:trPr>
        <w:tc>
          <w:tcPr>
            <w:tcW w:w="2443" w:type="dxa"/>
            <w:tcBorders>
              <w:top w:val="single" w:sz="4" w:space="0" w:color="auto"/>
              <w:left w:val="single" w:sz="4" w:space="0" w:color="auto"/>
              <w:bottom w:val="single" w:sz="4" w:space="0" w:color="auto"/>
              <w:right w:val="single" w:sz="4" w:space="0" w:color="auto"/>
            </w:tcBorders>
            <w:hideMark/>
          </w:tcPr>
          <w:p w14:paraId="31FED690" w14:textId="77777777" w:rsidR="00841E1C" w:rsidRPr="00091B1A" w:rsidRDefault="00841E1C" w:rsidP="00841E1C">
            <w:pPr>
              <w:spacing w:after="120"/>
              <w:jc w:val="left"/>
              <w:rPr>
                <w:rFonts w:asciiTheme="minorHAnsi" w:hAnsiTheme="minorHAnsi"/>
                <w:b/>
                <w:sz w:val="22"/>
                <w:szCs w:val="22"/>
              </w:rPr>
            </w:pPr>
            <w:r w:rsidRPr="00091B1A">
              <w:rPr>
                <w:rFonts w:asciiTheme="minorHAnsi" w:hAnsiTheme="minorHAnsi"/>
                <w:b/>
                <w:sz w:val="22"/>
                <w:szCs w:val="22"/>
              </w:rPr>
              <w:t>DHB</w:t>
            </w:r>
          </w:p>
        </w:tc>
        <w:tc>
          <w:tcPr>
            <w:tcW w:w="2312" w:type="dxa"/>
            <w:tcBorders>
              <w:top w:val="single" w:sz="4" w:space="0" w:color="auto"/>
              <w:left w:val="single" w:sz="4" w:space="0" w:color="auto"/>
              <w:bottom w:val="single" w:sz="4" w:space="0" w:color="auto"/>
              <w:right w:val="single" w:sz="4" w:space="0" w:color="auto"/>
            </w:tcBorders>
            <w:hideMark/>
          </w:tcPr>
          <w:p w14:paraId="187A11A1" w14:textId="77777777" w:rsidR="00841E1C" w:rsidRPr="00091B1A" w:rsidRDefault="00841E1C" w:rsidP="00841E1C">
            <w:pPr>
              <w:spacing w:after="120"/>
              <w:jc w:val="center"/>
              <w:rPr>
                <w:rFonts w:asciiTheme="minorHAnsi" w:hAnsiTheme="minorHAnsi"/>
                <w:b/>
                <w:sz w:val="22"/>
                <w:szCs w:val="22"/>
              </w:rPr>
            </w:pPr>
            <w:r w:rsidRPr="00091B1A">
              <w:rPr>
                <w:rFonts w:asciiTheme="minorHAnsi" w:hAnsiTheme="minorHAnsi"/>
                <w:b/>
                <w:sz w:val="22"/>
                <w:szCs w:val="22"/>
              </w:rPr>
              <w:t>Number of complaints received</w:t>
            </w:r>
          </w:p>
        </w:tc>
        <w:tc>
          <w:tcPr>
            <w:tcW w:w="2213" w:type="dxa"/>
            <w:tcBorders>
              <w:top w:val="single" w:sz="4" w:space="0" w:color="auto"/>
              <w:left w:val="single" w:sz="4" w:space="0" w:color="auto"/>
              <w:bottom w:val="single" w:sz="4" w:space="0" w:color="auto"/>
              <w:right w:val="single" w:sz="4" w:space="0" w:color="auto"/>
            </w:tcBorders>
            <w:hideMark/>
          </w:tcPr>
          <w:p w14:paraId="1E0313A0" w14:textId="77777777" w:rsidR="00841E1C" w:rsidRPr="00091B1A" w:rsidRDefault="00841E1C" w:rsidP="00841E1C">
            <w:pPr>
              <w:spacing w:after="120"/>
              <w:jc w:val="center"/>
              <w:rPr>
                <w:rFonts w:asciiTheme="minorHAnsi" w:hAnsiTheme="minorHAnsi"/>
                <w:b/>
                <w:sz w:val="22"/>
                <w:szCs w:val="22"/>
              </w:rPr>
            </w:pPr>
            <w:r w:rsidRPr="00091B1A">
              <w:rPr>
                <w:rFonts w:asciiTheme="minorHAnsi" w:hAnsiTheme="minorHAnsi"/>
                <w:b/>
                <w:sz w:val="22"/>
                <w:szCs w:val="22"/>
              </w:rPr>
              <w:t>Number of discharges</w:t>
            </w:r>
          </w:p>
        </w:tc>
        <w:tc>
          <w:tcPr>
            <w:tcW w:w="2242" w:type="dxa"/>
            <w:tcBorders>
              <w:top w:val="single" w:sz="4" w:space="0" w:color="auto"/>
              <w:left w:val="single" w:sz="4" w:space="0" w:color="auto"/>
              <w:bottom w:val="single" w:sz="4" w:space="0" w:color="auto"/>
              <w:right w:val="single" w:sz="4" w:space="0" w:color="auto"/>
            </w:tcBorders>
            <w:hideMark/>
          </w:tcPr>
          <w:p w14:paraId="77149532" w14:textId="77777777" w:rsidR="00841E1C" w:rsidRPr="00091B1A" w:rsidRDefault="00841E1C" w:rsidP="00841E1C">
            <w:pPr>
              <w:spacing w:after="120"/>
              <w:jc w:val="center"/>
              <w:rPr>
                <w:rFonts w:asciiTheme="minorHAnsi" w:hAnsiTheme="minorHAnsi"/>
                <w:b/>
                <w:sz w:val="22"/>
                <w:szCs w:val="22"/>
              </w:rPr>
            </w:pPr>
            <w:r w:rsidRPr="00091B1A">
              <w:rPr>
                <w:rFonts w:asciiTheme="minorHAnsi" w:hAnsiTheme="minorHAnsi"/>
                <w:b/>
                <w:sz w:val="22"/>
                <w:szCs w:val="22"/>
              </w:rPr>
              <w:t>Rate of complaints to HDC per 100,000 discharges</w:t>
            </w:r>
          </w:p>
        </w:tc>
      </w:tr>
      <w:tr w:rsidR="00841E1C" w:rsidRPr="00091B1A" w14:paraId="5AC8AB76"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59CC3B10" w14:textId="3A43A88B" w:rsidR="00841E1C" w:rsidRPr="00091B1A" w:rsidRDefault="00091B1A" w:rsidP="00841E1C">
            <w:pPr>
              <w:jc w:val="left"/>
              <w:rPr>
                <w:rFonts w:asciiTheme="minorHAnsi" w:hAnsiTheme="minorHAnsi"/>
                <w:color w:val="000000"/>
                <w:sz w:val="22"/>
                <w:szCs w:val="22"/>
              </w:rPr>
            </w:pPr>
            <w:r w:rsidRPr="00091B1A">
              <w:rPr>
                <w:rFonts w:asciiTheme="minorHAnsi" w:hAnsiTheme="minorHAnsi"/>
                <w:color w:val="000000"/>
                <w:sz w:val="22"/>
                <w:szCs w:val="22"/>
              </w:rPr>
              <w:t>Auckland</w:t>
            </w:r>
          </w:p>
        </w:tc>
        <w:tc>
          <w:tcPr>
            <w:tcW w:w="2312" w:type="dxa"/>
            <w:tcBorders>
              <w:top w:val="single" w:sz="4" w:space="0" w:color="auto"/>
              <w:left w:val="single" w:sz="4" w:space="0" w:color="auto"/>
              <w:bottom w:val="single" w:sz="4" w:space="0" w:color="auto"/>
              <w:right w:val="single" w:sz="4" w:space="0" w:color="auto"/>
            </w:tcBorders>
            <w:vAlign w:val="bottom"/>
          </w:tcPr>
          <w:p w14:paraId="0B02B40D" w14:textId="60B610DD" w:rsidR="00841E1C" w:rsidRPr="00091B1A" w:rsidRDefault="00841E1C" w:rsidP="003E5338">
            <w:pPr>
              <w:jc w:val="center"/>
              <w:rPr>
                <w:rFonts w:asciiTheme="minorHAnsi" w:hAnsiTheme="minorHAnsi"/>
                <w:color w:val="000000"/>
                <w:sz w:val="22"/>
                <w:szCs w:val="22"/>
                <w:lang w:bidi="ar-SA"/>
              </w:rPr>
            </w:pPr>
            <w:r w:rsidRPr="00091B1A">
              <w:rPr>
                <w:rFonts w:asciiTheme="minorHAnsi" w:hAnsiTheme="minorHAnsi"/>
                <w:color w:val="000000"/>
                <w:sz w:val="22"/>
                <w:szCs w:val="22"/>
              </w:rPr>
              <w:t>5</w:t>
            </w:r>
            <w:r w:rsidR="003E5338">
              <w:rPr>
                <w:rFonts w:asciiTheme="minorHAnsi" w:hAnsiTheme="minorHAnsi"/>
                <w:color w:val="000000"/>
                <w:sz w:val="22"/>
                <w:szCs w:val="22"/>
              </w:rPr>
              <w:t>7</w:t>
            </w:r>
          </w:p>
        </w:tc>
        <w:tc>
          <w:tcPr>
            <w:tcW w:w="2213" w:type="dxa"/>
            <w:tcBorders>
              <w:top w:val="single" w:sz="4" w:space="0" w:color="auto"/>
              <w:left w:val="single" w:sz="4" w:space="0" w:color="auto"/>
              <w:bottom w:val="single" w:sz="4" w:space="0" w:color="auto"/>
              <w:right w:val="single" w:sz="4" w:space="0" w:color="auto"/>
            </w:tcBorders>
            <w:vAlign w:val="bottom"/>
          </w:tcPr>
          <w:p w14:paraId="01C20508" w14:textId="77777777" w:rsidR="00841E1C" w:rsidRPr="00091B1A" w:rsidRDefault="00841E1C" w:rsidP="00841E1C">
            <w:pPr>
              <w:jc w:val="center"/>
              <w:rPr>
                <w:rFonts w:asciiTheme="minorHAnsi" w:hAnsiTheme="minorHAnsi"/>
                <w:color w:val="000000"/>
                <w:sz w:val="22"/>
                <w:szCs w:val="22"/>
                <w:lang w:bidi="ar-SA"/>
              </w:rPr>
            </w:pPr>
            <w:r w:rsidRPr="00091B1A">
              <w:rPr>
                <w:rFonts w:asciiTheme="minorHAnsi" w:hAnsiTheme="minorHAnsi"/>
                <w:color w:val="000000"/>
                <w:sz w:val="22"/>
                <w:szCs w:val="22"/>
              </w:rPr>
              <w:t>63903</w:t>
            </w:r>
          </w:p>
        </w:tc>
        <w:tc>
          <w:tcPr>
            <w:tcW w:w="2242" w:type="dxa"/>
            <w:tcBorders>
              <w:top w:val="single" w:sz="4" w:space="0" w:color="auto"/>
              <w:left w:val="single" w:sz="4" w:space="0" w:color="auto"/>
              <w:bottom w:val="single" w:sz="4" w:space="0" w:color="auto"/>
              <w:right w:val="single" w:sz="4" w:space="0" w:color="auto"/>
            </w:tcBorders>
            <w:vAlign w:val="bottom"/>
          </w:tcPr>
          <w:p w14:paraId="0B47C120" w14:textId="1F11C1AE" w:rsidR="00841E1C" w:rsidRPr="00091B1A" w:rsidRDefault="003E5338" w:rsidP="00841E1C">
            <w:pPr>
              <w:jc w:val="center"/>
              <w:rPr>
                <w:rFonts w:asciiTheme="minorHAnsi" w:hAnsiTheme="minorHAnsi"/>
                <w:color w:val="000000"/>
                <w:sz w:val="22"/>
                <w:szCs w:val="22"/>
                <w:lang w:bidi="ar-SA"/>
              </w:rPr>
            </w:pPr>
            <w:r>
              <w:rPr>
                <w:rFonts w:asciiTheme="minorHAnsi" w:hAnsiTheme="minorHAnsi"/>
                <w:color w:val="000000"/>
                <w:sz w:val="22"/>
                <w:szCs w:val="22"/>
              </w:rPr>
              <w:t>89.2</w:t>
            </w:r>
          </w:p>
        </w:tc>
      </w:tr>
      <w:tr w:rsidR="00841E1C" w:rsidRPr="00091B1A" w14:paraId="0A18B22F"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5F66BF99" w14:textId="11ECB74D" w:rsidR="00841E1C" w:rsidRPr="00091B1A" w:rsidRDefault="00841E1C" w:rsidP="00841E1C">
            <w:pPr>
              <w:jc w:val="left"/>
              <w:rPr>
                <w:rFonts w:asciiTheme="minorHAnsi" w:hAnsiTheme="minorHAnsi"/>
                <w:color w:val="000000"/>
                <w:sz w:val="22"/>
                <w:szCs w:val="22"/>
              </w:rPr>
            </w:pPr>
            <w:r w:rsidRPr="00091B1A">
              <w:rPr>
                <w:rFonts w:asciiTheme="minorHAnsi" w:hAnsiTheme="minorHAnsi"/>
                <w:color w:val="000000"/>
                <w:sz w:val="22"/>
                <w:szCs w:val="22"/>
              </w:rPr>
              <w:t>Bay</w:t>
            </w:r>
            <w:r w:rsidR="00091B1A" w:rsidRPr="00091B1A">
              <w:rPr>
                <w:rFonts w:asciiTheme="minorHAnsi" w:hAnsiTheme="minorHAnsi"/>
                <w:color w:val="000000"/>
                <w:sz w:val="22"/>
                <w:szCs w:val="22"/>
              </w:rPr>
              <w:t xml:space="preserve"> of Plenty </w:t>
            </w:r>
          </w:p>
        </w:tc>
        <w:tc>
          <w:tcPr>
            <w:tcW w:w="2312" w:type="dxa"/>
            <w:tcBorders>
              <w:top w:val="single" w:sz="4" w:space="0" w:color="auto"/>
              <w:left w:val="single" w:sz="4" w:space="0" w:color="auto"/>
              <w:bottom w:val="single" w:sz="4" w:space="0" w:color="auto"/>
              <w:right w:val="single" w:sz="4" w:space="0" w:color="auto"/>
            </w:tcBorders>
            <w:vAlign w:val="bottom"/>
          </w:tcPr>
          <w:p w14:paraId="03D1372A"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19</w:t>
            </w:r>
          </w:p>
        </w:tc>
        <w:tc>
          <w:tcPr>
            <w:tcW w:w="2213" w:type="dxa"/>
            <w:tcBorders>
              <w:top w:val="single" w:sz="4" w:space="0" w:color="auto"/>
              <w:left w:val="single" w:sz="4" w:space="0" w:color="auto"/>
              <w:bottom w:val="single" w:sz="4" w:space="0" w:color="auto"/>
              <w:right w:val="single" w:sz="4" w:space="0" w:color="auto"/>
            </w:tcBorders>
            <w:vAlign w:val="bottom"/>
          </w:tcPr>
          <w:p w14:paraId="0C3DECED"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28000</w:t>
            </w:r>
          </w:p>
        </w:tc>
        <w:tc>
          <w:tcPr>
            <w:tcW w:w="2242" w:type="dxa"/>
            <w:tcBorders>
              <w:top w:val="single" w:sz="4" w:space="0" w:color="auto"/>
              <w:left w:val="single" w:sz="4" w:space="0" w:color="auto"/>
              <w:bottom w:val="single" w:sz="4" w:space="0" w:color="auto"/>
              <w:right w:val="single" w:sz="4" w:space="0" w:color="auto"/>
            </w:tcBorders>
            <w:vAlign w:val="bottom"/>
          </w:tcPr>
          <w:p w14:paraId="3EB6E915"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67.85</w:t>
            </w:r>
          </w:p>
        </w:tc>
      </w:tr>
      <w:tr w:rsidR="00841E1C" w:rsidRPr="00091B1A" w14:paraId="519E2BFA"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70786999" w14:textId="4140D12D" w:rsidR="00841E1C" w:rsidRPr="00091B1A" w:rsidRDefault="00841E1C" w:rsidP="00091B1A">
            <w:pPr>
              <w:jc w:val="left"/>
              <w:rPr>
                <w:rFonts w:asciiTheme="minorHAnsi" w:hAnsiTheme="minorHAnsi"/>
                <w:color w:val="000000"/>
                <w:sz w:val="22"/>
                <w:szCs w:val="22"/>
              </w:rPr>
            </w:pPr>
            <w:r w:rsidRPr="00091B1A">
              <w:rPr>
                <w:rFonts w:asciiTheme="minorHAnsi" w:hAnsiTheme="minorHAnsi"/>
                <w:color w:val="000000"/>
                <w:sz w:val="22"/>
                <w:szCs w:val="22"/>
              </w:rPr>
              <w:t xml:space="preserve">Canterbury </w:t>
            </w:r>
          </w:p>
        </w:tc>
        <w:tc>
          <w:tcPr>
            <w:tcW w:w="2312" w:type="dxa"/>
            <w:tcBorders>
              <w:top w:val="single" w:sz="4" w:space="0" w:color="auto"/>
              <w:left w:val="single" w:sz="4" w:space="0" w:color="auto"/>
              <w:bottom w:val="single" w:sz="4" w:space="0" w:color="auto"/>
              <w:right w:val="single" w:sz="4" w:space="0" w:color="auto"/>
            </w:tcBorders>
            <w:vAlign w:val="bottom"/>
          </w:tcPr>
          <w:p w14:paraId="5677F915"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45</w:t>
            </w:r>
          </w:p>
        </w:tc>
        <w:tc>
          <w:tcPr>
            <w:tcW w:w="2213" w:type="dxa"/>
            <w:tcBorders>
              <w:top w:val="single" w:sz="4" w:space="0" w:color="auto"/>
              <w:left w:val="single" w:sz="4" w:space="0" w:color="auto"/>
              <w:bottom w:val="single" w:sz="4" w:space="0" w:color="auto"/>
              <w:right w:val="single" w:sz="4" w:space="0" w:color="auto"/>
            </w:tcBorders>
            <w:vAlign w:val="bottom"/>
          </w:tcPr>
          <w:p w14:paraId="539B870D"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57118</w:t>
            </w:r>
          </w:p>
        </w:tc>
        <w:tc>
          <w:tcPr>
            <w:tcW w:w="2242" w:type="dxa"/>
            <w:tcBorders>
              <w:top w:val="single" w:sz="4" w:space="0" w:color="auto"/>
              <w:left w:val="single" w:sz="4" w:space="0" w:color="auto"/>
              <w:bottom w:val="single" w:sz="4" w:space="0" w:color="auto"/>
              <w:right w:val="single" w:sz="4" w:space="0" w:color="auto"/>
            </w:tcBorders>
            <w:vAlign w:val="bottom"/>
          </w:tcPr>
          <w:p w14:paraId="1098D132"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78.78</w:t>
            </w:r>
          </w:p>
        </w:tc>
      </w:tr>
      <w:tr w:rsidR="00841E1C" w:rsidRPr="00091B1A" w14:paraId="59D1482E"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3C09F43B" w14:textId="6EA57AC5" w:rsidR="00841E1C" w:rsidRPr="00091B1A" w:rsidRDefault="00841E1C" w:rsidP="00091B1A">
            <w:pPr>
              <w:jc w:val="left"/>
              <w:rPr>
                <w:rFonts w:asciiTheme="minorHAnsi" w:hAnsiTheme="minorHAnsi"/>
                <w:color w:val="000000"/>
                <w:sz w:val="22"/>
                <w:szCs w:val="22"/>
              </w:rPr>
            </w:pPr>
            <w:r w:rsidRPr="00091B1A">
              <w:rPr>
                <w:rFonts w:asciiTheme="minorHAnsi" w:hAnsiTheme="minorHAnsi"/>
                <w:color w:val="000000"/>
                <w:sz w:val="22"/>
                <w:szCs w:val="22"/>
              </w:rPr>
              <w:t xml:space="preserve">Capital &amp; Coast </w:t>
            </w:r>
          </w:p>
        </w:tc>
        <w:tc>
          <w:tcPr>
            <w:tcW w:w="2312" w:type="dxa"/>
            <w:tcBorders>
              <w:top w:val="single" w:sz="4" w:space="0" w:color="auto"/>
              <w:left w:val="single" w:sz="4" w:space="0" w:color="auto"/>
              <w:bottom w:val="single" w:sz="4" w:space="0" w:color="auto"/>
              <w:right w:val="single" w:sz="4" w:space="0" w:color="auto"/>
            </w:tcBorders>
            <w:vAlign w:val="bottom"/>
          </w:tcPr>
          <w:p w14:paraId="64EB502D"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41</w:t>
            </w:r>
          </w:p>
        </w:tc>
        <w:tc>
          <w:tcPr>
            <w:tcW w:w="2213" w:type="dxa"/>
            <w:tcBorders>
              <w:top w:val="single" w:sz="4" w:space="0" w:color="auto"/>
              <w:left w:val="single" w:sz="4" w:space="0" w:color="auto"/>
              <w:bottom w:val="single" w:sz="4" w:space="0" w:color="auto"/>
              <w:right w:val="single" w:sz="4" w:space="0" w:color="auto"/>
            </w:tcBorders>
            <w:vAlign w:val="bottom"/>
          </w:tcPr>
          <w:p w14:paraId="326FB8E6"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30460</w:t>
            </w:r>
          </w:p>
        </w:tc>
        <w:tc>
          <w:tcPr>
            <w:tcW w:w="2242" w:type="dxa"/>
            <w:tcBorders>
              <w:top w:val="single" w:sz="4" w:space="0" w:color="auto"/>
              <w:left w:val="single" w:sz="4" w:space="0" w:color="auto"/>
              <w:bottom w:val="single" w:sz="4" w:space="0" w:color="auto"/>
              <w:right w:val="single" w:sz="4" w:space="0" w:color="auto"/>
            </w:tcBorders>
            <w:vAlign w:val="bottom"/>
          </w:tcPr>
          <w:p w14:paraId="03150E46"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134.60</w:t>
            </w:r>
          </w:p>
        </w:tc>
      </w:tr>
      <w:tr w:rsidR="00841E1C" w:rsidRPr="00091B1A" w14:paraId="112B9973"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4CCAE1C2" w14:textId="149D691D" w:rsidR="00841E1C" w:rsidRPr="00091B1A" w:rsidRDefault="00841E1C" w:rsidP="00841E1C">
            <w:pPr>
              <w:jc w:val="left"/>
              <w:rPr>
                <w:rFonts w:asciiTheme="minorHAnsi" w:hAnsiTheme="minorHAnsi"/>
                <w:color w:val="000000"/>
                <w:sz w:val="22"/>
                <w:szCs w:val="22"/>
              </w:rPr>
            </w:pPr>
            <w:r w:rsidRPr="00091B1A">
              <w:rPr>
                <w:rFonts w:asciiTheme="minorHAnsi" w:hAnsiTheme="minorHAnsi"/>
                <w:color w:val="000000"/>
                <w:sz w:val="22"/>
                <w:szCs w:val="22"/>
              </w:rPr>
              <w:t>Counti</w:t>
            </w:r>
            <w:r w:rsidR="00091B1A" w:rsidRPr="00091B1A">
              <w:rPr>
                <w:rFonts w:asciiTheme="minorHAnsi" w:hAnsiTheme="minorHAnsi"/>
                <w:color w:val="000000"/>
                <w:sz w:val="22"/>
                <w:szCs w:val="22"/>
              </w:rPr>
              <w:t xml:space="preserve">es Manukau </w:t>
            </w:r>
          </w:p>
        </w:tc>
        <w:tc>
          <w:tcPr>
            <w:tcW w:w="2312" w:type="dxa"/>
            <w:tcBorders>
              <w:top w:val="single" w:sz="4" w:space="0" w:color="auto"/>
              <w:left w:val="single" w:sz="4" w:space="0" w:color="auto"/>
              <w:bottom w:val="single" w:sz="4" w:space="0" w:color="auto"/>
              <w:right w:val="single" w:sz="4" w:space="0" w:color="auto"/>
            </w:tcBorders>
            <w:vAlign w:val="bottom"/>
          </w:tcPr>
          <w:p w14:paraId="1E43A02D"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46</w:t>
            </w:r>
          </w:p>
        </w:tc>
        <w:tc>
          <w:tcPr>
            <w:tcW w:w="2213" w:type="dxa"/>
            <w:tcBorders>
              <w:top w:val="single" w:sz="4" w:space="0" w:color="auto"/>
              <w:left w:val="single" w:sz="4" w:space="0" w:color="auto"/>
              <w:bottom w:val="single" w:sz="4" w:space="0" w:color="auto"/>
              <w:right w:val="single" w:sz="4" w:space="0" w:color="auto"/>
            </w:tcBorders>
            <w:vAlign w:val="bottom"/>
          </w:tcPr>
          <w:p w14:paraId="2364A9E1"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49360</w:t>
            </w:r>
          </w:p>
        </w:tc>
        <w:tc>
          <w:tcPr>
            <w:tcW w:w="2242" w:type="dxa"/>
            <w:tcBorders>
              <w:top w:val="single" w:sz="4" w:space="0" w:color="auto"/>
              <w:left w:val="single" w:sz="4" w:space="0" w:color="auto"/>
              <w:bottom w:val="single" w:sz="4" w:space="0" w:color="auto"/>
              <w:right w:val="single" w:sz="4" w:space="0" w:color="auto"/>
            </w:tcBorders>
            <w:vAlign w:val="bottom"/>
          </w:tcPr>
          <w:p w14:paraId="67D5D3CF"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93.19</w:t>
            </w:r>
          </w:p>
        </w:tc>
      </w:tr>
      <w:tr w:rsidR="00841E1C" w:rsidRPr="00091B1A" w14:paraId="1D58152F"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50AA7DCF" w14:textId="77777777" w:rsidR="00841E1C" w:rsidRPr="00091B1A" w:rsidRDefault="00841E1C" w:rsidP="00841E1C">
            <w:pPr>
              <w:jc w:val="left"/>
              <w:rPr>
                <w:rFonts w:asciiTheme="minorHAnsi" w:hAnsiTheme="minorHAnsi"/>
                <w:color w:val="000000"/>
                <w:sz w:val="22"/>
                <w:szCs w:val="22"/>
              </w:rPr>
            </w:pPr>
            <w:r w:rsidRPr="00091B1A">
              <w:rPr>
                <w:rFonts w:asciiTheme="minorHAnsi" w:hAnsiTheme="minorHAnsi"/>
                <w:color w:val="000000"/>
                <w:sz w:val="22"/>
                <w:szCs w:val="22"/>
              </w:rPr>
              <w:t>Hauora Tairawhiti</w:t>
            </w:r>
          </w:p>
        </w:tc>
        <w:tc>
          <w:tcPr>
            <w:tcW w:w="2312" w:type="dxa"/>
            <w:tcBorders>
              <w:top w:val="single" w:sz="4" w:space="0" w:color="auto"/>
              <w:left w:val="single" w:sz="4" w:space="0" w:color="auto"/>
              <w:bottom w:val="single" w:sz="4" w:space="0" w:color="auto"/>
              <w:right w:val="single" w:sz="4" w:space="0" w:color="auto"/>
            </w:tcBorders>
            <w:vAlign w:val="bottom"/>
          </w:tcPr>
          <w:p w14:paraId="37A94E68"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5</w:t>
            </w:r>
          </w:p>
        </w:tc>
        <w:tc>
          <w:tcPr>
            <w:tcW w:w="2213" w:type="dxa"/>
            <w:tcBorders>
              <w:top w:val="single" w:sz="4" w:space="0" w:color="auto"/>
              <w:left w:val="single" w:sz="4" w:space="0" w:color="auto"/>
              <w:bottom w:val="single" w:sz="4" w:space="0" w:color="auto"/>
              <w:right w:val="single" w:sz="4" w:space="0" w:color="auto"/>
            </w:tcBorders>
            <w:vAlign w:val="bottom"/>
          </w:tcPr>
          <w:p w14:paraId="7531CE4F" w14:textId="77777777" w:rsidR="00841E1C" w:rsidRPr="00091B1A" w:rsidRDefault="00841E1C" w:rsidP="00841E1C">
            <w:pPr>
              <w:jc w:val="center"/>
              <w:rPr>
                <w:rFonts w:asciiTheme="minorHAnsi" w:hAnsiTheme="minorHAnsi"/>
                <w:color w:val="000000"/>
                <w:sz w:val="22"/>
                <w:szCs w:val="22"/>
                <w:lang w:bidi="ar-SA"/>
              </w:rPr>
            </w:pPr>
            <w:r w:rsidRPr="00091B1A">
              <w:rPr>
                <w:rFonts w:asciiTheme="minorHAnsi" w:hAnsiTheme="minorHAnsi"/>
                <w:color w:val="000000"/>
                <w:sz w:val="22"/>
                <w:szCs w:val="22"/>
              </w:rPr>
              <w:t>5348</w:t>
            </w:r>
          </w:p>
        </w:tc>
        <w:tc>
          <w:tcPr>
            <w:tcW w:w="2242" w:type="dxa"/>
            <w:tcBorders>
              <w:top w:val="single" w:sz="4" w:space="0" w:color="auto"/>
              <w:left w:val="single" w:sz="4" w:space="0" w:color="auto"/>
              <w:bottom w:val="single" w:sz="4" w:space="0" w:color="auto"/>
              <w:right w:val="single" w:sz="4" w:space="0" w:color="auto"/>
            </w:tcBorders>
            <w:vAlign w:val="bottom"/>
          </w:tcPr>
          <w:p w14:paraId="12C4A76F"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93.49</w:t>
            </w:r>
          </w:p>
        </w:tc>
      </w:tr>
      <w:tr w:rsidR="00841E1C" w:rsidRPr="00091B1A" w14:paraId="2D68556B"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573166F7" w14:textId="75D63F65" w:rsidR="00841E1C" w:rsidRPr="00091B1A" w:rsidRDefault="00841E1C" w:rsidP="00091B1A">
            <w:pPr>
              <w:jc w:val="left"/>
              <w:rPr>
                <w:rFonts w:asciiTheme="minorHAnsi" w:hAnsiTheme="minorHAnsi"/>
                <w:color w:val="000000"/>
                <w:sz w:val="22"/>
                <w:szCs w:val="22"/>
              </w:rPr>
            </w:pPr>
            <w:r w:rsidRPr="00091B1A">
              <w:rPr>
                <w:rFonts w:asciiTheme="minorHAnsi" w:hAnsiTheme="minorHAnsi"/>
                <w:color w:val="000000"/>
                <w:sz w:val="22"/>
                <w:szCs w:val="22"/>
              </w:rPr>
              <w:t xml:space="preserve">Hawke's Bay </w:t>
            </w:r>
          </w:p>
        </w:tc>
        <w:tc>
          <w:tcPr>
            <w:tcW w:w="2312" w:type="dxa"/>
            <w:tcBorders>
              <w:top w:val="single" w:sz="4" w:space="0" w:color="auto"/>
              <w:left w:val="single" w:sz="4" w:space="0" w:color="auto"/>
              <w:bottom w:val="single" w:sz="4" w:space="0" w:color="auto"/>
              <w:right w:val="single" w:sz="4" w:space="0" w:color="auto"/>
            </w:tcBorders>
            <w:vAlign w:val="bottom"/>
          </w:tcPr>
          <w:p w14:paraId="1D480918"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18</w:t>
            </w:r>
          </w:p>
        </w:tc>
        <w:tc>
          <w:tcPr>
            <w:tcW w:w="2213" w:type="dxa"/>
            <w:tcBorders>
              <w:top w:val="single" w:sz="4" w:space="0" w:color="auto"/>
              <w:left w:val="single" w:sz="4" w:space="0" w:color="auto"/>
              <w:bottom w:val="single" w:sz="4" w:space="0" w:color="auto"/>
              <w:right w:val="single" w:sz="4" w:space="0" w:color="auto"/>
            </w:tcBorders>
            <w:vAlign w:val="bottom"/>
          </w:tcPr>
          <w:p w14:paraId="6F919EC1"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18561</w:t>
            </w:r>
          </w:p>
        </w:tc>
        <w:tc>
          <w:tcPr>
            <w:tcW w:w="2242" w:type="dxa"/>
            <w:tcBorders>
              <w:top w:val="single" w:sz="4" w:space="0" w:color="auto"/>
              <w:left w:val="single" w:sz="4" w:space="0" w:color="auto"/>
              <w:bottom w:val="single" w:sz="4" w:space="0" w:color="auto"/>
              <w:right w:val="single" w:sz="4" w:space="0" w:color="auto"/>
            </w:tcBorders>
            <w:vAlign w:val="bottom"/>
          </w:tcPr>
          <w:p w14:paraId="4084456E"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96.97</w:t>
            </w:r>
          </w:p>
        </w:tc>
      </w:tr>
      <w:tr w:rsidR="00841E1C" w:rsidRPr="00091B1A" w14:paraId="622B0A7E"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16A1B627" w14:textId="374AF8EF" w:rsidR="00841E1C" w:rsidRPr="00091B1A" w:rsidRDefault="00841E1C" w:rsidP="00091B1A">
            <w:pPr>
              <w:jc w:val="left"/>
              <w:rPr>
                <w:rFonts w:asciiTheme="minorHAnsi" w:hAnsiTheme="minorHAnsi"/>
                <w:color w:val="000000"/>
                <w:sz w:val="22"/>
                <w:szCs w:val="22"/>
              </w:rPr>
            </w:pPr>
            <w:r w:rsidRPr="00091B1A">
              <w:rPr>
                <w:rFonts w:asciiTheme="minorHAnsi" w:hAnsiTheme="minorHAnsi"/>
                <w:color w:val="000000"/>
                <w:sz w:val="22"/>
                <w:szCs w:val="22"/>
              </w:rPr>
              <w:t xml:space="preserve">Hutt Valley </w:t>
            </w:r>
          </w:p>
        </w:tc>
        <w:tc>
          <w:tcPr>
            <w:tcW w:w="2312" w:type="dxa"/>
            <w:tcBorders>
              <w:top w:val="single" w:sz="4" w:space="0" w:color="auto"/>
              <w:left w:val="single" w:sz="4" w:space="0" w:color="auto"/>
              <w:bottom w:val="single" w:sz="4" w:space="0" w:color="auto"/>
              <w:right w:val="single" w:sz="4" w:space="0" w:color="auto"/>
            </w:tcBorders>
            <w:vAlign w:val="bottom"/>
          </w:tcPr>
          <w:p w14:paraId="54D5A632"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18</w:t>
            </w:r>
          </w:p>
        </w:tc>
        <w:tc>
          <w:tcPr>
            <w:tcW w:w="2213" w:type="dxa"/>
            <w:tcBorders>
              <w:top w:val="single" w:sz="4" w:space="0" w:color="auto"/>
              <w:left w:val="single" w:sz="4" w:space="0" w:color="auto"/>
              <w:bottom w:val="single" w:sz="4" w:space="0" w:color="auto"/>
              <w:right w:val="single" w:sz="4" w:space="0" w:color="auto"/>
            </w:tcBorders>
            <w:vAlign w:val="bottom"/>
          </w:tcPr>
          <w:p w14:paraId="2355B690" w14:textId="77777777" w:rsidR="00841E1C" w:rsidRPr="00091B1A" w:rsidRDefault="00841E1C" w:rsidP="00841E1C">
            <w:pPr>
              <w:jc w:val="center"/>
              <w:rPr>
                <w:rFonts w:asciiTheme="minorHAnsi" w:hAnsiTheme="minorHAnsi"/>
                <w:color w:val="000000"/>
                <w:sz w:val="22"/>
                <w:szCs w:val="22"/>
                <w:lang w:bidi="ar-SA"/>
              </w:rPr>
            </w:pPr>
            <w:r w:rsidRPr="00091B1A">
              <w:rPr>
                <w:rFonts w:asciiTheme="minorHAnsi" w:hAnsiTheme="minorHAnsi"/>
                <w:color w:val="000000"/>
                <w:sz w:val="22"/>
                <w:szCs w:val="22"/>
              </w:rPr>
              <w:t>15611</w:t>
            </w:r>
          </w:p>
        </w:tc>
        <w:tc>
          <w:tcPr>
            <w:tcW w:w="2242" w:type="dxa"/>
            <w:tcBorders>
              <w:top w:val="single" w:sz="4" w:space="0" w:color="auto"/>
              <w:left w:val="single" w:sz="4" w:space="0" w:color="auto"/>
              <w:bottom w:val="single" w:sz="4" w:space="0" w:color="auto"/>
              <w:right w:val="single" w:sz="4" w:space="0" w:color="auto"/>
            </w:tcBorders>
            <w:vAlign w:val="bottom"/>
          </w:tcPr>
          <w:p w14:paraId="2A498975"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115.3</w:t>
            </w:r>
          </w:p>
        </w:tc>
      </w:tr>
      <w:tr w:rsidR="00841E1C" w:rsidRPr="00091B1A" w14:paraId="24396DFF"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283E7E6F" w14:textId="523CAA63" w:rsidR="00841E1C" w:rsidRPr="00091B1A" w:rsidRDefault="00841E1C" w:rsidP="00091B1A">
            <w:pPr>
              <w:jc w:val="left"/>
              <w:rPr>
                <w:rFonts w:asciiTheme="minorHAnsi" w:hAnsiTheme="minorHAnsi"/>
                <w:color w:val="000000"/>
                <w:sz w:val="22"/>
                <w:szCs w:val="22"/>
              </w:rPr>
            </w:pPr>
            <w:r w:rsidRPr="00091B1A">
              <w:rPr>
                <w:rFonts w:asciiTheme="minorHAnsi" w:hAnsiTheme="minorHAnsi"/>
                <w:color w:val="000000"/>
                <w:sz w:val="22"/>
                <w:szCs w:val="22"/>
              </w:rPr>
              <w:t xml:space="preserve">Lakes </w:t>
            </w:r>
          </w:p>
        </w:tc>
        <w:tc>
          <w:tcPr>
            <w:tcW w:w="2312" w:type="dxa"/>
            <w:tcBorders>
              <w:top w:val="single" w:sz="4" w:space="0" w:color="auto"/>
              <w:left w:val="single" w:sz="4" w:space="0" w:color="auto"/>
              <w:bottom w:val="single" w:sz="4" w:space="0" w:color="auto"/>
              <w:right w:val="single" w:sz="4" w:space="0" w:color="auto"/>
            </w:tcBorders>
            <w:vAlign w:val="bottom"/>
          </w:tcPr>
          <w:p w14:paraId="00852911"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8</w:t>
            </w:r>
          </w:p>
        </w:tc>
        <w:tc>
          <w:tcPr>
            <w:tcW w:w="2213" w:type="dxa"/>
            <w:tcBorders>
              <w:top w:val="single" w:sz="4" w:space="0" w:color="auto"/>
              <w:left w:val="single" w:sz="4" w:space="0" w:color="auto"/>
              <w:bottom w:val="single" w:sz="4" w:space="0" w:color="auto"/>
              <w:right w:val="single" w:sz="4" w:space="0" w:color="auto"/>
            </w:tcBorders>
            <w:vAlign w:val="bottom"/>
          </w:tcPr>
          <w:p w14:paraId="0F852242"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12624</w:t>
            </w:r>
          </w:p>
        </w:tc>
        <w:tc>
          <w:tcPr>
            <w:tcW w:w="2242" w:type="dxa"/>
            <w:tcBorders>
              <w:top w:val="single" w:sz="4" w:space="0" w:color="auto"/>
              <w:left w:val="single" w:sz="4" w:space="0" w:color="auto"/>
              <w:bottom w:val="single" w:sz="4" w:space="0" w:color="auto"/>
              <w:right w:val="single" w:sz="4" w:space="0" w:color="auto"/>
            </w:tcBorders>
            <w:vAlign w:val="bottom"/>
          </w:tcPr>
          <w:p w14:paraId="017FF07C"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63.37</w:t>
            </w:r>
          </w:p>
        </w:tc>
      </w:tr>
      <w:tr w:rsidR="00841E1C" w:rsidRPr="00091B1A" w14:paraId="0A494FD6"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4A3DA086" w14:textId="315BAE75" w:rsidR="00841E1C" w:rsidRPr="00091B1A" w:rsidRDefault="00091B1A" w:rsidP="00841E1C">
            <w:pPr>
              <w:jc w:val="left"/>
              <w:rPr>
                <w:rFonts w:asciiTheme="minorHAnsi" w:hAnsiTheme="minorHAnsi"/>
                <w:color w:val="000000"/>
                <w:sz w:val="22"/>
                <w:szCs w:val="22"/>
              </w:rPr>
            </w:pPr>
            <w:r w:rsidRPr="00091B1A">
              <w:rPr>
                <w:rFonts w:asciiTheme="minorHAnsi" w:hAnsiTheme="minorHAnsi"/>
                <w:color w:val="000000"/>
                <w:sz w:val="22"/>
                <w:szCs w:val="22"/>
              </w:rPr>
              <w:t>MidCentral</w:t>
            </w:r>
          </w:p>
        </w:tc>
        <w:tc>
          <w:tcPr>
            <w:tcW w:w="2312" w:type="dxa"/>
            <w:tcBorders>
              <w:top w:val="single" w:sz="4" w:space="0" w:color="auto"/>
              <w:left w:val="single" w:sz="4" w:space="0" w:color="auto"/>
              <w:bottom w:val="single" w:sz="4" w:space="0" w:color="auto"/>
              <w:right w:val="single" w:sz="4" w:space="0" w:color="auto"/>
            </w:tcBorders>
            <w:vAlign w:val="bottom"/>
          </w:tcPr>
          <w:p w14:paraId="394409F3"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24</w:t>
            </w:r>
          </w:p>
        </w:tc>
        <w:tc>
          <w:tcPr>
            <w:tcW w:w="2213" w:type="dxa"/>
            <w:tcBorders>
              <w:top w:val="single" w:sz="4" w:space="0" w:color="auto"/>
              <w:left w:val="single" w:sz="4" w:space="0" w:color="auto"/>
              <w:bottom w:val="single" w:sz="4" w:space="0" w:color="auto"/>
              <w:right w:val="single" w:sz="4" w:space="0" w:color="auto"/>
            </w:tcBorders>
            <w:vAlign w:val="bottom"/>
          </w:tcPr>
          <w:p w14:paraId="023E7DE2" w14:textId="102D857B" w:rsidR="00841E1C" w:rsidRPr="00091B1A" w:rsidRDefault="00005B1C" w:rsidP="00005B1C">
            <w:pPr>
              <w:jc w:val="center"/>
              <w:rPr>
                <w:rFonts w:asciiTheme="minorHAnsi" w:hAnsiTheme="minorHAnsi"/>
                <w:color w:val="000000"/>
                <w:sz w:val="22"/>
                <w:szCs w:val="22"/>
              </w:rPr>
            </w:pPr>
            <w:r w:rsidRPr="00091B1A">
              <w:rPr>
                <w:rFonts w:asciiTheme="minorHAnsi" w:hAnsiTheme="minorHAnsi"/>
                <w:color w:val="000000"/>
                <w:sz w:val="22"/>
                <w:szCs w:val="22"/>
              </w:rPr>
              <w:t>1</w:t>
            </w:r>
            <w:r>
              <w:rPr>
                <w:rFonts w:asciiTheme="minorHAnsi" w:hAnsiTheme="minorHAnsi"/>
                <w:color w:val="000000"/>
                <w:sz w:val="22"/>
                <w:szCs w:val="22"/>
              </w:rPr>
              <w:t>6107</w:t>
            </w:r>
          </w:p>
        </w:tc>
        <w:tc>
          <w:tcPr>
            <w:tcW w:w="2242" w:type="dxa"/>
            <w:tcBorders>
              <w:top w:val="single" w:sz="4" w:space="0" w:color="auto"/>
              <w:left w:val="single" w:sz="4" w:space="0" w:color="auto"/>
              <w:bottom w:val="single" w:sz="4" w:space="0" w:color="auto"/>
              <w:right w:val="single" w:sz="4" w:space="0" w:color="auto"/>
            </w:tcBorders>
            <w:vAlign w:val="bottom"/>
          </w:tcPr>
          <w:p w14:paraId="326FE8F8" w14:textId="5BE440FC" w:rsidR="00841E1C" w:rsidRPr="00091B1A" w:rsidRDefault="00005B1C" w:rsidP="00841E1C">
            <w:pPr>
              <w:jc w:val="center"/>
              <w:rPr>
                <w:rFonts w:asciiTheme="minorHAnsi" w:hAnsiTheme="minorHAnsi"/>
                <w:color w:val="000000"/>
                <w:sz w:val="22"/>
                <w:szCs w:val="22"/>
              </w:rPr>
            </w:pPr>
            <w:r>
              <w:rPr>
                <w:rFonts w:asciiTheme="minorHAnsi" w:hAnsiTheme="minorHAnsi"/>
                <w:color w:val="000000"/>
                <w:sz w:val="22"/>
                <w:szCs w:val="22"/>
              </w:rPr>
              <w:t>149</w:t>
            </w:r>
          </w:p>
        </w:tc>
      </w:tr>
      <w:tr w:rsidR="00841E1C" w:rsidRPr="00091B1A" w14:paraId="2A14A2B0"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398871C6" w14:textId="6CDE47A0" w:rsidR="00841E1C" w:rsidRPr="00091B1A" w:rsidRDefault="00841E1C" w:rsidP="00841E1C">
            <w:pPr>
              <w:jc w:val="left"/>
              <w:rPr>
                <w:rFonts w:asciiTheme="minorHAnsi" w:hAnsiTheme="minorHAnsi"/>
                <w:color w:val="000000"/>
                <w:sz w:val="22"/>
                <w:szCs w:val="22"/>
              </w:rPr>
            </w:pPr>
            <w:r w:rsidRPr="00091B1A">
              <w:rPr>
                <w:rFonts w:asciiTheme="minorHAnsi" w:hAnsiTheme="minorHAnsi"/>
                <w:color w:val="000000"/>
                <w:sz w:val="22"/>
                <w:szCs w:val="22"/>
              </w:rPr>
              <w:t>Nelson M</w:t>
            </w:r>
            <w:r w:rsidR="00091B1A" w:rsidRPr="00091B1A">
              <w:rPr>
                <w:rFonts w:asciiTheme="minorHAnsi" w:hAnsiTheme="minorHAnsi"/>
                <w:color w:val="000000"/>
                <w:sz w:val="22"/>
                <w:szCs w:val="22"/>
              </w:rPr>
              <w:t>arlborough</w:t>
            </w:r>
          </w:p>
        </w:tc>
        <w:tc>
          <w:tcPr>
            <w:tcW w:w="2312" w:type="dxa"/>
            <w:tcBorders>
              <w:top w:val="single" w:sz="4" w:space="0" w:color="auto"/>
              <w:left w:val="single" w:sz="4" w:space="0" w:color="auto"/>
              <w:bottom w:val="single" w:sz="4" w:space="0" w:color="auto"/>
              <w:right w:val="single" w:sz="4" w:space="0" w:color="auto"/>
            </w:tcBorders>
            <w:vAlign w:val="bottom"/>
          </w:tcPr>
          <w:p w14:paraId="42819923"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9</w:t>
            </w:r>
          </w:p>
        </w:tc>
        <w:tc>
          <w:tcPr>
            <w:tcW w:w="2213" w:type="dxa"/>
            <w:tcBorders>
              <w:top w:val="single" w:sz="4" w:space="0" w:color="auto"/>
              <w:left w:val="single" w:sz="4" w:space="0" w:color="auto"/>
              <w:bottom w:val="single" w:sz="4" w:space="0" w:color="auto"/>
              <w:right w:val="single" w:sz="4" w:space="0" w:color="auto"/>
            </w:tcBorders>
            <w:vAlign w:val="bottom"/>
          </w:tcPr>
          <w:p w14:paraId="00DCB640"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13380</w:t>
            </w:r>
          </w:p>
        </w:tc>
        <w:tc>
          <w:tcPr>
            <w:tcW w:w="2242" w:type="dxa"/>
            <w:tcBorders>
              <w:top w:val="single" w:sz="4" w:space="0" w:color="auto"/>
              <w:left w:val="single" w:sz="4" w:space="0" w:color="auto"/>
              <w:bottom w:val="single" w:sz="4" w:space="0" w:color="auto"/>
              <w:right w:val="single" w:sz="4" w:space="0" w:color="auto"/>
            </w:tcBorders>
            <w:vAlign w:val="bottom"/>
          </w:tcPr>
          <w:p w14:paraId="2E486342"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67.26</w:t>
            </w:r>
          </w:p>
        </w:tc>
      </w:tr>
      <w:tr w:rsidR="00841E1C" w:rsidRPr="00091B1A" w14:paraId="2C8E591D"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74B1F265" w14:textId="2CD38ED3" w:rsidR="00841E1C" w:rsidRPr="00091B1A" w:rsidRDefault="00091B1A" w:rsidP="00841E1C">
            <w:pPr>
              <w:jc w:val="left"/>
              <w:rPr>
                <w:rFonts w:asciiTheme="minorHAnsi" w:hAnsiTheme="minorHAnsi"/>
                <w:color w:val="000000"/>
                <w:sz w:val="22"/>
                <w:szCs w:val="22"/>
              </w:rPr>
            </w:pPr>
            <w:r w:rsidRPr="00091B1A">
              <w:rPr>
                <w:rFonts w:asciiTheme="minorHAnsi" w:hAnsiTheme="minorHAnsi"/>
                <w:color w:val="000000"/>
                <w:sz w:val="22"/>
                <w:szCs w:val="22"/>
              </w:rPr>
              <w:t xml:space="preserve">Northland </w:t>
            </w:r>
          </w:p>
        </w:tc>
        <w:tc>
          <w:tcPr>
            <w:tcW w:w="2312" w:type="dxa"/>
            <w:tcBorders>
              <w:top w:val="single" w:sz="4" w:space="0" w:color="auto"/>
              <w:left w:val="single" w:sz="4" w:space="0" w:color="auto"/>
              <w:bottom w:val="single" w:sz="4" w:space="0" w:color="auto"/>
              <w:right w:val="single" w:sz="4" w:space="0" w:color="auto"/>
            </w:tcBorders>
            <w:vAlign w:val="bottom"/>
          </w:tcPr>
          <w:p w14:paraId="69ACF494"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12</w:t>
            </w:r>
          </w:p>
        </w:tc>
        <w:tc>
          <w:tcPr>
            <w:tcW w:w="2213" w:type="dxa"/>
            <w:tcBorders>
              <w:top w:val="single" w:sz="4" w:space="0" w:color="auto"/>
              <w:left w:val="single" w:sz="4" w:space="0" w:color="auto"/>
              <w:bottom w:val="single" w:sz="4" w:space="0" w:color="auto"/>
              <w:right w:val="single" w:sz="4" w:space="0" w:color="auto"/>
            </w:tcBorders>
            <w:vAlign w:val="bottom"/>
          </w:tcPr>
          <w:p w14:paraId="2B2FB8F2"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21655</w:t>
            </w:r>
          </w:p>
        </w:tc>
        <w:tc>
          <w:tcPr>
            <w:tcW w:w="2242" w:type="dxa"/>
            <w:tcBorders>
              <w:top w:val="single" w:sz="4" w:space="0" w:color="auto"/>
              <w:left w:val="single" w:sz="4" w:space="0" w:color="auto"/>
              <w:bottom w:val="single" w:sz="4" w:space="0" w:color="auto"/>
              <w:right w:val="single" w:sz="4" w:space="0" w:color="auto"/>
            </w:tcBorders>
            <w:vAlign w:val="bottom"/>
          </w:tcPr>
          <w:p w14:paraId="60D6D3F5"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55.41</w:t>
            </w:r>
          </w:p>
        </w:tc>
      </w:tr>
      <w:tr w:rsidR="00841E1C" w:rsidRPr="00091B1A" w14:paraId="5A7D9C31"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6BFD71B8" w14:textId="078A864B" w:rsidR="00841E1C" w:rsidRPr="00091B1A" w:rsidRDefault="00841E1C" w:rsidP="00841E1C">
            <w:pPr>
              <w:jc w:val="left"/>
              <w:rPr>
                <w:rFonts w:asciiTheme="minorHAnsi" w:hAnsiTheme="minorHAnsi"/>
                <w:color w:val="000000"/>
                <w:sz w:val="22"/>
                <w:szCs w:val="22"/>
              </w:rPr>
            </w:pPr>
            <w:r w:rsidRPr="00091B1A">
              <w:rPr>
                <w:rFonts w:asciiTheme="minorHAnsi" w:hAnsiTheme="minorHAnsi"/>
                <w:color w:val="000000"/>
                <w:sz w:val="22"/>
                <w:szCs w:val="22"/>
              </w:rPr>
              <w:t xml:space="preserve">South </w:t>
            </w:r>
            <w:r w:rsidR="00091B1A" w:rsidRPr="00091B1A">
              <w:rPr>
                <w:rFonts w:asciiTheme="minorHAnsi" w:hAnsiTheme="minorHAnsi"/>
                <w:color w:val="000000"/>
                <w:sz w:val="22"/>
                <w:szCs w:val="22"/>
              </w:rPr>
              <w:t xml:space="preserve">Canterbury </w:t>
            </w:r>
          </w:p>
        </w:tc>
        <w:tc>
          <w:tcPr>
            <w:tcW w:w="2312" w:type="dxa"/>
            <w:tcBorders>
              <w:top w:val="single" w:sz="4" w:space="0" w:color="auto"/>
              <w:left w:val="single" w:sz="4" w:space="0" w:color="auto"/>
              <w:bottom w:val="single" w:sz="4" w:space="0" w:color="auto"/>
              <w:right w:val="single" w:sz="4" w:space="0" w:color="auto"/>
            </w:tcBorders>
            <w:vAlign w:val="bottom"/>
          </w:tcPr>
          <w:p w14:paraId="750084EB"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7</w:t>
            </w:r>
          </w:p>
        </w:tc>
        <w:tc>
          <w:tcPr>
            <w:tcW w:w="2213" w:type="dxa"/>
            <w:tcBorders>
              <w:top w:val="single" w:sz="4" w:space="0" w:color="auto"/>
              <w:left w:val="single" w:sz="4" w:space="0" w:color="auto"/>
              <w:bottom w:val="single" w:sz="4" w:space="0" w:color="auto"/>
              <w:right w:val="single" w:sz="4" w:space="0" w:color="auto"/>
            </w:tcBorders>
            <w:vAlign w:val="bottom"/>
          </w:tcPr>
          <w:p w14:paraId="2FF82CEC"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6221</w:t>
            </w:r>
          </w:p>
        </w:tc>
        <w:tc>
          <w:tcPr>
            <w:tcW w:w="2242" w:type="dxa"/>
            <w:tcBorders>
              <w:top w:val="single" w:sz="4" w:space="0" w:color="auto"/>
              <w:left w:val="single" w:sz="4" w:space="0" w:color="auto"/>
              <w:bottom w:val="single" w:sz="4" w:space="0" w:color="auto"/>
              <w:right w:val="single" w:sz="4" w:space="0" w:color="auto"/>
            </w:tcBorders>
            <w:vAlign w:val="bottom"/>
          </w:tcPr>
          <w:p w14:paraId="5EE035D2"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112.52</w:t>
            </w:r>
          </w:p>
        </w:tc>
      </w:tr>
      <w:tr w:rsidR="00841E1C" w:rsidRPr="00091B1A" w14:paraId="756D063B"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1FDDFB04" w14:textId="0C3ABB6D" w:rsidR="00841E1C" w:rsidRPr="00091B1A" w:rsidRDefault="00091B1A" w:rsidP="00841E1C">
            <w:pPr>
              <w:jc w:val="left"/>
              <w:rPr>
                <w:rFonts w:asciiTheme="minorHAnsi" w:hAnsiTheme="minorHAnsi"/>
                <w:color w:val="000000"/>
                <w:sz w:val="22"/>
                <w:szCs w:val="22"/>
              </w:rPr>
            </w:pPr>
            <w:r w:rsidRPr="00091B1A">
              <w:rPr>
                <w:rFonts w:asciiTheme="minorHAnsi" w:hAnsiTheme="minorHAnsi"/>
                <w:color w:val="000000"/>
                <w:sz w:val="22"/>
                <w:szCs w:val="22"/>
              </w:rPr>
              <w:t xml:space="preserve">Southern </w:t>
            </w:r>
          </w:p>
        </w:tc>
        <w:tc>
          <w:tcPr>
            <w:tcW w:w="2312" w:type="dxa"/>
            <w:tcBorders>
              <w:top w:val="single" w:sz="4" w:space="0" w:color="auto"/>
              <w:left w:val="single" w:sz="4" w:space="0" w:color="auto"/>
              <w:bottom w:val="single" w:sz="4" w:space="0" w:color="auto"/>
              <w:right w:val="single" w:sz="4" w:space="0" w:color="auto"/>
            </w:tcBorders>
            <w:vAlign w:val="bottom"/>
          </w:tcPr>
          <w:p w14:paraId="21F37B8E"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32</w:t>
            </w:r>
          </w:p>
        </w:tc>
        <w:tc>
          <w:tcPr>
            <w:tcW w:w="2213" w:type="dxa"/>
            <w:tcBorders>
              <w:top w:val="single" w:sz="4" w:space="0" w:color="auto"/>
              <w:left w:val="single" w:sz="4" w:space="0" w:color="auto"/>
              <w:bottom w:val="single" w:sz="4" w:space="0" w:color="auto"/>
              <w:right w:val="single" w:sz="4" w:space="0" w:color="auto"/>
            </w:tcBorders>
            <w:vAlign w:val="bottom"/>
          </w:tcPr>
          <w:p w14:paraId="14D7CBC8"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28039</w:t>
            </w:r>
          </w:p>
        </w:tc>
        <w:tc>
          <w:tcPr>
            <w:tcW w:w="2242" w:type="dxa"/>
            <w:tcBorders>
              <w:top w:val="single" w:sz="4" w:space="0" w:color="auto"/>
              <w:left w:val="single" w:sz="4" w:space="0" w:color="auto"/>
              <w:bottom w:val="single" w:sz="4" w:space="0" w:color="auto"/>
              <w:right w:val="single" w:sz="4" w:space="0" w:color="auto"/>
            </w:tcBorders>
            <w:vAlign w:val="bottom"/>
          </w:tcPr>
          <w:p w14:paraId="35B17F4A"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114.12</w:t>
            </w:r>
          </w:p>
        </w:tc>
      </w:tr>
      <w:tr w:rsidR="00841E1C" w:rsidRPr="00091B1A" w14:paraId="1B891290"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72950928" w14:textId="7A05E228" w:rsidR="00841E1C" w:rsidRPr="00091B1A" w:rsidRDefault="00091B1A" w:rsidP="00841E1C">
            <w:pPr>
              <w:jc w:val="left"/>
              <w:rPr>
                <w:rFonts w:asciiTheme="minorHAnsi" w:hAnsiTheme="minorHAnsi"/>
                <w:color w:val="000000"/>
                <w:sz w:val="22"/>
                <w:szCs w:val="22"/>
              </w:rPr>
            </w:pPr>
            <w:r w:rsidRPr="00091B1A">
              <w:rPr>
                <w:rFonts w:asciiTheme="minorHAnsi" w:hAnsiTheme="minorHAnsi"/>
                <w:color w:val="000000"/>
                <w:sz w:val="22"/>
                <w:szCs w:val="22"/>
              </w:rPr>
              <w:t xml:space="preserve">Taranaki </w:t>
            </w:r>
          </w:p>
        </w:tc>
        <w:tc>
          <w:tcPr>
            <w:tcW w:w="2312" w:type="dxa"/>
            <w:tcBorders>
              <w:top w:val="single" w:sz="4" w:space="0" w:color="auto"/>
              <w:left w:val="single" w:sz="4" w:space="0" w:color="auto"/>
              <w:bottom w:val="single" w:sz="4" w:space="0" w:color="auto"/>
              <w:right w:val="single" w:sz="4" w:space="0" w:color="auto"/>
            </w:tcBorders>
            <w:vAlign w:val="bottom"/>
          </w:tcPr>
          <w:p w14:paraId="5A8D29F5"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19</w:t>
            </w:r>
          </w:p>
        </w:tc>
        <w:tc>
          <w:tcPr>
            <w:tcW w:w="2213" w:type="dxa"/>
            <w:tcBorders>
              <w:top w:val="single" w:sz="4" w:space="0" w:color="auto"/>
              <w:left w:val="single" w:sz="4" w:space="0" w:color="auto"/>
              <w:bottom w:val="single" w:sz="4" w:space="0" w:color="auto"/>
              <w:right w:val="single" w:sz="4" w:space="0" w:color="auto"/>
            </w:tcBorders>
            <w:vAlign w:val="bottom"/>
          </w:tcPr>
          <w:p w14:paraId="748F8187" w14:textId="77777777" w:rsidR="00841E1C" w:rsidRPr="00091B1A" w:rsidRDefault="00841E1C" w:rsidP="00841E1C">
            <w:pPr>
              <w:jc w:val="center"/>
              <w:rPr>
                <w:rFonts w:asciiTheme="minorHAnsi" w:hAnsiTheme="minorHAnsi"/>
                <w:color w:val="000000"/>
                <w:sz w:val="22"/>
                <w:szCs w:val="22"/>
                <w:lang w:bidi="ar-SA"/>
              </w:rPr>
            </w:pPr>
            <w:r w:rsidRPr="00091B1A">
              <w:rPr>
                <w:rFonts w:asciiTheme="minorHAnsi" w:hAnsiTheme="minorHAnsi"/>
                <w:color w:val="000000"/>
                <w:sz w:val="22"/>
                <w:szCs w:val="22"/>
              </w:rPr>
              <w:t>14340</w:t>
            </w:r>
          </w:p>
        </w:tc>
        <w:tc>
          <w:tcPr>
            <w:tcW w:w="2242" w:type="dxa"/>
            <w:tcBorders>
              <w:top w:val="single" w:sz="4" w:space="0" w:color="auto"/>
              <w:left w:val="single" w:sz="4" w:space="0" w:color="auto"/>
              <w:bottom w:val="single" w:sz="4" w:space="0" w:color="auto"/>
              <w:right w:val="single" w:sz="4" w:space="0" w:color="auto"/>
            </w:tcBorders>
            <w:vAlign w:val="bottom"/>
          </w:tcPr>
          <w:p w14:paraId="40691CF7"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132.50</w:t>
            </w:r>
          </w:p>
        </w:tc>
      </w:tr>
      <w:tr w:rsidR="00841E1C" w:rsidRPr="00091B1A" w14:paraId="6FB2CFD4"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7499E830" w14:textId="257AE11D" w:rsidR="00841E1C" w:rsidRPr="00091B1A" w:rsidRDefault="00091B1A" w:rsidP="00841E1C">
            <w:pPr>
              <w:jc w:val="left"/>
              <w:rPr>
                <w:rFonts w:asciiTheme="minorHAnsi" w:hAnsiTheme="minorHAnsi"/>
                <w:color w:val="000000"/>
                <w:sz w:val="22"/>
                <w:szCs w:val="22"/>
              </w:rPr>
            </w:pPr>
            <w:r w:rsidRPr="00091B1A">
              <w:rPr>
                <w:rFonts w:asciiTheme="minorHAnsi" w:hAnsiTheme="minorHAnsi"/>
                <w:color w:val="000000"/>
                <w:sz w:val="22"/>
                <w:szCs w:val="22"/>
              </w:rPr>
              <w:t xml:space="preserve">Waikato </w:t>
            </w:r>
          </w:p>
        </w:tc>
        <w:tc>
          <w:tcPr>
            <w:tcW w:w="2312" w:type="dxa"/>
            <w:tcBorders>
              <w:top w:val="single" w:sz="4" w:space="0" w:color="auto"/>
              <w:left w:val="single" w:sz="4" w:space="0" w:color="auto"/>
              <w:bottom w:val="single" w:sz="4" w:space="0" w:color="auto"/>
              <w:right w:val="single" w:sz="4" w:space="0" w:color="auto"/>
            </w:tcBorders>
            <w:vAlign w:val="bottom"/>
          </w:tcPr>
          <w:p w14:paraId="4F6D7D63"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43</w:t>
            </w:r>
          </w:p>
        </w:tc>
        <w:tc>
          <w:tcPr>
            <w:tcW w:w="2213" w:type="dxa"/>
            <w:tcBorders>
              <w:top w:val="single" w:sz="4" w:space="0" w:color="auto"/>
              <w:left w:val="single" w:sz="4" w:space="0" w:color="auto"/>
              <w:bottom w:val="single" w:sz="4" w:space="0" w:color="auto"/>
              <w:right w:val="single" w:sz="4" w:space="0" w:color="auto"/>
            </w:tcBorders>
            <w:vAlign w:val="bottom"/>
          </w:tcPr>
          <w:p w14:paraId="367013DC"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51954</w:t>
            </w:r>
          </w:p>
        </w:tc>
        <w:tc>
          <w:tcPr>
            <w:tcW w:w="2242" w:type="dxa"/>
            <w:tcBorders>
              <w:top w:val="single" w:sz="4" w:space="0" w:color="auto"/>
              <w:left w:val="single" w:sz="4" w:space="0" w:color="auto"/>
              <w:bottom w:val="single" w:sz="4" w:space="0" w:color="auto"/>
              <w:right w:val="single" w:sz="4" w:space="0" w:color="auto"/>
            </w:tcBorders>
            <w:vAlign w:val="bottom"/>
          </w:tcPr>
          <w:p w14:paraId="04B6B10C"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82.77</w:t>
            </w:r>
          </w:p>
        </w:tc>
      </w:tr>
      <w:tr w:rsidR="00841E1C" w:rsidRPr="00091B1A" w14:paraId="7A57D3C8"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39DBFA3E" w14:textId="35635A33" w:rsidR="00841E1C" w:rsidRPr="00091B1A" w:rsidRDefault="00091B1A" w:rsidP="00841E1C">
            <w:pPr>
              <w:jc w:val="left"/>
              <w:rPr>
                <w:rFonts w:asciiTheme="minorHAnsi" w:hAnsiTheme="minorHAnsi"/>
                <w:color w:val="000000"/>
                <w:sz w:val="22"/>
                <w:szCs w:val="22"/>
              </w:rPr>
            </w:pPr>
            <w:r w:rsidRPr="00091B1A">
              <w:rPr>
                <w:rFonts w:asciiTheme="minorHAnsi" w:hAnsiTheme="minorHAnsi"/>
                <w:color w:val="000000"/>
                <w:sz w:val="22"/>
                <w:szCs w:val="22"/>
              </w:rPr>
              <w:t xml:space="preserve">Wairarapa </w:t>
            </w:r>
          </w:p>
        </w:tc>
        <w:tc>
          <w:tcPr>
            <w:tcW w:w="2312" w:type="dxa"/>
            <w:tcBorders>
              <w:top w:val="single" w:sz="4" w:space="0" w:color="auto"/>
              <w:left w:val="single" w:sz="4" w:space="0" w:color="auto"/>
              <w:bottom w:val="single" w:sz="4" w:space="0" w:color="auto"/>
              <w:right w:val="single" w:sz="4" w:space="0" w:color="auto"/>
            </w:tcBorders>
            <w:vAlign w:val="bottom"/>
          </w:tcPr>
          <w:p w14:paraId="471BEAAC"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7</w:t>
            </w:r>
          </w:p>
        </w:tc>
        <w:tc>
          <w:tcPr>
            <w:tcW w:w="2213" w:type="dxa"/>
            <w:tcBorders>
              <w:top w:val="single" w:sz="4" w:space="0" w:color="auto"/>
              <w:left w:val="single" w:sz="4" w:space="0" w:color="auto"/>
              <w:bottom w:val="single" w:sz="4" w:space="0" w:color="auto"/>
              <w:right w:val="single" w:sz="4" w:space="0" w:color="auto"/>
            </w:tcBorders>
            <w:vAlign w:val="bottom"/>
          </w:tcPr>
          <w:p w14:paraId="1506B3A3"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4430</w:t>
            </w:r>
          </w:p>
        </w:tc>
        <w:tc>
          <w:tcPr>
            <w:tcW w:w="2242" w:type="dxa"/>
            <w:tcBorders>
              <w:top w:val="single" w:sz="4" w:space="0" w:color="auto"/>
              <w:left w:val="single" w:sz="4" w:space="0" w:color="auto"/>
              <w:bottom w:val="single" w:sz="4" w:space="0" w:color="auto"/>
              <w:right w:val="single" w:sz="4" w:space="0" w:color="auto"/>
            </w:tcBorders>
            <w:vAlign w:val="bottom"/>
          </w:tcPr>
          <w:p w14:paraId="3D261DF3"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158.01</w:t>
            </w:r>
          </w:p>
        </w:tc>
      </w:tr>
      <w:tr w:rsidR="00841E1C" w:rsidRPr="00091B1A" w14:paraId="528474BA"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16649E10" w14:textId="41B7C3C9" w:rsidR="00841E1C" w:rsidRPr="00091B1A" w:rsidRDefault="00091B1A" w:rsidP="00841E1C">
            <w:pPr>
              <w:jc w:val="left"/>
              <w:rPr>
                <w:rFonts w:asciiTheme="minorHAnsi" w:hAnsiTheme="minorHAnsi"/>
                <w:color w:val="000000"/>
                <w:sz w:val="22"/>
                <w:szCs w:val="22"/>
              </w:rPr>
            </w:pPr>
            <w:r w:rsidRPr="00091B1A">
              <w:rPr>
                <w:rFonts w:asciiTheme="minorHAnsi" w:hAnsiTheme="minorHAnsi"/>
                <w:color w:val="000000"/>
                <w:sz w:val="22"/>
                <w:szCs w:val="22"/>
              </w:rPr>
              <w:t xml:space="preserve">Waitemata </w:t>
            </w:r>
          </w:p>
        </w:tc>
        <w:tc>
          <w:tcPr>
            <w:tcW w:w="2312" w:type="dxa"/>
            <w:tcBorders>
              <w:top w:val="single" w:sz="4" w:space="0" w:color="auto"/>
              <w:left w:val="single" w:sz="4" w:space="0" w:color="auto"/>
              <w:bottom w:val="single" w:sz="4" w:space="0" w:color="auto"/>
              <w:right w:val="single" w:sz="4" w:space="0" w:color="auto"/>
            </w:tcBorders>
            <w:vAlign w:val="bottom"/>
          </w:tcPr>
          <w:p w14:paraId="2D108FC6" w14:textId="4F023382"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4</w:t>
            </w:r>
            <w:r w:rsidR="00144EF1">
              <w:rPr>
                <w:rFonts w:asciiTheme="minorHAnsi" w:hAnsiTheme="minorHAnsi"/>
                <w:color w:val="000000"/>
                <w:sz w:val="22"/>
                <w:szCs w:val="22"/>
              </w:rPr>
              <w:t>6</w:t>
            </w:r>
          </w:p>
        </w:tc>
        <w:tc>
          <w:tcPr>
            <w:tcW w:w="2213" w:type="dxa"/>
            <w:tcBorders>
              <w:top w:val="single" w:sz="4" w:space="0" w:color="auto"/>
              <w:left w:val="single" w:sz="4" w:space="0" w:color="auto"/>
              <w:bottom w:val="single" w:sz="4" w:space="0" w:color="auto"/>
              <w:right w:val="single" w:sz="4" w:space="0" w:color="auto"/>
            </w:tcBorders>
            <w:vAlign w:val="bottom"/>
          </w:tcPr>
          <w:p w14:paraId="6F686F1A"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55283</w:t>
            </w:r>
          </w:p>
        </w:tc>
        <w:tc>
          <w:tcPr>
            <w:tcW w:w="2242" w:type="dxa"/>
            <w:tcBorders>
              <w:top w:val="single" w:sz="4" w:space="0" w:color="auto"/>
              <w:left w:val="single" w:sz="4" w:space="0" w:color="auto"/>
              <w:bottom w:val="single" w:sz="4" w:space="0" w:color="auto"/>
              <w:right w:val="single" w:sz="4" w:space="0" w:color="auto"/>
            </w:tcBorders>
            <w:vAlign w:val="bottom"/>
          </w:tcPr>
          <w:p w14:paraId="147B1FED" w14:textId="715E702C" w:rsidR="00841E1C" w:rsidRPr="00091B1A" w:rsidRDefault="00144EF1" w:rsidP="00841E1C">
            <w:pPr>
              <w:jc w:val="center"/>
              <w:rPr>
                <w:rFonts w:asciiTheme="minorHAnsi" w:hAnsiTheme="minorHAnsi"/>
                <w:color w:val="000000"/>
                <w:sz w:val="22"/>
                <w:szCs w:val="22"/>
              </w:rPr>
            </w:pPr>
            <w:r>
              <w:rPr>
                <w:rFonts w:asciiTheme="minorHAnsi" w:hAnsiTheme="minorHAnsi"/>
                <w:color w:val="000000"/>
                <w:sz w:val="22"/>
                <w:szCs w:val="22"/>
              </w:rPr>
              <w:t>83.2</w:t>
            </w:r>
          </w:p>
        </w:tc>
      </w:tr>
      <w:tr w:rsidR="00841E1C" w:rsidRPr="00091B1A" w14:paraId="1FC70065"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3E7EF529" w14:textId="346A5795" w:rsidR="00841E1C" w:rsidRPr="00091B1A" w:rsidRDefault="00091B1A" w:rsidP="00841E1C">
            <w:pPr>
              <w:jc w:val="left"/>
              <w:rPr>
                <w:rFonts w:asciiTheme="minorHAnsi" w:hAnsiTheme="minorHAnsi"/>
                <w:color w:val="000000"/>
                <w:sz w:val="22"/>
                <w:szCs w:val="22"/>
              </w:rPr>
            </w:pPr>
            <w:r w:rsidRPr="00091B1A">
              <w:rPr>
                <w:rFonts w:asciiTheme="minorHAnsi" w:hAnsiTheme="minorHAnsi"/>
                <w:color w:val="000000"/>
                <w:sz w:val="22"/>
                <w:szCs w:val="22"/>
              </w:rPr>
              <w:t xml:space="preserve">West Coast </w:t>
            </w:r>
          </w:p>
        </w:tc>
        <w:tc>
          <w:tcPr>
            <w:tcW w:w="2312" w:type="dxa"/>
            <w:tcBorders>
              <w:top w:val="single" w:sz="4" w:space="0" w:color="auto"/>
              <w:left w:val="single" w:sz="4" w:space="0" w:color="auto"/>
              <w:bottom w:val="single" w:sz="4" w:space="0" w:color="auto"/>
              <w:right w:val="single" w:sz="4" w:space="0" w:color="auto"/>
            </w:tcBorders>
            <w:vAlign w:val="bottom"/>
          </w:tcPr>
          <w:p w14:paraId="27900DD2"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2</w:t>
            </w:r>
          </w:p>
        </w:tc>
        <w:tc>
          <w:tcPr>
            <w:tcW w:w="2213" w:type="dxa"/>
            <w:tcBorders>
              <w:top w:val="single" w:sz="4" w:space="0" w:color="auto"/>
              <w:left w:val="single" w:sz="4" w:space="0" w:color="auto"/>
              <w:bottom w:val="single" w:sz="4" w:space="0" w:color="auto"/>
              <w:right w:val="single" w:sz="4" w:space="0" w:color="auto"/>
            </w:tcBorders>
            <w:vAlign w:val="bottom"/>
          </w:tcPr>
          <w:p w14:paraId="5C6F08A7"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3257</w:t>
            </w:r>
          </w:p>
        </w:tc>
        <w:tc>
          <w:tcPr>
            <w:tcW w:w="2242" w:type="dxa"/>
            <w:tcBorders>
              <w:top w:val="single" w:sz="4" w:space="0" w:color="auto"/>
              <w:left w:val="single" w:sz="4" w:space="0" w:color="auto"/>
              <w:bottom w:val="single" w:sz="4" w:space="0" w:color="auto"/>
              <w:right w:val="single" w:sz="4" w:space="0" w:color="auto"/>
            </w:tcBorders>
            <w:vAlign w:val="bottom"/>
          </w:tcPr>
          <w:p w14:paraId="2AABE6EE"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61.41</w:t>
            </w:r>
          </w:p>
        </w:tc>
      </w:tr>
      <w:tr w:rsidR="00841E1C" w:rsidRPr="00091B1A" w14:paraId="5FF8DB85" w14:textId="77777777" w:rsidTr="0080255D">
        <w:trPr>
          <w:trHeight w:val="317"/>
        </w:trPr>
        <w:tc>
          <w:tcPr>
            <w:tcW w:w="2443" w:type="dxa"/>
            <w:tcBorders>
              <w:top w:val="single" w:sz="4" w:space="0" w:color="auto"/>
              <w:left w:val="single" w:sz="4" w:space="0" w:color="auto"/>
              <w:bottom w:val="single" w:sz="4" w:space="0" w:color="auto"/>
              <w:right w:val="single" w:sz="4" w:space="0" w:color="auto"/>
            </w:tcBorders>
            <w:vAlign w:val="bottom"/>
          </w:tcPr>
          <w:p w14:paraId="3066E48E" w14:textId="6EAEC5F8" w:rsidR="00841E1C" w:rsidRPr="00091B1A" w:rsidRDefault="00841E1C" w:rsidP="00091B1A">
            <w:pPr>
              <w:rPr>
                <w:rFonts w:asciiTheme="minorHAnsi" w:hAnsiTheme="minorHAnsi"/>
                <w:color w:val="000000"/>
                <w:sz w:val="22"/>
                <w:szCs w:val="22"/>
              </w:rPr>
            </w:pPr>
            <w:r w:rsidRPr="00091B1A">
              <w:rPr>
                <w:rFonts w:asciiTheme="minorHAnsi" w:hAnsiTheme="minorHAnsi"/>
                <w:color w:val="000000"/>
                <w:sz w:val="22"/>
                <w:szCs w:val="22"/>
              </w:rPr>
              <w:t xml:space="preserve">Whanganui </w:t>
            </w:r>
          </w:p>
        </w:tc>
        <w:tc>
          <w:tcPr>
            <w:tcW w:w="2312" w:type="dxa"/>
            <w:tcBorders>
              <w:top w:val="single" w:sz="4" w:space="0" w:color="auto"/>
              <w:left w:val="single" w:sz="4" w:space="0" w:color="auto"/>
              <w:bottom w:val="single" w:sz="4" w:space="0" w:color="auto"/>
              <w:right w:val="single" w:sz="4" w:space="0" w:color="auto"/>
            </w:tcBorders>
            <w:vAlign w:val="bottom"/>
          </w:tcPr>
          <w:p w14:paraId="765AE876" w14:textId="1F041A36"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1</w:t>
            </w:r>
            <w:r w:rsidR="00005B1C">
              <w:rPr>
                <w:rFonts w:asciiTheme="minorHAnsi" w:hAnsiTheme="minorHAnsi"/>
                <w:color w:val="000000"/>
                <w:sz w:val="22"/>
                <w:szCs w:val="22"/>
              </w:rPr>
              <w:t>2</w:t>
            </w:r>
          </w:p>
        </w:tc>
        <w:tc>
          <w:tcPr>
            <w:tcW w:w="2213" w:type="dxa"/>
            <w:tcBorders>
              <w:top w:val="single" w:sz="4" w:space="0" w:color="auto"/>
              <w:left w:val="single" w:sz="4" w:space="0" w:color="auto"/>
              <w:bottom w:val="single" w:sz="4" w:space="0" w:color="auto"/>
              <w:right w:val="single" w:sz="4" w:space="0" w:color="auto"/>
            </w:tcBorders>
            <w:vAlign w:val="bottom"/>
          </w:tcPr>
          <w:p w14:paraId="1894DEA5" w14:textId="77777777" w:rsidR="00841E1C" w:rsidRPr="00091B1A" w:rsidRDefault="00841E1C" w:rsidP="00841E1C">
            <w:pPr>
              <w:jc w:val="center"/>
              <w:rPr>
                <w:rFonts w:asciiTheme="minorHAnsi" w:hAnsiTheme="minorHAnsi"/>
                <w:color w:val="000000"/>
                <w:sz w:val="22"/>
                <w:szCs w:val="22"/>
              </w:rPr>
            </w:pPr>
            <w:r w:rsidRPr="00091B1A">
              <w:rPr>
                <w:rFonts w:asciiTheme="minorHAnsi" w:hAnsiTheme="minorHAnsi"/>
                <w:color w:val="000000"/>
                <w:sz w:val="22"/>
                <w:szCs w:val="22"/>
              </w:rPr>
              <w:t>6846</w:t>
            </w:r>
          </w:p>
        </w:tc>
        <w:tc>
          <w:tcPr>
            <w:tcW w:w="2242" w:type="dxa"/>
            <w:tcBorders>
              <w:top w:val="single" w:sz="4" w:space="0" w:color="auto"/>
              <w:left w:val="single" w:sz="4" w:space="0" w:color="auto"/>
              <w:bottom w:val="single" w:sz="4" w:space="0" w:color="auto"/>
              <w:right w:val="single" w:sz="4" w:space="0" w:color="auto"/>
            </w:tcBorders>
            <w:vAlign w:val="bottom"/>
          </w:tcPr>
          <w:p w14:paraId="222E2973" w14:textId="3C2A0DD3" w:rsidR="00841E1C" w:rsidRPr="00091B1A" w:rsidRDefault="00144EF1" w:rsidP="00144EF1">
            <w:pPr>
              <w:jc w:val="center"/>
              <w:rPr>
                <w:rFonts w:asciiTheme="minorHAnsi" w:hAnsiTheme="minorHAnsi"/>
                <w:color w:val="000000"/>
                <w:sz w:val="22"/>
                <w:szCs w:val="22"/>
              </w:rPr>
            </w:pPr>
            <w:r w:rsidRPr="00091B1A">
              <w:rPr>
                <w:rFonts w:asciiTheme="minorHAnsi" w:hAnsiTheme="minorHAnsi"/>
                <w:color w:val="000000"/>
                <w:sz w:val="22"/>
                <w:szCs w:val="22"/>
              </w:rPr>
              <w:t>1</w:t>
            </w:r>
            <w:r>
              <w:rPr>
                <w:rFonts w:asciiTheme="minorHAnsi" w:hAnsiTheme="minorHAnsi"/>
                <w:color w:val="000000"/>
                <w:sz w:val="22"/>
                <w:szCs w:val="22"/>
              </w:rPr>
              <w:t>75</w:t>
            </w:r>
            <w:r w:rsidR="00841E1C" w:rsidRPr="00091B1A">
              <w:rPr>
                <w:rFonts w:asciiTheme="minorHAnsi" w:hAnsiTheme="minorHAnsi"/>
                <w:color w:val="000000"/>
                <w:sz w:val="22"/>
                <w:szCs w:val="22"/>
              </w:rPr>
              <w:t>.</w:t>
            </w:r>
            <w:r w:rsidR="00005B1C">
              <w:rPr>
                <w:rFonts w:asciiTheme="minorHAnsi" w:hAnsiTheme="minorHAnsi"/>
                <w:color w:val="000000"/>
                <w:sz w:val="22"/>
                <w:szCs w:val="22"/>
              </w:rPr>
              <w:t>2</w:t>
            </w:r>
            <w:r w:rsidR="00841E1C" w:rsidRPr="00091B1A">
              <w:rPr>
                <w:rFonts w:asciiTheme="minorHAnsi" w:hAnsiTheme="minorHAnsi"/>
                <w:color w:val="000000"/>
                <w:sz w:val="22"/>
                <w:szCs w:val="22"/>
              </w:rPr>
              <w:t>8</w:t>
            </w:r>
          </w:p>
        </w:tc>
      </w:tr>
    </w:tbl>
    <w:p w14:paraId="690A66BD" w14:textId="77777777" w:rsidR="00841E1C" w:rsidRPr="00484564" w:rsidRDefault="00841E1C" w:rsidP="00841E1C">
      <w:pPr>
        <w:rPr>
          <w:b/>
        </w:rPr>
      </w:pPr>
    </w:p>
    <w:tbl>
      <w:tblPr>
        <w:tblStyle w:val="TableGrid"/>
        <w:tblW w:w="9781" w:type="dxa"/>
        <w:tblInd w:w="28" w:type="dxa"/>
        <w:tblCellMar>
          <w:top w:w="170" w:type="dxa"/>
          <w:left w:w="170" w:type="dxa"/>
          <w:bottom w:w="170" w:type="dxa"/>
          <w:right w:w="170" w:type="dxa"/>
        </w:tblCellMar>
        <w:tblLook w:val="04A0" w:firstRow="1" w:lastRow="0" w:firstColumn="1" w:lastColumn="0" w:noHBand="0" w:noVBand="1"/>
      </w:tblPr>
      <w:tblGrid>
        <w:gridCol w:w="9781"/>
      </w:tblGrid>
      <w:tr w:rsidR="00841E1C" w14:paraId="6C366193" w14:textId="77777777" w:rsidTr="00841E1C">
        <w:tc>
          <w:tcPr>
            <w:tcW w:w="9781" w:type="dxa"/>
          </w:tcPr>
          <w:p w14:paraId="4F14504D" w14:textId="77777777" w:rsidR="00841E1C" w:rsidRPr="00091B1A" w:rsidRDefault="00841E1C" w:rsidP="00841E1C">
            <w:pPr>
              <w:jc w:val="left"/>
              <w:rPr>
                <w:rFonts w:asciiTheme="minorHAnsi" w:hAnsiTheme="minorHAnsi"/>
                <w:b/>
                <w:sz w:val="22"/>
                <w:szCs w:val="22"/>
              </w:rPr>
            </w:pPr>
            <w:r w:rsidRPr="00091B1A">
              <w:rPr>
                <w:rFonts w:asciiTheme="minorHAnsi" w:hAnsiTheme="minorHAnsi"/>
                <w:b/>
                <w:sz w:val="22"/>
                <w:szCs w:val="22"/>
              </w:rPr>
              <w:t>Notes on DHB’s number and rate of complaints</w:t>
            </w:r>
          </w:p>
          <w:p w14:paraId="59598C89" w14:textId="77777777" w:rsidR="00841E1C" w:rsidRPr="00091B1A" w:rsidRDefault="00841E1C" w:rsidP="00841E1C">
            <w:pPr>
              <w:jc w:val="left"/>
              <w:rPr>
                <w:rFonts w:asciiTheme="minorHAnsi" w:hAnsiTheme="minorHAnsi"/>
                <w:b/>
                <w:sz w:val="22"/>
                <w:szCs w:val="22"/>
              </w:rPr>
            </w:pPr>
          </w:p>
          <w:p w14:paraId="5B71598E" w14:textId="77777777" w:rsidR="00841E1C" w:rsidRPr="00091B1A" w:rsidRDefault="00841E1C" w:rsidP="00841E1C">
            <w:pPr>
              <w:rPr>
                <w:rFonts w:asciiTheme="minorHAnsi" w:hAnsiTheme="minorHAnsi"/>
                <w:sz w:val="22"/>
                <w:szCs w:val="22"/>
              </w:rPr>
            </w:pPr>
            <w:r w:rsidRPr="00091B1A">
              <w:rPr>
                <w:rFonts w:asciiTheme="minorHAnsi" w:hAnsiTheme="minorHAnsi"/>
                <w:sz w:val="22"/>
                <w:szCs w:val="22"/>
                <w:lang w:bidi="ar-SA"/>
              </w:rPr>
              <w:t xml:space="preserve">It should be noted that the numbers above reflect complaints that may relate to different providers within one DHB or to providers in more than one DHB. These raw numbers are further refined for the individual DHB reports to remove duplicates and complaints withdrawn or out of jurisdiction of HDC. Please note; a DHB’s number and rate of complaints can vary considerably from one six-month period to the next. Therefore, care should be taken before drawing conclusions on the basis of one six-month period. Further, for smaller DHBs, a very small absolute increase or decrease in the number of complaints received can dramatically affect the rate of complaints. Accordingly, </w:t>
            </w:r>
            <w:r w:rsidRPr="00091B1A">
              <w:rPr>
                <w:rFonts w:asciiTheme="minorHAnsi" w:hAnsiTheme="minorHAnsi"/>
                <w:sz w:val="22"/>
                <w:szCs w:val="22"/>
              </w:rPr>
              <w:t>much of the value in this data lies in how it changes over time, as such analysis allows trends to emerge that may point to areas that require further attention.</w:t>
            </w:r>
          </w:p>
          <w:p w14:paraId="26858B1B" w14:textId="77777777" w:rsidR="00841E1C" w:rsidRPr="004A5036" w:rsidRDefault="00841E1C" w:rsidP="00841E1C">
            <w:pPr>
              <w:rPr>
                <w:szCs w:val="22"/>
                <w:lang w:bidi="ar-SA"/>
              </w:rPr>
            </w:pPr>
            <w:r w:rsidRPr="00091B1A">
              <w:rPr>
                <w:rFonts w:asciiTheme="minorHAnsi" w:hAnsiTheme="minorHAnsi"/>
                <w:sz w:val="22"/>
                <w:szCs w:val="22"/>
                <w:lang w:bidi="ar-SA"/>
              </w:rPr>
              <w:t>It is also important to note that numbers of complaints received by HDC is not always a good proxy for quality of care provided, and may instead, for example, be an indicator of the effectiveness of a DHB’s complaints system or features of the services provided by a particular DHB.  Additionally, complaints received within a single six-month period will sometimes relate to care provided within quite a different time period. From time to time, some DHBs may also be the subject of a number of complaints from a single complainant within one reporting period. This is important context that is taken into account by DHBs when considering their own complaint patterns.</w:t>
            </w:r>
          </w:p>
        </w:tc>
      </w:tr>
    </w:tbl>
    <w:p w14:paraId="2E9358F8" w14:textId="77777777" w:rsidR="00ED7A15" w:rsidRDefault="00ED7A15" w:rsidP="00841E1C">
      <w:bookmarkStart w:id="51" w:name="_Toc426462630"/>
      <w:bookmarkStart w:id="52" w:name="_Toc443992225"/>
      <w:bookmarkStart w:id="53" w:name="_Toc445910049"/>
      <w:bookmarkStart w:id="54" w:name="_Toc447291333"/>
      <w:bookmarkStart w:id="55" w:name="_Toc447291471"/>
      <w:bookmarkStart w:id="56" w:name="_Toc447527528"/>
      <w:bookmarkStart w:id="57" w:name="_Toc493684126"/>
    </w:p>
    <w:p w14:paraId="676DB469" w14:textId="77777777" w:rsidR="00ED7A15" w:rsidRDefault="00ED7A15" w:rsidP="00841E1C"/>
    <w:p w14:paraId="7D4A2B47" w14:textId="76AF200B" w:rsidR="00841E1C" w:rsidRPr="000760A3" w:rsidRDefault="00841E1C" w:rsidP="00ED7A15">
      <w:pPr>
        <w:pStyle w:val="Heading2"/>
      </w:pPr>
      <w:bookmarkStart w:id="58" w:name="_Toc39138046"/>
      <w:r w:rsidRPr="000760A3">
        <w:t>2.0</w:t>
      </w:r>
      <w:r w:rsidRPr="000760A3">
        <w:tab/>
        <w:t>Service types complained about</w:t>
      </w:r>
      <w:bookmarkEnd w:id="51"/>
      <w:bookmarkEnd w:id="52"/>
      <w:bookmarkEnd w:id="53"/>
      <w:bookmarkEnd w:id="54"/>
      <w:bookmarkEnd w:id="55"/>
      <w:bookmarkEnd w:id="56"/>
      <w:bookmarkEnd w:id="57"/>
      <w:bookmarkEnd w:id="58"/>
      <w:r w:rsidRPr="000760A3">
        <w:t xml:space="preserve"> </w:t>
      </w:r>
    </w:p>
    <w:p w14:paraId="216B2BC5" w14:textId="77777777" w:rsidR="00841E1C" w:rsidRPr="003607E1" w:rsidRDefault="00841E1C" w:rsidP="00841E1C">
      <w:pPr>
        <w:pStyle w:val="Heading3"/>
      </w:pPr>
      <w:bookmarkStart w:id="59" w:name="_Toc426462631"/>
      <w:bookmarkStart w:id="60" w:name="_Toc443992226"/>
      <w:bookmarkStart w:id="61" w:name="_Toc445910050"/>
      <w:bookmarkStart w:id="62" w:name="_Toc447291334"/>
      <w:bookmarkStart w:id="63" w:name="_Toc447291472"/>
      <w:bookmarkStart w:id="64" w:name="_Toc447527529"/>
      <w:bookmarkStart w:id="65" w:name="_Toc493684127"/>
      <w:bookmarkStart w:id="66" w:name="_Toc39138047"/>
      <w:r w:rsidRPr="003607E1">
        <w:t>2.1</w:t>
      </w:r>
      <w:r w:rsidRPr="003607E1">
        <w:tab/>
        <w:t>Service type category</w:t>
      </w:r>
      <w:bookmarkEnd w:id="59"/>
      <w:bookmarkEnd w:id="60"/>
      <w:bookmarkEnd w:id="61"/>
      <w:bookmarkEnd w:id="62"/>
      <w:bookmarkEnd w:id="63"/>
      <w:bookmarkEnd w:id="64"/>
      <w:bookmarkEnd w:id="65"/>
      <w:bookmarkEnd w:id="66"/>
    </w:p>
    <w:p w14:paraId="277AEA7A" w14:textId="1C4A5485" w:rsidR="00841E1C" w:rsidRDefault="00841E1C" w:rsidP="00841E1C">
      <w:r>
        <w:t>Complaints to HDC are shown by service type in Table 5. Please note that some complaints involve more than one DHB and/or more than one service or hospital; therefore, although there were 472 complaints about DHBs, 50</w:t>
      </w:r>
      <w:r w:rsidR="00730FE5">
        <w:t>3</w:t>
      </w:r>
      <w:r>
        <w:t xml:space="preserve"> services were complained about.</w:t>
      </w:r>
    </w:p>
    <w:p w14:paraId="7B95B1E6" w14:textId="38D6ACC8" w:rsidR="00934DBE" w:rsidRDefault="00934DBE" w:rsidP="00841E1C"/>
    <w:p w14:paraId="54541934" w14:textId="60B8EA4A" w:rsidR="00934DBE" w:rsidRDefault="00934DBE" w:rsidP="00934DBE">
      <w:r>
        <w:t>Surgical services (31</w:t>
      </w:r>
      <w:r w:rsidR="00601B37">
        <w:t>.2</w:t>
      </w:r>
      <w:r>
        <w:t>%) received the greatest number of complaints in Jul-Dec 2019, with orthopaedics (9.5%), general surgery (7</w:t>
      </w:r>
      <w:r w:rsidR="00F726AA">
        <w:t>.1</w:t>
      </w:r>
      <w:r>
        <w:t xml:space="preserve">%), and gynaecology (6.2%) being the surgical specialties most commonly complained about. </w:t>
      </w:r>
    </w:p>
    <w:p w14:paraId="77E9F0AB" w14:textId="77777777" w:rsidR="00934DBE" w:rsidRDefault="00934DBE" w:rsidP="00934DBE"/>
    <w:p w14:paraId="4474C60D" w14:textId="3957C9EA" w:rsidR="00934DBE" w:rsidRDefault="00934DBE" w:rsidP="00934DBE">
      <w:r>
        <w:t>Other commonly complained about services included mental health (25%), medicine (16%) and emergency department (11%) services. This is broadly similar to what has been seen in previous periods.</w:t>
      </w:r>
    </w:p>
    <w:p w14:paraId="1EAF419C" w14:textId="64C2C814" w:rsidR="00934DBE" w:rsidRDefault="00934DBE">
      <w:pPr>
        <w:spacing w:after="200" w:line="276" w:lineRule="auto"/>
        <w:jc w:val="left"/>
      </w:pPr>
      <w:r>
        <w:br w:type="page"/>
      </w:r>
    </w:p>
    <w:p w14:paraId="65A70D9D" w14:textId="77777777" w:rsidR="00841E1C" w:rsidRDefault="00841E1C" w:rsidP="00841E1C">
      <w:pPr>
        <w:spacing w:after="120"/>
        <w:rPr>
          <w:b/>
        </w:rPr>
      </w:pPr>
      <w:r>
        <w:rPr>
          <w:b/>
        </w:rPr>
        <w:t xml:space="preserve">Table 5. </w:t>
      </w:r>
      <w:r w:rsidRPr="000E51FB">
        <w:t>Service types complained about</w:t>
      </w:r>
    </w:p>
    <w:tbl>
      <w:tblPr>
        <w:tblStyle w:val="TableGrid"/>
        <w:tblW w:w="8926" w:type="dxa"/>
        <w:tblLook w:val="04A0" w:firstRow="1" w:lastRow="0" w:firstColumn="1" w:lastColumn="0" w:noHBand="0" w:noVBand="1"/>
      </w:tblPr>
      <w:tblGrid>
        <w:gridCol w:w="3539"/>
        <w:gridCol w:w="2693"/>
        <w:gridCol w:w="2694"/>
      </w:tblGrid>
      <w:tr w:rsidR="00841E1C" w:rsidRPr="00934DBE" w14:paraId="1E02B752" w14:textId="77777777" w:rsidTr="00934DBE">
        <w:trPr>
          <w:trHeight w:val="448"/>
        </w:trPr>
        <w:tc>
          <w:tcPr>
            <w:tcW w:w="3539" w:type="dxa"/>
            <w:shd w:val="clear" w:color="auto" w:fill="D9D9D9" w:themeFill="background1" w:themeFillShade="D9"/>
            <w:noWrap/>
            <w:hideMark/>
          </w:tcPr>
          <w:p w14:paraId="54C21DB2" w14:textId="77777777" w:rsidR="00841E1C" w:rsidRPr="00934DBE" w:rsidRDefault="00841E1C" w:rsidP="00841E1C">
            <w:pPr>
              <w:jc w:val="left"/>
              <w:rPr>
                <w:rFonts w:asciiTheme="minorHAnsi" w:hAnsiTheme="minorHAnsi"/>
                <w:b/>
                <w:bCs/>
                <w:color w:val="000000"/>
                <w:sz w:val="22"/>
                <w:szCs w:val="22"/>
                <w:lang w:bidi="ar-SA"/>
              </w:rPr>
            </w:pPr>
            <w:bookmarkStart w:id="67" w:name="_Toc426462632"/>
            <w:r w:rsidRPr="00934DBE">
              <w:rPr>
                <w:rFonts w:asciiTheme="minorHAnsi" w:hAnsiTheme="minorHAnsi"/>
                <w:b/>
                <w:bCs/>
                <w:color w:val="000000"/>
                <w:sz w:val="22"/>
                <w:szCs w:val="22"/>
                <w:lang w:bidi="ar-SA"/>
              </w:rPr>
              <w:t>Service type</w:t>
            </w:r>
          </w:p>
        </w:tc>
        <w:tc>
          <w:tcPr>
            <w:tcW w:w="2693" w:type="dxa"/>
            <w:shd w:val="clear" w:color="auto" w:fill="D9D9D9" w:themeFill="background1" w:themeFillShade="D9"/>
            <w:noWrap/>
            <w:hideMark/>
          </w:tcPr>
          <w:p w14:paraId="35FA1174" w14:textId="77777777" w:rsidR="00841E1C" w:rsidRPr="00934DBE" w:rsidRDefault="00841E1C" w:rsidP="00841E1C">
            <w:pPr>
              <w:jc w:val="center"/>
              <w:rPr>
                <w:rFonts w:asciiTheme="minorHAnsi" w:hAnsiTheme="minorHAnsi"/>
                <w:b/>
                <w:bCs/>
                <w:color w:val="000000"/>
                <w:sz w:val="22"/>
                <w:szCs w:val="22"/>
                <w:lang w:bidi="ar-SA"/>
              </w:rPr>
            </w:pPr>
            <w:r w:rsidRPr="00934DBE">
              <w:rPr>
                <w:rFonts w:asciiTheme="minorHAnsi" w:hAnsiTheme="minorHAnsi"/>
                <w:b/>
                <w:bCs/>
                <w:color w:val="000000"/>
                <w:sz w:val="22"/>
                <w:szCs w:val="22"/>
                <w:lang w:bidi="ar-SA"/>
              </w:rPr>
              <w:t>Number of complaints</w:t>
            </w:r>
          </w:p>
        </w:tc>
        <w:tc>
          <w:tcPr>
            <w:tcW w:w="2694" w:type="dxa"/>
            <w:shd w:val="clear" w:color="auto" w:fill="D9D9D9" w:themeFill="background1" w:themeFillShade="D9"/>
          </w:tcPr>
          <w:p w14:paraId="557C562C" w14:textId="77777777" w:rsidR="00841E1C" w:rsidRPr="00934DBE" w:rsidRDefault="00841E1C" w:rsidP="00841E1C">
            <w:pPr>
              <w:jc w:val="center"/>
              <w:rPr>
                <w:rFonts w:asciiTheme="minorHAnsi" w:hAnsiTheme="minorHAnsi"/>
                <w:b/>
                <w:bCs/>
                <w:color w:val="000000"/>
                <w:sz w:val="22"/>
                <w:szCs w:val="22"/>
                <w:lang w:bidi="ar-SA"/>
              </w:rPr>
            </w:pPr>
            <w:r w:rsidRPr="00934DBE">
              <w:rPr>
                <w:rFonts w:asciiTheme="minorHAnsi" w:hAnsiTheme="minorHAnsi"/>
                <w:b/>
                <w:bCs/>
                <w:color w:val="000000"/>
                <w:sz w:val="22"/>
                <w:szCs w:val="22"/>
                <w:lang w:bidi="ar-SA"/>
              </w:rPr>
              <w:t>Percentage</w:t>
            </w:r>
          </w:p>
        </w:tc>
      </w:tr>
      <w:tr w:rsidR="00841E1C" w:rsidRPr="00934DBE" w14:paraId="77F7DFDB" w14:textId="77777777" w:rsidTr="00091B1A">
        <w:trPr>
          <w:trHeight w:val="278"/>
        </w:trPr>
        <w:tc>
          <w:tcPr>
            <w:tcW w:w="3539" w:type="dxa"/>
            <w:noWrap/>
            <w:hideMark/>
          </w:tcPr>
          <w:p w14:paraId="693F7664" w14:textId="77777777" w:rsidR="00841E1C" w:rsidRPr="00934DBE" w:rsidRDefault="00841E1C" w:rsidP="00841E1C">
            <w:pPr>
              <w:jc w:val="left"/>
              <w:rPr>
                <w:rFonts w:asciiTheme="minorHAnsi" w:hAnsiTheme="minorHAnsi"/>
                <w:b/>
                <w:color w:val="000000"/>
                <w:sz w:val="22"/>
                <w:szCs w:val="22"/>
                <w:lang w:bidi="ar-SA"/>
              </w:rPr>
            </w:pPr>
            <w:r w:rsidRPr="00934DBE">
              <w:rPr>
                <w:rFonts w:asciiTheme="minorHAnsi" w:hAnsiTheme="minorHAnsi"/>
                <w:b/>
                <w:color w:val="000000"/>
                <w:sz w:val="22"/>
                <w:szCs w:val="22"/>
                <w:lang w:bidi="ar-SA"/>
              </w:rPr>
              <w:t>Alcohol and drug</w:t>
            </w:r>
          </w:p>
        </w:tc>
        <w:tc>
          <w:tcPr>
            <w:tcW w:w="2693" w:type="dxa"/>
            <w:noWrap/>
            <w:hideMark/>
          </w:tcPr>
          <w:p w14:paraId="42ADBD9C" w14:textId="77777777" w:rsidR="00841E1C" w:rsidRPr="00934DBE" w:rsidRDefault="00841E1C" w:rsidP="00841E1C">
            <w:pPr>
              <w:jc w:val="center"/>
              <w:rPr>
                <w:rFonts w:asciiTheme="minorHAnsi" w:hAnsiTheme="minorHAnsi"/>
                <w:b/>
                <w:color w:val="000000"/>
                <w:sz w:val="22"/>
                <w:szCs w:val="22"/>
                <w:lang w:bidi="ar-SA"/>
              </w:rPr>
            </w:pPr>
            <w:r w:rsidRPr="00934DBE">
              <w:rPr>
                <w:rFonts w:asciiTheme="minorHAnsi" w:hAnsiTheme="minorHAnsi"/>
                <w:b/>
                <w:color w:val="000000"/>
                <w:sz w:val="22"/>
                <w:szCs w:val="22"/>
                <w:lang w:bidi="ar-SA"/>
              </w:rPr>
              <w:t>5</w:t>
            </w:r>
          </w:p>
        </w:tc>
        <w:tc>
          <w:tcPr>
            <w:tcW w:w="2694" w:type="dxa"/>
            <w:vAlign w:val="center"/>
          </w:tcPr>
          <w:p w14:paraId="1E4FD700" w14:textId="04C1519C" w:rsidR="00841E1C" w:rsidRPr="00934DBE" w:rsidRDefault="00841E1C">
            <w:pPr>
              <w:jc w:val="center"/>
              <w:rPr>
                <w:rFonts w:asciiTheme="minorHAnsi" w:hAnsiTheme="minorHAnsi"/>
                <w:b/>
                <w:color w:val="000000"/>
                <w:sz w:val="22"/>
                <w:szCs w:val="22"/>
              </w:rPr>
            </w:pPr>
            <w:r w:rsidRPr="00934DBE">
              <w:rPr>
                <w:rFonts w:asciiTheme="minorHAnsi" w:hAnsiTheme="minorHAnsi"/>
                <w:b/>
                <w:color w:val="000000"/>
                <w:sz w:val="22"/>
                <w:szCs w:val="22"/>
              </w:rPr>
              <w:t>1</w:t>
            </w:r>
            <w:r w:rsidR="00F726AA">
              <w:rPr>
                <w:rFonts w:asciiTheme="minorHAnsi" w:hAnsiTheme="minorHAnsi"/>
                <w:b/>
                <w:color w:val="000000"/>
                <w:sz w:val="22"/>
                <w:szCs w:val="22"/>
              </w:rPr>
              <w:t>.0</w:t>
            </w:r>
            <w:r w:rsidRPr="00934DBE">
              <w:rPr>
                <w:rFonts w:asciiTheme="minorHAnsi" w:hAnsiTheme="minorHAnsi"/>
                <w:b/>
                <w:color w:val="000000"/>
                <w:sz w:val="22"/>
                <w:szCs w:val="22"/>
              </w:rPr>
              <w:t>%</w:t>
            </w:r>
          </w:p>
        </w:tc>
      </w:tr>
      <w:tr w:rsidR="00841E1C" w:rsidRPr="00934DBE" w14:paraId="2049D790" w14:textId="77777777" w:rsidTr="00091B1A">
        <w:trPr>
          <w:trHeight w:val="278"/>
        </w:trPr>
        <w:tc>
          <w:tcPr>
            <w:tcW w:w="3539" w:type="dxa"/>
            <w:noWrap/>
            <w:hideMark/>
          </w:tcPr>
          <w:p w14:paraId="7B53D1FC" w14:textId="77777777" w:rsidR="00841E1C" w:rsidRPr="00934DBE" w:rsidRDefault="00841E1C" w:rsidP="00841E1C">
            <w:pPr>
              <w:jc w:val="left"/>
              <w:rPr>
                <w:rFonts w:asciiTheme="minorHAnsi" w:hAnsiTheme="minorHAnsi"/>
                <w:b/>
                <w:color w:val="000000"/>
                <w:sz w:val="22"/>
                <w:szCs w:val="22"/>
                <w:lang w:bidi="ar-SA"/>
              </w:rPr>
            </w:pPr>
            <w:r w:rsidRPr="00934DBE">
              <w:rPr>
                <w:rFonts w:asciiTheme="minorHAnsi" w:hAnsiTheme="minorHAnsi"/>
                <w:b/>
                <w:color w:val="000000"/>
                <w:sz w:val="22"/>
                <w:szCs w:val="22"/>
                <w:lang w:bidi="ar-SA"/>
              </w:rPr>
              <w:t>Anaesthetics/pain medicine</w:t>
            </w:r>
          </w:p>
        </w:tc>
        <w:tc>
          <w:tcPr>
            <w:tcW w:w="2693" w:type="dxa"/>
            <w:noWrap/>
            <w:hideMark/>
          </w:tcPr>
          <w:p w14:paraId="59ABB372" w14:textId="77777777" w:rsidR="00841E1C" w:rsidRPr="00934DBE" w:rsidRDefault="00841E1C" w:rsidP="00841E1C">
            <w:pPr>
              <w:jc w:val="center"/>
              <w:rPr>
                <w:rFonts w:asciiTheme="minorHAnsi" w:hAnsiTheme="minorHAnsi"/>
                <w:b/>
                <w:color w:val="000000"/>
                <w:sz w:val="22"/>
                <w:szCs w:val="22"/>
                <w:lang w:bidi="ar-SA"/>
              </w:rPr>
            </w:pPr>
            <w:r w:rsidRPr="00934DBE">
              <w:rPr>
                <w:rFonts w:asciiTheme="minorHAnsi" w:hAnsiTheme="minorHAnsi"/>
                <w:b/>
                <w:color w:val="000000"/>
                <w:sz w:val="22"/>
                <w:szCs w:val="22"/>
                <w:lang w:bidi="ar-SA"/>
              </w:rPr>
              <w:t>5</w:t>
            </w:r>
          </w:p>
        </w:tc>
        <w:tc>
          <w:tcPr>
            <w:tcW w:w="2694" w:type="dxa"/>
            <w:vAlign w:val="center"/>
          </w:tcPr>
          <w:p w14:paraId="2B1002D8" w14:textId="77777777" w:rsidR="00841E1C" w:rsidRPr="00934DBE" w:rsidRDefault="00841E1C">
            <w:pPr>
              <w:jc w:val="center"/>
              <w:rPr>
                <w:rFonts w:asciiTheme="minorHAnsi" w:hAnsiTheme="minorHAnsi"/>
                <w:b/>
                <w:color w:val="000000"/>
                <w:sz w:val="22"/>
                <w:szCs w:val="22"/>
              </w:rPr>
            </w:pPr>
            <w:r w:rsidRPr="00934DBE">
              <w:rPr>
                <w:rFonts w:asciiTheme="minorHAnsi" w:hAnsiTheme="minorHAnsi"/>
                <w:b/>
                <w:color w:val="000000"/>
                <w:sz w:val="22"/>
                <w:szCs w:val="22"/>
              </w:rPr>
              <w:t>1.0%</w:t>
            </w:r>
          </w:p>
        </w:tc>
      </w:tr>
      <w:tr w:rsidR="00841E1C" w:rsidRPr="00934DBE" w14:paraId="58449376" w14:textId="77777777" w:rsidTr="00091B1A">
        <w:trPr>
          <w:trHeight w:val="278"/>
        </w:trPr>
        <w:tc>
          <w:tcPr>
            <w:tcW w:w="3539" w:type="dxa"/>
            <w:shd w:val="clear" w:color="auto" w:fill="FFFFFF" w:themeFill="background1"/>
            <w:noWrap/>
            <w:hideMark/>
          </w:tcPr>
          <w:p w14:paraId="4BDF608A" w14:textId="77777777" w:rsidR="00841E1C" w:rsidRPr="00934DBE" w:rsidRDefault="00841E1C" w:rsidP="00841E1C">
            <w:pPr>
              <w:jc w:val="left"/>
              <w:rPr>
                <w:rFonts w:asciiTheme="minorHAnsi" w:hAnsiTheme="minorHAnsi"/>
                <w:b/>
                <w:color w:val="000000"/>
                <w:sz w:val="22"/>
                <w:szCs w:val="22"/>
                <w:lang w:bidi="ar-SA"/>
              </w:rPr>
            </w:pPr>
            <w:r w:rsidRPr="00934DBE">
              <w:rPr>
                <w:rFonts w:asciiTheme="minorHAnsi" w:hAnsiTheme="minorHAnsi"/>
                <w:b/>
                <w:color w:val="000000"/>
                <w:sz w:val="22"/>
                <w:szCs w:val="22"/>
                <w:lang w:bidi="ar-SA"/>
              </w:rPr>
              <w:t>Diagnostics</w:t>
            </w:r>
          </w:p>
        </w:tc>
        <w:tc>
          <w:tcPr>
            <w:tcW w:w="2693" w:type="dxa"/>
            <w:shd w:val="clear" w:color="auto" w:fill="FFFFFF" w:themeFill="background1"/>
            <w:noWrap/>
            <w:hideMark/>
          </w:tcPr>
          <w:p w14:paraId="538774EF" w14:textId="77777777" w:rsidR="00841E1C" w:rsidRPr="00934DBE" w:rsidRDefault="00841E1C" w:rsidP="00841E1C">
            <w:pPr>
              <w:jc w:val="center"/>
              <w:rPr>
                <w:rFonts w:asciiTheme="minorHAnsi" w:hAnsiTheme="minorHAnsi"/>
                <w:b/>
                <w:color w:val="000000"/>
                <w:sz w:val="22"/>
                <w:szCs w:val="22"/>
                <w:lang w:bidi="ar-SA"/>
              </w:rPr>
            </w:pPr>
            <w:r w:rsidRPr="00934DBE">
              <w:rPr>
                <w:rFonts w:asciiTheme="minorHAnsi" w:hAnsiTheme="minorHAnsi"/>
                <w:b/>
                <w:color w:val="000000"/>
                <w:sz w:val="22"/>
                <w:szCs w:val="22"/>
                <w:lang w:bidi="ar-SA"/>
              </w:rPr>
              <w:t>13</w:t>
            </w:r>
          </w:p>
        </w:tc>
        <w:tc>
          <w:tcPr>
            <w:tcW w:w="2694" w:type="dxa"/>
            <w:shd w:val="clear" w:color="auto" w:fill="FFFFFF" w:themeFill="background1"/>
            <w:vAlign w:val="center"/>
          </w:tcPr>
          <w:p w14:paraId="0E9DD6C2" w14:textId="77777777" w:rsidR="00841E1C" w:rsidRPr="00934DBE" w:rsidRDefault="00841E1C" w:rsidP="00841E1C">
            <w:pPr>
              <w:jc w:val="center"/>
              <w:rPr>
                <w:rFonts w:asciiTheme="minorHAnsi" w:hAnsiTheme="minorHAnsi"/>
                <w:b/>
                <w:color w:val="000000"/>
                <w:sz w:val="22"/>
                <w:szCs w:val="22"/>
              </w:rPr>
            </w:pPr>
            <w:r w:rsidRPr="00934DBE">
              <w:rPr>
                <w:rFonts w:asciiTheme="minorHAnsi" w:hAnsiTheme="minorHAnsi"/>
                <w:b/>
                <w:color w:val="000000"/>
                <w:sz w:val="22"/>
                <w:szCs w:val="22"/>
              </w:rPr>
              <w:t>2.6%</w:t>
            </w:r>
          </w:p>
        </w:tc>
      </w:tr>
      <w:tr w:rsidR="00841E1C" w:rsidRPr="00934DBE" w14:paraId="75E95A48" w14:textId="77777777" w:rsidTr="00091B1A">
        <w:trPr>
          <w:trHeight w:val="278"/>
        </w:trPr>
        <w:tc>
          <w:tcPr>
            <w:tcW w:w="3539" w:type="dxa"/>
            <w:shd w:val="clear" w:color="auto" w:fill="FFFFFF" w:themeFill="background1"/>
            <w:noWrap/>
            <w:hideMark/>
          </w:tcPr>
          <w:p w14:paraId="59D9FE8A" w14:textId="77777777" w:rsidR="00841E1C" w:rsidRPr="00934DBE" w:rsidRDefault="00841E1C" w:rsidP="00841E1C">
            <w:pPr>
              <w:jc w:val="left"/>
              <w:rPr>
                <w:rFonts w:asciiTheme="minorHAnsi" w:hAnsiTheme="minorHAnsi"/>
                <w:b/>
                <w:color w:val="000000"/>
                <w:sz w:val="22"/>
                <w:szCs w:val="22"/>
                <w:lang w:bidi="ar-SA"/>
              </w:rPr>
            </w:pPr>
            <w:r w:rsidRPr="00934DBE">
              <w:rPr>
                <w:rFonts w:asciiTheme="minorHAnsi" w:hAnsiTheme="minorHAnsi"/>
                <w:b/>
                <w:color w:val="000000"/>
                <w:sz w:val="22"/>
                <w:szCs w:val="22"/>
                <w:lang w:bidi="ar-SA"/>
              </w:rPr>
              <w:t>Disability</w:t>
            </w:r>
          </w:p>
        </w:tc>
        <w:tc>
          <w:tcPr>
            <w:tcW w:w="2693" w:type="dxa"/>
            <w:shd w:val="clear" w:color="auto" w:fill="FFFFFF" w:themeFill="background1"/>
            <w:noWrap/>
            <w:hideMark/>
          </w:tcPr>
          <w:p w14:paraId="1B06EAD2" w14:textId="77777777" w:rsidR="00841E1C" w:rsidRPr="00934DBE" w:rsidRDefault="00841E1C" w:rsidP="00841E1C">
            <w:pPr>
              <w:jc w:val="center"/>
              <w:rPr>
                <w:rFonts w:asciiTheme="minorHAnsi" w:hAnsiTheme="minorHAnsi"/>
                <w:b/>
                <w:color w:val="000000"/>
                <w:sz w:val="22"/>
                <w:szCs w:val="22"/>
                <w:lang w:bidi="ar-SA"/>
              </w:rPr>
            </w:pPr>
            <w:r w:rsidRPr="00934DBE">
              <w:rPr>
                <w:rFonts w:asciiTheme="minorHAnsi" w:hAnsiTheme="minorHAnsi"/>
                <w:b/>
                <w:color w:val="000000"/>
                <w:sz w:val="22"/>
                <w:szCs w:val="22"/>
                <w:lang w:bidi="ar-SA"/>
              </w:rPr>
              <w:t>13</w:t>
            </w:r>
          </w:p>
        </w:tc>
        <w:tc>
          <w:tcPr>
            <w:tcW w:w="2694" w:type="dxa"/>
            <w:shd w:val="clear" w:color="auto" w:fill="FFFFFF" w:themeFill="background1"/>
            <w:vAlign w:val="center"/>
          </w:tcPr>
          <w:p w14:paraId="736B4956" w14:textId="77777777" w:rsidR="00841E1C" w:rsidRPr="00934DBE" w:rsidRDefault="00841E1C" w:rsidP="00841E1C">
            <w:pPr>
              <w:jc w:val="center"/>
              <w:rPr>
                <w:rFonts w:asciiTheme="minorHAnsi" w:hAnsiTheme="minorHAnsi"/>
                <w:b/>
                <w:color w:val="000000"/>
                <w:sz w:val="22"/>
                <w:szCs w:val="22"/>
              </w:rPr>
            </w:pPr>
            <w:r w:rsidRPr="00934DBE">
              <w:rPr>
                <w:rFonts w:asciiTheme="minorHAnsi" w:hAnsiTheme="minorHAnsi"/>
                <w:b/>
                <w:color w:val="000000"/>
                <w:sz w:val="22"/>
                <w:szCs w:val="22"/>
              </w:rPr>
              <w:t>2.6%</w:t>
            </w:r>
          </w:p>
        </w:tc>
      </w:tr>
      <w:tr w:rsidR="00841E1C" w:rsidRPr="00934DBE" w14:paraId="54487B79" w14:textId="77777777" w:rsidTr="00091B1A">
        <w:trPr>
          <w:trHeight w:val="278"/>
        </w:trPr>
        <w:tc>
          <w:tcPr>
            <w:tcW w:w="3539" w:type="dxa"/>
            <w:shd w:val="clear" w:color="auto" w:fill="FFFFFF" w:themeFill="background1"/>
            <w:noWrap/>
            <w:hideMark/>
          </w:tcPr>
          <w:p w14:paraId="143967AE" w14:textId="77777777" w:rsidR="00841E1C" w:rsidRPr="00934DBE" w:rsidRDefault="00841E1C" w:rsidP="00841E1C">
            <w:pPr>
              <w:jc w:val="left"/>
              <w:rPr>
                <w:rFonts w:asciiTheme="minorHAnsi" w:hAnsiTheme="minorHAnsi"/>
                <w:b/>
                <w:color w:val="000000"/>
                <w:sz w:val="22"/>
                <w:szCs w:val="22"/>
                <w:lang w:bidi="ar-SA"/>
              </w:rPr>
            </w:pPr>
            <w:r w:rsidRPr="00934DBE">
              <w:rPr>
                <w:rFonts w:asciiTheme="minorHAnsi" w:hAnsiTheme="minorHAnsi"/>
                <w:b/>
                <w:color w:val="000000"/>
                <w:sz w:val="22"/>
                <w:szCs w:val="22"/>
                <w:lang w:bidi="ar-SA"/>
              </w:rPr>
              <w:t>District nursing</w:t>
            </w:r>
          </w:p>
        </w:tc>
        <w:tc>
          <w:tcPr>
            <w:tcW w:w="2693" w:type="dxa"/>
            <w:shd w:val="clear" w:color="auto" w:fill="FFFFFF" w:themeFill="background1"/>
            <w:noWrap/>
            <w:hideMark/>
          </w:tcPr>
          <w:p w14:paraId="794B4ADC" w14:textId="77777777" w:rsidR="00841E1C" w:rsidRPr="00934DBE" w:rsidRDefault="00841E1C" w:rsidP="00841E1C">
            <w:pPr>
              <w:jc w:val="center"/>
              <w:rPr>
                <w:rFonts w:asciiTheme="minorHAnsi" w:hAnsiTheme="minorHAnsi"/>
                <w:b/>
                <w:color w:val="000000"/>
                <w:sz w:val="22"/>
                <w:szCs w:val="22"/>
                <w:lang w:bidi="ar-SA"/>
              </w:rPr>
            </w:pPr>
            <w:r w:rsidRPr="00934DBE">
              <w:rPr>
                <w:rFonts w:asciiTheme="minorHAnsi" w:hAnsiTheme="minorHAnsi"/>
                <w:b/>
                <w:color w:val="000000"/>
                <w:sz w:val="22"/>
                <w:szCs w:val="22"/>
                <w:lang w:bidi="ar-SA"/>
              </w:rPr>
              <w:t>2</w:t>
            </w:r>
          </w:p>
        </w:tc>
        <w:tc>
          <w:tcPr>
            <w:tcW w:w="2694" w:type="dxa"/>
            <w:shd w:val="clear" w:color="auto" w:fill="FFFFFF" w:themeFill="background1"/>
            <w:vAlign w:val="center"/>
          </w:tcPr>
          <w:p w14:paraId="5883D328" w14:textId="77777777" w:rsidR="00841E1C" w:rsidRPr="00934DBE" w:rsidRDefault="00841E1C" w:rsidP="00841E1C">
            <w:pPr>
              <w:jc w:val="center"/>
              <w:rPr>
                <w:rFonts w:asciiTheme="minorHAnsi" w:hAnsiTheme="minorHAnsi"/>
                <w:b/>
                <w:color w:val="000000"/>
                <w:sz w:val="22"/>
                <w:szCs w:val="22"/>
              </w:rPr>
            </w:pPr>
            <w:r w:rsidRPr="00934DBE">
              <w:rPr>
                <w:rFonts w:asciiTheme="minorHAnsi" w:hAnsiTheme="minorHAnsi"/>
                <w:b/>
                <w:color w:val="000000"/>
                <w:sz w:val="22"/>
                <w:szCs w:val="22"/>
              </w:rPr>
              <w:t>0.4%</w:t>
            </w:r>
          </w:p>
        </w:tc>
      </w:tr>
      <w:tr w:rsidR="00841E1C" w:rsidRPr="00934DBE" w14:paraId="457AA4F0" w14:textId="77777777" w:rsidTr="00091B1A">
        <w:trPr>
          <w:trHeight w:val="278"/>
        </w:trPr>
        <w:tc>
          <w:tcPr>
            <w:tcW w:w="3539" w:type="dxa"/>
            <w:shd w:val="clear" w:color="auto" w:fill="FFFFFF" w:themeFill="background1"/>
            <w:noWrap/>
            <w:hideMark/>
          </w:tcPr>
          <w:p w14:paraId="7BB5B7E8" w14:textId="77777777" w:rsidR="00841E1C" w:rsidRPr="00934DBE" w:rsidRDefault="00841E1C" w:rsidP="00841E1C">
            <w:pPr>
              <w:jc w:val="left"/>
              <w:rPr>
                <w:rFonts w:asciiTheme="minorHAnsi" w:hAnsiTheme="minorHAnsi"/>
                <w:b/>
                <w:color w:val="000000"/>
                <w:sz w:val="22"/>
                <w:szCs w:val="22"/>
                <w:lang w:bidi="ar-SA"/>
              </w:rPr>
            </w:pPr>
            <w:r w:rsidRPr="00934DBE">
              <w:rPr>
                <w:rFonts w:asciiTheme="minorHAnsi" w:hAnsiTheme="minorHAnsi"/>
                <w:b/>
                <w:color w:val="000000"/>
                <w:sz w:val="22"/>
                <w:szCs w:val="22"/>
                <w:lang w:bidi="ar-SA"/>
              </w:rPr>
              <w:t>Emergency Department</w:t>
            </w:r>
          </w:p>
        </w:tc>
        <w:tc>
          <w:tcPr>
            <w:tcW w:w="2693" w:type="dxa"/>
            <w:shd w:val="clear" w:color="auto" w:fill="FFFFFF" w:themeFill="background1"/>
            <w:noWrap/>
            <w:hideMark/>
          </w:tcPr>
          <w:p w14:paraId="055D2F27" w14:textId="77777777" w:rsidR="00841E1C" w:rsidRPr="00934DBE" w:rsidRDefault="00841E1C" w:rsidP="00841E1C">
            <w:pPr>
              <w:jc w:val="center"/>
              <w:rPr>
                <w:rFonts w:asciiTheme="minorHAnsi" w:hAnsiTheme="minorHAnsi"/>
                <w:b/>
                <w:color w:val="000000"/>
                <w:sz w:val="22"/>
                <w:szCs w:val="22"/>
                <w:lang w:bidi="ar-SA"/>
              </w:rPr>
            </w:pPr>
            <w:r w:rsidRPr="00934DBE">
              <w:rPr>
                <w:rFonts w:asciiTheme="minorHAnsi" w:hAnsiTheme="minorHAnsi"/>
                <w:b/>
                <w:color w:val="000000"/>
                <w:sz w:val="22"/>
                <w:szCs w:val="22"/>
                <w:lang w:bidi="ar-SA"/>
              </w:rPr>
              <w:t>57</w:t>
            </w:r>
          </w:p>
        </w:tc>
        <w:tc>
          <w:tcPr>
            <w:tcW w:w="2694" w:type="dxa"/>
            <w:shd w:val="clear" w:color="auto" w:fill="FFFFFF" w:themeFill="background1"/>
            <w:vAlign w:val="center"/>
          </w:tcPr>
          <w:p w14:paraId="62E6A5FC" w14:textId="6BF7C4B2" w:rsidR="00841E1C" w:rsidRPr="00934DBE" w:rsidRDefault="00841E1C" w:rsidP="00841E1C">
            <w:pPr>
              <w:jc w:val="center"/>
              <w:rPr>
                <w:rFonts w:asciiTheme="minorHAnsi" w:hAnsiTheme="minorHAnsi"/>
                <w:b/>
                <w:color w:val="000000"/>
                <w:sz w:val="22"/>
                <w:szCs w:val="22"/>
              </w:rPr>
            </w:pPr>
            <w:r w:rsidRPr="00934DBE">
              <w:rPr>
                <w:rFonts w:asciiTheme="minorHAnsi" w:hAnsiTheme="minorHAnsi"/>
                <w:b/>
                <w:color w:val="000000"/>
                <w:sz w:val="22"/>
                <w:szCs w:val="22"/>
              </w:rPr>
              <w:t>11.2%</w:t>
            </w:r>
          </w:p>
        </w:tc>
      </w:tr>
      <w:tr w:rsidR="00841E1C" w:rsidRPr="00934DBE" w14:paraId="39A99C97" w14:textId="77777777" w:rsidTr="00091B1A">
        <w:trPr>
          <w:trHeight w:val="278"/>
        </w:trPr>
        <w:tc>
          <w:tcPr>
            <w:tcW w:w="3539" w:type="dxa"/>
            <w:shd w:val="clear" w:color="auto" w:fill="FFFFFF" w:themeFill="background1"/>
            <w:noWrap/>
            <w:hideMark/>
          </w:tcPr>
          <w:p w14:paraId="0D1676B7" w14:textId="77777777" w:rsidR="00841E1C" w:rsidRPr="00934DBE" w:rsidRDefault="00841E1C" w:rsidP="00841E1C">
            <w:pPr>
              <w:jc w:val="left"/>
              <w:rPr>
                <w:rFonts w:asciiTheme="minorHAnsi" w:hAnsiTheme="minorHAnsi"/>
                <w:b/>
                <w:color w:val="000000"/>
                <w:sz w:val="22"/>
                <w:szCs w:val="22"/>
                <w:lang w:bidi="ar-SA"/>
              </w:rPr>
            </w:pPr>
            <w:r w:rsidRPr="00934DBE">
              <w:rPr>
                <w:rFonts w:asciiTheme="minorHAnsi" w:hAnsiTheme="minorHAnsi"/>
                <w:b/>
                <w:color w:val="000000"/>
                <w:sz w:val="22"/>
                <w:szCs w:val="22"/>
                <w:lang w:bidi="ar-SA"/>
              </w:rPr>
              <w:t>Intensive/critical care</w:t>
            </w:r>
          </w:p>
        </w:tc>
        <w:tc>
          <w:tcPr>
            <w:tcW w:w="2693" w:type="dxa"/>
            <w:shd w:val="clear" w:color="auto" w:fill="FFFFFF" w:themeFill="background1"/>
            <w:noWrap/>
            <w:hideMark/>
          </w:tcPr>
          <w:p w14:paraId="31D4F0B2" w14:textId="77777777" w:rsidR="00841E1C" w:rsidRPr="00934DBE" w:rsidRDefault="00841E1C" w:rsidP="00841E1C">
            <w:pPr>
              <w:jc w:val="center"/>
              <w:rPr>
                <w:rFonts w:asciiTheme="minorHAnsi" w:hAnsiTheme="minorHAnsi"/>
                <w:b/>
                <w:color w:val="000000"/>
                <w:sz w:val="22"/>
                <w:szCs w:val="22"/>
                <w:lang w:bidi="ar-SA"/>
              </w:rPr>
            </w:pPr>
            <w:r w:rsidRPr="00934DBE">
              <w:rPr>
                <w:rFonts w:asciiTheme="minorHAnsi" w:hAnsiTheme="minorHAnsi"/>
                <w:b/>
                <w:color w:val="000000"/>
                <w:sz w:val="22"/>
                <w:szCs w:val="22"/>
                <w:lang w:bidi="ar-SA"/>
              </w:rPr>
              <w:t>5</w:t>
            </w:r>
          </w:p>
        </w:tc>
        <w:tc>
          <w:tcPr>
            <w:tcW w:w="2694" w:type="dxa"/>
            <w:shd w:val="clear" w:color="auto" w:fill="FFFFFF" w:themeFill="background1"/>
            <w:vAlign w:val="center"/>
          </w:tcPr>
          <w:p w14:paraId="5122A891" w14:textId="77777777" w:rsidR="00841E1C" w:rsidRPr="00934DBE" w:rsidRDefault="00841E1C" w:rsidP="00841E1C">
            <w:pPr>
              <w:jc w:val="center"/>
              <w:rPr>
                <w:rFonts w:asciiTheme="minorHAnsi" w:hAnsiTheme="minorHAnsi"/>
                <w:b/>
                <w:color w:val="000000"/>
                <w:sz w:val="22"/>
                <w:szCs w:val="22"/>
              </w:rPr>
            </w:pPr>
            <w:r w:rsidRPr="00934DBE">
              <w:rPr>
                <w:rFonts w:asciiTheme="minorHAnsi" w:hAnsiTheme="minorHAnsi"/>
                <w:b/>
                <w:color w:val="000000"/>
                <w:sz w:val="22"/>
                <w:szCs w:val="22"/>
              </w:rPr>
              <w:t>1.0%</w:t>
            </w:r>
          </w:p>
        </w:tc>
      </w:tr>
      <w:tr w:rsidR="00841E1C" w:rsidRPr="00934DBE" w14:paraId="2AE709D6" w14:textId="77777777" w:rsidTr="00091B1A">
        <w:trPr>
          <w:trHeight w:val="278"/>
        </w:trPr>
        <w:tc>
          <w:tcPr>
            <w:tcW w:w="3539" w:type="dxa"/>
            <w:shd w:val="clear" w:color="auto" w:fill="FFFFFF" w:themeFill="background1"/>
            <w:noWrap/>
            <w:hideMark/>
          </w:tcPr>
          <w:p w14:paraId="3AE9257F" w14:textId="77777777" w:rsidR="00841E1C" w:rsidRPr="00934DBE" w:rsidRDefault="00841E1C" w:rsidP="00841E1C">
            <w:pPr>
              <w:jc w:val="left"/>
              <w:rPr>
                <w:rFonts w:asciiTheme="minorHAnsi" w:hAnsiTheme="minorHAnsi"/>
                <w:b/>
                <w:color w:val="000000"/>
                <w:sz w:val="22"/>
                <w:szCs w:val="22"/>
                <w:lang w:bidi="ar-SA"/>
              </w:rPr>
            </w:pPr>
            <w:r w:rsidRPr="00934DBE">
              <w:rPr>
                <w:rFonts w:asciiTheme="minorHAnsi" w:hAnsiTheme="minorHAnsi"/>
                <w:b/>
                <w:color w:val="000000"/>
                <w:sz w:val="22"/>
                <w:szCs w:val="22"/>
                <w:lang w:bidi="ar-SA"/>
              </w:rPr>
              <w:t>Maternity</w:t>
            </w:r>
          </w:p>
        </w:tc>
        <w:tc>
          <w:tcPr>
            <w:tcW w:w="2693" w:type="dxa"/>
            <w:shd w:val="clear" w:color="auto" w:fill="FFFFFF" w:themeFill="background1"/>
            <w:noWrap/>
            <w:hideMark/>
          </w:tcPr>
          <w:p w14:paraId="1D504E68" w14:textId="77777777" w:rsidR="00841E1C" w:rsidRPr="00934DBE" w:rsidRDefault="00841E1C" w:rsidP="00841E1C">
            <w:pPr>
              <w:jc w:val="center"/>
              <w:rPr>
                <w:rFonts w:asciiTheme="minorHAnsi" w:hAnsiTheme="minorHAnsi"/>
                <w:b/>
                <w:color w:val="000000"/>
                <w:sz w:val="22"/>
                <w:szCs w:val="22"/>
                <w:lang w:bidi="ar-SA"/>
              </w:rPr>
            </w:pPr>
            <w:r w:rsidRPr="00934DBE">
              <w:rPr>
                <w:rFonts w:asciiTheme="minorHAnsi" w:hAnsiTheme="minorHAnsi"/>
                <w:b/>
                <w:color w:val="000000"/>
                <w:sz w:val="22"/>
                <w:szCs w:val="22"/>
                <w:lang w:bidi="ar-SA"/>
              </w:rPr>
              <w:t>24</w:t>
            </w:r>
          </w:p>
        </w:tc>
        <w:tc>
          <w:tcPr>
            <w:tcW w:w="2694" w:type="dxa"/>
            <w:shd w:val="clear" w:color="auto" w:fill="FFFFFF" w:themeFill="background1"/>
            <w:vAlign w:val="center"/>
          </w:tcPr>
          <w:p w14:paraId="2CDCBA62" w14:textId="1B41D4E1" w:rsidR="00841E1C" w:rsidRPr="00934DBE" w:rsidRDefault="00841E1C" w:rsidP="00841E1C">
            <w:pPr>
              <w:jc w:val="center"/>
              <w:rPr>
                <w:rFonts w:asciiTheme="minorHAnsi" w:hAnsiTheme="minorHAnsi"/>
                <w:b/>
                <w:color w:val="000000"/>
                <w:sz w:val="22"/>
                <w:szCs w:val="22"/>
              </w:rPr>
            </w:pPr>
            <w:r w:rsidRPr="00934DBE">
              <w:rPr>
                <w:rFonts w:asciiTheme="minorHAnsi" w:hAnsiTheme="minorHAnsi"/>
                <w:b/>
                <w:color w:val="000000"/>
                <w:sz w:val="22"/>
                <w:szCs w:val="22"/>
              </w:rPr>
              <w:t>4.7%</w:t>
            </w:r>
          </w:p>
        </w:tc>
      </w:tr>
      <w:tr w:rsidR="00841E1C" w:rsidRPr="00934DBE" w14:paraId="4C0C38FB" w14:textId="77777777" w:rsidTr="00091B1A">
        <w:trPr>
          <w:trHeight w:val="278"/>
        </w:trPr>
        <w:tc>
          <w:tcPr>
            <w:tcW w:w="3539" w:type="dxa"/>
            <w:tcBorders>
              <w:bottom w:val="nil"/>
            </w:tcBorders>
            <w:shd w:val="clear" w:color="auto" w:fill="auto"/>
            <w:noWrap/>
          </w:tcPr>
          <w:p w14:paraId="7C710E1C" w14:textId="77777777" w:rsidR="00841E1C" w:rsidRPr="00934DBE" w:rsidRDefault="00841E1C" w:rsidP="00841E1C">
            <w:pPr>
              <w:jc w:val="left"/>
              <w:rPr>
                <w:rFonts w:asciiTheme="minorHAnsi" w:hAnsiTheme="minorHAnsi"/>
                <w:b/>
                <w:color w:val="000000"/>
                <w:sz w:val="22"/>
                <w:szCs w:val="22"/>
                <w:lang w:bidi="ar-SA"/>
              </w:rPr>
            </w:pPr>
            <w:r w:rsidRPr="00934DBE">
              <w:rPr>
                <w:rFonts w:asciiTheme="minorHAnsi" w:hAnsiTheme="minorHAnsi"/>
                <w:b/>
                <w:color w:val="000000"/>
                <w:sz w:val="22"/>
                <w:szCs w:val="22"/>
                <w:lang w:bidi="ar-SA"/>
              </w:rPr>
              <w:t>Medicine</w:t>
            </w:r>
          </w:p>
        </w:tc>
        <w:tc>
          <w:tcPr>
            <w:tcW w:w="2693" w:type="dxa"/>
            <w:tcBorders>
              <w:bottom w:val="nil"/>
            </w:tcBorders>
            <w:shd w:val="clear" w:color="auto" w:fill="auto"/>
            <w:noWrap/>
          </w:tcPr>
          <w:p w14:paraId="1837514B" w14:textId="77777777" w:rsidR="00841E1C" w:rsidRPr="00934DBE" w:rsidRDefault="00841E1C" w:rsidP="00841E1C">
            <w:pPr>
              <w:jc w:val="center"/>
              <w:rPr>
                <w:rFonts w:asciiTheme="minorHAnsi" w:hAnsiTheme="minorHAnsi"/>
                <w:b/>
                <w:color w:val="000000"/>
                <w:sz w:val="22"/>
                <w:szCs w:val="22"/>
                <w:lang w:bidi="ar-SA"/>
              </w:rPr>
            </w:pPr>
            <w:r w:rsidRPr="00934DBE">
              <w:rPr>
                <w:rFonts w:asciiTheme="minorHAnsi" w:hAnsiTheme="minorHAnsi"/>
                <w:b/>
                <w:color w:val="000000"/>
                <w:sz w:val="22"/>
                <w:szCs w:val="22"/>
                <w:lang w:bidi="ar-SA"/>
              </w:rPr>
              <w:t>82</w:t>
            </w:r>
          </w:p>
        </w:tc>
        <w:tc>
          <w:tcPr>
            <w:tcW w:w="2694" w:type="dxa"/>
            <w:tcBorders>
              <w:bottom w:val="nil"/>
            </w:tcBorders>
            <w:shd w:val="clear" w:color="auto" w:fill="auto"/>
            <w:vAlign w:val="center"/>
          </w:tcPr>
          <w:p w14:paraId="1D366D4F" w14:textId="47908B16" w:rsidR="00841E1C" w:rsidRPr="00934DBE" w:rsidRDefault="00841E1C" w:rsidP="00841E1C">
            <w:pPr>
              <w:jc w:val="center"/>
              <w:rPr>
                <w:rFonts w:asciiTheme="minorHAnsi" w:hAnsiTheme="minorHAnsi"/>
                <w:b/>
                <w:color w:val="000000"/>
                <w:sz w:val="22"/>
                <w:szCs w:val="22"/>
              </w:rPr>
            </w:pPr>
            <w:r w:rsidRPr="00934DBE">
              <w:rPr>
                <w:rFonts w:asciiTheme="minorHAnsi" w:hAnsiTheme="minorHAnsi"/>
                <w:b/>
                <w:bCs/>
                <w:color w:val="000000"/>
                <w:sz w:val="22"/>
                <w:szCs w:val="22"/>
              </w:rPr>
              <w:t>16.2%</w:t>
            </w:r>
            <w:r w:rsidRPr="00934DBE">
              <w:rPr>
                <w:rFonts w:asciiTheme="minorHAnsi" w:hAnsiTheme="minorHAnsi"/>
                <w:color w:val="000000"/>
                <w:sz w:val="22"/>
                <w:szCs w:val="22"/>
              </w:rPr>
              <w:t> </w:t>
            </w:r>
          </w:p>
        </w:tc>
      </w:tr>
      <w:tr w:rsidR="00841E1C" w:rsidRPr="00934DBE" w14:paraId="5558F1E3"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vAlign w:val="bottom"/>
            <w:hideMark/>
          </w:tcPr>
          <w:p w14:paraId="0BF2C164"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rPr>
              <w:t>Cardiology</w:t>
            </w:r>
          </w:p>
        </w:tc>
        <w:tc>
          <w:tcPr>
            <w:tcW w:w="2693" w:type="dxa"/>
            <w:tcBorders>
              <w:top w:val="nil"/>
              <w:left w:val="single" w:sz="4" w:space="0" w:color="auto"/>
              <w:bottom w:val="nil"/>
              <w:right w:val="single" w:sz="4" w:space="0" w:color="auto"/>
            </w:tcBorders>
            <w:shd w:val="clear" w:color="auto" w:fill="FFFFFF" w:themeFill="background1"/>
            <w:noWrap/>
            <w:vAlign w:val="bottom"/>
            <w:hideMark/>
          </w:tcPr>
          <w:p w14:paraId="7AF1C263"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rPr>
              <w:t>4</w:t>
            </w:r>
          </w:p>
        </w:tc>
        <w:tc>
          <w:tcPr>
            <w:tcW w:w="2694" w:type="dxa"/>
            <w:tcBorders>
              <w:top w:val="nil"/>
              <w:left w:val="single" w:sz="4" w:space="0" w:color="auto"/>
              <w:bottom w:val="nil"/>
              <w:right w:val="single" w:sz="4" w:space="0" w:color="auto"/>
            </w:tcBorders>
            <w:shd w:val="clear" w:color="auto" w:fill="FFFFFF" w:themeFill="background1"/>
            <w:vAlign w:val="center"/>
          </w:tcPr>
          <w:p w14:paraId="27BB3E7C"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0.8%</w:t>
            </w:r>
          </w:p>
        </w:tc>
      </w:tr>
      <w:tr w:rsidR="00841E1C" w:rsidRPr="00934DBE" w14:paraId="6539EA43"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vAlign w:val="bottom"/>
            <w:hideMark/>
          </w:tcPr>
          <w:p w14:paraId="50447F4F"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rPr>
              <w:t>Dermatology</w:t>
            </w:r>
          </w:p>
        </w:tc>
        <w:tc>
          <w:tcPr>
            <w:tcW w:w="2693" w:type="dxa"/>
            <w:tcBorders>
              <w:top w:val="nil"/>
              <w:left w:val="single" w:sz="4" w:space="0" w:color="auto"/>
              <w:bottom w:val="nil"/>
              <w:right w:val="single" w:sz="4" w:space="0" w:color="auto"/>
            </w:tcBorders>
            <w:shd w:val="clear" w:color="auto" w:fill="FFFFFF" w:themeFill="background1"/>
            <w:noWrap/>
            <w:vAlign w:val="bottom"/>
            <w:hideMark/>
          </w:tcPr>
          <w:p w14:paraId="6ED4DE7A"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rPr>
              <w:t>1</w:t>
            </w:r>
          </w:p>
        </w:tc>
        <w:tc>
          <w:tcPr>
            <w:tcW w:w="2694" w:type="dxa"/>
            <w:tcBorders>
              <w:top w:val="nil"/>
              <w:left w:val="single" w:sz="4" w:space="0" w:color="auto"/>
              <w:bottom w:val="nil"/>
              <w:right w:val="single" w:sz="4" w:space="0" w:color="auto"/>
            </w:tcBorders>
            <w:shd w:val="clear" w:color="auto" w:fill="FFFFFF" w:themeFill="background1"/>
            <w:vAlign w:val="center"/>
          </w:tcPr>
          <w:p w14:paraId="7767D3EC"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0.2%</w:t>
            </w:r>
          </w:p>
        </w:tc>
      </w:tr>
      <w:tr w:rsidR="00841E1C" w:rsidRPr="00934DBE" w14:paraId="7E557737"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vAlign w:val="bottom"/>
            <w:hideMark/>
          </w:tcPr>
          <w:p w14:paraId="79DCEAF9"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rPr>
              <w:t>Endocrinology</w:t>
            </w:r>
          </w:p>
        </w:tc>
        <w:tc>
          <w:tcPr>
            <w:tcW w:w="2693" w:type="dxa"/>
            <w:tcBorders>
              <w:top w:val="nil"/>
              <w:left w:val="single" w:sz="4" w:space="0" w:color="auto"/>
              <w:bottom w:val="nil"/>
              <w:right w:val="single" w:sz="4" w:space="0" w:color="auto"/>
            </w:tcBorders>
            <w:shd w:val="clear" w:color="auto" w:fill="FFFFFF" w:themeFill="background1"/>
            <w:noWrap/>
            <w:vAlign w:val="bottom"/>
            <w:hideMark/>
          </w:tcPr>
          <w:p w14:paraId="2B2F3C1C"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rPr>
              <w:t>3</w:t>
            </w:r>
          </w:p>
        </w:tc>
        <w:tc>
          <w:tcPr>
            <w:tcW w:w="2694" w:type="dxa"/>
            <w:tcBorders>
              <w:top w:val="nil"/>
              <w:left w:val="single" w:sz="4" w:space="0" w:color="auto"/>
              <w:bottom w:val="nil"/>
              <w:right w:val="single" w:sz="4" w:space="0" w:color="auto"/>
            </w:tcBorders>
            <w:shd w:val="clear" w:color="auto" w:fill="FFFFFF" w:themeFill="background1"/>
            <w:vAlign w:val="center"/>
          </w:tcPr>
          <w:p w14:paraId="4E21B625"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0.6%</w:t>
            </w:r>
          </w:p>
        </w:tc>
      </w:tr>
      <w:tr w:rsidR="00841E1C" w:rsidRPr="00934DBE" w14:paraId="3C156BF6"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vAlign w:val="bottom"/>
            <w:hideMark/>
          </w:tcPr>
          <w:p w14:paraId="2FCB67A7"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rPr>
              <w:t>Gastroenterology</w:t>
            </w:r>
          </w:p>
        </w:tc>
        <w:tc>
          <w:tcPr>
            <w:tcW w:w="2693" w:type="dxa"/>
            <w:tcBorders>
              <w:top w:val="nil"/>
              <w:left w:val="single" w:sz="4" w:space="0" w:color="auto"/>
              <w:bottom w:val="nil"/>
              <w:right w:val="single" w:sz="4" w:space="0" w:color="auto"/>
            </w:tcBorders>
            <w:shd w:val="clear" w:color="auto" w:fill="FFFFFF" w:themeFill="background1"/>
            <w:noWrap/>
            <w:vAlign w:val="bottom"/>
            <w:hideMark/>
          </w:tcPr>
          <w:p w14:paraId="29543016"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rPr>
              <w:t>11</w:t>
            </w:r>
          </w:p>
        </w:tc>
        <w:tc>
          <w:tcPr>
            <w:tcW w:w="2694" w:type="dxa"/>
            <w:tcBorders>
              <w:top w:val="nil"/>
              <w:left w:val="single" w:sz="4" w:space="0" w:color="auto"/>
              <w:bottom w:val="nil"/>
              <w:right w:val="single" w:sz="4" w:space="0" w:color="auto"/>
            </w:tcBorders>
            <w:shd w:val="clear" w:color="auto" w:fill="FFFFFF" w:themeFill="background1"/>
            <w:vAlign w:val="center"/>
          </w:tcPr>
          <w:p w14:paraId="1DC57B3C"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2.2%</w:t>
            </w:r>
          </w:p>
        </w:tc>
      </w:tr>
      <w:tr w:rsidR="00841E1C" w:rsidRPr="00934DBE" w14:paraId="0D474F6A"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vAlign w:val="bottom"/>
            <w:hideMark/>
          </w:tcPr>
          <w:p w14:paraId="1CDB9AEE"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rPr>
              <w:t>General</w:t>
            </w:r>
          </w:p>
        </w:tc>
        <w:tc>
          <w:tcPr>
            <w:tcW w:w="2693" w:type="dxa"/>
            <w:tcBorders>
              <w:top w:val="nil"/>
              <w:left w:val="single" w:sz="4" w:space="0" w:color="auto"/>
              <w:bottom w:val="nil"/>
              <w:right w:val="single" w:sz="4" w:space="0" w:color="auto"/>
            </w:tcBorders>
            <w:shd w:val="clear" w:color="auto" w:fill="FFFFFF" w:themeFill="background1"/>
            <w:noWrap/>
            <w:vAlign w:val="bottom"/>
            <w:hideMark/>
          </w:tcPr>
          <w:p w14:paraId="2FD358C8"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rPr>
              <w:t>13</w:t>
            </w:r>
          </w:p>
        </w:tc>
        <w:tc>
          <w:tcPr>
            <w:tcW w:w="2694" w:type="dxa"/>
            <w:tcBorders>
              <w:top w:val="nil"/>
              <w:left w:val="single" w:sz="4" w:space="0" w:color="auto"/>
              <w:bottom w:val="nil"/>
              <w:right w:val="single" w:sz="4" w:space="0" w:color="auto"/>
            </w:tcBorders>
            <w:shd w:val="clear" w:color="auto" w:fill="FFFFFF" w:themeFill="background1"/>
            <w:vAlign w:val="center"/>
          </w:tcPr>
          <w:p w14:paraId="5A01AC99"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2.6%</w:t>
            </w:r>
          </w:p>
        </w:tc>
      </w:tr>
      <w:tr w:rsidR="00841E1C" w:rsidRPr="00934DBE" w14:paraId="0BA968EA"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vAlign w:val="bottom"/>
            <w:hideMark/>
          </w:tcPr>
          <w:p w14:paraId="03BE4338"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rPr>
              <w:t>Geriatric medicine</w:t>
            </w:r>
          </w:p>
        </w:tc>
        <w:tc>
          <w:tcPr>
            <w:tcW w:w="2693" w:type="dxa"/>
            <w:tcBorders>
              <w:top w:val="nil"/>
              <w:left w:val="single" w:sz="4" w:space="0" w:color="auto"/>
              <w:bottom w:val="nil"/>
              <w:right w:val="single" w:sz="4" w:space="0" w:color="auto"/>
            </w:tcBorders>
            <w:shd w:val="clear" w:color="auto" w:fill="FFFFFF" w:themeFill="background1"/>
            <w:noWrap/>
            <w:vAlign w:val="bottom"/>
            <w:hideMark/>
          </w:tcPr>
          <w:p w14:paraId="3525672E"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rPr>
              <w:t>10</w:t>
            </w:r>
          </w:p>
        </w:tc>
        <w:tc>
          <w:tcPr>
            <w:tcW w:w="2694" w:type="dxa"/>
            <w:tcBorders>
              <w:top w:val="nil"/>
              <w:left w:val="single" w:sz="4" w:space="0" w:color="auto"/>
              <w:bottom w:val="nil"/>
              <w:right w:val="single" w:sz="4" w:space="0" w:color="auto"/>
            </w:tcBorders>
            <w:shd w:val="clear" w:color="auto" w:fill="FFFFFF" w:themeFill="background1"/>
            <w:vAlign w:val="center"/>
          </w:tcPr>
          <w:p w14:paraId="76F40D26"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2.0%</w:t>
            </w:r>
          </w:p>
        </w:tc>
      </w:tr>
      <w:tr w:rsidR="00841E1C" w:rsidRPr="00934DBE" w14:paraId="2AACFAF2"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vAlign w:val="bottom"/>
            <w:hideMark/>
          </w:tcPr>
          <w:p w14:paraId="7D2A8117"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rPr>
              <w:t>Neurology</w:t>
            </w:r>
          </w:p>
        </w:tc>
        <w:tc>
          <w:tcPr>
            <w:tcW w:w="2693" w:type="dxa"/>
            <w:tcBorders>
              <w:top w:val="nil"/>
              <w:left w:val="single" w:sz="4" w:space="0" w:color="auto"/>
              <w:bottom w:val="nil"/>
              <w:right w:val="single" w:sz="4" w:space="0" w:color="auto"/>
            </w:tcBorders>
            <w:shd w:val="clear" w:color="auto" w:fill="FFFFFF" w:themeFill="background1"/>
            <w:noWrap/>
            <w:vAlign w:val="bottom"/>
            <w:hideMark/>
          </w:tcPr>
          <w:p w14:paraId="62A75660"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rPr>
              <w:t>17</w:t>
            </w:r>
          </w:p>
        </w:tc>
        <w:tc>
          <w:tcPr>
            <w:tcW w:w="2694" w:type="dxa"/>
            <w:tcBorders>
              <w:top w:val="nil"/>
              <w:left w:val="single" w:sz="4" w:space="0" w:color="auto"/>
              <w:bottom w:val="nil"/>
              <w:right w:val="single" w:sz="4" w:space="0" w:color="auto"/>
            </w:tcBorders>
            <w:shd w:val="clear" w:color="auto" w:fill="FFFFFF" w:themeFill="background1"/>
            <w:vAlign w:val="center"/>
          </w:tcPr>
          <w:p w14:paraId="48A98701"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3.4%</w:t>
            </w:r>
          </w:p>
        </w:tc>
      </w:tr>
      <w:tr w:rsidR="00841E1C" w:rsidRPr="00934DBE" w14:paraId="5945D127"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vAlign w:val="bottom"/>
            <w:hideMark/>
          </w:tcPr>
          <w:p w14:paraId="4923D7A0"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rPr>
              <w:t>Oncology</w:t>
            </w:r>
          </w:p>
        </w:tc>
        <w:tc>
          <w:tcPr>
            <w:tcW w:w="2693" w:type="dxa"/>
            <w:tcBorders>
              <w:top w:val="nil"/>
              <w:left w:val="single" w:sz="4" w:space="0" w:color="auto"/>
              <w:bottom w:val="nil"/>
              <w:right w:val="single" w:sz="4" w:space="0" w:color="auto"/>
            </w:tcBorders>
            <w:shd w:val="clear" w:color="auto" w:fill="FFFFFF" w:themeFill="background1"/>
            <w:noWrap/>
            <w:vAlign w:val="bottom"/>
            <w:hideMark/>
          </w:tcPr>
          <w:p w14:paraId="7F13FA6D"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rPr>
              <w:t>7</w:t>
            </w:r>
          </w:p>
        </w:tc>
        <w:tc>
          <w:tcPr>
            <w:tcW w:w="2694" w:type="dxa"/>
            <w:tcBorders>
              <w:top w:val="nil"/>
              <w:left w:val="single" w:sz="4" w:space="0" w:color="auto"/>
              <w:bottom w:val="nil"/>
              <w:right w:val="single" w:sz="4" w:space="0" w:color="auto"/>
            </w:tcBorders>
            <w:shd w:val="clear" w:color="auto" w:fill="FFFFFF" w:themeFill="background1"/>
            <w:vAlign w:val="center"/>
          </w:tcPr>
          <w:p w14:paraId="3C7B179E"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1.4%</w:t>
            </w:r>
          </w:p>
        </w:tc>
      </w:tr>
      <w:tr w:rsidR="00841E1C" w:rsidRPr="00934DBE" w14:paraId="6159DAE2"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vAlign w:val="bottom"/>
          </w:tcPr>
          <w:p w14:paraId="1C959CD0"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rPr>
              <w:t>Palliative care</w:t>
            </w:r>
          </w:p>
        </w:tc>
        <w:tc>
          <w:tcPr>
            <w:tcW w:w="2693" w:type="dxa"/>
            <w:tcBorders>
              <w:top w:val="nil"/>
              <w:left w:val="single" w:sz="4" w:space="0" w:color="auto"/>
              <w:bottom w:val="nil"/>
              <w:right w:val="single" w:sz="4" w:space="0" w:color="auto"/>
            </w:tcBorders>
            <w:shd w:val="clear" w:color="auto" w:fill="FFFFFF" w:themeFill="background1"/>
            <w:noWrap/>
            <w:vAlign w:val="bottom"/>
          </w:tcPr>
          <w:p w14:paraId="32AD8CFD"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rPr>
              <w:t>2</w:t>
            </w:r>
          </w:p>
        </w:tc>
        <w:tc>
          <w:tcPr>
            <w:tcW w:w="2694" w:type="dxa"/>
            <w:tcBorders>
              <w:top w:val="nil"/>
              <w:left w:val="single" w:sz="4" w:space="0" w:color="auto"/>
              <w:bottom w:val="nil"/>
              <w:right w:val="single" w:sz="4" w:space="0" w:color="auto"/>
            </w:tcBorders>
            <w:shd w:val="clear" w:color="auto" w:fill="FFFFFF" w:themeFill="background1"/>
            <w:vAlign w:val="center"/>
          </w:tcPr>
          <w:p w14:paraId="47068CF1"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0.4%</w:t>
            </w:r>
          </w:p>
        </w:tc>
      </w:tr>
      <w:tr w:rsidR="00841E1C" w:rsidRPr="00934DBE" w14:paraId="540B403D"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vAlign w:val="bottom"/>
            <w:hideMark/>
          </w:tcPr>
          <w:p w14:paraId="4F2EE811"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rPr>
              <w:t>Renal/nephrology</w:t>
            </w:r>
          </w:p>
        </w:tc>
        <w:tc>
          <w:tcPr>
            <w:tcW w:w="2693" w:type="dxa"/>
            <w:tcBorders>
              <w:top w:val="nil"/>
              <w:left w:val="single" w:sz="4" w:space="0" w:color="auto"/>
              <w:bottom w:val="nil"/>
              <w:right w:val="single" w:sz="4" w:space="0" w:color="auto"/>
            </w:tcBorders>
            <w:shd w:val="clear" w:color="auto" w:fill="FFFFFF" w:themeFill="background1"/>
            <w:noWrap/>
            <w:vAlign w:val="bottom"/>
            <w:hideMark/>
          </w:tcPr>
          <w:p w14:paraId="5589B774"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rPr>
              <w:t>2</w:t>
            </w:r>
          </w:p>
        </w:tc>
        <w:tc>
          <w:tcPr>
            <w:tcW w:w="2694" w:type="dxa"/>
            <w:tcBorders>
              <w:top w:val="nil"/>
              <w:left w:val="single" w:sz="4" w:space="0" w:color="auto"/>
              <w:bottom w:val="nil"/>
              <w:right w:val="single" w:sz="4" w:space="0" w:color="auto"/>
            </w:tcBorders>
            <w:shd w:val="clear" w:color="auto" w:fill="FFFFFF" w:themeFill="background1"/>
            <w:vAlign w:val="center"/>
          </w:tcPr>
          <w:p w14:paraId="1F4FD0D5"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0.4%</w:t>
            </w:r>
          </w:p>
        </w:tc>
      </w:tr>
      <w:tr w:rsidR="00841E1C" w:rsidRPr="00934DBE" w14:paraId="0FF2DA1A"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vAlign w:val="bottom"/>
            <w:hideMark/>
          </w:tcPr>
          <w:p w14:paraId="4EAC3B3A"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rPr>
              <w:t>Respiratory</w:t>
            </w:r>
          </w:p>
        </w:tc>
        <w:tc>
          <w:tcPr>
            <w:tcW w:w="2693" w:type="dxa"/>
            <w:tcBorders>
              <w:top w:val="nil"/>
              <w:left w:val="single" w:sz="4" w:space="0" w:color="auto"/>
              <w:bottom w:val="nil"/>
              <w:right w:val="single" w:sz="4" w:space="0" w:color="auto"/>
            </w:tcBorders>
            <w:shd w:val="clear" w:color="auto" w:fill="FFFFFF" w:themeFill="background1"/>
            <w:noWrap/>
            <w:vAlign w:val="bottom"/>
            <w:hideMark/>
          </w:tcPr>
          <w:p w14:paraId="4068FC75"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rPr>
              <w:t>5</w:t>
            </w:r>
          </w:p>
        </w:tc>
        <w:tc>
          <w:tcPr>
            <w:tcW w:w="2694" w:type="dxa"/>
            <w:tcBorders>
              <w:top w:val="nil"/>
              <w:left w:val="single" w:sz="4" w:space="0" w:color="auto"/>
              <w:bottom w:val="nil"/>
              <w:right w:val="single" w:sz="4" w:space="0" w:color="auto"/>
            </w:tcBorders>
            <w:shd w:val="clear" w:color="auto" w:fill="FFFFFF" w:themeFill="background1"/>
            <w:vAlign w:val="center"/>
          </w:tcPr>
          <w:p w14:paraId="16A9ECEC"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1.0%</w:t>
            </w:r>
          </w:p>
        </w:tc>
      </w:tr>
      <w:tr w:rsidR="00CF0053" w:rsidRPr="00934DBE" w14:paraId="17A3B2D5" w14:textId="77777777" w:rsidTr="00091B1A">
        <w:trPr>
          <w:trHeight w:val="278"/>
        </w:trPr>
        <w:tc>
          <w:tcPr>
            <w:tcW w:w="3539" w:type="dxa"/>
            <w:tcBorders>
              <w:top w:val="nil"/>
              <w:left w:val="single" w:sz="4" w:space="0" w:color="auto"/>
              <w:bottom w:val="single" w:sz="4" w:space="0" w:color="auto"/>
              <w:right w:val="single" w:sz="4" w:space="0" w:color="auto"/>
            </w:tcBorders>
            <w:shd w:val="clear" w:color="auto" w:fill="FFFFFF" w:themeFill="background1"/>
            <w:noWrap/>
            <w:vAlign w:val="bottom"/>
          </w:tcPr>
          <w:p w14:paraId="6EAC545A" w14:textId="0EE2497B" w:rsidR="00CF0053" w:rsidRPr="00934DBE" w:rsidRDefault="00934DBE" w:rsidP="00841E1C">
            <w:pPr>
              <w:jc w:val="left"/>
              <w:rPr>
                <w:rFonts w:asciiTheme="minorHAnsi" w:hAnsiTheme="minorHAnsi"/>
                <w:color w:val="000000"/>
                <w:sz w:val="22"/>
                <w:szCs w:val="22"/>
              </w:rPr>
            </w:pPr>
            <w:r>
              <w:rPr>
                <w:rFonts w:asciiTheme="minorHAnsi" w:hAnsiTheme="minorHAnsi"/>
                <w:color w:val="000000"/>
                <w:sz w:val="22"/>
                <w:szCs w:val="22"/>
              </w:rPr>
              <w:t>Other/unspecified</w:t>
            </w:r>
          </w:p>
        </w:tc>
        <w:tc>
          <w:tcPr>
            <w:tcW w:w="2693" w:type="dxa"/>
            <w:tcBorders>
              <w:top w:val="nil"/>
              <w:left w:val="single" w:sz="4" w:space="0" w:color="auto"/>
              <w:bottom w:val="single" w:sz="4" w:space="0" w:color="auto"/>
              <w:right w:val="single" w:sz="4" w:space="0" w:color="auto"/>
            </w:tcBorders>
            <w:shd w:val="clear" w:color="auto" w:fill="FFFFFF" w:themeFill="background1"/>
            <w:noWrap/>
            <w:vAlign w:val="bottom"/>
          </w:tcPr>
          <w:p w14:paraId="642CFE7F" w14:textId="54A66FD8" w:rsidR="00CF0053" w:rsidRPr="00934DBE" w:rsidRDefault="00934DBE" w:rsidP="00841E1C">
            <w:pPr>
              <w:jc w:val="center"/>
              <w:rPr>
                <w:rFonts w:asciiTheme="minorHAnsi" w:hAnsiTheme="minorHAnsi"/>
                <w:color w:val="000000"/>
                <w:sz w:val="22"/>
                <w:szCs w:val="22"/>
              </w:rPr>
            </w:pPr>
            <w:r>
              <w:rPr>
                <w:rFonts w:asciiTheme="minorHAnsi" w:hAnsiTheme="minorHAnsi"/>
                <w:color w:val="000000"/>
                <w:sz w:val="22"/>
                <w:szCs w:val="22"/>
              </w:rPr>
              <w:t>7</w:t>
            </w:r>
          </w:p>
        </w:tc>
        <w:tc>
          <w:tcPr>
            <w:tcW w:w="2694" w:type="dxa"/>
            <w:tcBorders>
              <w:top w:val="nil"/>
              <w:left w:val="single" w:sz="4" w:space="0" w:color="auto"/>
              <w:bottom w:val="single" w:sz="4" w:space="0" w:color="auto"/>
              <w:right w:val="single" w:sz="4" w:space="0" w:color="auto"/>
            </w:tcBorders>
            <w:shd w:val="clear" w:color="auto" w:fill="FFFFFF" w:themeFill="background1"/>
            <w:vAlign w:val="center"/>
          </w:tcPr>
          <w:p w14:paraId="2D2C4D71" w14:textId="7E2686F1" w:rsidR="00CF0053" w:rsidRPr="00934DBE" w:rsidRDefault="00934DBE" w:rsidP="00841E1C">
            <w:pPr>
              <w:jc w:val="center"/>
              <w:rPr>
                <w:rFonts w:asciiTheme="minorHAnsi" w:hAnsiTheme="minorHAnsi"/>
                <w:color w:val="000000"/>
                <w:sz w:val="22"/>
                <w:szCs w:val="22"/>
              </w:rPr>
            </w:pPr>
            <w:r>
              <w:rPr>
                <w:rFonts w:asciiTheme="minorHAnsi" w:hAnsiTheme="minorHAnsi"/>
                <w:color w:val="000000"/>
                <w:sz w:val="22"/>
                <w:szCs w:val="22"/>
              </w:rPr>
              <w:t>1.4</w:t>
            </w:r>
            <w:r w:rsidR="00CF0053" w:rsidRPr="00934DBE">
              <w:rPr>
                <w:rFonts w:asciiTheme="minorHAnsi" w:hAnsiTheme="minorHAnsi"/>
                <w:color w:val="000000"/>
                <w:sz w:val="22"/>
                <w:szCs w:val="22"/>
              </w:rPr>
              <w:t>%</w:t>
            </w:r>
          </w:p>
        </w:tc>
      </w:tr>
      <w:tr w:rsidR="00841E1C" w:rsidRPr="00934DBE" w14:paraId="5B7A0B84" w14:textId="77777777" w:rsidTr="00091B1A">
        <w:trPr>
          <w:trHeight w:val="278"/>
        </w:trPr>
        <w:tc>
          <w:tcPr>
            <w:tcW w:w="3539" w:type="dxa"/>
            <w:tcBorders>
              <w:top w:val="single" w:sz="4" w:space="0" w:color="auto"/>
              <w:bottom w:val="single" w:sz="4" w:space="0" w:color="auto"/>
            </w:tcBorders>
            <w:shd w:val="clear" w:color="auto" w:fill="FFFFFF" w:themeFill="background1"/>
            <w:noWrap/>
          </w:tcPr>
          <w:p w14:paraId="3386F5CC" w14:textId="77777777" w:rsidR="00841E1C" w:rsidRPr="00934DBE" w:rsidRDefault="00841E1C" w:rsidP="00841E1C">
            <w:pPr>
              <w:jc w:val="left"/>
              <w:rPr>
                <w:rFonts w:asciiTheme="minorHAnsi" w:hAnsiTheme="minorHAnsi"/>
                <w:b/>
                <w:color w:val="000000"/>
                <w:sz w:val="22"/>
                <w:szCs w:val="22"/>
                <w:lang w:bidi="ar-SA"/>
              </w:rPr>
            </w:pPr>
            <w:r w:rsidRPr="00934DBE">
              <w:rPr>
                <w:rFonts w:asciiTheme="minorHAnsi" w:hAnsiTheme="minorHAnsi"/>
                <w:b/>
                <w:color w:val="000000"/>
                <w:sz w:val="22"/>
                <w:szCs w:val="22"/>
                <w:lang w:bidi="ar-SA"/>
              </w:rPr>
              <w:t>Mental health</w:t>
            </w:r>
          </w:p>
        </w:tc>
        <w:tc>
          <w:tcPr>
            <w:tcW w:w="2693" w:type="dxa"/>
            <w:tcBorders>
              <w:top w:val="single" w:sz="4" w:space="0" w:color="auto"/>
            </w:tcBorders>
            <w:shd w:val="clear" w:color="auto" w:fill="FFFFFF" w:themeFill="background1"/>
            <w:noWrap/>
          </w:tcPr>
          <w:p w14:paraId="5B905D49" w14:textId="77777777" w:rsidR="00841E1C" w:rsidRPr="00934DBE" w:rsidRDefault="00841E1C" w:rsidP="00841E1C">
            <w:pPr>
              <w:jc w:val="center"/>
              <w:rPr>
                <w:rFonts w:asciiTheme="minorHAnsi" w:hAnsiTheme="minorHAnsi"/>
                <w:b/>
                <w:color w:val="000000"/>
                <w:sz w:val="22"/>
                <w:szCs w:val="22"/>
                <w:lang w:bidi="ar-SA"/>
              </w:rPr>
            </w:pPr>
            <w:r w:rsidRPr="00934DBE">
              <w:rPr>
                <w:rFonts w:asciiTheme="minorHAnsi" w:hAnsiTheme="minorHAnsi"/>
                <w:b/>
                <w:color w:val="000000"/>
                <w:sz w:val="22"/>
                <w:szCs w:val="22"/>
                <w:lang w:bidi="ar-SA"/>
              </w:rPr>
              <w:t>127</w:t>
            </w:r>
          </w:p>
        </w:tc>
        <w:tc>
          <w:tcPr>
            <w:tcW w:w="2694" w:type="dxa"/>
            <w:tcBorders>
              <w:top w:val="single" w:sz="4" w:space="0" w:color="auto"/>
            </w:tcBorders>
            <w:shd w:val="clear" w:color="auto" w:fill="FFFFFF" w:themeFill="background1"/>
            <w:vAlign w:val="center"/>
          </w:tcPr>
          <w:p w14:paraId="4C57B2FA" w14:textId="72BA881E" w:rsidR="00841E1C" w:rsidRPr="00934DBE" w:rsidRDefault="00841E1C" w:rsidP="00C30F89">
            <w:pPr>
              <w:jc w:val="center"/>
              <w:rPr>
                <w:rFonts w:asciiTheme="minorHAnsi" w:hAnsiTheme="minorHAnsi"/>
                <w:b/>
                <w:color w:val="000000"/>
                <w:sz w:val="22"/>
                <w:szCs w:val="22"/>
              </w:rPr>
            </w:pPr>
            <w:r w:rsidRPr="00934DBE">
              <w:rPr>
                <w:rFonts w:asciiTheme="minorHAnsi" w:hAnsiTheme="minorHAnsi"/>
                <w:b/>
                <w:color w:val="000000"/>
                <w:sz w:val="22"/>
                <w:szCs w:val="22"/>
              </w:rPr>
              <w:t>25.</w:t>
            </w:r>
            <w:r w:rsidR="00C30F89">
              <w:rPr>
                <w:rFonts w:asciiTheme="minorHAnsi" w:hAnsiTheme="minorHAnsi"/>
                <w:b/>
                <w:color w:val="000000"/>
                <w:sz w:val="22"/>
                <w:szCs w:val="22"/>
              </w:rPr>
              <w:t>0</w:t>
            </w:r>
            <w:r w:rsidRPr="00934DBE">
              <w:rPr>
                <w:rFonts w:asciiTheme="minorHAnsi" w:hAnsiTheme="minorHAnsi"/>
                <w:b/>
                <w:color w:val="000000"/>
                <w:sz w:val="22"/>
                <w:szCs w:val="22"/>
              </w:rPr>
              <w:t>%</w:t>
            </w:r>
          </w:p>
        </w:tc>
      </w:tr>
      <w:tr w:rsidR="00841E1C" w:rsidRPr="00934DBE" w14:paraId="37C6FB83" w14:textId="77777777" w:rsidTr="00091B1A">
        <w:trPr>
          <w:trHeight w:val="313"/>
        </w:trPr>
        <w:tc>
          <w:tcPr>
            <w:tcW w:w="3539" w:type="dxa"/>
            <w:tcBorders>
              <w:top w:val="single" w:sz="4" w:space="0" w:color="auto"/>
            </w:tcBorders>
            <w:shd w:val="clear" w:color="auto" w:fill="FFFFFF" w:themeFill="background1"/>
            <w:noWrap/>
          </w:tcPr>
          <w:p w14:paraId="7418B9F7" w14:textId="77777777" w:rsidR="00841E1C" w:rsidRPr="00934DBE" w:rsidRDefault="00841E1C" w:rsidP="00841E1C">
            <w:pPr>
              <w:jc w:val="left"/>
              <w:rPr>
                <w:rFonts w:asciiTheme="minorHAnsi" w:hAnsiTheme="minorHAnsi"/>
                <w:b/>
                <w:color w:val="000000"/>
                <w:sz w:val="22"/>
                <w:szCs w:val="22"/>
                <w:lang w:bidi="ar-SA"/>
              </w:rPr>
            </w:pPr>
            <w:r w:rsidRPr="00934DBE">
              <w:rPr>
                <w:rFonts w:asciiTheme="minorHAnsi" w:hAnsiTheme="minorHAnsi"/>
                <w:b/>
                <w:color w:val="000000"/>
                <w:sz w:val="22"/>
                <w:szCs w:val="22"/>
                <w:lang w:bidi="ar-SA"/>
              </w:rPr>
              <w:t>Paediatrics (not surgical)</w:t>
            </w:r>
          </w:p>
        </w:tc>
        <w:tc>
          <w:tcPr>
            <w:tcW w:w="2693" w:type="dxa"/>
            <w:shd w:val="clear" w:color="auto" w:fill="FFFFFF" w:themeFill="background1"/>
            <w:noWrap/>
          </w:tcPr>
          <w:p w14:paraId="73A331F6" w14:textId="77777777" w:rsidR="00841E1C" w:rsidRPr="00934DBE" w:rsidRDefault="00841E1C" w:rsidP="00841E1C">
            <w:pPr>
              <w:jc w:val="center"/>
              <w:rPr>
                <w:rFonts w:asciiTheme="minorHAnsi" w:hAnsiTheme="minorHAnsi"/>
                <w:b/>
                <w:color w:val="000000"/>
                <w:sz w:val="22"/>
                <w:szCs w:val="22"/>
                <w:lang w:bidi="ar-SA"/>
              </w:rPr>
            </w:pPr>
            <w:r w:rsidRPr="00934DBE">
              <w:rPr>
                <w:rFonts w:asciiTheme="minorHAnsi" w:hAnsiTheme="minorHAnsi"/>
                <w:b/>
                <w:color w:val="000000"/>
                <w:sz w:val="22"/>
                <w:szCs w:val="22"/>
                <w:lang w:bidi="ar-SA"/>
              </w:rPr>
              <w:t>9</w:t>
            </w:r>
          </w:p>
        </w:tc>
        <w:tc>
          <w:tcPr>
            <w:tcW w:w="2694" w:type="dxa"/>
            <w:shd w:val="clear" w:color="auto" w:fill="FFFFFF" w:themeFill="background1"/>
            <w:vAlign w:val="center"/>
          </w:tcPr>
          <w:p w14:paraId="56C0A6AC" w14:textId="77777777" w:rsidR="00841E1C" w:rsidRPr="00934DBE" w:rsidRDefault="00841E1C" w:rsidP="00841E1C">
            <w:pPr>
              <w:jc w:val="center"/>
              <w:rPr>
                <w:rFonts w:asciiTheme="minorHAnsi" w:hAnsiTheme="minorHAnsi"/>
                <w:b/>
                <w:color w:val="000000"/>
                <w:sz w:val="22"/>
                <w:szCs w:val="22"/>
              </w:rPr>
            </w:pPr>
            <w:r w:rsidRPr="00934DBE">
              <w:rPr>
                <w:rFonts w:asciiTheme="minorHAnsi" w:hAnsiTheme="minorHAnsi"/>
                <w:b/>
                <w:color w:val="000000"/>
                <w:sz w:val="22"/>
                <w:szCs w:val="22"/>
              </w:rPr>
              <w:t>1.8%</w:t>
            </w:r>
          </w:p>
        </w:tc>
      </w:tr>
      <w:tr w:rsidR="00841E1C" w:rsidRPr="00934DBE" w14:paraId="7E145666" w14:textId="77777777" w:rsidTr="00091B1A">
        <w:trPr>
          <w:trHeight w:val="313"/>
        </w:trPr>
        <w:tc>
          <w:tcPr>
            <w:tcW w:w="3539" w:type="dxa"/>
            <w:shd w:val="clear" w:color="auto" w:fill="FFFFFF" w:themeFill="background1"/>
            <w:noWrap/>
          </w:tcPr>
          <w:p w14:paraId="67ABA110" w14:textId="77777777" w:rsidR="00841E1C" w:rsidRPr="00934DBE" w:rsidRDefault="00841E1C" w:rsidP="00841E1C">
            <w:pPr>
              <w:jc w:val="left"/>
              <w:rPr>
                <w:rFonts w:asciiTheme="minorHAnsi" w:hAnsiTheme="minorHAnsi"/>
                <w:b/>
                <w:color w:val="000000"/>
                <w:sz w:val="22"/>
                <w:szCs w:val="22"/>
                <w:lang w:bidi="ar-SA"/>
              </w:rPr>
            </w:pPr>
            <w:r w:rsidRPr="00934DBE">
              <w:rPr>
                <w:rFonts w:asciiTheme="minorHAnsi" w:hAnsiTheme="minorHAnsi"/>
                <w:b/>
                <w:color w:val="000000"/>
                <w:sz w:val="22"/>
                <w:szCs w:val="22"/>
                <w:lang w:bidi="ar-SA"/>
              </w:rPr>
              <w:t>Physiotherapy</w:t>
            </w:r>
          </w:p>
        </w:tc>
        <w:tc>
          <w:tcPr>
            <w:tcW w:w="2693" w:type="dxa"/>
            <w:shd w:val="clear" w:color="auto" w:fill="FFFFFF" w:themeFill="background1"/>
            <w:noWrap/>
          </w:tcPr>
          <w:p w14:paraId="3E4EBFCD" w14:textId="77777777" w:rsidR="00841E1C" w:rsidRPr="00934DBE" w:rsidRDefault="00841E1C" w:rsidP="00841E1C">
            <w:pPr>
              <w:jc w:val="center"/>
              <w:rPr>
                <w:rFonts w:asciiTheme="minorHAnsi" w:hAnsiTheme="minorHAnsi"/>
                <w:b/>
                <w:color w:val="000000"/>
                <w:sz w:val="22"/>
                <w:szCs w:val="22"/>
                <w:lang w:bidi="ar-SA"/>
              </w:rPr>
            </w:pPr>
            <w:r w:rsidRPr="00934DBE">
              <w:rPr>
                <w:rFonts w:asciiTheme="minorHAnsi" w:hAnsiTheme="minorHAnsi"/>
                <w:b/>
                <w:color w:val="000000"/>
                <w:sz w:val="22"/>
                <w:szCs w:val="22"/>
                <w:lang w:bidi="ar-SA"/>
              </w:rPr>
              <w:t>2</w:t>
            </w:r>
          </w:p>
        </w:tc>
        <w:tc>
          <w:tcPr>
            <w:tcW w:w="2694" w:type="dxa"/>
            <w:shd w:val="clear" w:color="auto" w:fill="FFFFFF" w:themeFill="background1"/>
            <w:vAlign w:val="center"/>
          </w:tcPr>
          <w:p w14:paraId="6E20DEE8" w14:textId="77777777" w:rsidR="00841E1C" w:rsidRPr="00934DBE" w:rsidRDefault="00841E1C" w:rsidP="00841E1C">
            <w:pPr>
              <w:jc w:val="center"/>
              <w:rPr>
                <w:rFonts w:asciiTheme="minorHAnsi" w:hAnsiTheme="minorHAnsi"/>
                <w:b/>
                <w:color w:val="000000"/>
                <w:sz w:val="22"/>
                <w:szCs w:val="22"/>
              </w:rPr>
            </w:pPr>
            <w:r w:rsidRPr="00934DBE">
              <w:rPr>
                <w:rFonts w:asciiTheme="minorHAnsi" w:hAnsiTheme="minorHAnsi"/>
                <w:b/>
                <w:color w:val="000000"/>
                <w:sz w:val="22"/>
                <w:szCs w:val="22"/>
              </w:rPr>
              <w:t>0.4%</w:t>
            </w:r>
          </w:p>
        </w:tc>
      </w:tr>
      <w:tr w:rsidR="00841E1C" w:rsidRPr="00934DBE" w14:paraId="748B4501" w14:textId="77777777" w:rsidTr="00091B1A">
        <w:trPr>
          <w:trHeight w:val="278"/>
        </w:trPr>
        <w:tc>
          <w:tcPr>
            <w:tcW w:w="3539" w:type="dxa"/>
            <w:tcBorders>
              <w:bottom w:val="single" w:sz="4" w:space="0" w:color="auto"/>
            </w:tcBorders>
            <w:shd w:val="clear" w:color="auto" w:fill="FFFFFF" w:themeFill="background1"/>
            <w:noWrap/>
          </w:tcPr>
          <w:p w14:paraId="6D438B73" w14:textId="77777777" w:rsidR="00841E1C" w:rsidRPr="00934DBE" w:rsidRDefault="00841E1C" w:rsidP="00841E1C">
            <w:pPr>
              <w:jc w:val="left"/>
              <w:rPr>
                <w:rFonts w:asciiTheme="minorHAnsi" w:hAnsiTheme="minorHAnsi"/>
                <w:b/>
                <w:color w:val="000000"/>
                <w:sz w:val="22"/>
                <w:szCs w:val="22"/>
                <w:lang w:bidi="ar-SA"/>
              </w:rPr>
            </w:pPr>
            <w:r w:rsidRPr="00934DBE">
              <w:rPr>
                <w:rFonts w:asciiTheme="minorHAnsi" w:hAnsiTheme="minorHAnsi"/>
                <w:b/>
                <w:color w:val="000000"/>
                <w:sz w:val="22"/>
                <w:szCs w:val="22"/>
                <w:lang w:bidi="ar-SA"/>
              </w:rPr>
              <w:t>Rehabilitation services</w:t>
            </w:r>
          </w:p>
        </w:tc>
        <w:tc>
          <w:tcPr>
            <w:tcW w:w="2693" w:type="dxa"/>
            <w:tcBorders>
              <w:bottom w:val="single" w:sz="4" w:space="0" w:color="auto"/>
            </w:tcBorders>
            <w:shd w:val="clear" w:color="auto" w:fill="FFFFFF" w:themeFill="background1"/>
            <w:noWrap/>
          </w:tcPr>
          <w:p w14:paraId="5349B97B" w14:textId="77777777" w:rsidR="00841E1C" w:rsidRPr="00934DBE" w:rsidRDefault="00841E1C" w:rsidP="00841E1C">
            <w:pPr>
              <w:jc w:val="center"/>
              <w:rPr>
                <w:rFonts w:asciiTheme="minorHAnsi" w:hAnsiTheme="minorHAnsi"/>
                <w:b/>
                <w:color w:val="000000"/>
                <w:sz w:val="22"/>
                <w:szCs w:val="22"/>
                <w:lang w:bidi="ar-SA"/>
              </w:rPr>
            </w:pPr>
            <w:r w:rsidRPr="00934DBE">
              <w:rPr>
                <w:rFonts w:asciiTheme="minorHAnsi" w:hAnsiTheme="minorHAnsi"/>
                <w:b/>
                <w:color w:val="000000"/>
                <w:sz w:val="22"/>
                <w:szCs w:val="22"/>
                <w:lang w:bidi="ar-SA"/>
              </w:rPr>
              <w:t>2</w:t>
            </w:r>
          </w:p>
        </w:tc>
        <w:tc>
          <w:tcPr>
            <w:tcW w:w="2694" w:type="dxa"/>
            <w:tcBorders>
              <w:bottom w:val="single" w:sz="4" w:space="0" w:color="auto"/>
            </w:tcBorders>
            <w:shd w:val="clear" w:color="auto" w:fill="FFFFFF" w:themeFill="background1"/>
            <w:vAlign w:val="center"/>
          </w:tcPr>
          <w:p w14:paraId="4E5D8384" w14:textId="77777777" w:rsidR="00841E1C" w:rsidRPr="00934DBE" w:rsidRDefault="00841E1C" w:rsidP="00841E1C">
            <w:pPr>
              <w:jc w:val="center"/>
              <w:rPr>
                <w:rFonts w:asciiTheme="minorHAnsi" w:hAnsiTheme="minorHAnsi"/>
                <w:b/>
                <w:color w:val="000000"/>
                <w:sz w:val="22"/>
                <w:szCs w:val="22"/>
              </w:rPr>
            </w:pPr>
            <w:r w:rsidRPr="00934DBE">
              <w:rPr>
                <w:rFonts w:asciiTheme="minorHAnsi" w:hAnsiTheme="minorHAnsi"/>
                <w:b/>
                <w:color w:val="000000"/>
                <w:sz w:val="22"/>
                <w:szCs w:val="22"/>
              </w:rPr>
              <w:t>0.4%</w:t>
            </w:r>
          </w:p>
        </w:tc>
      </w:tr>
      <w:tr w:rsidR="00841E1C" w:rsidRPr="00934DBE" w14:paraId="7766E476" w14:textId="77777777" w:rsidTr="00091B1A">
        <w:trPr>
          <w:trHeight w:val="278"/>
        </w:trPr>
        <w:tc>
          <w:tcPr>
            <w:tcW w:w="3539" w:type="dxa"/>
            <w:tcBorders>
              <w:bottom w:val="nil"/>
            </w:tcBorders>
            <w:shd w:val="clear" w:color="auto" w:fill="auto"/>
            <w:noWrap/>
          </w:tcPr>
          <w:p w14:paraId="1DE32057" w14:textId="77777777" w:rsidR="00841E1C" w:rsidRPr="00934DBE" w:rsidRDefault="00841E1C" w:rsidP="00841E1C">
            <w:pPr>
              <w:jc w:val="left"/>
              <w:rPr>
                <w:rFonts w:asciiTheme="minorHAnsi" w:hAnsiTheme="minorHAnsi"/>
                <w:b/>
                <w:color w:val="000000"/>
                <w:sz w:val="22"/>
                <w:szCs w:val="22"/>
                <w:lang w:bidi="ar-SA"/>
              </w:rPr>
            </w:pPr>
            <w:r w:rsidRPr="00934DBE">
              <w:rPr>
                <w:rFonts w:asciiTheme="minorHAnsi" w:hAnsiTheme="minorHAnsi"/>
                <w:b/>
                <w:color w:val="000000"/>
                <w:sz w:val="22"/>
                <w:szCs w:val="22"/>
                <w:lang w:bidi="ar-SA"/>
              </w:rPr>
              <w:t>Surgery</w:t>
            </w:r>
          </w:p>
        </w:tc>
        <w:tc>
          <w:tcPr>
            <w:tcW w:w="2693" w:type="dxa"/>
            <w:tcBorders>
              <w:bottom w:val="nil"/>
            </w:tcBorders>
            <w:shd w:val="clear" w:color="auto" w:fill="auto"/>
            <w:noWrap/>
          </w:tcPr>
          <w:p w14:paraId="2D5C6F84" w14:textId="77777777" w:rsidR="00841E1C" w:rsidRPr="00934DBE" w:rsidRDefault="00841E1C" w:rsidP="00841E1C">
            <w:pPr>
              <w:jc w:val="center"/>
              <w:rPr>
                <w:rFonts w:asciiTheme="minorHAnsi" w:hAnsiTheme="minorHAnsi"/>
                <w:b/>
                <w:color w:val="000000"/>
                <w:sz w:val="22"/>
                <w:szCs w:val="22"/>
                <w:lang w:bidi="ar-SA"/>
              </w:rPr>
            </w:pPr>
            <w:r w:rsidRPr="00934DBE">
              <w:rPr>
                <w:rFonts w:asciiTheme="minorHAnsi" w:hAnsiTheme="minorHAnsi"/>
                <w:b/>
                <w:color w:val="000000"/>
                <w:sz w:val="22"/>
                <w:szCs w:val="22"/>
                <w:lang w:bidi="ar-SA"/>
              </w:rPr>
              <w:t>157</w:t>
            </w:r>
          </w:p>
        </w:tc>
        <w:tc>
          <w:tcPr>
            <w:tcW w:w="2694" w:type="dxa"/>
            <w:tcBorders>
              <w:bottom w:val="nil"/>
            </w:tcBorders>
            <w:shd w:val="clear" w:color="auto" w:fill="auto"/>
            <w:vAlign w:val="center"/>
          </w:tcPr>
          <w:p w14:paraId="4E2EE07C" w14:textId="7904CE39" w:rsidR="00841E1C" w:rsidRPr="00934DBE" w:rsidRDefault="00841E1C" w:rsidP="00841E1C">
            <w:pPr>
              <w:jc w:val="center"/>
              <w:rPr>
                <w:rFonts w:asciiTheme="minorHAnsi" w:hAnsiTheme="minorHAnsi"/>
                <w:b/>
                <w:color w:val="000000"/>
                <w:sz w:val="22"/>
                <w:szCs w:val="22"/>
              </w:rPr>
            </w:pPr>
            <w:r w:rsidRPr="00934DBE">
              <w:rPr>
                <w:rFonts w:asciiTheme="minorHAnsi" w:hAnsiTheme="minorHAnsi"/>
                <w:b/>
                <w:bCs/>
                <w:color w:val="000000"/>
                <w:sz w:val="22"/>
                <w:szCs w:val="22"/>
              </w:rPr>
              <w:t>31.0%</w:t>
            </w:r>
          </w:p>
        </w:tc>
      </w:tr>
      <w:tr w:rsidR="00841E1C" w:rsidRPr="00934DBE" w14:paraId="5FDFA913"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hideMark/>
          </w:tcPr>
          <w:p w14:paraId="415786E4"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lang w:bidi="ar-SA"/>
              </w:rPr>
              <w:t>Cardiothoracic</w:t>
            </w:r>
          </w:p>
        </w:tc>
        <w:tc>
          <w:tcPr>
            <w:tcW w:w="2693" w:type="dxa"/>
            <w:tcBorders>
              <w:top w:val="nil"/>
              <w:left w:val="single" w:sz="4" w:space="0" w:color="auto"/>
              <w:bottom w:val="nil"/>
              <w:right w:val="single" w:sz="4" w:space="0" w:color="auto"/>
            </w:tcBorders>
            <w:shd w:val="clear" w:color="auto" w:fill="FFFFFF" w:themeFill="background1"/>
            <w:noWrap/>
            <w:hideMark/>
          </w:tcPr>
          <w:p w14:paraId="55DEB4C4"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lang w:bidi="ar-SA"/>
              </w:rPr>
              <w:t>4</w:t>
            </w:r>
          </w:p>
        </w:tc>
        <w:tc>
          <w:tcPr>
            <w:tcW w:w="2694" w:type="dxa"/>
            <w:tcBorders>
              <w:top w:val="nil"/>
              <w:left w:val="single" w:sz="4" w:space="0" w:color="auto"/>
              <w:bottom w:val="nil"/>
              <w:right w:val="single" w:sz="4" w:space="0" w:color="auto"/>
            </w:tcBorders>
            <w:shd w:val="clear" w:color="auto" w:fill="FFFFFF" w:themeFill="background1"/>
            <w:vAlign w:val="center"/>
          </w:tcPr>
          <w:p w14:paraId="5BC9982C"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0.8%</w:t>
            </w:r>
          </w:p>
        </w:tc>
      </w:tr>
      <w:tr w:rsidR="00841E1C" w:rsidRPr="00934DBE" w14:paraId="0CD96F46"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hideMark/>
          </w:tcPr>
          <w:p w14:paraId="2266169F"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lang w:bidi="ar-SA"/>
              </w:rPr>
              <w:t>General</w:t>
            </w:r>
          </w:p>
        </w:tc>
        <w:tc>
          <w:tcPr>
            <w:tcW w:w="2693" w:type="dxa"/>
            <w:tcBorders>
              <w:top w:val="nil"/>
              <w:left w:val="single" w:sz="4" w:space="0" w:color="auto"/>
              <w:bottom w:val="nil"/>
              <w:right w:val="single" w:sz="4" w:space="0" w:color="auto"/>
            </w:tcBorders>
            <w:shd w:val="clear" w:color="auto" w:fill="FFFFFF" w:themeFill="background1"/>
            <w:noWrap/>
            <w:hideMark/>
          </w:tcPr>
          <w:p w14:paraId="417E87A3"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lang w:bidi="ar-SA"/>
              </w:rPr>
              <w:t>36</w:t>
            </w:r>
          </w:p>
        </w:tc>
        <w:tc>
          <w:tcPr>
            <w:tcW w:w="2694" w:type="dxa"/>
            <w:tcBorders>
              <w:top w:val="nil"/>
              <w:left w:val="single" w:sz="4" w:space="0" w:color="auto"/>
              <w:bottom w:val="nil"/>
              <w:right w:val="single" w:sz="4" w:space="0" w:color="auto"/>
            </w:tcBorders>
            <w:shd w:val="clear" w:color="auto" w:fill="FFFFFF" w:themeFill="background1"/>
            <w:vAlign w:val="center"/>
          </w:tcPr>
          <w:p w14:paraId="2E2642B2"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7.1%</w:t>
            </w:r>
          </w:p>
        </w:tc>
      </w:tr>
      <w:tr w:rsidR="00841E1C" w:rsidRPr="00934DBE" w14:paraId="14B8A026"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hideMark/>
          </w:tcPr>
          <w:p w14:paraId="0C8E8449"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lang w:bidi="ar-SA"/>
              </w:rPr>
              <w:t>Gynaecology</w:t>
            </w:r>
          </w:p>
        </w:tc>
        <w:tc>
          <w:tcPr>
            <w:tcW w:w="2693" w:type="dxa"/>
            <w:tcBorders>
              <w:top w:val="nil"/>
              <w:left w:val="single" w:sz="4" w:space="0" w:color="auto"/>
              <w:bottom w:val="nil"/>
              <w:right w:val="single" w:sz="4" w:space="0" w:color="auto"/>
            </w:tcBorders>
            <w:shd w:val="clear" w:color="auto" w:fill="FFFFFF" w:themeFill="background1"/>
            <w:noWrap/>
            <w:hideMark/>
          </w:tcPr>
          <w:p w14:paraId="52758C4E"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lang w:bidi="ar-SA"/>
              </w:rPr>
              <w:t>22</w:t>
            </w:r>
          </w:p>
        </w:tc>
        <w:tc>
          <w:tcPr>
            <w:tcW w:w="2694" w:type="dxa"/>
            <w:tcBorders>
              <w:top w:val="nil"/>
              <w:left w:val="single" w:sz="4" w:space="0" w:color="auto"/>
              <w:bottom w:val="nil"/>
              <w:right w:val="single" w:sz="4" w:space="0" w:color="auto"/>
            </w:tcBorders>
            <w:shd w:val="clear" w:color="auto" w:fill="FFFFFF" w:themeFill="background1"/>
            <w:vAlign w:val="center"/>
          </w:tcPr>
          <w:p w14:paraId="0294777D"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4.3%</w:t>
            </w:r>
          </w:p>
        </w:tc>
      </w:tr>
      <w:tr w:rsidR="00841E1C" w:rsidRPr="00934DBE" w14:paraId="2E14F47D"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hideMark/>
          </w:tcPr>
          <w:p w14:paraId="09E48BF4"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lang w:bidi="ar-SA"/>
              </w:rPr>
              <w:t>Neurosurgery</w:t>
            </w:r>
          </w:p>
        </w:tc>
        <w:tc>
          <w:tcPr>
            <w:tcW w:w="2693" w:type="dxa"/>
            <w:tcBorders>
              <w:top w:val="nil"/>
              <w:left w:val="single" w:sz="4" w:space="0" w:color="auto"/>
              <w:bottom w:val="nil"/>
              <w:right w:val="single" w:sz="4" w:space="0" w:color="auto"/>
            </w:tcBorders>
            <w:shd w:val="clear" w:color="auto" w:fill="FFFFFF" w:themeFill="background1"/>
            <w:noWrap/>
            <w:hideMark/>
          </w:tcPr>
          <w:p w14:paraId="1FD9D853"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lang w:bidi="ar-SA"/>
              </w:rPr>
              <w:t>8</w:t>
            </w:r>
          </w:p>
        </w:tc>
        <w:tc>
          <w:tcPr>
            <w:tcW w:w="2694" w:type="dxa"/>
            <w:tcBorders>
              <w:top w:val="nil"/>
              <w:left w:val="single" w:sz="4" w:space="0" w:color="auto"/>
              <w:bottom w:val="nil"/>
              <w:right w:val="single" w:sz="4" w:space="0" w:color="auto"/>
            </w:tcBorders>
            <w:shd w:val="clear" w:color="auto" w:fill="FFFFFF" w:themeFill="background1"/>
            <w:vAlign w:val="center"/>
          </w:tcPr>
          <w:p w14:paraId="034CA2FA"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1.6%</w:t>
            </w:r>
          </w:p>
        </w:tc>
      </w:tr>
      <w:tr w:rsidR="00841E1C" w:rsidRPr="00934DBE" w14:paraId="4B99BE31"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hideMark/>
          </w:tcPr>
          <w:p w14:paraId="74F42492"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lang w:bidi="ar-SA"/>
              </w:rPr>
              <w:t>Ophthalmology</w:t>
            </w:r>
          </w:p>
        </w:tc>
        <w:tc>
          <w:tcPr>
            <w:tcW w:w="2693" w:type="dxa"/>
            <w:tcBorders>
              <w:top w:val="nil"/>
              <w:left w:val="single" w:sz="4" w:space="0" w:color="auto"/>
              <w:bottom w:val="nil"/>
              <w:right w:val="single" w:sz="4" w:space="0" w:color="auto"/>
            </w:tcBorders>
            <w:shd w:val="clear" w:color="auto" w:fill="FFFFFF" w:themeFill="background1"/>
            <w:noWrap/>
            <w:hideMark/>
          </w:tcPr>
          <w:p w14:paraId="552BD89E"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lang w:bidi="ar-SA"/>
              </w:rPr>
              <w:t>5</w:t>
            </w:r>
          </w:p>
        </w:tc>
        <w:tc>
          <w:tcPr>
            <w:tcW w:w="2694" w:type="dxa"/>
            <w:tcBorders>
              <w:top w:val="nil"/>
              <w:left w:val="single" w:sz="4" w:space="0" w:color="auto"/>
              <w:bottom w:val="nil"/>
              <w:right w:val="single" w:sz="4" w:space="0" w:color="auto"/>
            </w:tcBorders>
            <w:shd w:val="clear" w:color="auto" w:fill="FFFFFF" w:themeFill="background1"/>
            <w:vAlign w:val="center"/>
          </w:tcPr>
          <w:p w14:paraId="0E220EAD"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1.0%</w:t>
            </w:r>
          </w:p>
        </w:tc>
      </w:tr>
      <w:tr w:rsidR="00841E1C" w:rsidRPr="00934DBE" w14:paraId="2505E335"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hideMark/>
          </w:tcPr>
          <w:p w14:paraId="6422323E" w14:textId="6463BE88"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lang w:bidi="ar-SA"/>
              </w:rPr>
              <w:t>Oral/</w:t>
            </w:r>
            <w:r w:rsidR="00AC554E" w:rsidRPr="00934DBE">
              <w:rPr>
                <w:rFonts w:asciiTheme="minorHAnsi" w:hAnsiTheme="minorHAnsi"/>
                <w:color w:val="000000"/>
                <w:sz w:val="22"/>
                <w:szCs w:val="22"/>
                <w:lang w:bidi="ar-SA"/>
              </w:rPr>
              <w:t>Maxillofacial</w:t>
            </w:r>
          </w:p>
        </w:tc>
        <w:tc>
          <w:tcPr>
            <w:tcW w:w="2693" w:type="dxa"/>
            <w:tcBorders>
              <w:top w:val="nil"/>
              <w:left w:val="single" w:sz="4" w:space="0" w:color="auto"/>
              <w:bottom w:val="nil"/>
              <w:right w:val="single" w:sz="4" w:space="0" w:color="auto"/>
            </w:tcBorders>
            <w:shd w:val="clear" w:color="auto" w:fill="FFFFFF" w:themeFill="background1"/>
            <w:noWrap/>
            <w:hideMark/>
          </w:tcPr>
          <w:p w14:paraId="0EEE6991"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lang w:bidi="ar-SA"/>
              </w:rPr>
              <w:t>1</w:t>
            </w:r>
          </w:p>
        </w:tc>
        <w:tc>
          <w:tcPr>
            <w:tcW w:w="2694" w:type="dxa"/>
            <w:tcBorders>
              <w:top w:val="nil"/>
              <w:left w:val="single" w:sz="4" w:space="0" w:color="auto"/>
              <w:bottom w:val="nil"/>
              <w:right w:val="single" w:sz="4" w:space="0" w:color="auto"/>
            </w:tcBorders>
            <w:shd w:val="clear" w:color="auto" w:fill="FFFFFF" w:themeFill="background1"/>
            <w:vAlign w:val="center"/>
          </w:tcPr>
          <w:p w14:paraId="6B548882"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0.2%</w:t>
            </w:r>
          </w:p>
        </w:tc>
      </w:tr>
      <w:tr w:rsidR="00841E1C" w:rsidRPr="00934DBE" w14:paraId="19877724"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hideMark/>
          </w:tcPr>
          <w:p w14:paraId="6DEA2505"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lang w:bidi="ar-SA"/>
              </w:rPr>
              <w:t>Orthopaedics</w:t>
            </w:r>
          </w:p>
        </w:tc>
        <w:tc>
          <w:tcPr>
            <w:tcW w:w="2693" w:type="dxa"/>
            <w:tcBorders>
              <w:top w:val="nil"/>
              <w:left w:val="single" w:sz="4" w:space="0" w:color="auto"/>
              <w:bottom w:val="nil"/>
              <w:right w:val="single" w:sz="4" w:space="0" w:color="auto"/>
            </w:tcBorders>
            <w:shd w:val="clear" w:color="auto" w:fill="FFFFFF" w:themeFill="background1"/>
            <w:noWrap/>
            <w:hideMark/>
          </w:tcPr>
          <w:p w14:paraId="4A9B1692"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lang w:bidi="ar-SA"/>
              </w:rPr>
              <w:t>48</w:t>
            </w:r>
          </w:p>
        </w:tc>
        <w:tc>
          <w:tcPr>
            <w:tcW w:w="2694" w:type="dxa"/>
            <w:tcBorders>
              <w:top w:val="nil"/>
              <w:left w:val="single" w:sz="4" w:space="0" w:color="auto"/>
              <w:bottom w:val="nil"/>
              <w:right w:val="single" w:sz="4" w:space="0" w:color="auto"/>
            </w:tcBorders>
            <w:shd w:val="clear" w:color="auto" w:fill="FFFFFF" w:themeFill="background1"/>
            <w:vAlign w:val="center"/>
          </w:tcPr>
          <w:p w14:paraId="3ABDAC4A"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9.5%</w:t>
            </w:r>
          </w:p>
        </w:tc>
      </w:tr>
      <w:tr w:rsidR="00841E1C" w:rsidRPr="00934DBE" w14:paraId="59977119"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hideMark/>
          </w:tcPr>
          <w:p w14:paraId="7CF254E6"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lang w:bidi="ar-SA"/>
              </w:rPr>
              <w:t>Otolaryngology</w:t>
            </w:r>
          </w:p>
        </w:tc>
        <w:tc>
          <w:tcPr>
            <w:tcW w:w="2693" w:type="dxa"/>
            <w:tcBorders>
              <w:top w:val="nil"/>
              <w:left w:val="single" w:sz="4" w:space="0" w:color="auto"/>
              <w:bottom w:val="nil"/>
              <w:right w:val="single" w:sz="4" w:space="0" w:color="auto"/>
            </w:tcBorders>
            <w:shd w:val="clear" w:color="auto" w:fill="FFFFFF" w:themeFill="background1"/>
            <w:noWrap/>
            <w:hideMark/>
          </w:tcPr>
          <w:p w14:paraId="77AFFDED"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lang w:bidi="ar-SA"/>
              </w:rPr>
              <w:t>8</w:t>
            </w:r>
          </w:p>
        </w:tc>
        <w:tc>
          <w:tcPr>
            <w:tcW w:w="2694" w:type="dxa"/>
            <w:tcBorders>
              <w:top w:val="nil"/>
              <w:left w:val="single" w:sz="4" w:space="0" w:color="auto"/>
              <w:bottom w:val="nil"/>
              <w:right w:val="single" w:sz="4" w:space="0" w:color="auto"/>
            </w:tcBorders>
            <w:shd w:val="clear" w:color="auto" w:fill="FFFFFF" w:themeFill="background1"/>
            <w:vAlign w:val="center"/>
          </w:tcPr>
          <w:p w14:paraId="35AD6F66"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1.6%</w:t>
            </w:r>
          </w:p>
        </w:tc>
      </w:tr>
      <w:tr w:rsidR="00841E1C" w:rsidRPr="00934DBE" w14:paraId="3454DA0A"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hideMark/>
          </w:tcPr>
          <w:p w14:paraId="21DAAC24"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lang w:bidi="ar-SA"/>
              </w:rPr>
              <w:t>Plastic and reconstructive</w:t>
            </w:r>
          </w:p>
        </w:tc>
        <w:tc>
          <w:tcPr>
            <w:tcW w:w="2693" w:type="dxa"/>
            <w:tcBorders>
              <w:top w:val="nil"/>
              <w:left w:val="single" w:sz="4" w:space="0" w:color="auto"/>
              <w:bottom w:val="nil"/>
              <w:right w:val="single" w:sz="4" w:space="0" w:color="auto"/>
            </w:tcBorders>
            <w:shd w:val="clear" w:color="auto" w:fill="FFFFFF" w:themeFill="background1"/>
            <w:noWrap/>
            <w:hideMark/>
          </w:tcPr>
          <w:p w14:paraId="5D0AB5AC"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lang w:bidi="ar-SA"/>
              </w:rPr>
              <w:t>6</w:t>
            </w:r>
          </w:p>
        </w:tc>
        <w:tc>
          <w:tcPr>
            <w:tcW w:w="2694" w:type="dxa"/>
            <w:tcBorders>
              <w:top w:val="nil"/>
              <w:left w:val="single" w:sz="4" w:space="0" w:color="auto"/>
              <w:bottom w:val="nil"/>
              <w:right w:val="single" w:sz="4" w:space="0" w:color="auto"/>
            </w:tcBorders>
            <w:shd w:val="clear" w:color="auto" w:fill="FFFFFF" w:themeFill="background1"/>
            <w:vAlign w:val="center"/>
          </w:tcPr>
          <w:p w14:paraId="7EE86418"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1.2%</w:t>
            </w:r>
          </w:p>
        </w:tc>
      </w:tr>
      <w:tr w:rsidR="00841E1C" w:rsidRPr="00934DBE" w14:paraId="3574FEA9" w14:textId="77777777" w:rsidTr="00091B1A">
        <w:trPr>
          <w:trHeight w:val="278"/>
        </w:trPr>
        <w:tc>
          <w:tcPr>
            <w:tcW w:w="3539" w:type="dxa"/>
            <w:tcBorders>
              <w:top w:val="nil"/>
              <w:left w:val="single" w:sz="4" w:space="0" w:color="auto"/>
              <w:bottom w:val="nil"/>
              <w:right w:val="single" w:sz="4" w:space="0" w:color="auto"/>
            </w:tcBorders>
            <w:shd w:val="clear" w:color="auto" w:fill="FFFFFF" w:themeFill="background1"/>
            <w:noWrap/>
            <w:hideMark/>
          </w:tcPr>
          <w:p w14:paraId="363D8C12"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lang w:bidi="ar-SA"/>
              </w:rPr>
              <w:t>Urology</w:t>
            </w:r>
          </w:p>
        </w:tc>
        <w:tc>
          <w:tcPr>
            <w:tcW w:w="2693" w:type="dxa"/>
            <w:tcBorders>
              <w:top w:val="nil"/>
              <w:left w:val="single" w:sz="4" w:space="0" w:color="auto"/>
              <w:bottom w:val="nil"/>
              <w:right w:val="single" w:sz="4" w:space="0" w:color="auto"/>
            </w:tcBorders>
            <w:shd w:val="clear" w:color="auto" w:fill="FFFFFF" w:themeFill="background1"/>
            <w:noWrap/>
            <w:hideMark/>
          </w:tcPr>
          <w:p w14:paraId="72337197"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lang w:bidi="ar-SA"/>
              </w:rPr>
              <w:t>11</w:t>
            </w:r>
          </w:p>
        </w:tc>
        <w:tc>
          <w:tcPr>
            <w:tcW w:w="2694" w:type="dxa"/>
            <w:tcBorders>
              <w:top w:val="nil"/>
              <w:left w:val="single" w:sz="4" w:space="0" w:color="auto"/>
              <w:bottom w:val="nil"/>
              <w:right w:val="single" w:sz="4" w:space="0" w:color="auto"/>
            </w:tcBorders>
            <w:shd w:val="clear" w:color="auto" w:fill="FFFFFF" w:themeFill="background1"/>
            <w:vAlign w:val="center"/>
          </w:tcPr>
          <w:p w14:paraId="3A99B301"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2.2%</w:t>
            </w:r>
          </w:p>
        </w:tc>
      </w:tr>
      <w:tr w:rsidR="00841E1C" w:rsidRPr="00934DBE" w14:paraId="47A5343C" w14:textId="77777777" w:rsidTr="00C30F89">
        <w:trPr>
          <w:trHeight w:val="278"/>
        </w:trPr>
        <w:tc>
          <w:tcPr>
            <w:tcW w:w="3539" w:type="dxa"/>
            <w:tcBorders>
              <w:top w:val="nil"/>
              <w:left w:val="single" w:sz="4" w:space="0" w:color="auto"/>
              <w:bottom w:val="nil"/>
              <w:right w:val="single" w:sz="4" w:space="0" w:color="auto"/>
            </w:tcBorders>
            <w:shd w:val="clear" w:color="auto" w:fill="FFFFFF" w:themeFill="background1"/>
            <w:noWrap/>
            <w:hideMark/>
          </w:tcPr>
          <w:p w14:paraId="645A764E" w14:textId="77777777" w:rsidR="00841E1C" w:rsidRPr="00934DBE" w:rsidRDefault="00841E1C" w:rsidP="00841E1C">
            <w:pPr>
              <w:jc w:val="left"/>
              <w:rPr>
                <w:rFonts w:asciiTheme="minorHAnsi" w:hAnsiTheme="minorHAnsi"/>
                <w:color w:val="000000"/>
                <w:sz w:val="22"/>
                <w:szCs w:val="22"/>
                <w:lang w:bidi="ar-SA"/>
              </w:rPr>
            </w:pPr>
            <w:r w:rsidRPr="00934DBE">
              <w:rPr>
                <w:rFonts w:asciiTheme="minorHAnsi" w:hAnsiTheme="minorHAnsi"/>
                <w:color w:val="000000"/>
                <w:sz w:val="22"/>
                <w:szCs w:val="22"/>
                <w:lang w:bidi="ar-SA"/>
              </w:rPr>
              <w:t>Vascular</w:t>
            </w:r>
          </w:p>
        </w:tc>
        <w:tc>
          <w:tcPr>
            <w:tcW w:w="2693" w:type="dxa"/>
            <w:tcBorders>
              <w:top w:val="nil"/>
              <w:left w:val="single" w:sz="4" w:space="0" w:color="auto"/>
              <w:bottom w:val="nil"/>
              <w:right w:val="single" w:sz="4" w:space="0" w:color="auto"/>
            </w:tcBorders>
            <w:shd w:val="clear" w:color="auto" w:fill="FFFFFF" w:themeFill="background1"/>
            <w:noWrap/>
            <w:hideMark/>
          </w:tcPr>
          <w:p w14:paraId="7D79712A" w14:textId="77777777" w:rsidR="00841E1C" w:rsidRPr="00934DBE" w:rsidRDefault="00841E1C" w:rsidP="00841E1C">
            <w:pPr>
              <w:jc w:val="center"/>
              <w:rPr>
                <w:rFonts w:asciiTheme="minorHAnsi" w:hAnsiTheme="minorHAnsi"/>
                <w:color w:val="000000"/>
                <w:sz w:val="22"/>
                <w:szCs w:val="22"/>
                <w:lang w:bidi="ar-SA"/>
              </w:rPr>
            </w:pPr>
            <w:r w:rsidRPr="00934DBE">
              <w:rPr>
                <w:rFonts w:asciiTheme="minorHAnsi" w:hAnsiTheme="minorHAnsi"/>
                <w:color w:val="000000"/>
                <w:sz w:val="22"/>
                <w:szCs w:val="22"/>
                <w:lang w:bidi="ar-SA"/>
              </w:rPr>
              <w:t>4</w:t>
            </w:r>
          </w:p>
        </w:tc>
        <w:tc>
          <w:tcPr>
            <w:tcW w:w="2694" w:type="dxa"/>
            <w:tcBorders>
              <w:top w:val="nil"/>
              <w:left w:val="single" w:sz="4" w:space="0" w:color="auto"/>
              <w:bottom w:val="nil"/>
              <w:right w:val="single" w:sz="4" w:space="0" w:color="auto"/>
            </w:tcBorders>
            <w:shd w:val="clear" w:color="auto" w:fill="FFFFFF" w:themeFill="background1"/>
            <w:vAlign w:val="center"/>
          </w:tcPr>
          <w:p w14:paraId="36F74880" w14:textId="77777777" w:rsidR="00841E1C" w:rsidRPr="00934DBE" w:rsidRDefault="00841E1C" w:rsidP="00841E1C">
            <w:pPr>
              <w:jc w:val="center"/>
              <w:rPr>
                <w:rFonts w:asciiTheme="minorHAnsi" w:hAnsiTheme="minorHAnsi"/>
                <w:color w:val="000000"/>
                <w:sz w:val="22"/>
                <w:szCs w:val="22"/>
              </w:rPr>
            </w:pPr>
            <w:r w:rsidRPr="00934DBE">
              <w:rPr>
                <w:rFonts w:asciiTheme="minorHAnsi" w:hAnsiTheme="minorHAnsi"/>
                <w:color w:val="000000"/>
                <w:sz w:val="22"/>
                <w:szCs w:val="22"/>
              </w:rPr>
              <w:t>0.8%</w:t>
            </w:r>
          </w:p>
        </w:tc>
      </w:tr>
      <w:tr w:rsidR="00841E1C" w:rsidRPr="00934DBE" w14:paraId="4BAF85EA" w14:textId="77777777" w:rsidTr="00C30F89">
        <w:trPr>
          <w:trHeight w:val="278"/>
        </w:trPr>
        <w:tc>
          <w:tcPr>
            <w:tcW w:w="3539" w:type="dxa"/>
            <w:tcBorders>
              <w:top w:val="nil"/>
              <w:left w:val="single" w:sz="4" w:space="0" w:color="auto"/>
              <w:bottom w:val="single" w:sz="4" w:space="0" w:color="auto"/>
              <w:right w:val="single" w:sz="4" w:space="0" w:color="auto"/>
            </w:tcBorders>
            <w:shd w:val="clear" w:color="auto" w:fill="FFFFFF" w:themeFill="background1"/>
            <w:noWrap/>
          </w:tcPr>
          <w:p w14:paraId="27D1C48E" w14:textId="5748B482" w:rsidR="00841E1C" w:rsidRPr="00C30F89" w:rsidRDefault="00934DBE" w:rsidP="00C30F89">
            <w:pPr>
              <w:jc w:val="left"/>
              <w:rPr>
                <w:rFonts w:asciiTheme="minorHAnsi" w:hAnsiTheme="minorHAnsi"/>
                <w:color w:val="000000"/>
                <w:sz w:val="22"/>
                <w:szCs w:val="22"/>
                <w:lang w:bidi="ar-SA"/>
              </w:rPr>
            </w:pPr>
            <w:r w:rsidRPr="00C30F89">
              <w:rPr>
                <w:rFonts w:asciiTheme="minorHAnsi" w:hAnsiTheme="minorHAnsi"/>
                <w:color w:val="000000"/>
                <w:sz w:val="22"/>
                <w:szCs w:val="22"/>
                <w:lang w:bidi="ar-SA"/>
              </w:rPr>
              <w:t>Other/u</w:t>
            </w:r>
            <w:r w:rsidR="00841E1C" w:rsidRPr="00C30F89">
              <w:rPr>
                <w:rFonts w:asciiTheme="minorHAnsi" w:hAnsiTheme="minorHAnsi"/>
                <w:color w:val="000000"/>
                <w:sz w:val="22"/>
                <w:szCs w:val="22"/>
                <w:lang w:bidi="ar-SA"/>
              </w:rPr>
              <w:t>nknown</w:t>
            </w:r>
            <w:r w:rsidRPr="00C30F89">
              <w:rPr>
                <w:rFonts w:asciiTheme="minorHAnsi" w:hAnsiTheme="minorHAnsi"/>
                <w:color w:val="000000"/>
                <w:sz w:val="22"/>
                <w:szCs w:val="22"/>
                <w:lang w:bidi="ar-SA"/>
              </w:rPr>
              <w:t xml:space="preserve"> </w:t>
            </w:r>
            <w:r w:rsidR="00C30F89">
              <w:rPr>
                <w:rFonts w:asciiTheme="minorHAnsi" w:hAnsiTheme="minorHAnsi"/>
                <w:color w:val="000000"/>
                <w:sz w:val="22"/>
                <w:szCs w:val="22"/>
                <w:lang w:bidi="ar-SA"/>
              </w:rPr>
              <w:t>surgery</w:t>
            </w:r>
          </w:p>
        </w:tc>
        <w:tc>
          <w:tcPr>
            <w:tcW w:w="2693" w:type="dxa"/>
            <w:tcBorders>
              <w:top w:val="nil"/>
              <w:left w:val="single" w:sz="4" w:space="0" w:color="auto"/>
              <w:bottom w:val="single" w:sz="4" w:space="0" w:color="auto"/>
              <w:right w:val="single" w:sz="4" w:space="0" w:color="auto"/>
            </w:tcBorders>
            <w:shd w:val="clear" w:color="auto" w:fill="FFFFFF" w:themeFill="background1"/>
            <w:noWrap/>
          </w:tcPr>
          <w:p w14:paraId="356E3E7F" w14:textId="77777777" w:rsidR="00841E1C" w:rsidRPr="00C30F89" w:rsidRDefault="00841E1C" w:rsidP="00841E1C">
            <w:pPr>
              <w:jc w:val="center"/>
              <w:rPr>
                <w:rFonts w:asciiTheme="minorHAnsi" w:hAnsiTheme="minorHAnsi"/>
                <w:color w:val="000000"/>
                <w:sz w:val="22"/>
                <w:szCs w:val="22"/>
                <w:lang w:bidi="ar-SA"/>
              </w:rPr>
            </w:pPr>
            <w:r w:rsidRPr="00C30F89">
              <w:rPr>
                <w:rFonts w:asciiTheme="minorHAnsi" w:hAnsiTheme="minorHAnsi"/>
                <w:color w:val="000000"/>
                <w:sz w:val="22"/>
                <w:szCs w:val="22"/>
                <w:lang w:bidi="ar-SA"/>
              </w:rPr>
              <w:t>4</w:t>
            </w:r>
          </w:p>
        </w:tc>
        <w:tc>
          <w:tcPr>
            <w:tcW w:w="2694" w:type="dxa"/>
            <w:tcBorders>
              <w:top w:val="nil"/>
              <w:left w:val="single" w:sz="4" w:space="0" w:color="auto"/>
              <w:bottom w:val="single" w:sz="4" w:space="0" w:color="auto"/>
              <w:right w:val="single" w:sz="4" w:space="0" w:color="auto"/>
            </w:tcBorders>
            <w:shd w:val="clear" w:color="auto" w:fill="FFFFFF" w:themeFill="background1"/>
            <w:vAlign w:val="center"/>
          </w:tcPr>
          <w:p w14:paraId="61606FD7" w14:textId="3134DD8F" w:rsidR="00841E1C" w:rsidRPr="00C30F89" w:rsidRDefault="00841E1C" w:rsidP="00841E1C">
            <w:pPr>
              <w:jc w:val="center"/>
              <w:rPr>
                <w:rFonts w:asciiTheme="minorHAnsi" w:hAnsiTheme="minorHAnsi"/>
                <w:color w:val="000000"/>
                <w:sz w:val="22"/>
                <w:szCs w:val="22"/>
              </w:rPr>
            </w:pPr>
            <w:r w:rsidRPr="00C30F89">
              <w:rPr>
                <w:rFonts w:asciiTheme="minorHAnsi" w:hAnsiTheme="minorHAnsi"/>
                <w:color w:val="000000"/>
                <w:sz w:val="22"/>
                <w:szCs w:val="22"/>
              </w:rPr>
              <w:t>0.8%</w:t>
            </w:r>
          </w:p>
        </w:tc>
      </w:tr>
      <w:tr w:rsidR="00934DBE" w:rsidRPr="00934DBE" w14:paraId="435A9E78" w14:textId="77777777" w:rsidTr="00934DBE">
        <w:trPr>
          <w:trHeight w:val="278"/>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9A865F1" w14:textId="550694B9" w:rsidR="00934DBE" w:rsidRPr="00934DBE" w:rsidRDefault="00934DBE" w:rsidP="00841E1C">
            <w:pPr>
              <w:jc w:val="left"/>
              <w:rPr>
                <w:rFonts w:asciiTheme="minorHAnsi" w:hAnsiTheme="minorHAnsi"/>
                <w:b/>
                <w:color w:val="000000"/>
                <w:sz w:val="22"/>
                <w:szCs w:val="22"/>
                <w:lang w:bidi="ar-SA"/>
              </w:rPr>
            </w:pPr>
            <w:r w:rsidRPr="00934DBE">
              <w:rPr>
                <w:rFonts w:asciiTheme="minorHAnsi" w:hAnsiTheme="minorHAnsi"/>
                <w:b/>
                <w:color w:val="000000"/>
                <w:sz w:val="22"/>
                <w:szCs w:val="22"/>
                <w:lang w:bidi="ar-SA"/>
              </w:rPr>
              <w:t xml:space="preserve">TOTAL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C5B8ADE" w14:textId="48684D21" w:rsidR="00934DBE" w:rsidRPr="00C30F89" w:rsidRDefault="00C30F89" w:rsidP="00C30F89">
            <w:pPr>
              <w:jc w:val="center"/>
              <w:rPr>
                <w:rFonts w:asciiTheme="minorHAnsi" w:hAnsiTheme="minorHAnsi"/>
                <w:b/>
                <w:color w:val="000000"/>
                <w:sz w:val="22"/>
                <w:szCs w:val="22"/>
                <w:lang w:bidi="ar-SA"/>
              </w:rPr>
            </w:pPr>
            <w:r w:rsidRPr="00C30F89">
              <w:rPr>
                <w:b/>
                <w:color w:val="000000"/>
                <w:szCs w:val="22"/>
                <w:lang w:bidi="ar-SA"/>
              </w:rPr>
              <w:t>50</w:t>
            </w:r>
            <w:r>
              <w:rPr>
                <w:b/>
                <w:color w:val="000000"/>
                <w:szCs w:val="22"/>
                <w:lang w:bidi="ar-SA"/>
              </w:rPr>
              <w:t>7</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B48F5" w14:textId="77777777" w:rsidR="00934DBE" w:rsidRPr="00934DBE" w:rsidRDefault="00934DBE" w:rsidP="00841E1C">
            <w:pPr>
              <w:jc w:val="center"/>
              <w:rPr>
                <w:rFonts w:asciiTheme="minorHAnsi" w:hAnsiTheme="minorHAnsi"/>
                <w:color w:val="000000"/>
                <w:sz w:val="22"/>
                <w:szCs w:val="22"/>
              </w:rPr>
            </w:pPr>
          </w:p>
        </w:tc>
      </w:tr>
    </w:tbl>
    <w:p w14:paraId="6670A5BD" w14:textId="77777777" w:rsidR="00091B1A" w:rsidRDefault="00091B1A" w:rsidP="00841E1C"/>
    <w:p w14:paraId="53A578C6" w14:textId="17B0EA0E" w:rsidR="00934DBE" w:rsidRDefault="00934DBE">
      <w:pPr>
        <w:spacing w:after="200" w:line="276" w:lineRule="auto"/>
        <w:jc w:val="left"/>
      </w:pPr>
      <w:r>
        <w:br w:type="page"/>
      </w:r>
    </w:p>
    <w:p w14:paraId="0E171D8C" w14:textId="09AB48E5" w:rsidR="00841E1C" w:rsidRPr="000760A3" w:rsidRDefault="001918F5" w:rsidP="00841E1C">
      <w:pPr>
        <w:pStyle w:val="Heading2"/>
      </w:pPr>
      <w:bookmarkStart w:id="68" w:name="_Toc443992227"/>
      <w:bookmarkStart w:id="69" w:name="_Toc445910051"/>
      <w:bookmarkStart w:id="70" w:name="_Toc447291335"/>
      <w:bookmarkStart w:id="71" w:name="_Toc447291473"/>
      <w:bookmarkStart w:id="72" w:name="_Toc447527530"/>
      <w:bookmarkStart w:id="73" w:name="_Toc493684128"/>
      <w:bookmarkStart w:id="74" w:name="_Toc39138048"/>
      <w:r>
        <w:t>3</w:t>
      </w:r>
      <w:r w:rsidR="00841E1C" w:rsidRPr="000760A3">
        <w:t>.0</w:t>
      </w:r>
      <w:r w:rsidR="00841E1C" w:rsidRPr="000760A3">
        <w:tab/>
        <w:t>Issues complained about</w:t>
      </w:r>
      <w:bookmarkEnd w:id="67"/>
      <w:bookmarkEnd w:id="68"/>
      <w:bookmarkEnd w:id="69"/>
      <w:bookmarkEnd w:id="70"/>
      <w:bookmarkEnd w:id="71"/>
      <w:bookmarkEnd w:id="72"/>
      <w:bookmarkEnd w:id="73"/>
      <w:bookmarkEnd w:id="74"/>
      <w:r w:rsidR="00841E1C" w:rsidRPr="000760A3">
        <w:t xml:space="preserve"> </w:t>
      </w:r>
    </w:p>
    <w:p w14:paraId="27D540A1" w14:textId="77777777" w:rsidR="00841E1C" w:rsidRPr="003607E1" w:rsidRDefault="00841E1C" w:rsidP="00841E1C">
      <w:pPr>
        <w:pStyle w:val="Heading3"/>
      </w:pPr>
      <w:bookmarkStart w:id="75" w:name="_Toc426462633"/>
      <w:bookmarkStart w:id="76" w:name="_Toc443992228"/>
      <w:bookmarkStart w:id="77" w:name="_Toc445910052"/>
      <w:bookmarkStart w:id="78" w:name="_Toc447291336"/>
      <w:bookmarkStart w:id="79" w:name="_Toc447291474"/>
      <w:bookmarkStart w:id="80" w:name="_Toc447527531"/>
      <w:bookmarkStart w:id="81" w:name="_Toc493684129"/>
      <w:bookmarkStart w:id="82" w:name="_Toc39138049"/>
      <w:r w:rsidRPr="003607E1">
        <w:t>3.1</w:t>
      </w:r>
      <w:r w:rsidRPr="003607E1">
        <w:tab/>
        <w:t>Primary complaint issues</w:t>
      </w:r>
      <w:bookmarkEnd w:id="75"/>
      <w:bookmarkEnd w:id="76"/>
      <w:bookmarkEnd w:id="77"/>
      <w:bookmarkEnd w:id="78"/>
      <w:bookmarkEnd w:id="79"/>
      <w:bookmarkEnd w:id="80"/>
      <w:bookmarkEnd w:id="81"/>
      <w:bookmarkEnd w:id="82"/>
    </w:p>
    <w:p w14:paraId="3B1D1FE1" w14:textId="77777777" w:rsidR="00841E1C" w:rsidRDefault="00841E1C" w:rsidP="00841E1C">
      <w:pPr>
        <w:spacing w:after="240"/>
      </w:pPr>
      <w:r>
        <w:t xml:space="preserve">For each complaint received by HDC, one primary complaint issue is identified. The primary issues identified in complaints received in </w:t>
      </w:r>
      <w:r>
        <w:rPr>
          <w:lang w:eastAsia="en-NZ" w:bidi="ar-SA"/>
        </w:rPr>
        <w:t xml:space="preserve">Jul-Dec 2019 </w:t>
      </w:r>
      <w:r>
        <w:t xml:space="preserve">are listed in Table 6. It should be noted that </w:t>
      </w:r>
      <w:r w:rsidRPr="00666BAC">
        <w:t>the issues included are as articul</w:t>
      </w:r>
      <w:r>
        <w:t>ated by the complainant to HDC.</w:t>
      </w:r>
      <w:r w:rsidRPr="00666BAC">
        <w:t xml:space="preserve"> While not all issues raised in complaints are subsequently factually and/or clinically subst</w:t>
      </w:r>
      <w:r>
        <w:t>antiated, those issues</w:t>
      </w:r>
      <w:r w:rsidRPr="00666BAC">
        <w:t xml:space="preserve"> provide a valuable insight into the consumer’s experience of the services provided and the issues they care about most</w:t>
      </w:r>
      <w:r>
        <w:t>.</w:t>
      </w:r>
    </w:p>
    <w:p w14:paraId="675CC7D6" w14:textId="77777777" w:rsidR="00841E1C" w:rsidRDefault="00841E1C" w:rsidP="00841E1C">
      <w:pPr>
        <w:spacing w:after="120"/>
        <w:rPr>
          <w:b/>
        </w:rPr>
      </w:pPr>
      <w:r>
        <w:rPr>
          <w:b/>
        </w:rPr>
        <w:t xml:space="preserve">Table 6. </w:t>
      </w:r>
      <w:r>
        <w:t>Primary issues complained about</w:t>
      </w:r>
    </w:p>
    <w:tbl>
      <w:tblPr>
        <w:tblStyle w:val="TableGrid"/>
        <w:tblW w:w="9322" w:type="dxa"/>
        <w:tblLook w:val="04A0" w:firstRow="1" w:lastRow="0" w:firstColumn="1" w:lastColumn="0" w:noHBand="0" w:noVBand="1"/>
      </w:tblPr>
      <w:tblGrid>
        <w:gridCol w:w="5637"/>
        <w:gridCol w:w="1842"/>
        <w:gridCol w:w="1843"/>
      </w:tblGrid>
      <w:tr w:rsidR="00841E1C" w:rsidRPr="00BA0E01" w14:paraId="325942AB" w14:textId="77777777" w:rsidTr="00901F8B">
        <w:trPr>
          <w:trHeight w:val="309"/>
        </w:trPr>
        <w:tc>
          <w:tcPr>
            <w:tcW w:w="5637" w:type="dxa"/>
            <w:shd w:val="clear" w:color="auto" w:fill="FFFFFF" w:themeFill="background1"/>
            <w:noWrap/>
          </w:tcPr>
          <w:p w14:paraId="6D6B596C" w14:textId="662FBE13" w:rsidR="00841E1C" w:rsidRPr="00BA0E01" w:rsidRDefault="00934DBE" w:rsidP="00841E1C">
            <w:pPr>
              <w:jc w:val="left"/>
              <w:rPr>
                <w:rFonts w:asciiTheme="minorHAnsi" w:hAnsiTheme="minorHAnsi"/>
                <w:b/>
                <w:color w:val="000000"/>
                <w:sz w:val="22"/>
                <w:szCs w:val="22"/>
                <w:lang w:bidi="ar-SA"/>
              </w:rPr>
            </w:pPr>
            <w:r w:rsidRPr="00BA0E01">
              <w:rPr>
                <w:rFonts w:asciiTheme="minorHAnsi" w:hAnsiTheme="minorHAnsi"/>
                <w:b/>
                <w:sz w:val="22"/>
                <w:szCs w:val="22"/>
              </w:rPr>
              <w:t>Primary issue in complaints</w:t>
            </w:r>
          </w:p>
        </w:tc>
        <w:tc>
          <w:tcPr>
            <w:tcW w:w="1842" w:type="dxa"/>
            <w:shd w:val="clear" w:color="auto" w:fill="FFFFFF" w:themeFill="background1"/>
            <w:noWrap/>
          </w:tcPr>
          <w:p w14:paraId="4A5267AA" w14:textId="77777777" w:rsidR="00841E1C" w:rsidRPr="00BA0E01" w:rsidRDefault="00841E1C" w:rsidP="00841E1C">
            <w:pPr>
              <w:tabs>
                <w:tab w:val="left" w:pos="1304"/>
              </w:tabs>
              <w:jc w:val="center"/>
              <w:rPr>
                <w:rFonts w:asciiTheme="minorHAnsi" w:hAnsiTheme="minorHAnsi"/>
                <w:b/>
                <w:color w:val="000000"/>
                <w:sz w:val="22"/>
                <w:szCs w:val="22"/>
                <w:lang w:bidi="ar-SA"/>
              </w:rPr>
            </w:pPr>
            <w:r w:rsidRPr="00BA0E01">
              <w:rPr>
                <w:rFonts w:asciiTheme="minorHAnsi" w:hAnsiTheme="minorHAnsi"/>
                <w:b/>
                <w:bCs/>
                <w:color w:val="000000"/>
                <w:sz w:val="22"/>
                <w:szCs w:val="22"/>
                <w:lang w:bidi="ar-SA"/>
              </w:rPr>
              <w:t>Number of complaints</w:t>
            </w:r>
          </w:p>
        </w:tc>
        <w:tc>
          <w:tcPr>
            <w:tcW w:w="1843" w:type="dxa"/>
            <w:shd w:val="clear" w:color="auto" w:fill="FFFFFF" w:themeFill="background1"/>
          </w:tcPr>
          <w:p w14:paraId="565FC018" w14:textId="77777777" w:rsidR="00841E1C" w:rsidRPr="00BA0E01" w:rsidRDefault="00841E1C">
            <w:pPr>
              <w:jc w:val="center"/>
              <w:rPr>
                <w:rFonts w:asciiTheme="minorHAnsi" w:hAnsiTheme="minorHAnsi"/>
                <w:b/>
                <w:color w:val="000000"/>
                <w:sz w:val="22"/>
                <w:szCs w:val="22"/>
              </w:rPr>
            </w:pPr>
            <w:r w:rsidRPr="00BA0E01">
              <w:rPr>
                <w:rFonts w:asciiTheme="minorHAnsi" w:hAnsiTheme="minorHAnsi"/>
                <w:b/>
                <w:color w:val="000000"/>
                <w:sz w:val="22"/>
                <w:szCs w:val="22"/>
              </w:rPr>
              <w:t>Percentage</w:t>
            </w:r>
          </w:p>
        </w:tc>
      </w:tr>
      <w:tr w:rsidR="00DE03A0" w:rsidRPr="00BA0E01" w14:paraId="30F2FEC7" w14:textId="77777777" w:rsidTr="00901F8B">
        <w:trPr>
          <w:trHeight w:val="312"/>
        </w:trPr>
        <w:tc>
          <w:tcPr>
            <w:tcW w:w="5637" w:type="dxa"/>
            <w:shd w:val="clear" w:color="auto" w:fill="D9D9D9" w:themeFill="background1" w:themeFillShade="D9"/>
            <w:noWrap/>
          </w:tcPr>
          <w:p w14:paraId="255F6DD1" w14:textId="77777777" w:rsidR="00DE03A0" w:rsidRPr="00BA0E01" w:rsidRDefault="00DE03A0" w:rsidP="00DE03A0">
            <w:pPr>
              <w:jc w:val="left"/>
              <w:rPr>
                <w:rFonts w:asciiTheme="minorHAnsi" w:hAnsiTheme="minorHAnsi"/>
                <w:b/>
                <w:color w:val="000000"/>
                <w:sz w:val="22"/>
                <w:szCs w:val="22"/>
                <w:lang w:bidi="ar-SA"/>
              </w:rPr>
            </w:pPr>
            <w:r w:rsidRPr="00BA0E01">
              <w:rPr>
                <w:rFonts w:asciiTheme="minorHAnsi" w:hAnsiTheme="minorHAnsi"/>
                <w:b/>
                <w:color w:val="000000"/>
                <w:sz w:val="22"/>
                <w:szCs w:val="22"/>
                <w:lang w:bidi="ar-SA"/>
              </w:rPr>
              <w:t>Access/funding</w:t>
            </w:r>
          </w:p>
        </w:tc>
        <w:tc>
          <w:tcPr>
            <w:tcW w:w="1842" w:type="dxa"/>
            <w:shd w:val="clear" w:color="auto" w:fill="D9D9D9" w:themeFill="background1" w:themeFillShade="D9"/>
            <w:noWrap/>
            <w:vAlign w:val="center"/>
          </w:tcPr>
          <w:p w14:paraId="5904C0A4" w14:textId="40338E74" w:rsidR="00DE03A0" w:rsidRPr="00BA0E01" w:rsidRDefault="00DE03A0">
            <w:pPr>
              <w:tabs>
                <w:tab w:val="left" w:pos="1304"/>
              </w:tabs>
              <w:jc w:val="center"/>
              <w:rPr>
                <w:rFonts w:asciiTheme="minorHAnsi" w:hAnsiTheme="minorHAnsi"/>
                <w:b/>
                <w:color w:val="000000"/>
                <w:sz w:val="22"/>
                <w:szCs w:val="22"/>
                <w:lang w:bidi="ar-SA"/>
              </w:rPr>
            </w:pPr>
            <w:r w:rsidRPr="00BA0E01">
              <w:rPr>
                <w:rFonts w:asciiTheme="minorHAnsi" w:hAnsiTheme="minorHAnsi"/>
                <w:b/>
                <w:color w:val="000000"/>
                <w:sz w:val="22"/>
                <w:szCs w:val="22"/>
                <w:lang w:bidi="ar-SA"/>
              </w:rPr>
              <w:t>76</w:t>
            </w:r>
          </w:p>
        </w:tc>
        <w:tc>
          <w:tcPr>
            <w:tcW w:w="1843" w:type="dxa"/>
            <w:shd w:val="clear" w:color="auto" w:fill="D9D9D9" w:themeFill="background1" w:themeFillShade="D9"/>
            <w:vAlign w:val="center"/>
          </w:tcPr>
          <w:p w14:paraId="265F4BFD" w14:textId="456F6FDA" w:rsidR="00DE03A0" w:rsidRPr="00BA0E01" w:rsidRDefault="00DE03A0">
            <w:pPr>
              <w:jc w:val="center"/>
              <w:rPr>
                <w:rFonts w:asciiTheme="minorHAnsi" w:hAnsiTheme="minorHAnsi"/>
                <w:b/>
                <w:color w:val="000000"/>
                <w:sz w:val="22"/>
                <w:szCs w:val="22"/>
              </w:rPr>
            </w:pPr>
            <w:r w:rsidRPr="00BA0E01">
              <w:rPr>
                <w:rFonts w:asciiTheme="minorHAnsi" w:hAnsiTheme="minorHAnsi"/>
                <w:b/>
                <w:color w:val="000000"/>
                <w:sz w:val="22"/>
                <w:szCs w:val="22"/>
              </w:rPr>
              <w:t>16</w:t>
            </w:r>
            <w:r w:rsidR="00AC554E">
              <w:rPr>
                <w:rFonts w:asciiTheme="minorHAnsi" w:hAnsiTheme="minorHAnsi"/>
                <w:b/>
                <w:color w:val="000000"/>
                <w:sz w:val="22"/>
                <w:szCs w:val="22"/>
              </w:rPr>
              <w:t>.1</w:t>
            </w:r>
            <w:r w:rsidRPr="00BA0E01">
              <w:rPr>
                <w:rFonts w:asciiTheme="minorHAnsi" w:hAnsiTheme="minorHAnsi"/>
                <w:b/>
                <w:color w:val="000000"/>
                <w:sz w:val="22"/>
                <w:szCs w:val="22"/>
              </w:rPr>
              <w:t>%</w:t>
            </w:r>
          </w:p>
        </w:tc>
      </w:tr>
      <w:tr w:rsidR="00CF0053" w:rsidRPr="00BA0E01" w14:paraId="358836E4" w14:textId="77777777" w:rsidTr="00901F8B">
        <w:trPr>
          <w:trHeight w:val="312"/>
        </w:trPr>
        <w:tc>
          <w:tcPr>
            <w:tcW w:w="5637" w:type="dxa"/>
            <w:noWrap/>
            <w:hideMark/>
          </w:tcPr>
          <w:p w14:paraId="7524F846" w14:textId="77777777" w:rsidR="00CF0053" w:rsidRPr="00BA0E01" w:rsidRDefault="00CF0053" w:rsidP="00CF0053">
            <w:pPr>
              <w:jc w:val="left"/>
              <w:rPr>
                <w:rFonts w:asciiTheme="minorHAnsi" w:hAnsiTheme="minorHAnsi"/>
                <w:color w:val="000000"/>
                <w:sz w:val="22"/>
                <w:szCs w:val="22"/>
                <w:lang w:bidi="ar-SA"/>
              </w:rPr>
            </w:pPr>
            <w:r w:rsidRPr="00BA0E01">
              <w:rPr>
                <w:rFonts w:asciiTheme="minorHAnsi" w:hAnsiTheme="minorHAnsi"/>
                <w:color w:val="000000"/>
                <w:sz w:val="22"/>
                <w:szCs w:val="22"/>
                <w:lang w:bidi="ar-SA"/>
              </w:rPr>
              <w:t>Lack of access to funding/subsidies</w:t>
            </w:r>
          </w:p>
        </w:tc>
        <w:tc>
          <w:tcPr>
            <w:tcW w:w="1842" w:type="dxa"/>
            <w:noWrap/>
            <w:vAlign w:val="center"/>
            <w:hideMark/>
          </w:tcPr>
          <w:p w14:paraId="2655896C" w14:textId="77777777" w:rsidR="00CF0053" w:rsidRPr="00BA0E01" w:rsidRDefault="00CF0053">
            <w:pPr>
              <w:jc w:val="center"/>
              <w:rPr>
                <w:rFonts w:asciiTheme="minorHAnsi" w:hAnsiTheme="minorHAnsi"/>
                <w:color w:val="000000"/>
                <w:sz w:val="22"/>
                <w:szCs w:val="22"/>
                <w:lang w:bidi="ar-SA"/>
              </w:rPr>
            </w:pPr>
            <w:r w:rsidRPr="00BA0E01">
              <w:rPr>
                <w:rFonts w:asciiTheme="minorHAnsi" w:hAnsiTheme="minorHAnsi"/>
                <w:color w:val="000000"/>
                <w:sz w:val="22"/>
                <w:szCs w:val="22"/>
                <w:lang w:bidi="ar-SA"/>
              </w:rPr>
              <w:t>3</w:t>
            </w:r>
          </w:p>
        </w:tc>
        <w:tc>
          <w:tcPr>
            <w:tcW w:w="1843" w:type="dxa"/>
            <w:vAlign w:val="center"/>
          </w:tcPr>
          <w:p w14:paraId="3A85AE9B" w14:textId="64C4677B" w:rsidR="00CF0053" w:rsidRPr="00BA0E01" w:rsidRDefault="00CF0053">
            <w:pPr>
              <w:jc w:val="center"/>
              <w:rPr>
                <w:rFonts w:asciiTheme="minorHAnsi" w:hAnsiTheme="minorHAnsi"/>
                <w:color w:val="000000"/>
                <w:sz w:val="22"/>
                <w:szCs w:val="22"/>
                <w:lang w:bidi="ar-SA"/>
              </w:rPr>
            </w:pPr>
            <w:r w:rsidRPr="00BA0E01">
              <w:rPr>
                <w:rFonts w:asciiTheme="minorHAnsi" w:hAnsiTheme="minorHAnsi"/>
                <w:color w:val="000000"/>
                <w:sz w:val="22"/>
                <w:szCs w:val="22"/>
              </w:rPr>
              <w:t>0.6%</w:t>
            </w:r>
          </w:p>
        </w:tc>
      </w:tr>
      <w:tr w:rsidR="00CF0053" w:rsidRPr="00BA0E01" w14:paraId="6AB5EBE3" w14:textId="77777777" w:rsidTr="00901F8B">
        <w:trPr>
          <w:trHeight w:val="312"/>
        </w:trPr>
        <w:tc>
          <w:tcPr>
            <w:tcW w:w="5637" w:type="dxa"/>
            <w:noWrap/>
            <w:hideMark/>
          </w:tcPr>
          <w:p w14:paraId="45AEA6B7" w14:textId="77777777" w:rsidR="00CF0053" w:rsidRPr="00BA0E01" w:rsidRDefault="00CF0053" w:rsidP="00CF0053">
            <w:pPr>
              <w:jc w:val="left"/>
              <w:rPr>
                <w:rFonts w:asciiTheme="minorHAnsi" w:hAnsiTheme="minorHAnsi"/>
                <w:color w:val="000000"/>
                <w:sz w:val="22"/>
                <w:szCs w:val="22"/>
                <w:lang w:bidi="ar-SA"/>
              </w:rPr>
            </w:pPr>
            <w:r w:rsidRPr="00BA0E01">
              <w:rPr>
                <w:rFonts w:asciiTheme="minorHAnsi" w:hAnsiTheme="minorHAnsi"/>
                <w:color w:val="000000"/>
                <w:sz w:val="22"/>
                <w:szCs w:val="22"/>
                <w:lang w:bidi="ar-SA"/>
              </w:rPr>
              <w:t>Lack of access to services</w:t>
            </w:r>
          </w:p>
        </w:tc>
        <w:tc>
          <w:tcPr>
            <w:tcW w:w="1842" w:type="dxa"/>
            <w:noWrap/>
            <w:vAlign w:val="center"/>
            <w:hideMark/>
          </w:tcPr>
          <w:p w14:paraId="583E84CF" w14:textId="77777777" w:rsidR="00CF0053" w:rsidRPr="00BA0E01" w:rsidRDefault="00CF0053">
            <w:pPr>
              <w:jc w:val="center"/>
              <w:rPr>
                <w:rFonts w:asciiTheme="minorHAnsi" w:hAnsiTheme="minorHAnsi"/>
                <w:color w:val="000000"/>
                <w:sz w:val="22"/>
                <w:szCs w:val="22"/>
                <w:lang w:bidi="ar-SA"/>
              </w:rPr>
            </w:pPr>
            <w:r w:rsidRPr="00BA0E01">
              <w:rPr>
                <w:rFonts w:asciiTheme="minorHAnsi" w:hAnsiTheme="minorHAnsi"/>
                <w:color w:val="000000"/>
                <w:sz w:val="22"/>
                <w:szCs w:val="22"/>
                <w:lang w:bidi="ar-SA"/>
              </w:rPr>
              <w:t>36</w:t>
            </w:r>
          </w:p>
        </w:tc>
        <w:tc>
          <w:tcPr>
            <w:tcW w:w="1843" w:type="dxa"/>
            <w:vAlign w:val="center"/>
          </w:tcPr>
          <w:p w14:paraId="7179DA3B" w14:textId="4B9EC906" w:rsidR="00CF0053" w:rsidRPr="00BA0E01" w:rsidRDefault="00DE03A0">
            <w:pPr>
              <w:jc w:val="center"/>
              <w:rPr>
                <w:rFonts w:asciiTheme="minorHAnsi" w:hAnsiTheme="minorHAnsi"/>
                <w:color w:val="000000"/>
                <w:sz w:val="22"/>
                <w:szCs w:val="22"/>
              </w:rPr>
            </w:pPr>
            <w:r w:rsidRPr="00BA0E01">
              <w:rPr>
                <w:rFonts w:asciiTheme="minorHAnsi" w:hAnsiTheme="minorHAnsi"/>
                <w:color w:val="000000"/>
                <w:sz w:val="22"/>
                <w:szCs w:val="22"/>
              </w:rPr>
              <w:t>7.6</w:t>
            </w:r>
            <w:r w:rsidR="00CF0053" w:rsidRPr="00BA0E01">
              <w:rPr>
                <w:rFonts w:asciiTheme="minorHAnsi" w:hAnsiTheme="minorHAnsi"/>
                <w:color w:val="000000"/>
                <w:sz w:val="22"/>
                <w:szCs w:val="22"/>
              </w:rPr>
              <w:t>%</w:t>
            </w:r>
          </w:p>
        </w:tc>
      </w:tr>
      <w:tr w:rsidR="00CF0053" w:rsidRPr="00BA0E01" w14:paraId="09DD64B1" w14:textId="77777777" w:rsidTr="00901F8B">
        <w:trPr>
          <w:trHeight w:val="312"/>
        </w:trPr>
        <w:tc>
          <w:tcPr>
            <w:tcW w:w="5637" w:type="dxa"/>
            <w:noWrap/>
            <w:hideMark/>
          </w:tcPr>
          <w:p w14:paraId="60275761" w14:textId="77777777" w:rsidR="00CF0053" w:rsidRPr="00BA0E01" w:rsidRDefault="00CF0053" w:rsidP="00CF0053">
            <w:pPr>
              <w:jc w:val="left"/>
              <w:rPr>
                <w:rFonts w:asciiTheme="minorHAnsi" w:hAnsiTheme="minorHAnsi"/>
                <w:color w:val="000000"/>
                <w:sz w:val="22"/>
                <w:szCs w:val="22"/>
                <w:lang w:bidi="ar-SA"/>
              </w:rPr>
            </w:pPr>
            <w:r w:rsidRPr="00BA0E01">
              <w:rPr>
                <w:rFonts w:asciiTheme="minorHAnsi" w:hAnsiTheme="minorHAnsi"/>
                <w:color w:val="000000"/>
                <w:sz w:val="22"/>
                <w:szCs w:val="22"/>
                <w:lang w:bidi="ar-SA"/>
              </w:rPr>
              <w:t>Waiting list/prioritisation issue</w:t>
            </w:r>
          </w:p>
        </w:tc>
        <w:tc>
          <w:tcPr>
            <w:tcW w:w="1842" w:type="dxa"/>
            <w:noWrap/>
            <w:vAlign w:val="center"/>
            <w:hideMark/>
          </w:tcPr>
          <w:p w14:paraId="604FFE00" w14:textId="79BCFCB9" w:rsidR="00CF0053" w:rsidRPr="00BA0E01" w:rsidRDefault="00552AE7">
            <w:pPr>
              <w:jc w:val="center"/>
              <w:rPr>
                <w:rFonts w:asciiTheme="minorHAnsi" w:hAnsiTheme="minorHAnsi"/>
                <w:color w:val="000000"/>
                <w:sz w:val="22"/>
                <w:szCs w:val="22"/>
                <w:lang w:bidi="ar-SA"/>
              </w:rPr>
            </w:pPr>
            <w:r w:rsidRPr="00BA0E01">
              <w:rPr>
                <w:rFonts w:asciiTheme="minorHAnsi" w:hAnsiTheme="minorHAnsi"/>
                <w:color w:val="000000"/>
                <w:sz w:val="22"/>
                <w:szCs w:val="22"/>
                <w:lang w:bidi="ar-SA"/>
              </w:rPr>
              <w:t>37</w:t>
            </w:r>
          </w:p>
        </w:tc>
        <w:tc>
          <w:tcPr>
            <w:tcW w:w="1843" w:type="dxa"/>
            <w:vAlign w:val="center"/>
          </w:tcPr>
          <w:p w14:paraId="77D03710" w14:textId="4261291D" w:rsidR="00CF0053"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7.8</w:t>
            </w:r>
            <w:r w:rsidR="00CF0053" w:rsidRPr="00BA0E01">
              <w:rPr>
                <w:rFonts w:asciiTheme="minorHAnsi" w:hAnsiTheme="minorHAnsi"/>
                <w:color w:val="000000"/>
                <w:sz w:val="22"/>
                <w:szCs w:val="22"/>
              </w:rPr>
              <w:t>%</w:t>
            </w:r>
          </w:p>
        </w:tc>
      </w:tr>
      <w:tr w:rsidR="00841E1C" w:rsidRPr="00BA0E01" w14:paraId="0762580C" w14:textId="77777777" w:rsidTr="00901F8B">
        <w:trPr>
          <w:trHeight w:val="312"/>
        </w:trPr>
        <w:tc>
          <w:tcPr>
            <w:tcW w:w="5637" w:type="dxa"/>
            <w:shd w:val="clear" w:color="auto" w:fill="D9D9D9" w:themeFill="background1" w:themeFillShade="D9"/>
            <w:noWrap/>
          </w:tcPr>
          <w:p w14:paraId="0D6C81CB" w14:textId="77777777" w:rsidR="00841E1C" w:rsidRPr="00BA0E01" w:rsidRDefault="00841E1C" w:rsidP="00841E1C">
            <w:pPr>
              <w:jc w:val="left"/>
              <w:rPr>
                <w:rFonts w:asciiTheme="minorHAnsi" w:hAnsiTheme="minorHAnsi"/>
                <w:b/>
                <w:color w:val="000000"/>
                <w:sz w:val="22"/>
                <w:szCs w:val="22"/>
                <w:lang w:bidi="ar-SA"/>
              </w:rPr>
            </w:pPr>
            <w:r w:rsidRPr="00BA0E01">
              <w:rPr>
                <w:rFonts w:asciiTheme="minorHAnsi" w:hAnsiTheme="minorHAnsi"/>
                <w:b/>
                <w:color w:val="000000"/>
                <w:sz w:val="22"/>
                <w:szCs w:val="22"/>
                <w:lang w:bidi="ar-SA"/>
              </w:rPr>
              <w:t>Boundary violation</w:t>
            </w:r>
          </w:p>
        </w:tc>
        <w:tc>
          <w:tcPr>
            <w:tcW w:w="1842" w:type="dxa"/>
            <w:shd w:val="clear" w:color="auto" w:fill="D9D9D9" w:themeFill="background1" w:themeFillShade="D9"/>
            <w:noWrap/>
            <w:vAlign w:val="center"/>
          </w:tcPr>
          <w:p w14:paraId="16BBF1A9" w14:textId="77777777" w:rsidR="00841E1C" w:rsidRPr="00BA0E01" w:rsidRDefault="00841E1C">
            <w:pPr>
              <w:jc w:val="center"/>
              <w:rPr>
                <w:rFonts w:asciiTheme="minorHAnsi" w:hAnsiTheme="minorHAnsi"/>
                <w:b/>
                <w:color w:val="000000"/>
                <w:sz w:val="22"/>
                <w:szCs w:val="22"/>
                <w:lang w:bidi="ar-SA"/>
              </w:rPr>
            </w:pPr>
            <w:r w:rsidRPr="00BA0E01">
              <w:rPr>
                <w:rFonts w:asciiTheme="minorHAnsi" w:hAnsiTheme="minorHAnsi"/>
                <w:b/>
                <w:color w:val="000000"/>
                <w:sz w:val="22"/>
                <w:szCs w:val="22"/>
                <w:lang w:bidi="ar-SA"/>
              </w:rPr>
              <w:t>2</w:t>
            </w:r>
          </w:p>
        </w:tc>
        <w:tc>
          <w:tcPr>
            <w:tcW w:w="1843" w:type="dxa"/>
            <w:shd w:val="clear" w:color="auto" w:fill="D9D9D9" w:themeFill="background1" w:themeFillShade="D9"/>
            <w:vAlign w:val="center"/>
          </w:tcPr>
          <w:p w14:paraId="43329A9D" w14:textId="5C3CBDF0" w:rsidR="00841E1C" w:rsidRPr="00BA0E01" w:rsidRDefault="00BA0E01">
            <w:pPr>
              <w:jc w:val="center"/>
              <w:rPr>
                <w:rFonts w:asciiTheme="minorHAnsi" w:hAnsiTheme="minorHAnsi"/>
                <w:b/>
                <w:color w:val="000000"/>
                <w:sz w:val="22"/>
                <w:szCs w:val="22"/>
              </w:rPr>
            </w:pPr>
            <w:r>
              <w:rPr>
                <w:rFonts w:asciiTheme="minorHAnsi" w:hAnsiTheme="minorHAnsi"/>
                <w:b/>
                <w:color w:val="000000"/>
                <w:sz w:val="22"/>
                <w:szCs w:val="22"/>
              </w:rPr>
              <w:t>0.4%</w:t>
            </w:r>
          </w:p>
        </w:tc>
      </w:tr>
      <w:tr w:rsidR="00841E1C" w:rsidRPr="00BA0E01" w14:paraId="4C4C2408" w14:textId="77777777" w:rsidTr="00901F8B">
        <w:trPr>
          <w:trHeight w:val="312"/>
        </w:trPr>
        <w:tc>
          <w:tcPr>
            <w:tcW w:w="5637" w:type="dxa"/>
            <w:shd w:val="clear" w:color="auto" w:fill="auto"/>
            <w:noWrap/>
          </w:tcPr>
          <w:p w14:paraId="62D8841F" w14:textId="77777777" w:rsidR="00841E1C" w:rsidRPr="00BA0E01" w:rsidRDefault="00841E1C" w:rsidP="00841E1C">
            <w:pPr>
              <w:jc w:val="left"/>
              <w:rPr>
                <w:rFonts w:asciiTheme="minorHAnsi" w:hAnsiTheme="minorHAnsi"/>
                <w:color w:val="000000"/>
                <w:sz w:val="22"/>
                <w:szCs w:val="22"/>
                <w:lang w:bidi="ar-SA"/>
              </w:rPr>
            </w:pPr>
            <w:r w:rsidRPr="00BA0E01">
              <w:rPr>
                <w:rFonts w:asciiTheme="minorHAnsi" w:hAnsiTheme="minorHAnsi"/>
                <w:color w:val="000000"/>
                <w:sz w:val="22"/>
                <w:szCs w:val="22"/>
                <w:lang w:bidi="ar-SA"/>
              </w:rPr>
              <w:t>Inappropriate sexual physical contact</w:t>
            </w:r>
          </w:p>
        </w:tc>
        <w:tc>
          <w:tcPr>
            <w:tcW w:w="1842" w:type="dxa"/>
            <w:shd w:val="clear" w:color="auto" w:fill="auto"/>
            <w:noWrap/>
            <w:vAlign w:val="center"/>
          </w:tcPr>
          <w:p w14:paraId="27518935" w14:textId="77777777" w:rsidR="00841E1C" w:rsidRPr="00BA0E01" w:rsidRDefault="00841E1C">
            <w:pPr>
              <w:jc w:val="center"/>
              <w:rPr>
                <w:rFonts w:asciiTheme="minorHAnsi" w:hAnsiTheme="minorHAnsi"/>
                <w:color w:val="000000"/>
                <w:sz w:val="22"/>
                <w:szCs w:val="22"/>
                <w:lang w:bidi="ar-SA"/>
              </w:rPr>
            </w:pPr>
            <w:r w:rsidRPr="00BA0E01">
              <w:rPr>
                <w:rFonts w:asciiTheme="minorHAnsi" w:hAnsiTheme="minorHAnsi"/>
                <w:color w:val="000000"/>
                <w:sz w:val="22"/>
                <w:szCs w:val="22"/>
                <w:lang w:bidi="ar-SA"/>
              </w:rPr>
              <w:t>2</w:t>
            </w:r>
          </w:p>
        </w:tc>
        <w:tc>
          <w:tcPr>
            <w:tcW w:w="1843" w:type="dxa"/>
            <w:shd w:val="clear" w:color="auto" w:fill="auto"/>
            <w:vAlign w:val="center"/>
          </w:tcPr>
          <w:p w14:paraId="7E0977F6" w14:textId="426A88B3" w:rsidR="00841E1C"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0.4%</w:t>
            </w:r>
          </w:p>
        </w:tc>
      </w:tr>
      <w:tr w:rsidR="00841E1C" w:rsidRPr="00BA0E01" w14:paraId="09B7D35B" w14:textId="77777777" w:rsidTr="00901F8B">
        <w:trPr>
          <w:trHeight w:val="312"/>
        </w:trPr>
        <w:tc>
          <w:tcPr>
            <w:tcW w:w="5637" w:type="dxa"/>
            <w:shd w:val="clear" w:color="auto" w:fill="D9D9D9" w:themeFill="background1" w:themeFillShade="D9"/>
            <w:noWrap/>
            <w:vAlign w:val="center"/>
          </w:tcPr>
          <w:p w14:paraId="200F36ED" w14:textId="6CAAF870" w:rsidR="00841E1C" w:rsidRPr="00BA0E01" w:rsidRDefault="00CF0053">
            <w:pPr>
              <w:jc w:val="left"/>
              <w:rPr>
                <w:rFonts w:asciiTheme="minorHAnsi" w:hAnsiTheme="minorHAnsi"/>
                <w:b/>
                <w:color w:val="000000"/>
                <w:sz w:val="22"/>
                <w:szCs w:val="22"/>
                <w:lang w:bidi="ar-SA"/>
              </w:rPr>
            </w:pPr>
            <w:r w:rsidRPr="00BA0E01">
              <w:rPr>
                <w:rFonts w:asciiTheme="minorHAnsi" w:hAnsiTheme="minorHAnsi"/>
                <w:b/>
                <w:color w:val="000000"/>
                <w:sz w:val="22"/>
                <w:szCs w:val="22"/>
                <w:lang w:bidi="ar-SA"/>
              </w:rPr>
              <w:t>Care/t</w:t>
            </w:r>
            <w:r w:rsidR="00841E1C" w:rsidRPr="00BA0E01">
              <w:rPr>
                <w:rFonts w:asciiTheme="minorHAnsi" w:hAnsiTheme="minorHAnsi"/>
                <w:b/>
                <w:color w:val="000000"/>
                <w:sz w:val="22"/>
                <w:szCs w:val="22"/>
                <w:lang w:bidi="ar-SA"/>
              </w:rPr>
              <w:t>reatment</w:t>
            </w:r>
          </w:p>
        </w:tc>
        <w:tc>
          <w:tcPr>
            <w:tcW w:w="1842" w:type="dxa"/>
            <w:shd w:val="clear" w:color="auto" w:fill="D9D9D9" w:themeFill="background1" w:themeFillShade="D9"/>
            <w:noWrap/>
            <w:vAlign w:val="center"/>
          </w:tcPr>
          <w:p w14:paraId="02BAEAC8" w14:textId="43CF25B6" w:rsidR="00841E1C" w:rsidRPr="00BA0E01" w:rsidRDefault="000C2A30">
            <w:pPr>
              <w:jc w:val="center"/>
              <w:rPr>
                <w:rFonts w:asciiTheme="minorHAnsi" w:hAnsiTheme="minorHAnsi"/>
                <w:b/>
                <w:color w:val="000000"/>
                <w:sz w:val="22"/>
                <w:szCs w:val="22"/>
                <w:lang w:bidi="ar-SA"/>
              </w:rPr>
            </w:pPr>
            <w:r w:rsidRPr="00BA0E01">
              <w:rPr>
                <w:rFonts w:asciiTheme="minorHAnsi" w:hAnsiTheme="minorHAnsi"/>
                <w:b/>
                <w:color w:val="000000"/>
                <w:sz w:val="22"/>
                <w:szCs w:val="22"/>
                <w:lang w:bidi="ar-SA"/>
              </w:rPr>
              <w:t>243</w:t>
            </w:r>
          </w:p>
        </w:tc>
        <w:tc>
          <w:tcPr>
            <w:tcW w:w="1843" w:type="dxa"/>
            <w:shd w:val="clear" w:color="auto" w:fill="D9D9D9" w:themeFill="background1" w:themeFillShade="D9"/>
            <w:vAlign w:val="center"/>
          </w:tcPr>
          <w:p w14:paraId="57CDB579" w14:textId="2FE41C8B" w:rsidR="00841E1C" w:rsidRPr="00BA0E01" w:rsidRDefault="00552AE7">
            <w:pPr>
              <w:jc w:val="center"/>
              <w:rPr>
                <w:rFonts w:asciiTheme="minorHAnsi" w:hAnsiTheme="minorHAnsi"/>
                <w:b/>
                <w:color w:val="000000"/>
                <w:sz w:val="22"/>
                <w:szCs w:val="22"/>
              </w:rPr>
            </w:pPr>
            <w:r w:rsidRPr="00BA0E01">
              <w:rPr>
                <w:rFonts w:asciiTheme="minorHAnsi" w:hAnsiTheme="minorHAnsi"/>
                <w:b/>
                <w:color w:val="000000"/>
                <w:sz w:val="22"/>
                <w:szCs w:val="22"/>
              </w:rPr>
              <w:t>5</w:t>
            </w:r>
            <w:r w:rsidR="00F6375D">
              <w:rPr>
                <w:rFonts w:asciiTheme="minorHAnsi" w:hAnsiTheme="minorHAnsi"/>
                <w:b/>
                <w:color w:val="000000"/>
                <w:sz w:val="22"/>
                <w:szCs w:val="22"/>
              </w:rPr>
              <w:t>1.5</w:t>
            </w:r>
            <w:r w:rsidRPr="00BA0E01">
              <w:rPr>
                <w:rFonts w:asciiTheme="minorHAnsi" w:hAnsiTheme="minorHAnsi"/>
                <w:b/>
                <w:color w:val="000000"/>
                <w:sz w:val="22"/>
                <w:szCs w:val="22"/>
              </w:rPr>
              <w:t>%</w:t>
            </w:r>
          </w:p>
        </w:tc>
      </w:tr>
      <w:tr w:rsidR="00552AE7" w:rsidRPr="00BA0E01" w14:paraId="5B6FCD6E" w14:textId="77777777" w:rsidTr="00901F8B">
        <w:trPr>
          <w:trHeight w:val="312"/>
        </w:trPr>
        <w:tc>
          <w:tcPr>
            <w:tcW w:w="5637" w:type="dxa"/>
            <w:noWrap/>
            <w:vAlign w:val="bottom"/>
          </w:tcPr>
          <w:p w14:paraId="6C33FFDB" w14:textId="2D598FD3" w:rsidR="00552AE7" w:rsidRPr="00BA0E01" w:rsidRDefault="00552AE7" w:rsidP="00552AE7">
            <w:pPr>
              <w:rPr>
                <w:rFonts w:asciiTheme="minorHAnsi" w:hAnsiTheme="minorHAnsi"/>
                <w:color w:val="000000"/>
                <w:sz w:val="22"/>
                <w:szCs w:val="22"/>
                <w:lang w:bidi="ar-SA"/>
              </w:rPr>
            </w:pPr>
            <w:r w:rsidRPr="00BA0E01">
              <w:rPr>
                <w:rFonts w:asciiTheme="minorHAnsi" w:hAnsiTheme="minorHAnsi"/>
                <w:color w:val="000000"/>
                <w:sz w:val="22"/>
                <w:szCs w:val="22"/>
              </w:rPr>
              <w:t>Delay in treatment</w:t>
            </w:r>
          </w:p>
        </w:tc>
        <w:tc>
          <w:tcPr>
            <w:tcW w:w="1842" w:type="dxa"/>
            <w:noWrap/>
            <w:vAlign w:val="center"/>
          </w:tcPr>
          <w:p w14:paraId="21EB5E6F" w14:textId="397BA8CB"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21</w:t>
            </w:r>
          </w:p>
        </w:tc>
        <w:tc>
          <w:tcPr>
            <w:tcW w:w="1843" w:type="dxa"/>
            <w:vAlign w:val="center"/>
          </w:tcPr>
          <w:p w14:paraId="5D929520" w14:textId="5D27CBF3" w:rsidR="00552AE7" w:rsidRPr="00BA0E01" w:rsidRDefault="00552AE7">
            <w:pPr>
              <w:jc w:val="center"/>
              <w:rPr>
                <w:rFonts w:asciiTheme="minorHAnsi" w:hAnsiTheme="minorHAnsi"/>
                <w:color w:val="000000"/>
                <w:sz w:val="22"/>
                <w:szCs w:val="22"/>
                <w:lang w:bidi="ar-SA"/>
              </w:rPr>
            </w:pPr>
            <w:r w:rsidRPr="00BA0E01">
              <w:rPr>
                <w:rFonts w:asciiTheme="minorHAnsi" w:hAnsiTheme="minorHAnsi"/>
                <w:color w:val="000000"/>
                <w:sz w:val="22"/>
                <w:szCs w:val="22"/>
              </w:rPr>
              <w:t>4.</w:t>
            </w:r>
            <w:r w:rsidR="00F6375D">
              <w:rPr>
                <w:rFonts w:asciiTheme="minorHAnsi" w:hAnsiTheme="minorHAnsi"/>
                <w:color w:val="000000"/>
                <w:sz w:val="22"/>
                <w:szCs w:val="22"/>
              </w:rPr>
              <w:t>4</w:t>
            </w:r>
            <w:r w:rsidRPr="00BA0E01">
              <w:rPr>
                <w:rFonts w:asciiTheme="minorHAnsi" w:hAnsiTheme="minorHAnsi"/>
                <w:color w:val="000000"/>
                <w:sz w:val="22"/>
                <w:szCs w:val="22"/>
              </w:rPr>
              <w:t>%</w:t>
            </w:r>
          </w:p>
        </w:tc>
      </w:tr>
      <w:tr w:rsidR="00552AE7" w:rsidRPr="00BA0E01" w14:paraId="11B5FE47" w14:textId="77777777" w:rsidTr="00901F8B">
        <w:trPr>
          <w:trHeight w:val="312"/>
        </w:trPr>
        <w:tc>
          <w:tcPr>
            <w:tcW w:w="5637" w:type="dxa"/>
            <w:noWrap/>
            <w:vAlign w:val="bottom"/>
          </w:tcPr>
          <w:p w14:paraId="5F2B3740" w14:textId="7F54AE6F" w:rsidR="00552AE7" w:rsidRPr="00BA0E01" w:rsidRDefault="00552AE7" w:rsidP="00552AE7">
            <w:pPr>
              <w:jc w:val="left"/>
              <w:rPr>
                <w:rFonts w:asciiTheme="minorHAnsi" w:hAnsiTheme="minorHAnsi"/>
                <w:color w:val="000000"/>
                <w:sz w:val="22"/>
                <w:szCs w:val="22"/>
              </w:rPr>
            </w:pPr>
            <w:r w:rsidRPr="00BA0E01">
              <w:rPr>
                <w:rFonts w:asciiTheme="minorHAnsi" w:hAnsiTheme="minorHAnsi"/>
                <w:color w:val="000000"/>
                <w:sz w:val="22"/>
                <w:szCs w:val="22"/>
              </w:rPr>
              <w:t>Delayed/inadequate/inappropriate referral</w:t>
            </w:r>
          </w:p>
        </w:tc>
        <w:tc>
          <w:tcPr>
            <w:tcW w:w="1842" w:type="dxa"/>
            <w:noWrap/>
            <w:vAlign w:val="center"/>
          </w:tcPr>
          <w:p w14:paraId="17F388A4" w14:textId="3EFC9802"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3</w:t>
            </w:r>
          </w:p>
        </w:tc>
        <w:tc>
          <w:tcPr>
            <w:tcW w:w="1843" w:type="dxa"/>
            <w:vAlign w:val="center"/>
          </w:tcPr>
          <w:p w14:paraId="74CDAEC0" w14:textId="3CB69FBA"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0.6%</w:t>
            </w:r>
          </w:p>
        </w:tc>
      </w:tr>
      <w:tr w:rsidR="00552AE7" w:rsidRPr="00BA0E01" w14:paraId="7AD8E1BE" w14:textId="77777777" w:rsidTr="00901F8B">
        <w:trPr>
          <w:trHeight w:val="312"/>
        </w:trPr>
        <w:tc>
          <w:tcPr>
            <w:tcW w:w="5637" w:type="dxa"/>
            <w:noWrap/>
            <w:vAlign w:val="bottom"/>
          </w:tcPr>
          <w:p w14:paraId="0DE8AD75" w14:textId="6EB4CB69" w:rsidR="00552AE7" w:rsidRPr="00BA0E01" w:rsidRDefault="00552AE7" w:rsidP="00552AE7">
            <w:pPr>
              <w:jc w:val="left"/>
              <w:rPr>
                <w:rFonts w:asciiTheme="minorHAnsi" w:hAnsiTheme="minorHAnsi"/>
                <w:color w:val="000000"/>
                <w:sz w:val="22"/>
                <w:szCs w:val="22"/>
              </w:rPr>
            </w:pPr>
            <w:r w:rsidRPr="00BA0E01">
              <w:rPr>
                <w:rFonts w:asciiTheme="minorHAnsi" w:hAnsiTheme="minorHAnsi"/>
                <w:color w:val="000000"/>
                <w:sz w:val="22"/>
                <w:szCs w:val="22"/>
              </w:rPr>
              <w:t>Inadequate coordination of care/treatment</w:t>
            </w:r>
          </w:p>
        </w:tc>
        <w:tc>
          <w:tcPr>
            <w:tcW w:w="1842" w:type="dxa"/>
            <w:noWrap/>
            <w:vAlign w:val="center"/>
          </w:tcPr>
          <w:p w14:paraId="325315CE" w14:textId="21663960"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7</w:t>
            </w:r>
          </w:p>
        </w:tc>
        <w:tc>
          <w:tcPr>
            <w:tcW w:w="1843" w:type="dxa"/>
            <w:vAlign w:val="center"/>
          </w:tcPr>
          <w:p w14:paraId="3878516F" w14:textId="32B2402D"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1.5%</w:t>
            </w:r>
          </w:p>
        </w:tc>
      </w:tr>
      <w:tr w:rsidR="00901F8B" w:rsidRPr="00BA0E01" w14:paraId="688F428D" w14:textId="77777777" w:rsidTr="00901F8B">
        <w:trPr>
          <w:trHeight w:val="312"/>
        </w:trPr>
        <w:tc>
          <w:tcPr>
            <w:tcW w:w="5637" w:type="dxa"/>
            <w:noWrap/>
            <w:vAlign w:val="bottom"/>
          </w:tcPr>
          <w:p w14:paraId="58D2741F" w14:textId="4475B323" w:rsidR="00901F8B" w:rsidRPr="00BA0E01" w:rsidRDefault="00901F8B" w:rsidP="001918F5">
            <w:pPr>
              <w:jc w:val="left"/>
              <w:rPr>
                <w:color w:val="000000"/>
                <w:szCs w:val="22"/>
              </w:rPr>
            </w:pPr>
            <w:r>
              <w:rPr>
                <w:color w:val="000000"/>
                <w:szCs w:val="22"/>
              </w:rPr>
              <w:t>Inadequate/inappropriate care</w:t>
            </w:r>
          </w:p>
        </w:tc>
        <w:tc>
          <w:tcPr>
            <w:tcW w:w="1842" w:type="dxa"/>
            <w:noWrap/>
            <w:vAlign w:val="center"/>
          </w:tcPr>
          <w:p w14:paraId="1CBDC113" w14:textId="72662985" w:rsidR="00901F8B" w:rsidRPr="00BA0E01" w:rsidRDefault="00901F8B">
            <w:pPr>
              <w:jc w:val="center"/>
              <w:rPr>
                <w:color w:val="000000"/>
                <w:szCs w:val="22"/>
              </w:rPr>
            </w:pPr>
            <w:r>
              <w:rPr>
                <w:color w:val="000000"/>
                <w:szCs w:val="22"/>
              </w:rPr>
              <w:t>4</w:t>
            </w:r>
          </w:p>
        </w:tc>
        <w:tc>
          <w:tcPr>
            <w:tcW w:w="1843" w:type="dxa"/>
            <w:vAlign w:val="center"/>
          </w:tcPr>
          <w:p w14:paraId="36A4BA63" w14:textId="67C719BC" w:rsidR="00901F8B" w:rsidRPr="00BA0E01" w:rsidRDefault="00901F8B">
            <w:pPr>
              <w:jc w:val="center"/>
              <w:rPr>
                <w:color w:val="000000"/>
                <w:szCs w:val="22"/>
              </w:rPr>
            </w:pPr>
            <w:r>
              <w:rPr>
                <w:color w:val="000000"/>
                <w:szCs w:val="22"/>
              </w:rPr>
              <w:t>0.8%</w:t>
            </w:r>
          </w:p>
        </w:tc>
      </w:tr>
      <w:tr w:rsidR="001918F5" w:rsidRPr="00BA0E01" w14:paraId="4175E2EC" w14:textId="77777777" w:rsidTr="00901F8B">
        <w:trPr>
          <w:trHeight w:val="312"/>
        </w:trPr>
        <w:tc>
          <w:tcPr>
            <w:tcW w:w="5637" w:type="dxa"/>
            <w:noWrap/>
            <w:vAlign w:val="bottom"/>
          </w:tcPr>
          <w:p w14:paraId="26EDE440" w14:textId="76D11D77" w:rsidR="001918F5" w:rsidRPr="00BA0E01" w:rsidRDefault="001918F5" w:rsidP="001918F5">
            <w:pPr>
              <w:jc w:val="left"/>
              <w:rPr>
                <w:color w:val="000000"/>
                <w:szCs w:val="22"/>
              </w:rPr>
            </w:pPr>
            <w:r w:rsidRPr="00BA0E01">
              <w:rPr>
                <w:rFonts w:asciiTheme="minorHAnsi" w:hAnsiTheme="minorHAnsi"/>
                <w:color w:val="000000"/>
                <w:sz w:val="22"/>
                <w:szCs w:val="22"/>
              </w:rPr>
              <w:t>Inadequate/inappropriate</w:t>
            </w:r>
            <w:r>
              <w:rPr>
                <w:rFonts w:asciiTheme="minorHAnsi" w:hAnsiTheme="minorHAnsi"/>
                <w:color w:val="000000"/>
                <w:sz w:val="22"/>
                <w:szCs w:val="22"/>
              </w:rPr>
              <w:t xml:space="preserve"> clinical</w:t>
            </w:r>
            <w:r w:rsidRPr="00BA0E01">
              <w:rPr>
                <w:rFonts w:asciiTheme="minorHAnsi" w:hAnsiTheme="minorHAnsi"/>
                <w:color w:val="000000"/>
                <w:sz w:val="22"/>
                <w:szCs w:val="22"/>
              </w:rPr>
              <w:t xml:space="preserve"> treatment</w:t>
            </w:r>
          </w:p>
        </w:tc>
        <w:tc>
          <w:tcPr>
            <w:tcW w:w="1842" w:type="dxa"/>
            <w:noWrap/>
            <w:vAlign w:val="center"/>
          </w:tcPr>
          <w:p w14:paraId="0F5A31E9" w14:textId="4F6466C0" w:rsidR="001918F5" w:rsidRPr="00BA0E01" w:rsidRDefault="001918F5">
            <w:pPr>
              <w:jc w:val="center"/>
              <w:rPr>
                <w:color w:val="000000"/>
                <w:szCs w:val="22"/>
              </w:rPr>
            </w:pPr>
            <w:r w:rsidRPr="00BA0E01">
              <w:rPr>
                <w:rFonts w:asciiTheme="minorHAnsi" w:hAnsiTheme="minorHAnsi"/>
                <w:color w:val="000000"/>
                <w:sz w:val="22"/>
                <w:szCs w:val="22"/>
              </w:rPr>
              <w:t>37</w:t>
            </w:r>
          </w:p>
        </w:tc>
        <w:tc>
          <w:tcPr>
            <w:tcW w:w="1843" w:type="dxa"/>
            <w:vAlign w:val="center"/>
          </w:tcPr>
          <w:p w14:paraId="12397623" w14:textId="59C6ABCA" w:rsidR="001918F5" w:rsidRPr="00BA0E01" w:rsidRDefault="001918F5">
            <w:pPr>
              <w:jc w:val="center"/>
              <w:rPr>
                <w:color w:val="000000"/>
                <w:szCs w:val="22"/>
              </w:rPr>
            </w:pPr>
            <w:r w:rsidRPr="00BA0E01">
              <w:rPr>
                <w:rFonts w:asciiTheme="minorHAnsi" w:hAnsiTheme="minorHAnsi"/>
                <w:color w:val="000000"/>
                <w:sz w:val="22"/>
                <w:szCs w:val="22"/>
              </w:rPr>
              <w:t>7.8%</w:t>
            </w:r>
          </w:p>
        </w:tc>
      </w:tr>
      <w:tr w:rsidR="00552AE7" w:rsidRPr="00BA0E01" w14:paraId="3258FCFE" w14:textId="77777777" w:rsidTr="00901F8B">
        <w:trPr>
          <w:trHeight w:val="312"/>
        </w:trPr>
        <w:tc>
          <w:tcPr>
            <w:tcW w:w="5637" w:type="dxa"/>
            <w:noWrap/>
            <w:vAlign w:val="bottom"/>
          </w:tcPr>
          <w:p w14:paraId="79F9833D" w14:textId="1344D715" w:rsidR="00552AE7" w:rsidRPr="00BA0E01" w:rsidRDefault="00552AE7" w:rsidP="00552AE7">
            <w:pPr>
              <w:jc w:val="left"/>
              <w:rPr>
                <w:rFonts w:asciiTheme="minorHAnsi" w:hAnsiTheme="minorHAnsi"/>
                <w:color w:val="000000"/>
                <w:sz w:val="22"/>
                <w:szCs w:val="22"/>
              </w:rPr>
            </w:pPr>
            <w:r w:rsidRPr="00BA0E01">
              <w:rPr>
                <w:rFonts w:asciiTheme="minorHAnsi" w:hAnsiTheme="minorHAnsi"/>
                <w:color w:val="000000"/>
                <w:sz w:val="22"/>
                <w:szCs w:val="22"/>
              </w:rPr>
              <w:t>Inadequate/inappropriate examination/assessment</w:t>
            </w:r>
          </w:p>
        </w:tc>
        <w:tc>
          <w:tcPr>
            <w:tcW w:w="1842" w:type="dxa"/>
            <w:noWrap/>
            <w:vAlign w:val="center"/>
          </w:tcPr>
          <w:p w14:paraId="742CC5A0" w14:textId="0902D470"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17</w:t>
            </w:r>
          </w:p>
        </w:tc>
        <w:tc>
          <w:tcPr>
            <w:tcW w:w="1843" w:type="dxa"/>
            <w:vAlign w:val="center"/>
          </w:tcPr>
          <w:p w14:paraId="74A67EBD" w14:textId="2C4C4D27"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3.6%</w:t>
            </w:r>
          </w:p>
        </w:tc>
      </w:tr>
      <w:tr w:rsidR="00552AE7" w:rsidRPr="00BA0E01" w14:paraId="37C5E110" w14:textId="77777777" w:rsidTr="00901F8B">
        <w:trPr>
          <w:trHeight w:val="312"/>
        </w:trPr>
        <w:tc>
          <w:tcPr>
            <w:tcW w:w="5637" w:type="dxa"/>
            <w:noWrap/>
            <w:vAlign w:val="bottom"/>
          </w:tcPr>
          <w:p w14:paraId="1AEE5825" w14:textId="52FBFA9F" w:rsidR="00552AE7" w:rsidRPr="00BA0E01" w:rsidRDefault="00552AE7" w:rsidP="00552AE7">
            <w:pPr>
              <w:jc w:val="left"/>
              <w:rPr>
                <w:rFonts w:asciiTheme="minorHAnsi" w:hAnsiTheme="minorHAnsi"/>
                <w:color w:val="000000"/>
                <w:sz w:val="22"/>
                <w:szCs w:val="22"/>
              </w:rPr>
            </w:pPr>
            <w:r w:rsidRPr="00BA0E01">
              <w:rPr>
                <w:rFonts w:asciiTheme="minorHAnsi" w:hAnsiTheme="minorHAnsi"/>
                <w:color w:val="000000"/>
                <w:sz w:val="22"/>
                <w:szCs w:val="22"/>
              </w:rPr>
              <w:t>Inadequate/inappropriate follow-up</w:t>
            </w:r>
          </w:p>
        </w:tc>
        <w:tc>
          <w:tcPr>
            <w:tcW w:w="1842" w:type="dxa"/>
            <w:noWrap/>
            <w:vAlign w:val="center"/>
          </w:tcPr>
          <w:p w14:paraId="44B83BF0" w14:textId="4658C528"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19</w:t>
            </w:r>
          </w:p>
        </w:tc>
        <w:tc>
          <w:tcPr>
            <w:tcW w:w="1843" w:type="dxa"/>
            <w:vAlign w:val="center"/>
          </w:tcPr>
          <w:p w14:paraId="6AE03E60" w14:textId="7FA55678"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4.0%</w:t>
            </w:r>
          </w:p>
        </w:tc>
      </w:tr>
      <w:tr w:rsidR="00552AE7" w:rsidRPr="00BA0E01" w14:paraId="10F49F9F" w14:textId="77777777" w:rsidTr="00901F8B">
        <w:trPr>
          <w:trHeight w:val="312"/>
        </w:trPr>
        <w:tc>
          <w:tcPr>
            <w:tcW w:w="5637" w:type="dxa"/>
            <w:noWrap/>
            <w:vAlign w:val="bottom"/>
          </w:tcPr>
          <w:p w14:paraId="3D57E3C7" w14:textId="27CA963B" w:rsidR="00552AE7" w:rsidRPr="00BA0E01" w:rsidRDefault="00552AE7" w:rsidP="00552AE7">
            <w:pPr>
              <w:jc w:val="left"/>
              <w:rPr>
                <w:rFonts w:asciiTheme="minorHAnsi" w:hAnsiTheme="minorHAnsi"/>
                <w:color w:val="000000"/>
                <w:sz w:val="22"/>
                <w:szCs w:val="22"/>
              </w:rPr>
            </w:pPr>
            <w:r w:rsidRPr="00BA0E01">
              <w:rPr>
                <w:rFonts w:asciiTheme="minorHAnsi" w:hAnsiTheme="minorHAnsi"/>
                <w:color w:val="000000"/>
                <w:sz w:val="22"/>
                <w:szCs w:val="22"/>
              </w:rPr>
              <w:t>Inadequate/inappropriate monitoring</w:t>
            </w:r>
          </w:p>
        </w:tc>
        <w:tc>
          <w:tcPr>
            <w:tcW w:w="1842" w:type="dxa"/>
            <w:noWrap/>
            <w:vAlign w:val="center"/>
          </w:tcPr>
          <w:p w14:paraId="6FCA0F46" w14:textId="02CC0F8C"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1</w:t>
            </w:r>
          </w:p>
        </w:tc>
        <w:tc>
          <w:tcPr>
            <w:tcW w:w="1843" w:type="dxa"/>
            <w:vAlign w:val="center"/>
          </w:tcPr>
          <w:p w14:paraId="35B8E34C" w14:textId="02F5B515"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0.2%</w:t>
            </w:r>
          </w:p>
        </w:tc>
      </w:tr>
      <w:tr w:rsidR="00552AE7" w:rsidRPr="00BA0E01" w14:paraId="49EC0527" w14:textId="77777777" w:rsidTr="00901F8B">
        <w:trPr>
          <w:trHeight w:val="312"/>
        </w:trPr>
        <w:tc>
          <w:tcPr>
            <w:tcW w:w="5637" w:type="dxa"/>
            <w:noWrap/>
            <w:vAlign w:val="bottom"/>
          </w:tcPr>
          <w:p w14:paraId="139C5568" w14:textId="61D9D31F" w:rsidR="00552AE7" w:rsidRPr="00BA0E01" w:rsidRDefault="00552AE7" w:rsidP="00552AE7">
            <w:pPr>
              <w:jc w:val="left"/>
              <w:rPr>
                <w:rFonts w:asciiTheme="minorHAnsi" w:hAnsiTheme="minorHAnsi"/>
                <w:color w:val="000000"/>
                <w:sz w:val="22"/>
                <w:szCs w:val="22"/>
              </w:rPr>
            </w:pPr>
            <w:r w:rsidRPr="00BA0E01">
              <w:rPr>
                <w:rFonts w:asciiTheme="minorHAnsi" w:hAnsiTheme="minorHAnsi"/>
                <w:color w:val="000000"/>
                <w:sz w:val="22"/>
                <w:szCs w:val="22"/>
              </w:rPr>
              <w:t>Inadequate/inappropriate testing</w:t>
            </w:r>
          </w:p>
        </w:tc>
        <w:tc>
          <w:tcPr>
            <w:tcW w:w="1842" w:type="dxa"/>
            <w:noWrap/>
            <w:vAlign w:val="center"/>
          </w:tcPr>
          <w:p w14:paraId="6F85248F" w14:textId="0C7867CD"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2</w:t>
            </w:r>
          </w:p>
        </w:tc>
        <w:tc>
          <w:tcPr>
            <w:tcW w:w="1843" w:type="dxa"/>
            <w:vAlign w:val="center"/>
          </w:tcPr>
          <w:p w14:paraId="61D8817A" w14:textId="722DE84D"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0.4%</w:t>
            </w:r>
          </w:p>
        </w:tc>
      </w:tr>
      <w:tr w:rsidR="00552AE7" w:rsidRPr="00BA0E01" w14:paraId="2EB067A6" w14:textId="77777777" w:rsidTr="00901F8B">
        <w:trPr>
          <w:trHeight w:val="312"/>
        </w:trPr>
        <w:tc>
          <w:tcPr>
            <w:tcW w:w="5637" w:type="dxa"/>
            <w:noWrap/>
            <w:vAlign w:val="bottom"/>
          </w:tcPr>
          <w:p w14:paraId="4903A50A" w14:textId="7C8533BC" w:rsidR="00552AE7" w:rsidRPr="00BA0E01" w:rsidRDefault="00552AE7" w:rsidP="00552AE7">
            <w:pPr>
              <w:jc w:val="left"/>
              <w:rPr>
                <w:rFonts w:asciiTheme="minorHAnsi" w:hAnsiTheme="minorHAnsi"/>
                <w:color w:val="000000"/>
                <w:sz w:val="22"/>
                <w:szCs w:val="22"/>
              </w:rPr>
            </w:pPr>
            <w:r w:rsidRPr="00BA0E01">
              <w:rPr>
                <w:rFonts w:asciiTheme="minorHAnsi" w:hAnsiTheme="minorHAnsi"/>
                <w:color w:val="000000"/>
                <w:sz w:val="22"/>
                <w:szCs w:val="22"/>
              </w:rPr>
              <w:t>Inappropriate withdrawal of treatment</w:t>
            </w:r>
          </w:p>
        </w:tc>
        <w:tc>
          <w:tcPr>
            <w:tcW w:w="1842" w:type="dxa"/>
            <w:noWrap/>
            <w:vAlign w:val="center"/>
          </w:tcPr>
          <w:p w14:paraId="2BDF538A" w14:textId="0AA7EF87"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5</w:t>
            </w:r>
          </w:p>
        </w:tc>
        <w:tc>
          <w:tcPr>
            <w:tcW w:w="1843" w:type="dxa"/>
            <w:vAlign w:val="center"/>
          </w:tcPr>
          <w:p w14:paraId="3194A5FB" w14:textId="06EC1822"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1.1%</w:t>
            </w:r>
          </w:p>
        </w:tc>
      </w:tr>
      <w:tr w:rsidR="00552AE7" w:rsidRPr="00BA0E01" w14:paraId="1C6FF369" w14:textId="77777777" w:rsidTr="00901F8B">
        <w:trPr>
          <w:trHeight w:val="312"/>
        </w:trPr>
        <w:tc>
          <w:tcPr>
            <w:tcW w:w="5637" w:type="dxa"/>
            <w:noWrap/>
            <w:vAlign w:val="bottom"/>
          </w:tcPr>
          <w:p w14:paraId="01529C5F" w14:textId="1D1EAD95" w:rsidR="00552AE7" w:rsidRPr="00BA0E01" w:rsidRDefault="00552AE7" w:rsidP="00552AE7">
            <w:pPr>
              <w:jc w:val="left"/>
              <w:rPr>
                <w:rFonts w:asciiTheme="minorHAnsi" w:hAnsiTheme="minorHAnsi"/>
                <w:color w:val="000000"/>
                <w:sz w:val="22"/>
                <w:szCs w:val="22"/>
              </w:rPr>
            </w:pPr>
            <w:r w:rsidRPr="00BA0E01">
              <w:rPr>
                <w:rFonts w:asciiTheme="minorHAnsi" w:hAnsiTheme="minorHAnsi"/>
                <w:color w:val="000000"/>
                <w:sz w:val="22"/>
                <w:szCs w:val="22"/>
              </w:rPr>
              <w:t>Inappropriate/delayed discharge/transfer</w:t>
            </w:r>
          </w:p>
        </w:tc>
        <w:tc>
          <w:tcPr>
            <w:tcW w:w="1842" w:type="dxa"/>
            <w:noWrap/>
            <w:vAlign w:val="center"/>
          </w:tcPr>
          <w:p w14:paraId="59459FCF" w14:textId="3C0134FD"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9</w:t>
            </w:r>
          </w:p>
        </w:tc>
        <w:tc>
          <w:tcPr>
            <w:tcW w:w="1843" w:type="dxa"/>
            <w:vAlign w:val="center"/>
          </w:tcPr>
          <w:p w14:paraId="5F10A3FC" w14:textId="4ED74578"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1.9%</w:t>
            </w:r>
          </w:p>
        </w:tc>
      </w:tr>
      <w:tr w:rsidR="00552AE7" w:rsidRPr="00BA0E01" w14:paraId="1410D370" w14:textId="77777777" w:rsidTr="00901F8B">
        <w:trPr>
          <w:trHeight w:val="312"/>
        </w:trPr>
        <w:tc>
          <w:tcPr>
            <w:tcW w:w="5637" w:type="dxa"/>
            <w:noWrap/>
            <w:vAlign w:val="bottom"/>
          </w:tcPr>
          <w:p w14:paraId="0DD9B619" w14:textId="0C3BB601" w:rsidR="00552AE7" w:rsidRPr="00BA0E01" w:rsidRDefault="00552AE7" w:rsidP="00552AE7">
            <w:pPr>
              <w:jc w:val="left"/>
              <w:rPr>
                <w:rFonts w:asciiTheme="minorHAnsi" w:hAnsiTheme="minorHAnsi"/>
                <w:color w:val="000000"/>
                <w:sz w:val="22"/>
                <w:szCs w:val="22"/>
              </w:rPr>
            </w:pPr>
            <w:r w:rsidRPr="00BA0E01">
              <w:rPr>
                <w:rFonts w:asciiTheme="minorHAnsi" w:hAnsiTheme="minorHAnsi"/>
                <w:color w:val="000000"/>
                <w:sz w:val="22"/>
                <w:szCs w:val="22"/>
              </w:rPr>
              <w:t>Missed/incorrect/delayed diagnosis</w:t>
            </w:r>
          </w:p>
        </w:tc>
        <w:tc>
          <w:tcPr>
            <w:tcW w:w="1842" w:type="dxa"/>
            <w:noWrap/>
            <w:vAlign w:val="center"/>
          </w:tcPr>
          <w:p w14:paraId="742BA456" w14:textId="59779B66"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66</w:t>
            </w:r>
          </w:p>
        </w:tc>
        <w:tc>
          <w:tcPr>
            <w:tcW w:w="1843" w:type="dxa"/>
            <w:vAlign w:val="center"/>
          </w:tcPr>
          <w:p w14:paraId="494C6D7B" w14:textId="5AC7FFBE"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1</w:t>
            </w:r>
            <w:r w:rsidR="00A16504">
              <w:rPr>
                <w:rFonts w:asciiTheme="minorHAnsi" w:hAnsiTheme="minorHAnsi"/>
                <w:color w:val="000000"/>
                <w:sz w:val="22"/>
                <w:szCs w:val="22"/>
              </w:rPr>
              <w:t>4.0</w:t>
            </w:r>
            <w:r w:rsidRPr="00BA0E01">
              <w:rPr>
                <w:rFonts w:asciiTheme="minorHAnsi" w:hAnsiTheme="minorHAnsi"/>
                <w:color w:val="000000"/>
                <w:sz w:val="22"/>
                <w:szCs w:val="22"/>
              </w:rPr>
              <w:t>%</w:t>
            </w:r>
          </w:p>
        </w:tc>
      </w:tr>
      <w:tr w:rsidR="00552AE7" w:rsidRPr="00BA0E01" w14:paraId="727B2DB9" w14:textId="77777777" w:rsidTr="00901F8B">
        <w:trPr>
          <w:trHeight w:val="312"/>
        </w:trPr>
        <w:tc>
          <w:tcPr>
            <w:tcW w:w="5637" w:type="dxa"/>
            <w:noWrap/>
            <w:vAlign w:val="bottom"/>
          </w:tcPr>
          <w:p w14:paraId="648C3BAA" w14:textId="51F5FD15" w:rsidR="00552AE7" w:rsidRPr="00BA0E01" w:rsidRDefault="00552AE7" w:rsidP="00552AE7">
            <w:pPr>
              <w:jc w:val="left"/>
              <w:rPr>
                <w:rFonts w:asciiTheme="minorHAnsi" w:hAnsiTheme="minorHAnsi"/>
                <w:color w:val="000000"/>
                <w:sz w:val="22"/>
                <w:szCs w:val="22"/>
              </w:rPr>
            </w:pPr>
            <w:r w:rsidRPr="00BA0E01">
              <w:rPr>
                <w:rFonts w:asciiTheme="minorHAnsi" w:hAnsiTheme="minorHAnsi"/>
                <w:color w:val="000000"/>
                <w:sz w:val="22"/>
                <w:szCs w:val="22"/>
              </w:rPr>
              <w:t>Refusal to treat</w:t>
            </w:r>
          </w:p>
        </w:tc>
        <w:tc>
          <w:tcPr>
            <w:tcW w:w="1842" w:type="dxa"/>
            <w:noWrap/>
            <w:vAlign w:val="center"/>
          </w:tcPr>
          <w:p w14:paraId="72D9C9A3" w14:textId="3E8C21FF"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3</w:t>
            </w:r>
          </w:p>
        </w:tc>
        <w:tc>
          <w:tcPr>
            <w:tcW w:w="1843" w:type="dxa"/>
            <w:vAlign w:val="center"/>
          </w:tcPr>
          <w:p w14:paraId="28196D19" w14:textId="3E8EC897"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0.6%</w:t>
            </w:r>
          </w:p>
        </w:tc>
      </w:tr>
      <w:tr w:rsidR="00552AE7" w:rsidRPr="00BA0E01" w14:paraId="64DE9B5B" w14:textId="77777777" w:rsidTr="00901F8B">
        <w:trPr>
          <w:trHeight w:val="312"/>
        </w:trPr>
        <w:tc>
          <w:tcPr>
            <w:tcW w:w="5637" w:type="dxa"/>
            <w:noWrap/>
            <w:vAlign w:val="bottom"/>
          </w:tcPr>
          <w:p w14:paraId="7A9603A5" w14:textId="64FAE40C" w:rsidR="00552AE7" w:rsidRPr="00BA0E01" w:rsidRDefault="00552AE7" w:rsidP="00552AE7">
            <w:pPr>
              <w:jc w:val="left"/>
              <w:rPr>
                <w:rFonts w:asciiTheme="minorHAnsi" w:hAnsiTheme="minorHAnsi"/>
                <w:color w:val="000000"/>
                <w:sz w:val="22"/>
                <w:szCs w:val="22"/>
              </w:rPr>
            </w:pPr>
            <w:r w:rsidRPr="00BA0E01">
              <w:rPr>
                <w:rFonts w:asciiTheme="minorHAnsi" w:hAnsiTheme="minorHAnsi"/>
                <w:color w:val="000000"/>
                <w:sz w:val="22"/>
                <w:szCs w:val="22"/>
              </w:rPr>
              <w:t>Rough/painful care/treatment</w:t>
            </w:r>
          </w:p>
        </w:tc>
        <w:tc>
          <w:tcPr>
            <w:tcW w:w="1842" w:type="dxa"/>
            <w:noWrap/>
            <w:vAlign w:val="center"/>
          </w:tcPr>
          <w:p w14:paraId="6816D171" w14:textId="7A7F7D1E"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4</w:t>
            </w:r>
          </w:p>
        </w:tc>
        <w:tc>
          <w:tcPr>
            <w:tcW w:w="1843" w:type="dxa"/>
            <w:vAlign w:val="center"/>
          </w:tcPr>
          <w:p w14:paraId="4E6DC9AC" w14:textId="19716194"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0.8%</w:t>
            </w:r>
          </w:p>
        </w:tc>
      </w:tr>
      <w:tr w:rsidR="00552AE7" w:rsidRPr="00BA0E01" w14:paraId="38EDC862" w14:textId="77777777" w:rsidTr="00901F8B">
        <w:trPr>
          <w:trHeight w:val="312"/>
        </w:trPr>
        <w:tc>
          <w:tcPr>
            <w:tcW w:w="5637" w:type="dxa"/>
            <w:noWrap/>
            <w:vAlign w:val="bottom"/>
          </w:tcPr>
          <w:p w14:paraId="4AFAE406" w14:textId="080B7CE6" w:rsidR="00552AE7" w:rsidRPr="00BA0E01" w:rsidRDefault="00552AE7" w:rsidP="00552AE7">
            <w:pPr>
              <w:jc w:val="left"/>
              <w:rPr>
                <w:rFonts w:asciiTheme="minorHAnsi" w:hAnsiTheme="minorHAnsi"/>
                <w:color w:val="000000"/>
                <w:sz w:val="22"/>
                <w:szCs w:val="22"/>
              </w:rPr>
            </w:pPr>
            <w:r w:rsidRPr="00BA0E01">
              <w:rPr>
                <w:rFonts w:asciiTheme="minorHAnsi" w:hAnsiTheme="minorHAnsi"/>
                <w:color w:val="000000"/>
                <w:sz w:val="22"/>
                <w:szCs w:val="22"/>
              </w:rPr>
              <w:t>Unexpected treatment outcome</w:t>
            </w:r>
          </w:p>
        </w:tc>
        <w:tc>
          <w:tcPr>
            <w:tcW w:w="1842" w:type="dxa"/>
            <w:noWrap/>
            <w:vAlign w:val="center"/>
          </w:tcPr>
          <w:p w14:paraId="160A9E96" w14:textId="31F52042"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44</w:t>
            </w:r>
          </w:p>
        </w:tc>
        <w:tc>
          <w:tcPr>
            <w:tcW w:w="1843" w:type="dxa"/>
            <w:vAlign w:val="center"/>
          </w:tcPr>
          <w:p w14:paraId="3072A341" w14:textId="60FDF5DA"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9.3%</w:t>
            </w:r>
          </w:p>
        </w:tc>
      </w:tr>
      <w:tr w:rsidR="00552AE7" w:rsidRPr="00BA0E01" w14:paraId="18266284" w14:textId="77777777" w:rsidTr="00901F8B">
        <w:trPr>
          <w:trHeight w:val="312"/>
        </w:trPr>
        <w:tc>
          <w:tcPr>
            <w:tcW w:w="5637" w:type="dxa"/>
            <w:noWrap/>
            <w:vAlign w:val="bottom"/>
          </w:tcPr>
          <w:p w14:paraId="152D344A" w14:textId="3BC3438B" w:rsidR="00552AE7" w:rsidRPr="00BA0E01" w:rsidRDefault="00552AE7" w:rsidP="00552AE7">
            <w:pPr>
              <w:jc w:val="left"/>
              <w:rPr>
                <w:rFonts w:asciiTheme="minorHAnsi" w:hAnsiTheme="minorHAnsi"/>
                <w:color w:val="000000"/>
                <w:sz w:val="22"/>
                <w:szCs w:val="22"/>
              </w:rPr>
            </w:pPr>
            <w:r w:rsidRPr="00BA0E01">
              <w:rPr>
                <w:rFonts w:asciiTheme="minorHAnsi" w:hAnsiTheme="minorHAnsi"/>
                <w:color w:val="000000"/>
                <w:sz w:val="22"/>
                <w:szCs w:val="22"/>
              </w:rPr>
              <w:t>Unnecessary treatment/over-servicing</w:t>
            </w:r>
          </w:p>
        </w:tc>
        <w:tc>
          <w:tcPr>
            <w:tcW w:w="1842" w:type="dxa"/>
            <w:noWrap/>
            <w:vAlign w:val="center"/>
          </w:tcPr>
          <w:p w14:paraId="023BC8D0" w14:textId="2E146800"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1</w:t>
            </w:r>
          </w:p>
        </w:tc>
        <w:tc>
          <w:tcPr>
            <w:tcW w:w="1843" w:type="dxa"/>
            <w:vAlign w:val="center"/>
          </w:tcPr>
          <w:p w14:paraId="4A938371" w14:textId="2D5FEC57"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0.2%</w:t>
            </w:r>
          </w:p>
        </w:tc>
      </w:tr>
      <w:tr w:rsidR="00841E1C" w:rsidRPr="00BA0E01" w14:paraId="733EF400" w14:textId="77777777" w:rsidTr="00901F8B">
        <w:trPr>
          <w:trHeight w:val="312"/>
        </w:trPr>
        <w:tc>
          <w:tcPr>
            <w:tcW w:w="5637" w:type="dxa"/>
            <w:shd w:val="clear" w:color="auto" w:fill="D9D9D9" w:themeFill="background1" w:themeFillShade="D9"/>
            <w:noWrap/>
          </w:tcPr>
          <w:p w14:paraId="139E31FB" w14:textId="77777777" w:rsidR="00841E1C" w:rsidRPr="00BA0E01" w:rsidRDefault="00841E1C" w:rsidP="00841E1C">
            <w:pPr>
              <w:jc w:val="left"/>
              <w:rPr>
                <w:rFonts w:asciiTheme="minorHAnsi" w:hAnsiTheme="minorHAnsi"/>
                <w:b/>
                <w:color w:val="000000"/>
                <w:sz w:val="22"/>
                <w:szCs w:val="22"/>
                <w:lang w:bidi="ar-SA"/>
              </w:rPr>
            </w:pPr>
            <w:r w:rsidRPr="00BA0E01">
              <w:rPr>
                <w:rFonts w:asciiTheme="minorHAnsi" w:hAnsiTheme="minorHAnsi"/>
                <w:b/>
                <w:color w:val="000000"/>
                <w:sz w:val="22"/>
                <w:szCs w:val="22"/>
                <w:lang w:bidi="ar-SA"/>
              </w:rPr>
              <w:t>Communication</w:t>
            </w:r>
          </w:p>
        </w:tc>
        <w:tc>
          <w:tcPr>
            <w:tcW w:w="1842" w:type="dxa"/>
            <w:shd w:val="clear" w:color="auto" w:fill="D9D9D9" w:themeFill="background1" w:themeFillShade="D9"/>
            <w:noWrap/>
            <w:vAlign w:val="center"/>
          </w:tcPr>
          <w:p w14:paraId="36F01D5C" w14:textId="5A457C39" w:rsidR="00841E1C" w:rsidRPr="00BA0E01" w:rsidRDefault="000C2A30">
            <w:pPr>
              <w:jc w:val="center"/>
              <w:rPr>
                <w:rFonts w:asciiTheme="minorHAnsi" w:hAnsiTheme="minorHAnsi"/>
                <w:b/>
                <w:color w:val="000000"/>
                <w:sz w:val="22"/>
                <w:szCs w:val="22"/>
                <w:lang w:bidi="ar-SA"/>
              </w:rPr>
            </w:pPr>
            <w:r w:rsidRPr="00BA0E01">
              <w:rPr>
                <w:rFonts w:asciiTheme="minorHAnsi" w:hAnsiTheme="minorHAnsi"/>
                <w:b/>
                <w:color w:val="000000"/>
                <w:sz w:val="22"/>
                <w:szCs w:val="22"/>
                <w:lang w:bidi="ar-SA"/>
              </w:rPr>
              <w:t>3</w:t>
            </w:r>
            <w:r w:rsidR="00DE03A0" w:rsidRPr="00BA0E01">
              <w:rPr>
                <w:rFonts w:asciiTheme="minorHAnsi" w:hAnsiTheme="minorHAnsi"/>
                <w:b/>
                <w:color w:val="000000"/>
                <w:sz w:val="22"/>
                <w:szCs w:val="22"/>
                <w:lang w:bidi="ar-SA"/>
              </w:rPr>
              <w:t>6</w:t>
            </w:r>
          </w:p>
        </w:tc>
        <w:tc>
          <w:tcPr>
            <w:tcW w:w="1843" w:type="dxa"/>
            <w:shd w:val="clear" w:color="auto" w:fill="D9D9D9" w:themeFill="background1" w:themeFillShade="D9"/>
            <w:vAlign w:val="center"/>
          </w:tcPr>
          <w:p w14:paraId="34A32E96" w14:textId="3A76F310" w:rsidR="00841E1C" w:rsidRPr="00BA0E01" w:rsidRDefault="00BA0E01">
            <w:pPr>
              <w:jc w:val="center"/>
              <w:rPr>
                <w:rFonts w:asciiTheme="minorHAnsi" w:hAnsiTheme="minorHAnsi"/>
                <w:b/>
                <w:color w:val="000000"/>
                <w:sz w:val="22"/>
                <w:szCs w:val="22"/>
              </w:rPr>
            </w:pPr>
            <w:r w:rsidRPr="00BA0E01">
              <w:rPr>
                <w:rFonts w:asciiTheme="minorHAnsi" w:hAnsiTheme="minorHAnsi"/>
                <w:b/>
                <w:color w:val="000000"/>
                <w:sz w:val="22"/>
                <w:szCs w:val="22"/>
              </w:rPr>
              <w:t>7.6</w:t>
            </w:r>
            <w:r w:rsidR="00552AE7" w:rsidRPr="00BA0E01">
              <w:rPr>
                <w:rFonts w:asciiTheme="minorHAnsi" w:hAnsiTheme="minorHAnsi"/>
                <w:b/>
                <w:color w:val="000000"/>
                <w:sz w:val="22"/>
                <w:szCs w:val="22"/>
              </w:rPr>
              <w:t>%</w:t>
            </w:r>
          </w:p>
        </w:tc>
      </w:tr>
      <w:tr w:rsidR="00C14A6A" w:rsidRPr="00BA0E01" w14:paraId="49D93D22" w14:textId="77777777" w:rsidTr="00901F8B">
        <w:trPr>
          <w:trHeight w:val="312"/>
        </w:trPr>
        <w:tc>
          <w:tcPr>
            <w:tcW w:w="5637" w:type="dxa"/>
            <w:noWrap/>
            <w:vAlign w:val="bottom"/>
            <w:hideMark/>
          </w:tcPr>
          <w:p w14:paraId="51239717" w14:textId="77777777" w:rsidR="00C14A6A" w:rsidRPr="00BA0E01" w:rsidRDefault="00C14A6A" w:rsidP="00C14A6A">
            <w:pPr>
              <w:rPr>
                <w:rFonts w:asciiTheme="minorHAnsi" w:hAnsiTheme="minorHAnsi"/>
                <w:color w:val="000000"/>
                <w:sz w:val="22"/>
                <w:szCs w:val="22"/>
                <w:lang w:bidi="ar-SA"/>
              </w:rPr>
            </w:pPr>
            <w:r w:rsidRPr="00BA0E01">
              <w:rPr>
                <w:rFonts w:asciiTheme="minorHAnsi" w:hAnsiTheme="minorHAnsi"/>
                <w:color w:val="000000"/>
                <w:sz w:val="22"/>
                <w:szCs w:val="22"/>
              </w:rPr>
              <w:t>Disrespectful manner/attitude</w:t>
            </w:r>
          </w:p>
        </w:tc>
        <w:tc>
          <w:tcPr>
            <w:tcW w:w="1842" w:type="dxa"/>
            <w:noWrap/>
            <w:vAlign w:val="center"/>
          </w:tcPr>
          <w:p w14:paraId="5D682731"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11</w:t>
            </w:r>
          </w:p>
        </w:tc>
        <w:tc>
          <w:tcPr>
            <w:tcW w:w="1843" w:type="dxa"/>
            <w:vAlign w:val="center"/>
          </w:tcPr>
          <w:p w14:paraId="7FB47AD5" w14:textId="5FDC8E2A" w:rsidR="00C14A6A" w:rsidRPr="00BA0E01" w:rsidRDefault="00DE03A0">
            <w:pPr>
              <w:jc w:val="center"/>
              <w:rPr>
                <w:rFonts w:asciiTheme="minorHAnsi" w:hAnsiTheme="minorHAnsi"/>
                <w:color w:val="000000"/>
                <w:sz w:val="22"/>
                <w:szCs w:val="22"/>
                <w:lang w:bidi="ar-SA"/>
              </w:rPr>
            </w:pPr>
            <w:r w:rsidRPr="00BA0E01">
              <w:rPr>
                <w:rFonts w:asciiTheme="minorHAnsi" w:hAnsiTheme="minorHAnsi"/>
                <w:color w:val="000000"/>
                <w:sz w:val="22"/>
                <w:szCs w:val="22"/>
              </w:rPr>
              <w:t>2.3</w:t>
            </w:r>
            <w:r w:rsidR="00C14A6A" w:rsidRPr="00BA0E01">
              <w:rPr>
                <w:rFonts w:asciiTheme="minorHAnsi" w:hAnsiTheme="minorHAnsi"/>
                <w:color w:val="000000"/>
                <w:sz w:val="22"/>
                <w:szCs w:val="22"/>
              </w:rPr>
              <w:t>%</w:t>
            </w:r>
          </w:p>
        </w:tc>
      </w:tr>
      <w:tr w:rsidR="00C14A6A" w:rsidRPr="00BA0E01" w14:paraId="231DCC68" w14:textId="77777777" w:rsidTr="00901F8B">
        <w:trPr>
          <w:trHeight w:val="312"/>
        </w:trPr>
        <w:tc>
          <w:tcPr>
            <w:tcW w:w="5637" w:type="dxa"/>
            <w:noWrap/>
            <w:vAlign w:val="bottom"/>
            <w:hideMark/>
          </w:tcPr>
          <w:p w14:paraId="2E0B0FA7" w14:textId="77777777" w:rsidR="00C14A6A" w:rsidRPr="00BA0E01" w:rsidRDefault="00C14A6A" w:rsidP="00C14A6A">
            <w:pPr>
              <w:jc w:val="left"/>
              <w:rPr>
                <w:rFonts w:asciiTheme="minorHAnsi" w:hAnsiTheme="minorHAnsi"/>
                <w:color w:val="000000"/>
                <w:sz w:val="22"/>
                <w:szCs w:val="22"/>
              </w:rPr>
            </w:pPr>
            <w:r w:rsidRPr="00BA0E01">
              <w:rPr>
                <w:rFonts w:asciiTheme="minorHAnsi" w:hAnsiTheme="minorHAnsi"/>
                <w:color w:val="000000"/>
                <w:sz w:val="22"/>
                <w:szCs w:val="22"/>
              </w:rPr>
              <w:t>Failure to accommodate language/cultural needs</w:t>
            </w:r>
          </w:p>
        </w:tc>
        <w:tc>
          <w:tcPr>
            <w:tcW w:w="1842" w:type="dxa"/>
            <w:noWrap/>
            <w:vAlign w:val="center"/>
          </w:tcPr>
          <w:p w14:paraId="79644C63"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4</w:t>
            </w:r>
          </w:p>
        </w:tc>
        <w:tc>
          <w:tcPr>
            <w:tcW w:w="1843" w:type="dxa"/>
            <w:vAlign w:val="center"/>
          </w:tcPr>
          <w:p w14:paraId="17D36030" w14:textId="3187339C"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0.8%</w:t>
            </w:r>
          </w:p>
        </w:tc>
      </w:tr>
      <w:tr w:rsidR="00C14A6A" w:rsidRPr="00BA0E01" w14:paraId="5EF058A3" w14:textId="77777777" w:rsidTr="00901F8B">
        <w:trPr>
          <w:trHeight w:val="312"/>
        </w:trPr>
        <w:tc>
          <w:tcPr>
            <w:tcW w:w="5637" w:type="dxa"/>
            <w:noWrap/>
            <w:vAlign w:val="bottom"/>
            <w:hideMark/>
          </w:tcPr>
          <w:p w14:paraId="493789BF" w14:textId="77777777" w:rsidR="00C14A6A" w:rsidRPr="00BA0E01" w:rsidRDefault="00C14A6A" w:rsidP="00C14A6A">
            <w:pPr>
              <w:jc w:val="left"/>
              <w:rPr>
                <w:rFonts w:asciiTheme="minorHAnsi" w:hAnsiTheme="minorHAnsi"/>
                <w:color w:val="000000"/>
                <w:sz w:val="22"/>
                <w:szCs w:val="22"/>
              </w:rPr>
            </w:pPr>
            <w:r w:rsidRPr="00BA0E01">
              <w:rPr>
                <w:rFonts w:asciiTheme="minorHAnsi" w:hAnsiTheme="minorHAnsi"/>
                <w:color w:val="000000"/>
                <w:sz w:val="22"/>
                <w:szCs w:val="22"/>
              </w:rPr>
              <w:t>Failure to communicate effectively with consumer</w:t>
            </w:r>
          </w:p>
        </w:tc>
        <w:tc>
          <w:tcPr>
            <w:tcW w:w="1842" w:type="dxa"/>
            <w:noWrap/>
            <w:vAlign w:val="center"/>
          </w:tcPr>
          <w:p w14:paraId="72AC47AA"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14</w:t>
            </w:r>
          </w:p>
        </w:tc>
        <w:tc>
          <w:tcPr>
            <w:tcW w:w="1843" w:type="dxa"/>
            <w:vAlign w:val="center"/>
          </w:tcPr>
          <w:p w14:paraId="56463872" w14:textId="4B22924F" w:rsidR="00C14A6A" w:rsidRPr="00BA0E01" w:rsidRDefault="00DE03A0">
            <w:pPr>
              <w:jc w:val="center"/>
              <w:rPr>
                <w:rFonts w:asciiTheme="minorHAnsi" w:hAnsiTheme="minorHAnsi"/>
                <w:color w:val="000000"/>
                <w:sz w:val="22"/>
                <w:szCs w:val="22"/>
              </w:rPr>
            </w:pPr>
            <w:r w:rsidRPr="00BA0E01">
              <w:rPr>
                <w:rFonts w:asciiTheme="minorHAnsi" w:hAnsiTheme="minorHAnsi"/>
                <w:color w:val="000000"/>
                <w:sz w:val="22"/>
                <w:szCs w:val="22"/>
              </w:rPr>
              <w:t>3.0</w:t>
            </w:r>
            <w:r w:rsidR="00C14A6A" w:rsidRPr="00BA0E01">
              <w:rPr>
                <w:rFonts w:asciiTheme="minorHAnsi" w:hAnsiTheme="minorHAnsi"/>
                <w:color w:val="000000"/>
                <w:sz w:val="22"/>
                <w:szCs w:val="22"/>
              </w:rPr>
              <w:t>%</w:t>
            </w:r>
          </w:p>
        </w:tc>
      </w:tr>
      <w:tr w:rsidR="00552AE7" w:rsidRPr="00BA0E01" w14:paraId="26F38A2D" w14:textId="77777777" w:rsidTr="00901F8B">
        <w:trPr>
          <w:trHeight w:val="312"/>
        </w:trPr>
        <w:tc>
          <w:tcPr>
            <w:tcW w:w="5637" w:type="dxa"/>
            <w:noWrap/>
            <w:vAlign w:val="bottom"/>
          </w:tcPr>
          <w:p w14:paraId="7CF17DFE" w14:textId="69C1F1FE" w:rsidR="00552AE7" w:rsidRPr="00BA0E01" w:rsidRDefault="00552AE7" w:rsidP="00552AE7">
            <w:pPr>
              <w:jc w:val="left"/>
              <w:rPr>
                <w:rFonts w:asciiTheme="minorHAnsi" w:hAnsiTheme="minorHAnsi"/>
                <w:color w:val="000000"/>
                <w:sz w:val="22"/>
                <w:szCs w:val="22"/>
              </w:rPr>
            </w:pPr>
            <w:r w:rsidRPr="00BA0E01">
              <w:rPr>
                <w:rFonts w:asciiTheme="minorHAnsi" w:hAnsiTheme="minorHAnsi"/>
                <w:color w:val="000000"/>
                <w:sz w:val="22"/>
                <w:szCs w:val="22"/>
              </w:rPr>
              <w:t>Failure to communicate effectively with family</w:t>
            </w:r>
          </w:p>
        </w:tc>
        <w:tc>
          <w:tcPr>
            <w:tcW w:w="1842" w:type="dxa"/>
            <w:noWrap/>
            <w:vAlign w:val="center"/>
          </w:tcPr>
          <w:p w14:paraId="577B6E29" w14:textId="57D46004"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7</w:t>
            </w:r>
          </w:p>
        </w:tc>
        <w:tc>
          <w:tcPr>
            <w:tcW w:w="1843" w:type="dxa"/>
            <w:vAlign w:val="center"/>
          </w:tcPr>
          <w:p w14:paraId="353E0285" w14:textId="097450C0" w:rsidR="00552AE7" w:rsidRPr="00BA0E01" w:rsidRDefault="00552AE7">
            <w:pPr>
              <w:jc w:val="center"/>
              <w:rPr>
                <w:rFonts w:asciiTheme="minorHAnsi" w:hAnsiTheme="minorHAnsi"/>
                <w:color w:val="000000"/>
                <w:sz w:val="22"/>
                <w:szCs w:val="22"/>
              </w:rPr>
            </w:pPr>
            <w:r w:rsidRPr="00BA0E01">
              <w:rPr>
                <w:rFonts w:asciiTheme="minorHAnsi" w:hAnsiTheme="minorHAnsi"/>
                <w:color w:val="000000"/>
                <w:sz w:val="22"/>
                <w:szCs w:val="22"/>
              </w:rPr>
              <w:t>1.5%</w:t>
            </w:r>
          </w:p>
        </w:tc>
      </w:tr>
      <w:tr w:rsidR="00841E1C" w:rsidRPr="00BA0E01" w14:paraId="3314A61E" w14:textId="77777777" w:rsidTr="00901F8B">
        <w:trPr>
          <w:trHeight w:val="312"/>
        </w:trPr>
        <w:tc>
          <w:tcPr>
            <w:tcW w:w="5637" w:type="dxa"/>
            <w:shd w:val="clear" w:color="auto" w:fill="D9D9D9" w:themeFill="background1" w:themeFillShade="D9"/>
            <w:noWrap/>
          </w:tcPr>
          <w:p w14:paraId="06C1F195" w14:textId="77777777" w:rsidR="00841E1C" w:rsidRPr="00BA0E01" w:rsidRDefault="00841E1C" w:rsidP="00841E1C">
            <w:pPr>
              <w:jc w:val="left"/>
              <w:rPr>
                <w:rFonts w:asciiTheme="minorHAnsi" w:hAnsiTheme="minorHAnsi"/>
                <w:b/>
                <w:color w:val="000000"/>
                <w:sz w:val="22"/>
                <w:szCs w:val="22"/>
                <w:lang w:bidi="ar-SA"/>
              </w:rPr>
            </w:pPr>
            <w:r w:rsidRPr="00BA0E01">
              <w:rPr>
                <w:rFonts w:asciiTheme="minorHAnsi" w:hAnsiTheme="minorHAnsi"/>
                <w:b/>
                <w:color w:val="000000"/>
                <w:sz w:val="22"/>
                <w:szCs w:val="22"/>
                <w:lang w:bidi="ar-SA"/>
              </w:rPr>
              <w:t>Complaints process</w:t>
            </w:r>
          </w:p>
        </w:tc>
        <w:tc>
          <w:tcPr>
            <w:tcW w:w="1842" w:type="dxa"/>
            <w:shd w:val="clear" w:color="auto" w:fill="D9D9D9" w:themeFill="background1" w:themeFillShade="D9"/>
            <w:noWrap/>
            <w:vAlign w:val="center"/>
          </w:tcPr>
          <w:p w14:paraId="595D8AA3" w14:textId="77777777" w:rsidR="00841E1C" w:rsidRPr="00BA0E01" w:rsidRDefault="00841E1C">
            <w:pPr>
              <w:jc w:val="center"/>
              <w:rPr>
                <w:rFonts w:asciiTheme="minorHAnsi" w:hAnsiTheme="minorHAnsi"/>
                <w:b/>
                <w:color w:val="000000"/>
                <w:sz w:val="22"/>
                <w:szCs w:val="22"/>
                <w:lang w:bidi="ar-SA"/>
              </w:rPr>
            </w:pPr>
            <w:r w:rsidRPr="00BA0E01">
              <w:rPr>
                <w:rFonts w:asciiTheme="minorHAnsi" w:hAnsiTheme="minorHAnsi"/>
                <w:b/>
                <w:color w:val="000000"/>
                <w:sz w:val="22"/>
                <w:szCs w:val="22"/>
                <w:lang w:bidi="ar-SA"/>
              </w:rPr>
              <w:t>3</w:t>
            </w:r>
          </w:p>
        </w:tc>
        <w:tc>
          <w:tcPr>
            <w:tcW w:w="1843" w:type="dxa"/>
            <w:shd w:val="clear" w:color="auto" w:fill="D9D9D9" w:themeFill="background1" w:themeFillShade="D9"/>
            <w:vAlign w:val="center"/>
          </w:tcPr>
          <w:p w14:paraId="749C812E" w14:textId="290ACF58" w:rsidR="00841E1C" w:rsidRPr="00BA0E01" w:rsidRDefault="00BA0E01">
            <w:pPr>
              <w:jc w:val="center"/>
              <w:rPr>
                <w:rFonts w:asciiTheme="minorHAnsi" w:hAnsiTheme="minorHAnsi"/>
                <w:b/>
                <w:color w:val="000000"/>
                <w:sz w:val="22"/>
                <w:szCs w:val="22"/>
              </w:rPr>
            </w:pPr>
            <w:r>
              <w:rPr>
                <w:rFonts w:asciiTheme="minorHAnsi" w:hAnsiTheme="minorHAnsi"/>
                <w:b/>
                <w:color w:val="000000"/>
                <w:sz w:val="22"/>
                <w:szCs w:val="22"/>
              </w:rPr>
              <w:t>0.6</w:t>
            </w:r>
            <w:r w:rsidR="00C14A6A" w:rsidRPr="00BA0E01">
              <w:rPr>
                <w:rFonts w:asciiTheme="minorHAnsi" w:hAnsiTheme="minorHAnsi"/>
                <w:b/>
                <w:color w:val="000000"/>
                <w:sz w:val="22"/>
                <w:szCs w:val="22"/>
              </w:rPr>
              <w:t>%</w:t>
            </w:r>
          </w:p>
        </w:tc>
      </w:tr>
      <w:tr w:rsidR="00DE03A0" w:rsidRPr="00BA0E01" w14:paraId="5388D05A" w14:textId="77777777" w:rsidTr="00901F8B">
        <w:trPr>
          <w:trHeight w:val="312"/>
        </w:trPr>
        <w:tc>
          <w:tcPr>
            <w:tcW w:w="5637" w:type="dxa"/>
            <w:noWrap/>
          </w:tcPr>
          <w:p w14:paraId="0590D39C" w14:textId="1DF1EF2F" w:rsidR="00DE03A0" w:rsidRPr="00BA0E01" w:rsidRDefault="00DE03A0" w:rsidP="00DE03A0">
            <w:pPr>
              <w:jc w:val="left"/>
              <w:rPr>
                <w:rFonts w:asciiTheme="minorHAnsi" w:hAnsiTheme="minorHAnsi"/>
                <w:color w:val="000000"/>
                <w:sz w:val="22"/>
                <w:szCs w:val="22"/>
                <w:lang w:bidi="ar-SA"/>
              </w:rPr>
            </w:pPr>
            <w:r w:rsidRPr="00BA0E01">
              <w:rPr>
                <w:rFonts w:asciiTheme="minorHAnsi" w:hAnsiTheme="minorHAnsi"/>
                <w:color w:val="000000"/>
                <w:sz w:val="22"/>
                <w:szCs w:val="22"/>
                <w:lang w:bidi="ar-SA"/>
              </w:rPr>
              <w:t>Retaliation/discrimination as a result of a complaint</w:t>
            </w:r>
          </w:p>
        </w:tc>
        <w:tc>
          <w:tcPr>
            <w:tcW w:w="1842" w:type="dxa"/>
            <w:noWrap/>
            <w:vAlign w:val="center"/>
          </w:tcPr>
          <w:p w14:paraId="2012BED2" w14:textId="50D2A0EE" w:rsidR="00DE03A0" w:rsidRPr="00BA0E01" w:rsidRDefault="00DE03A0">
            <w:pPr>
              <w:jc w:val="center"/>
              <w:rPr>
                <w:rFonts w:asciiTheme="minorHAnsi" w:hAnsiTheme="minorHAnsi"/>
                <w:color w:val="000000"/>
                <w:sz w:val="22"/>
                <w:szCs w:val="22"/>
                <w:lang w:bidi="ar-SA"/>
              </w:rPr>
            </w:pPr>
            <w:r w:rsidRPr="00BA0E01">
              <w:rPr>
                <w:rFonts w:asciiTheme="minorHAnsi" w:hAnsiTheme="minorHAnsi"/>
                <w:color w:val="000000"/>
                <w:sz w:val="22"/>
                <w:szCs w:val="22"/>
                <w:lang w:bidi="ar-SA"/>
              </w:rPr>
              <w:t>1</w:t>
            </w:r>
          </w:p>
        </w:tc>
        <w:tc>
          <w:tcPr>
            <w:tcW w:w="1843" w:type="dxa"/>
            <w:vAlign w:val="center"/>
          </w:tcPr>
          <w:p w14:paraId="0A2F4C25" w14:textId="45AB0D64" w:rsidR="00DE03A0" w:rsidRPr="00BA0E01" w:rsidRDefault="00DE03A0">
            <w:pPr>
              <w:jc w:val="center"/>
              <w:rPr>
                <w:rFonts w:asciiTheme="minorHAnsi" w:hAnsiTheme="minorHAnsi"/>
                <w:color w:val="000000"/>
                <w:sz w:val="22"/>
                <w:szCs w:val="22"/>
              </w:rPr>
            </w:pPr>
            <w:r w:rsidRPr="00BA0E01">
              <w:rPr>
                <w:rFonts w:asciiTheme="minorHAnsi" w:hAnsiTheme="minorHAnsi"/>
                <w:color w:val="000000"/>
                <w:sz w:val="22"/>
                <w:szCs w:val="22"/>
              </w:rPr>
              <w:t>0.</w:t>
            </w:r>
            <w:r w:rsidR="00A16504">
              <w:rPr>
                <w:rFonts w:asciiTheme="minorHAnsi" w:hAnsiTheme="minorHAnsi"/>
                <w:color w:val="000000"/>
                <w:sz w:val="22"/>
                <w:szCs w:val="22"/>
              </w:rPr>
              <w:t>2</w:t>
            </w:r>
            <w:r w:rsidRPr="00BA0E01">
              <w:rPr>
                <w:rFonts w:asciiTheme="minorHAnsi" w:hAnsiTheme="minorHAnsi"/>
                <w:color w:val="000000"/>
                <w:sz w:val="22"/>
                <w:szCs w:val="22"/>
              </w:rPr>
              <w:t>%</w:t>
            </w:r>
          </w:p>
        </w:tc>
      </w:tr>
      <w:tr w:rsidR="00DE03A0" w:rsidRPr="00BA0E01" w14:paraId="3573A6D7" w14:textId="77777777" w:rsidTr="00901F8B">
        <w:trPr>
          <w:trHeight w:val="312"/>
        </w:trPr>
        <w:tc>
          <w:tcPr>
            <w:tcW w:w="5637" w:type="dxa"/>
            <w:noWrap/>
          </w:tcPr>
          <w:p w14:paraId="3A358FA9" w14:textId="2607294A" w:rsidR="00DE03A0" w:rsidRPr="00BA0E01" w:rsidRDefault="00DE03A0" w:rsidP="00DE03A0">
            <w:pPr>
              <w:jc w:val="left"/>
              <w:rPr>
                <w:rFonts w:asciiTheme="minorHAnsi" w:hAnsiTheme="minorHAnsi"/>
                <w:color w:val="000000"/>
                <w:sz w:val="22"/>
                <w:szCs w:val="22"/>
                <w:lang w:bidi="ar-SA"/>
              </w:rPr>
            </w:pPr>
            <w:r w:rsidRPr="00BA0E01">
              <w:rPr>
                <w:rFonts w:asciiTheme="minorHAnsi" w:hAnsiTheme="minorHAnsi"/>
                <w:color w:val="000000"/>
                <w:sz w:val="22"/>
                <w:szCs w:val="22"/>
                <w:lang w:bidi="ar-SA"/>
              </w:rPr>
              <w:t xml:space="preserve">Inadequate response to complaint </w:t>
            </w:r>
          </w:p>
        </w:tc>
        <w:tc>
          <w:tcPr>
            <w:tcW w:w="1842" w:type="dxa"/>
            <w:noWrap/>
            <w:vAlign w:val="center"/>
          </w:tcPr>
          <w:p w14:paraId="33D51A2A" w14:textId="3B2E3997" w:rsidR="00DE03A0" w:rsidRPr="00BA0E01" w:rsidRDefault="00DE03A0">
            <w:pPr>
              <w:jc w:val="center"/>
              <w:rPr>
                <w:rFonts w:asciiTheme="minorHAnsi" w:hAnsiTheme="minorHAnsi"/>
                <w:color w:val="000000"/>
                <w:sz w:val="22"/>
                <w:szCs w:val="22"/>
                <w:lang w:bidi="ar-SA"/>
              </w:rPr>
            </w:pPr>
            <w:r w:rsidRPr="00BA0E01">
              <w:rPr>
                <w:rFonts w:asciiTheme="minorHAnsi" w:hAnsiTheme="minorHAnsi"/>
                <w:color w:val="000000"/>
                <w:sz w:val="22"/>
                <w:szCs w:val="22"/>
                <w:lang w:bidi="ar-SA"/>
              </w:rPr>
              <w:t>2</w:t>
            </w:r>
          </w:p>
        </w:tc>
        <w:tc>
          <w:tcPr>
            <w:tcW w:w="1843" w:type="dxa"/>
            <w:vAlign w:val="center"/>
          </w:tcPr>
          <w:p w14:paraId="115999F3" w14:textId="4E2D8859" w:rsidR="00DE03A0" w:rsidRPr="00BA0E01" w:rsidRDefault="00DE03A0">
            <w:pPr>
              <w:jc w:val="center"/>
              <w:rPr>
                <w:rFonts w:asciiTheme="minorHAnsi" w:hAnsiTheme="minorHAnsi"/>
                <w:color w:val="000000"/>
                <w:sz w:val="22"/>
                <w:szCs w:val="22"/>
                <w:lang w:bidi="ar-SA"/>
              </w:rPr>
            </w:pPr>
            <w:r w:rsidRPr="00BA0E01">
              <w:rPr>
                <w:rFonts w:asciiTheme="minorHAnsi" w:hAnsiTheme="minorHAnsi"/>
                <w:color w:val="000000"/>
                <w:sz w:val="22"/>
                <w:szCs w:val="22"/>
              </w:rPr>
              <w:t>0.</w:t>
            </w:r>
            <w:r w:rsidR="00A16504">
              <w:rPr>
                <w:rFonts w:asciiTheme="minorHAnsi" w:hAnsiTheme="minorHAnsi"/>
                <w:color w:val="000000"/>
                <w:sz w:val="22"/>
                <w:szCs w:val="22"/>
              </w:rPr>
              <w:t>4</w:t>
            </w:r>
            <w:r w:rsidRPr="00BA0E01">
              <w:rPr>
                <w:rFonts w:asciiTheme="minorHAnsi" w:hAnsiTheme="minorHAnsi"/>
                <w:color w:val="000000"/>
                <w:sz w:val="22"/>
                <w:szCs w:val="22"/>
              </w:rPr>
              <w:t>%</w:t>
            </w:r>
          </w:p>
        </w:tc>
      </w:tr>
      <w:tr w:rsidR="00DE03A0" w:rsidRPr="00BA0E01" w14:paraId="0D074DF4" w14:textId="77777777" w:rsidTr="00901F8B">
        <w:trPr>
          <w:trHeight w:val="312"/>
        </w:trPr>
        <w:tc>
          <w:tcPr>
            <w:tcW w:w="5637" w:type="dxa"/>
            <w:shd w:val="clear" w:color="auto" w:fill="D9D9D9" w:themeFill="background1" w:themeFillShade="D9"/>
            <w:noWrap/>
          </w:tcPr>
          <w:p w14:paraId="59689F8E" w14:textId="77777777" w:rsidR="00DE03A0" w:rsidRPr="00BA0E01" w:rsidRDefault="00DE03A0" w:rsidP="00DE03A0">
            <w:pPr>
              <w:jc w:val="left"/>
              <w:rPr>
                <w:rFonts w:asciiTheme="minorHAnsi" w:hAnsiTheme="minorHAnsi"/>
                <w:b/>
                <w:color w:val="000000"/>
                <w:sz w:val="22"/>
                <w:szCs w:val="22"/>
                <w:lang w:bidi="ar-SA"/>
              </w:rPr>
            </w:pPr>
            <w:r w:rsidRPr="00BA0E01">
              <w:rPr>
                <w:rFonts w:asciiTheme="minorHAnsi" w:hAnsiTheme="minorHAnsi"/>
                <w:b/>
                <w:color w:val="000000"/>
                <w:sz w:val="22"/>
                <w:szCs w:val="22"/>
                <w:lang w:bidi="ar-SA"/>
              </w:rPr>
              <w:t>Consent/information</w:t>
            </w:r>
          </w:p>
        </w:tc>
        <w:tc>
          <w:tcPr>
            <w:tcW w:w="1842" w:type="dxa"/>
            <w:shd w:val="clear" w:color="auto" w:fill="D9D9D9" w:themeFill="background1" w:themeFillShade="D9"/>
            <w:noWrap/>
            <w:vAlign w:val="center"/>
          </w:tcPr>
          <w:p w14:paraId="1DBDF489" w14:textId="7985C48F" w:rsidR="00DE03A0" w:rsidRPr="00BA0E01" w:rsidRDefault="00DE03A0">
            <w:pPr>
              <w:tabs>
                <w:tab w:val="left" w:pos="1467"/>
              </w:tabs>
              <w:jc w:val="center"/>
              <w:rPr>
                <w:rFonts w:asciiTheme="minorHAnsi" w:hAnsiTheme="minorHAnsi"/>
                <w:b/>
                <w:color w:val="000000"/>
                <w:sz w:val="22"/>
                <w:szCs w:val="22"/>
                <w:lang w:bidi="ar-SA"/>
              </w:rPr>
            </w:pPr>
            <w:r w:rsidRPr="00BA0E01">
              <w:rPr>
                <w:rFonts w:asciiTheme="minorHAnsi" w:hAnsiTheme="minorHAnsi"/>
                <w:b/>
                <w:color w:val="000000"/>
                <w:sz w:val="22"/>
                <w:szCs w:val="22"/>
                <w:lang w:bidi="ar-SA"/>
              </w:rPr>
              <w:t>55</w:t>
            </w:r>
          </w:p>
        </w:tc>
        <w:tc>
          <w:tcPr>
            <w:tcW w:w="1843" w:type="dxa"/>
            <w:shd w:val="clear" w:color="auto" w:fill="D9D9D9" w:themeFill="background1" w:themeFillShade="D9"/>
            <w:vAlign w:val="center"/>
          </w:tcPr>
          <w:p w14:paraId="1B5AFF78" w14:textId="4F5A1096" w:rsidR="00DE03A0" w:rsidRPr="00BA0E01" w:rsidRDefault="00BA0E01">
            <w:pPr>
              <w:jc w:val="center"/>
              <w:rPr>
                <w:rFonts w:asciiTheme="minorHAnsi" w:hAnsiTheme="minorHAnsi"/>
                <w:b/>
                <w:color w:val="000000"/>
                <w:sz w:val="22"/>
                <w:szCs w:val="22"/>
              </w:rPr>
            </w:pPr>
            <w:r w:rsidRPr="00BA0E01">
              <w:rPr>
                <w:rFonts w:asciiTheme="minorHAnsi" w:hAnsiTheme="minorHAnsi"/>
                <w:b/>
                <w:color w:val="000000"/>
                <w:sz w:val="22"/>
                <w:szCs w:val="22"/>
              </w:rPr>
              <w:t>1</w:t>
            </w:r>
            <w:r w:rsidR="00AC554E">
              <w:rPr>
                <w:rFonts w:asciiTheme="minorHAnsi" w:hAnsiTheme="minorHAnsi"/>
                <w:b/>
                <w:color w:val="000000"/>
                <w:sz w:val="22"/>
                <w:szCs w:val="22"/>
              </w:rPr>
              <w:t>1.7</w:t>
            </w:r>
            <w:r w:rsidRPr="00BA0E01">
              <w:rPr>
                <w:rFonts w:asciiTheme="minorHAnsi" w:hAnsiTheme="minorHAnsi"/>
                <w:b/>
                <w:color w:val="000000"/>
                <w:sz w:val="22"/>
                <w:szCs w:val="22"/>
              </w:rPr>
              <w:t>%</w:t>
            </w:r>
          </w:p>
        </w:tc>
      </w:tr>
      <w:tr w:rsidR="00C14A6A" w:rsidRPr="00BA0E01" w14:paraId="440B07D7" w14:textId="77777777" w:rsidTr="00901F8B">
        <w:trPr>
          <w:trHeight w:val="312"/>
        </w:trPr>
        <w:tc>
          <w:tcPr>
            <w:tcW w:w="5637" w:type="dxa"/>
            <w:noWrap/>
            <w:vAlign w:val="bottom"/>
          </w:tcPr>
          <w:p w14:paraId="6C463552" w14:textId="77777777" w:rsidR="00C14A6A" w:rsidRPr="00BA0E01" w:rsidRDefault="00C14A6A" w:rsidP="00C14A6A">
            <w:pPr>
              <w:rPr>
                <w:rFonts w:asciiTheme="minorHAnsi" w:hAnsiTheme="minorHAnsi"/>
                <w:color w:val="000000"/>
                <w:sz w:val="22"/>
                <w:szCs w:val="22"/>
                <w:lang w:bidi="ar-SA"/>
              </w:rPr>
            </w:pPr>
            <w:r w:rsidRPr="00BA0E01">
              <w:rPr>
                <w:rFonts w:asciiTheme="minorHAnsi" w:hAnsiTheme="minorHAnsi"/>
                <w:color w:val="000000"/>
                <w:sz w:val="22"/>
                <w:szCs w:val="22"/>
              </w:rPr>
              <w:t>Coercion by provider to obtain consent</w:t>
            </w:r>
          </w:p>
        </w:tc>
        <w:tc>
          <w:tcPr>
            <w:tcW w:w="1842" w:type="dxa"/>
            <w:noWrap/>
            <w:vAlign w:val="center"/>
          </w:tcPr>
          <w:p w14:paraId="5C788705"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1</w:t>
            </w:r>
          </w:p>
        </w:tc>
        <w:tc>
          <w:tcPr>
            <w:tcW w:w="1843" w:type="dxa"/>
            <w:vAlign w:val="center"/>
          </w:tcPr>
          <w:p w14:paraId="16E0AAF4" w14:textId="4D0B3452" w:rsidR="00C14A6A" w:rsidRPr="00BA0E01" w:rsidRDefault="00C14A6A">
            <w:pPr>
              <w:jc w:val="center"/>
              <w:rPr>
                <w:rFonts w:asciiTheme="minorHAnsi" w:hAnsiTheme="minorHAnsi"/>
                <w:color w:val="000000"/>
                <w:sz w:val="22"/>
                <w:szCs w:val="22"/>
                <w:lang w:bidi="ar-SA"/>
              </w:rPr>
            </w:pPr>
            <w:r w:rsidRPr="00BA0E01">
              <w:rPr>
                <w:rFonts w:asciiTheme="minorHAnsi" w:hAnsiTheme="minorHAnsi"/>
                <w:color w:val="000000"/>
                <w:sz w:val="22"/>
                <w:szCs w:val="22"/>
              </w:rPr>
              <w:t>0.2%</w:t>
            </w:r>
          </w:p>
        </w:tc>
      </w:tr>
      <w:tr w:rsidR="00C14A6A" w:rsidRPr="00BA0E01" w14:paraId="57FDB8C0" w14:textId="77777777" w:rsidTr="00901F8B">
        <w:trPr>
          <w:trHeight w:val="312"/>
        </w:trPr>
        <w:tc>
          <w:tcPr>
            <w:tcW w:w="5637" w:type="dxa"/>
            <w:noWrap/>
            <w:vAlign w:val="bottom"/>
          </w:tcPr>
          <w:p w14:paraId="76389B98" w14:textId="77777777" w:rsidR="00C14A6A" w:rsidRPr="00BA0E01" w:rsidRDefault="00C14A6A" w:rsidP="00C14A6A">
            <w:pPr>
              <w:jc w:val="left"/>
              <w:rPr>
                <w:rFonts w:asciiTheme="minorHAnsi" w:hAnsiTheme="minorHAnsi"/>
                <w:color w:val="000000"/>
                <w:sz w:val="22"/>
                <w:szCs w:val="22"/>
              </w:rPr>
            </w:pPr>
            <w:r w:rsidRPr="00BA0E01">
              <w:rPr>
                <w:rFonts w:asciiTheme="minorHAnsi" w:hAnsiTheme="minorHAnsi"/>
                <w:color w:val="000000"/>
                <w:sz w:val="22"/>
                <w:szCs w:val="22"/>
              </w:rPr>
              <w:t>Consent not obtained/adequate</w:t>
            </w:r>
          </w:p>
        </w:tc>
        <w:tc>
          <w:tcPr>
            <w:tcW w:w="1842" w:type="dxa"/>
            <w:noWrap/>
            <w:vAlign w:val="center"/>
          </w:tcPr>
          <w:p w14:paraId="74B603E9"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23</w:t>
            </w:r>
          </w:p>
        </w:tc>
        <w:tc>
          <w:tcPr>
            <w:tcW w:w="1843" w:type="dxa"/>
            <w:vAlign w:val="center"/>
          </w:tcPr>
          <w:p w14:paraId="05C0FEDB" w14:textId="308D4B54"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4.</w:t>
            </w:r>
            <w:r w:rsidR="00A16504">
              <w:rPr>
                <w:rFonts w:asciiTheme="minorHAnsi" w:hAnsiTheme="minorHAnsi"/>
                <w:color w:val="000000"/>
                <w:sz w:val="22"/>
                <w:szCs w:val="22"/>
              </w:rPr>
              <w:t>9</w:t>
            </w:r>
            <w:r w:rsidRPr="00BA0E01">
              <w:rPr>
                <w:rFonts w:asciiTheme="minorHAnsi" w:hAnsiTheme="minorHAnsi"/>
                <w:color w:val="000000"/>
                <w:sz w:val="22"/>
                <w:szCs w:val="22"/>
              </w:rPr>
              <w:t>%</w:t>
            </w:r>
          </w:p>
        </w:tc>
      </w:tr>
      <w:tr w:rsidR="00C14A6A" w:rsidRPr="00BA0E01" w14:paraId="7F8A6A02" w14:textId="77777777" w:rsidTr="00901F8B">
        <w:trPr>
          <w:trHeight w:val="312"/>
        </w:trPr>
        <w:tc>
          <w:tcPr>
            <w:tcW w:w="5637" w:type="dxa"/>
            <w:noWrap/>
            <w:vAlign w:val="bottom"/>
          </w:tcPr>
          <w:p w14:paraId="3BA5897F" w14:textId="383C6D3C" w:rsidR="00C14A6A" w:rsidRPr="00BA0E01" w:rsidRDefault="00C14A6A" w:rsidP="00C14A6A">
            <w:pPr>
              <w:jc w:val="left"/>
              <w:rPr>
                <w:rFonts w:asciiTheme="minorHAnsi" w:hAnsiTheme="minorHAnsi"/>
                <w:color w:val="000000"/>
                <w:sz w:val="22"/>
                <w:szCs w:val="22"/>
              </w:rPr>
            </w:pPr>
            <w:r w:rsidRPr="00BA0E01">
              <w:rPr>
                <w:rFonts w:asciiTheme="minorHAnsi" w:hAnsiTheme="minorHAnsi"/>
                <w:color w:val="000000"/>
                <w:sz w:val="22"/>
                <w:szCs w:val="22"/>
              </w:rPr>
              <w:t>Inadequate information provided re</w:t>
            </w:r>
            <w:r w:rsidR="00AC554E">
              <w:rPr>
                <w:rFonts w:asciiTheme="minorHAnsi" w:hAnsiTheme="minorHAnsi"/>
                <w:color w:val="000000"/>
                <w:sz w:val="22"/>
                <w:szCs w:val="22"/>
              </w:rPr>
              <w:t>garding</w:t>
            </w:r>
            <w:r w:rsidRPr="00BA0E01">
              <w:rPr>
                <w:rFonts w:asciiTheme="minorHAnsi" w:hAnsiTheme="minorHAnsi"/>
                <w:color w:val="000000"/>
                <w:sz w:val="22"/>
                <w:szCs w:val="22"/>
              </w:rPr>
              <w:t xml:space="preserve"> adverse event</w:t>
            </w:r>
          </w:p>
        </w:tc>
        <w:tc>
          <w:tcPr>
            <w:tcW w:w="1842" w:type="dxa"/>
            <w:noWrap/>
            <w:vAlign w:val="center"/>
          </w:tcPr>
          <w:p w14:paraId="5898AE9E"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1</w:t>
            </w:r>
          </w:p>
        </w:tc>
        <w:tc>
          <w:tcPr>
            <w:tcW w:w="1843" w:type="dxa"/>
            <w:vAlign w:val="center"/>
          </w:tcPr>
          <w:p w14:paraId="746FC94C" w14:textId="3E6634A0"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0.2%</w:t>
            </w:r>
          </w:p>
        </w:tc>
      </w:tr>
      <w:tr w:rsidR="00C14A6A" w:rsidRPr="00BA0E01" w14:paraId="4E22A061" w14:textId="77777777" w:rsidTr="00901F8B">
        <w:trPr>
          <w:trHeight w:val="312"/>
        </w:trPr>
        <w:tc>
          <w:tcPr>
            <w:tcW w:w="5637" w:type="dxa"/>
            <w:noWrap/>
            <w:vAlign w:val="bottom"/>
          </w:tcPr>
          <w:p w14:paraId="7C11C33D" w14:textId="5474623E" w:rsidR="00C14A6A" w:rsidRPr="00BA0E01" w:rsidRDefault="00C14A6A" w:rsidP="00C14A6A">
            <w:pPr>
              <w:jc w:val="left"/>
              <w:rPr>
                <w:rFonts w:asciiTheme="minorHAnsi" w:hAnsiTheme="minorHAnsi"/>
                <w:color w:val="000000"/>
                <w:sz w:val="22"/>
                <w:szCs w:val="22"/>
              </w:rPr>
            </w:pPr>
            <w:r w:rsidRPr="00BA0E01">
              <w:rPr>
                <w:rFonts w:asciiTheme="minorHAnsi" w:hAnsiTheme="minorHAnsi"/>
                <w:color w:val="000000"/>
                <w:sz w:val="22"/>
                <w:szCs w:val="22"/>
              </w:rPr>
              <w:t>Inadequate information provided re</w:t>
            </w:r>
            <w:r w:rsidR="00AC554E">
              <w:rPr>
                <w:rFonts w:asciiTheme="minorHAnsi" w:hAnsiTheme="minorHAnsi"/>
                <w:color w:val="000000"/>
                <w:sz w:val="22"/>
                <w:szCs w:val="22"/>
              </w:rPr>
              <w:t>garding</w:t>
            </w:r>
            <w:r w:rsidRPr="00BA0E01">
              <w:rPr>
                <w:rFonts w:asciiTheme="minorHAnsi" w:hAnsiTheme="minorHAnsi"/>
                <w:color w:val="000000"/>
                <w:sz w:val="22"/>
                <w:szCs w:val="22"/>
              </w:rPr>
              <w:t xml:space="preserve"> options</w:t>
            </w:r>
          </w:p>
        </w:tc>
        <w:tc>
          <w:tcPr>
            <w:tcW w:w="1842" w:type="dxa"/>
            <w:noWrap/>
            <w:vAlign w:val="center"/>
          </w:tcPr>
          <w:p w14:paraId="507BE662"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2</w:t>
            </w:r>
          </w:p>
        </w:tc>
        <w:tc>
          <w:tcPr>
            <w:tcW w:w="1843" w:type="dxa"/>
            <w:vAlign w:val="center"/>
          </w:tcPr>
          <w:p w14:paraId="3C4214BE" w14:textId="71FDB411"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0.4%</w:t>
            </w:r>
          </w:p>
        </w:tc>
      </w:tr>
      <w:tr w:rsidR="00C14A6A" w:rsidRPr="00BA0E01" w14:paraId="212F3BFD" w14:textId="77777777" w:rsidTr="00901F8B">
        <w:trPr>
          <w:trHeight w:val="312"/>
        </w:trPr>
        <w:tc>
          <w:tcPr>
            <w:tcW w:w="5637" w:type="dxa"/>
            <w:noWrap/>
            <w:vAlign w:val="bottom"/>
          </w:tcPr>
          <w:p w14:paraId="216F7D89" w14:textId="76AAD3DD" w:rsidR="00C14A6A" w:rsidRPr="00BA0E01" w:rsidRDefault="00C14A6A" w:rsidP="00C14A6A">
            <w:pPr>
              <w:jc w:val="left"/>
              <w:rPr>
                <w:rFonts w:asciiTheme="minorHAnsi" w:hAnsiTheme="minorHAnsi"/>
                <w:color w:val="000000"/>
                <w:sz w:val="22"/>
                <w:szCs w:val="22"/>
              </w:rPr>
            </w:pPr>
            <w:r w:rsidRPr="00BA0E01">
              <w:rPr>
                <w:rFonts w:asciiTheme="minorHAnsi" w:hAnsiTheme="minorHAnsi"/>
                <w:color w:val="000000"/>
                <w:sz w:val="22"/>
                <w:szCs w:val="22"/>
              </w:rPr>
              <w:t>Inadequate information provided re</w:t>
            </w:r>
            <w:r w:rsidR="00AC554E">
              <w:rPr>
                <w:rFonts w:asciiTheme="minorHAnsi" w:hAnsiTheme="minorHAnsi"/>
                <w:color w:val="000000"/>
                <w:sz w:val="22"/>
                <w:szCs w:val="22"/>
              </w:rPr>
              <w:t>garding</w:t>
            </w:r>
            <w:r w:rsidRPr="00BA0E01">
              <w:rPr>
                <w:rFonts w:asciiTheme="minorHAnsi" w:hAnsiTheme="minorHAnsi"/>
                <w:color w:val="000000"/>
                <w:sz w:val="22"/>
                <w:szCs w:val="22"/>
              </w:rPr>
              <w:t xml:space="preserve"> results</w:t>
            </w:r>
          </w:p>
        </w:tc>
        <w:tc>
          <w:tcPr>
            <w:tcW w:w="1842" w:type="dxa"/>
            <w:noWrap/>
            <w:vAlign w:val="center"/>
          </w:tcPr>
          <w:p w14:paraId="4D2FB182"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1</w:t>
            </w:r>
          </w:p>
        </w:tc>
        <w:tc>
          <w:tcPr>
            <w:tcW w:w="1843" w:type="dxa"/>
            <w:vAlign w:val="center"/>
          </w:tcPr>
          <w:p w14:paraId="39B99FAB" w14:textId="2CF1D721"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0.2%</w:t>
            </w:r>
          </w:p>
        </w:tc>
      </w:tr>
      <w:tr w:rsidR="00C14A6A" w:rsidRPr="00BA0E01" w14:paraId="0D011DD1" w14:textId="77777777" w:rsidTr="00901F8B">
        <w:trPr>
          <w:trHeight w:val="312"/>
        </w:trPr>
        <w:tc>
          <w:tcPr>
            <w:tcW w:w="5637" w:type="dxa"/>
            <w:noWrap/>
            <w:vAlign w:val="bottom"/>
          </w:tcPr>
          <w:p w14:paraId="2C1D1CB9" w14:textId="0BC880E2" w:rsidR="00C14A6A" w:rsidRPr="00BA0E01" w:rsidRDefault="00C14A6A" w:rsidP="00C14A6A">
            <w:pPr>
              <w:jc w:val="left"/>
              <w:rPr>
                <w:rFonts w:asciiTheme="minorHAnsi" w:hAnsiTheme="minorHAnsi"/>
                <w:color w:val="000000"/>
                <w:sz w:val="22"/>
                <w:szCs w:val="22"/>
              </w:rPr>
            </w:pPr>
            <w:r w:rsidRPr="00BA0E01">
              <w:rPr>
                <w:rFonts w:asciiTheme="minorHAnsi" w:hAnsiTheme="minorHAnsi"/>
                <w:color w:val="000000"/>
                <w:sz w:val="22"/>
                <w:szCs w:val="22"/>
              </w:rPr>
              <w:t>Inadequate information provided re</w:t>
            </w:r>
            <w:r w:rsidR="00AC554E">
              <w:rPr>
                <w:rFonts w:asciiTheme="minorHAnsi" w:hAnsiTheme="minorHAnsi"/>
                <w:color w:val="000000"/>
                <w:sz w:val="22"/>
                <w:szCs w:val="22"/>
              </w:rPr>
              <w:t>garding</w:t>
            </w:r>
            <w:r w:rsidRPr="00BA0E01">
              <w:rPr>
                <w:rFonts w:asciiTheme="minorHAnsi" w:hAnsiTheme="minorHAnsi"/>
                <w:color w:val="000000"/>
                <w:sz w:val="22"/>
                <w:szCs w:val="22"/>
              </w:rPr>
              <w:t xml:space="preserve"> treatment</w:t>
            </w:r>
          </w:p>
        </w:tc>
        <w:tc>
          <w:tcPr>
            <w:tcW w:w="1842" w:type="dxa"/>
            <w:noWrap/>
            <w:vAlign w:val="center"/>
          </w:tcPr>
          <w:p w14:paraId="73E3A771"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5</w:t>
            </w:r>
          </w:p>
        </w:tc>
        <w:tc>
          <w:tcPr>
            <w:tcW w:w="1843" w:type="dxa"/>
            <w:vAlign w:val="center"/>
          </w:tcPr>
          <w:p w14:paraId="7F9B89C4" w14:textId="54D6D6A4"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1.0%</w:t>
            </w:r>
          </w:p>
        </w:tc>
      </w:tr>
      <w:tr w:rsidR="00C14A6A" w:rsidRPr="00BA0E01" w14:paraId="70F0E713" w14:textId="77777777" w:rsidTr="00901F8B">
        <w:trPr>
          <w:trHeight w:val="312"/>
        </w:trPr>
        <w:tc>
          <w:tcPr>
            <w:tcW w:w="5637" w:type="dxa"/>
            <w:noWrap/>
            <w:vAlign w:val="bottom"/>
          </w:tcPr>
          <w:p w14:paraId="7EE186E8" w14:textId="77777777" w:rsidR="00C14A6A" w:rsidRPr="00BA0E01" w:rsidRDefault="00C14A6A" w:rsidP="00C14A6A">
            <w:pPr>
              <w:jc w:val="left"/>
              <w:rPr>
                <w:rFonts w:asciiTheme="minorHAnsi" w:hAnsiTheme="minorHAnsi"/>
                <w:color w:val="000000"/>
                <w:sz w:val="22"/>
                <w:szCs w:val="22"/>
              </w:rPr>
            </w:pPr>
            <w:r w:rsidRPr="00BA0E01">
              <w:rPr>
                <w:rFonts w:asciiTheme="minorHAnsi" w:hAnsiTheme="minorHAnsi"/>
                <w:color w:val="000000"/>
                <w:sz w:val="22"/>
                <w:szCs w:val="22"/>
              </w:rPr>
              <w:t>Incorrect/misleading information provided</w:t>
            </w:r>
          </w:p>
        </w:tc>
        <w:tc>
          <w:tcPr>
            <w:tcW w:w="1842" w:type="dxa"/>
            <w:noWrap/>
            <w:vAlign w:val="center"/>
          </w:tcPr>
          <w:p w14:paraId="2D016406"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1</w:t>
            </w:r>
          </w:p>
        </w:tc>
        <w:tc>
          <w:tcPr>
            <w:tcW w:w="1843" w:type="dxa"/>
            <w:vAlign w:val="center"/>
          </w:tcPr>
          <w:p w14:paraId="296709D5" w14:textId="50F5409F"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0.2%</w:t>
            </w:r>
          </w:p>
        </w:tc>
      </w:tr>
      <w:tr w:rsidR="00C14A6A" w:rsidRPr="00BA0E01" w14:paraId="3CD60840" w14:textId="77777777" w:rsidTr="00901F8B">
        <w:trPr>
          <w:trHeight w:val="312"/>
        </w:trPr>
        <w:tc>
          <w:tcPr>
            <w:tcW w:w="5637" w:type="dxa"/>
            <w:noWrap/>
            <w:vAlign w:val="bottom"/>
          </w:tcPr>
          <w:p w14:paraId="64DDB4AB" w14:textId="585321AE" w:rsidR="00C14A6A" w:rsidRPr="00BA0E01" w:rsidRDefault="00C14A6A" w:rsidP="00C14A6A">
            <w:pPr>
              <w:jc w:val="left"/>
              <w:rPr>
                <w:rFonts w:asciiTheme="minorHAnsi" w:hAnsiTheme="minorHAnsi"/>
                <w:color w:val="000000"/>
                <w:sz w:val="22"/>
                <w:szCs w:val="22"/>
              </w:rPr>
            </w:pPr>
            <w:r w:rsidRPr="00BA0E01">
              <w:rPr>
                <w:rFonts w:asciiTheme="minorHAnsi" w:hAnsiTheme="minorHAnsi"/>
                <w:color w:val="000000"/>
                <w:sz w:val="22"/>
                <w:szCs w:val="22"/>
              </w:rPr>
              <w:t>Issues re</w:t>
            </w:r>
            <w:r w:rsidR="00AC554E">
              <w:rPr>
                <w:rFonts w:asciiTheme="minorHAnsi" w:hAnsiTheme="minorHAnsi"/>
                <w:color w:val="000000"/>
                <w:sz w:val="22"/>
                <w:szCs w:val="22"/>
              </w:rPr>
              <w:t>garding</w:t>
            </w:r>
            <w:r w:rsidRPr="00BA0E01">
              <w:rPr>
                <w:rFonts w:asciiTheme="minorHAnsi" w:hAnsiTheme="minorHAnsi"/>
                <w:color w:val="000000"/>
                <w:sz w:val="22"/>
                <w:szCs w:val="22"/>
              </w:rPr>
              <w:t xml:space="preserve"> consent when consumer not competent</w:t>
            </w:r>
          </w:p>
        </w:tc>
        <w:tc>
          <w:tcPr>
            <w:tcW w:w="1842" w:type="dxa"/>
            <w:noWrap/>
            <w:vAlign w:val="center"/>
          </w:tcPr>
          <w:p w14:paraId="2868EC33"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1</w:t>
            </w:r>
          </w:p>
        </w:tc>
        <w:tc>
          <w:tcPr>
            <w:tcW w:w="1843" w:type="dxa"/>
            <w:vAlign w:val="center"/>
          </w:tcPr>
          <w:p w14:paraId="5C3A1F77" w14:textId="6BBCF4F1"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0.2%</w:t>
            </w:r>
          </w:p>
        </w:tc>
      </w:tr>
      <w:tr w:rsidR="00C14A6A" w:rsidRPr="00BA0E01" w14:paraId="04A0127E" w14:textId="77777777" w:rsidTr="00901F8B">
        <w:trPr>
          <w:trHeight w:val="312"/>
        </w:trPr>
        <w:tc>
          <w:tcPr>
            <w:tcW w:w="5637" w:type="dxa"/>
            <w:noWrap/>
            <w:vAlign w:val="bottom"/>
          </w:tcPr>
          <w:p w14:paraId="7A0747ED" w14:textId="77777777" w:rsidR="00C14A6A" w:rsidRPr="00BA0E01" w:rsidRDefault="00C14A6A" w:rsidP="00C14A6A">
            <w:pPr>
              <w:jc w:val="left"/>
              <w:rPr>
                <w:rFonts w:asciiTheme="minorHAnsi" w:hAnsiTheme="minorHAnsi"/>
                <w:color w:val="000000"/>
                <w:sz w:val="22"/>
                <w:szCs w:val="22"/>
              </w:rPr>
            </w:pPr>
            <w:r w:rsidRPr="00BA0E01">
              <w:rPr>
                <w:rFonts w:asciiTheme="minorHAnsi" w:hAnsiTheme="minorHAnsi"/>
                <w:color w:val="000000"/>
                <w:sz w:val="22"/>
                <w:szCs w:val="22"/>
              </w:rPr>
              <w:t>Issues with involuntary admission/treatment</w:t>
            </w:r>
          </w:p>
        </w:tc>
        <w:tc>
          <w:tcPr>
            <w:tcW w:w="1842" w:type="dxa"/>
            <w:noWrap/>
            <w:vAlign w:val="center"/>
          </w:tcPr>
          <w:p w14:paraId="045F56A6"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20</w:t>
            </w:r>
          </w:p>
        </w:tc>
        <w:tc>
          <w:tcPr>
            <w:tcW w:w="1843" w:type="dxa"/>
            <w:vAlign w:val="center"/>
          </w:tcPr>
          <w:p w14:paraId="588BC20B" w14:textId="378FA577" w:rsidR="00C14A6A" w:rsidRPr="00BA0E01" w:rsidRDefault="00A16504">
            <w:pPr>
              <w:jc w:val="center"/>
              <w:rPr>
                <w:rFonts w:asciiTheme="minorHAnsi" w:hAnsiTheme="minorHAnsi"/>
                <w:color w:val="000000"/>
                <w:sz w:val="22"/>
                <w:szCs w:val="22"/>
              </w:rPr>
            </w:pPr>
            <w:r>
              <w:rPr>
                <w:rFonts w:asciiTheme="minorHAnsi" w:hAnsiTheme="minorHAnsi"/>
                <w:color w:val="000000"/>
                <w:sz w:val="22"/>
                <w:szCs w:val="22"/>
              </w:rPr>
              <w:t>4.2</w:t>
            </w:r>
            <w:r w:rsidR="00C14A6A" w:rsidRPr="00BA0E01">
              <w:rPr>
                <w:rFonts w:asciiTheme="minorHAnsi" w:hAnsiTheme="minorHAnsi"/>
                <w:color w:val="000000"/>
                <w:sz w:val="22"/>
                <w:szCs w:val="22"/>
              </w:rPr>
              <w:t>%</w:t>
            </w:r>
          </w:p>
        </w:tc>
      </w:tr>
      <w:tr w:rsidR="00841E1C" w:rsidRPr="00BA0E01" w14:paraId="7EE928CE" w14:textId="77777777" w:rsidTr="00901F8B">
        <w:trPr>
          <w:trHeight w:val="312"/>
        </w:trPr>
        <w:tc>
          <w:tcPr>
            <w:tcW w:w="5637" w:type="dxa"/>
            <w:shd w:val="clear" w:color="auto" w:fill="D9D9D9" w:themeFill="background1" w:themeFillShade="D9"/>
            <w:noWrap/>
          </w:tcPr>
          <w:p w14:paraId="0BF20DDF" w14:textId="7306FDF9" w:rsidR="00841E1C" w:rsidRPr="00BA0E01" w:rsidRDefault="00841E1C" w:rsidP="00841E1C">
            <w:pPr>
              <w:jc w:val="left"/>
              <w:rPr>
                <w:rFonts w:asciiTheme="minorHAnsi" w:hAnsiTheme="minorHAnsi"/>
                <w:b/>
                <w:color w:val="000000"/>
                <w:sz w:val="22"/>
                <w:szCs w:val="22"/>
                <w:lang w:bidi="ar-SA"/>
              </w:rPr>
            </w:pPr>
            <w:r w:rsidRPr="00BA0E01">
              <w:rPr>
                <w:rFonts w:asciiTheme="minorHAnsi" w:hAnsiTheme="minorHAnsi"/>
                <w:b/>
                <w:color w:val="000000"/>
                <w:sz w:val="22"/>
                <w:szCs w:val="22"/>
                <w:lang w:bidi="ar-SA"/>
              </w:rPr>
              <w:t>Disability</w:t>
            </w:r>
            <w:r w:rsidR="00934DBE" w:rsidRPr="00BA0E01">
              <w:rPr>
                <w:rFonts w:asciiTheme="minorHAnsi" w:hAnsiTheme="minorHAnsi"/>
                <w:b/>
                <w:color w:val="000000"/>
                <w:sz w:val="22"/>
                <w:szCs w:val="22"/>
                <w:lang w:bidi="ar-SA"/>
              </w:rPr>
              <w:t>-related issues</w:t>
            </w:r>
          </w:p>
        </w:tc>
        <w:tc>
          <w:tcPr>
            <w:tcW w:w="1842" w:type="dxa"/>
            <w:shd w:val="clear" w:color="auto" w:fill="D9D9D9" w:themeFill="background1" w:themeFillShade="D9"/>
            <w:noWrap/>
            <w:vAlign w:val="center"/>
          </w:tcPr>
          <w:p w14:paraId="600AC9EC" w14:textId="3FC41011" w:rsidR="00841E1C" w:rsidRPr="00BA0E01" w:rsidRDefault="00CF0053">
            <w:pPr>
              <w:jc w:val="center"/>
              <w:rPr>
                <w:rFonts w:asciiTheme="minorHAnsi" w:hAnsiTheme="minorHAnsi"/>
                <w:b/>
                <w:color w:val="000000"/>
                <w:sz w:val="22"/>
                <w:szCs w:val="22"/>
                <w:lang w:bidi="ar-SA"/>
              </w:rPr>
            </w:pPr>
            <w:r w:rsidRPr="00BA0E01">
              <w:rPr>
                <w:rFonts w:asciiTheme="minorHAnsi" w:hAnsiTheme="minorHAnsi"/>
                <w:b/>
                <w:color w:val="000000"/>
                <w:sz w:val="22"/>
                <w:szCs w:val="22"/>
                <w:lang w:bidi="ar-SA"/>
              </w:rPr>
              <w:t>4</w:t>
            </w:r>
          </w:p>
        </w:tc>
        <w:tc>
          <w:tcPr>
            <w:tcW w:w="1843" w:type="dxa"/>
            <w:shd w:val="clear" w:color="auto" w:fill="D9D9D9" w:themeFill="background1" w:themeFillShade="D9"/>
            <w:vAlign w:val="center"/>
          </w:tcPr>
          <w:p w14:paraId="18F15F7E" w14:textId="4D9BE28A" w:rsidR="00841E1C" w:rsidRPr="00BA0E01" w:rsidRDefault="00BA0E01">
            <w:pPr>
              <w:jc w:val="center"/>
              <w:rPr>
                <w:rFonts w:asciiTheme="minorHAnsi" w:hAnsiTheme="minorHAnsi"/>
                <w:b/>
                <w:color w:val="000000"/>
                <w:sz w:val="22"/>
                <w:szCs w:val="22"/>
              </w:rPr>
            </w:pPr>
            <w:r>
              <w:rPr>
                <w:rFonts w:asciiTheme="minorHAnsi" w:hAnsiTheme="minorHAnsi"/>
                <w:b/>
                <w:color w:val="000000"/>
                <w:sz w:val="22"/>
                <w:szCs w:val="22"/>
              </w:rPr>
              <w:t>0.8</w:t>
            </w:r>
            <w:r w:rsidR="00C14A6A" w:rsidRPr="00BA0E01">
              <w:rPr>
                <w:rFonts w:asciiTheme="minorHAnsi" w:hAnsiTheme="minorHAnsi"/>
                <w:b/>
                <w:color w:val="000000"/>
                <w:sz w:val="22"/>
                <w:szCs w:val="22"/>
              </w:rPr>
              <w:t>%</w:t>
            </w:r>
          </w:p>
        </w:tc>
      </w:tr>
      <w:tr w:rsidR="00841E1C" w:rsidRPr="00BA0E01" w14:paraId="54833163" w14:textId="77777777" w:rsidTr="00901F8B">
        <w:trPr>
          <w:trHeight w:val="312"/>
        </w:trPr>
        <w:tc>
          <w:tcPr>
            <w:tcW w:w="5637" w:type="dxa"/>
            <w:shd w:val="clear" w:color="auto" w:fill="FFFFFF" w:themeFill="background1"/>
            <w:noWrap/>
            <w:vAlign w:val="bottom"/>
          </w:tcPr>
          <w:p w14:paraId="51CF6457" w14:textId="77777777" w:rsidR="00841E1C" w:rsidRPr="00BA0E01" w:rsidRDefault="00841E1C" w:rsidP="00841E1C">
            <w:pPr>
              <w:rPr>
                <w:rFonts w:asciiTheme="minorHAnsi" w:hAnsiTheme="minorHAnsi"/>
                <w:color w:val="000000"/>
                <w:sz w:val="22"/>
                <w:szCs w:val="22"/>
                <w:lang w:bidi="ar-SA"/>
              </w:rPr>
            </w:pPr>
            <w:r w:rsidRPr="00BA0E01">
              <w:rPr>
                <w:rFonts w:asciiTheme="minorHAnsi" w:hAnsiTheme="minorHAnsi"/>
                <w:color w:val="000000"/>
                <w:sz w:val="22"/>
                <w:szCs w:val="22"/>
              </w:rPr>
              <w:t>Inadequate/inappropriate equipment provided</w:t>
            </w:r>
          </w:p>
        </w:tc>
        <w:tc>
          <w:tcPr>
            <w:tcW w:w="1842" w:type="dxa"/>
            <w:shd w:val="clear" w:color="auto" w:fill="FFFFFF" w:themeFill="background1"/>
            <w:noWrap/>
            <w:vAlign w:val="center"/>
          </w:tcPr>
          <w:p w14:paraId="1C49410A" w14:textId="77777777" w:rsidR="00841E1C" w:rsidRPr="00BA0E01" w:rsidRDefault="00841E1C">
            <w:pPr>
              <w:jc w:val="center"/>
              <w:rPr>
                <w:rFonts w:asciiTheme="minorHAnsi" w:hAnsiTheme="minorHAnsi"/>
                <w:color w:val="000000"/>
                <w:sz w:val="22"/>
                <w:szCs w:val="22"/>
              </w:rPr>
            </w:pPr>
            <w:r w:rsidRPr="00BA0E01">
              <w:rPr>
                <w:rFonts w:asciiTheme="minorHAnsi" w:hAnsiTheme="minorHAnsi"/>
                <w:color w:val="000000"/>
                <w:sz w:val="22"/>
                <w:szCs w:val="22"/>
              </w:rPr>
              <w:t>2</w:t>
            </w:r>
          </w:p>
        </w:tc>
        <w:tc>
          <w:tcPr>
            <w:tcW w:w="1843" w:type="dxa"/>
            <w:shd w:val="clear" w:color="auto" w:fill="FFFFFF" w:themeFill="background1"/>
            <w:vAlign w:val="center"/>
          </w:tcPr>
          <w:p w14:paraId="4150D188" w14:textId="56185E91" w:rsidR="00841E1C" w:rsidRPr="003A6FD3" w:rsidRDefault="00C14A6A">
            <w:pPr>
              <w:jc w:val="center"/>
              <w:rPr>
                <w:rFonts w:asciiTheme="minorHAnsi" w:hAnsiTheme="minorHAnsi"/>
                <w:color w:val="000000"/>
                <w:sz w:val="22"/>
                <w:szCs w:val="22"/>
              </w:rPr>
            </w:pPr>
            <w:r w:rsidRPr="003A6FD3">
              <w:rPr>
                <w:color w:val="000000"/>
                <w:szCs w:val="22"/>
              </w:rPr>
              <w:t>0.4%</w:t>
            </w:r>
          </w:p>
        </w:tc>
      </w:tr>
      <w:tr w:rsidR="00841E1C" w:rsidRPr="00BA0E01" w14:paraId="1CA02627" w14:textId="77777777" w:rsidTr="00901F8B">
        <w:trPr>
          <w:trHeight w:val="312"/>
        </w:trPr>
        <w:tc>
          <w:tcPr>
            <w:tcW w:w="5637" w:type="dxa"/>
            <w:shd w:val="clear" w:color="auto" w:fill="FFFFFF" w:themeFill="background1"/>
            <w:noWrap/>
            <w:vAlign w:val="bottom"/>
          </w:tcPr>
          <w:p w14:paraId="480A7AC8" w14:textId="77777777" w:rsidR="00841E1C" w:rsidRPr="00BA0E01" w:rsidRDefault="00841E1C" w:rsidP="00841E1C">
            <w:pPr>
              <w:jc w:val="left"/>
              <w:rPr>
                <w:rFonts w:asciiTheme="minorHAnsi" w:hAnsiTheme="minorHAnsi"/>
                <w:color w:val="000000"/>
                <w:sz w:val="22"/>
                <w:szCs w:val="22"/>
              </w:rPr>
            </w:pPr>
            <w:r w:rsidRPr="00BA0E01">
              <w:rPr>
                <w:rFonts w:asciiTheme="minorHAnsi" w:hAnsiTheme="minorHAnsi"/>
                <w:color w:val="000000"/>
                <w:sz w:val="22"/>
                <w:szCs w:val="22"/>
              </w:rPr>
              <w:t>Inadequate/inappropriate support provided</w:t>
            </w:r>
          </w:p>
        </w:tc>
        <w:tc>
          <w:tcPr>
            <w:tcW w:w="1842" w:type="dxa"/>
            <w:shd w:val="clear" w:color="auto" w:fill="FFFFFF" w:themeFill="background1"/>
            <w:noWrap/>
            <w:vAlign w:val="center"/>
          </w:tcPr>
          <w:p w14:paraId="55152000" w14:textId="77777777" w:rsidR="00841E1C" w:rsidRPr="00BA0E01" w:rsidRDefault="00841E1C">
            <w:pPr>
              <w:jc w:val="center"/>
              <w:rPr>
                <w:rFonts w:asciiTheme="minorHAnsi" w:hAnsiTheme="minorHAnsi"/>
                <w:color w:val="000000"/>
                <w:sz w:val="22"/>
                <w:szCs w:val="22"/>
              </w:rPr>
            </w:pPr>
            <w:r w:rsidRPr="00BA0E01">
              <w:rPr>
                <w:rFonts w:asciiTheme="minorHAnsi" w:hAnsiTheme="minorHAnsi"/>
                <w:color w:val="000000"/>
                <w:sz w:val="22"/>
                <w:szCs w:val="22"/>
              </w:rPr>
              <w:t>2</w:t>
            </w:r>
          </w:p>
        </w:tc>
        <w:tc>
          <w:tcPr>
            <w:tcW w:w="1843" w:type="dxa"/>
            <w:shd w:val="clear" w:color="auto" w:fill="FFFFFF" w:themeFill="background1"/>
            <w:vAlign w:val="center"/>
          </w:tcPr>
          <w:p w14:paraId="26797592" w14:textId="3C911E72" w:rsidR="00841E1C" w:rsidRPr="003A6FD3" w:rsidRDefault="00C14A6A">
            <w:pPr>
              <w:jc w:val="center"/>
              <w:rPr>
                <w:rFonts w:asciiTheme="minorHAnsi" w:hAnsiTheme="minorHAnsi"/>
                <w:color w:val="000000"/>
                <w:sz w:val="22"/>
                <w:szCs w:val="22"/>
              </w:rPr>
            </w:pPr>
            <w:r w:rsidRPr="003A6FD3">
              <w:rPr>
                <w:color w:val="000000"/>
                <w:szCs w:val="22"/>
              </w:rPr>
              <w:t>0.4%</w:t>
            </w:r>
          </w:p>
        </w:tc>
      </w:tr>
      <w:tr w:rsidR="00841E1C" w:rsidRPr="00BA0E01" w14:paraId="79A8BF61" w14:textId="77777777" w:rsidTr="00901F8B">
        <w:trPr>
          <w:trHeight w:val="312"/>
        </w:trPr>
        <w:tc>
          <w:tcPr>
            <w:tcW w:w="5637" w:type="dxa"/>
            <w:shd w:val="clear" w:color="auto" w:fill="D9D9D9" w:themeFill="background1" w:themeFillShade="D9"/>
            <w:noWrap/>
          </w:tcPr>
          <w:p w14:paraId="46E45DEA" w14:textId="77777777" w:rsidR="00841E1C" w:rsidRPr="00BA0E01" w:rsidRDefault="00841E1C" w:rsidP="00841E1C">
            <w:pPr>
              <w:jc w:val="left"/>
              <w:rPr>
                <w:rFonts w:asciiTheme="minorHAnsi" w:hAnsiTheme="minorHAnsi"/>
                <w:b/>
                <w:color w:val="000000"/>
                <w:sz w:val="22"/>
                <w:szCs w:val="22"/>
                <w:lang w:bidi="ar-SA"/>
              </w:rPr>
            </w:pPr>
            <w:r w:rsidRPr="00BA0E01">
              <w:rPr>
                <w:rFonts w:asciiTheme="minorHAnsi" w:hAnsiTheme="minorHAnsi"/>
                <w:b/>
                <w:color w:val="000000"/>
                <w:sz w:val="22"/>
                <w:szCs w:val="22"/>
                <w:lang w:bidi="ar-SA"/>
              </w:rPr>
              <w:t>Documentation</w:t>
            </w:r>
          </w:p>
        </w:tc>
        <w:tc>
          <w:tcPr>
            <w:tcW w:w="1842" w:type="dxa"/>
            <w:shd w:val="clear" w:color="auto" w:fill="D9D9D9" w:themeFill="background1" w:themeFillShade="D9"/>
            <w:noWrap/>
            <w:vAlign w:val="center"/>
          </w:tcPr>
          <w:p w14:paraId="41F3B93E" w14:textId="77034638" w:rsidR="00841E1C" w:rsidRPr="00BA0E01" w:rsidRDefault="00CF0053">
            <w:pPr>
              <w:jc w:val="center"/>
              <w:rPr>
                <w:rFonts w:asciiTheme="minorHAnsi" w:hAnsiTheme="minorHAnsi"/>
                <w:b/>
                <w:color w:val="000000"/>
                <w:sz w:val="22"/>
                <w:szCs w:val="22"/>
                <w:lang w:bidi="ar-SA"/>
              </w:rPr>
            </w:pPr>
            <w:r w:rsidRPr="00BA0E01">
              <w:rPr>
                <w:rFonts w:asciiTheme="minorHAnsi" w:hAnsiTheme="minorHAnsi"/>
                <w:b/>
                <w:color w:val="000000"/>
                <w:sz w:val="22"/>
                <w:szCs w:val="22"/>
                <w:lang w:bidi="ar-SA"/>
              </w:rPr>
              <w:t>7</w:t>
            </w:r>
          </w:p>
        </w:tc>
        <w:tc>
          <w:tcPr>
            <w:tcW w:w="1843" w:type="dxa"/>
            <w:shd w:val="clear" w:color="auto" w:fill="D9D9D9" w:themeFill="background1" w:themeFillShade="D9"/>
            <w:vAlign w:val="center"/>
          </w:tcPr>
          <w:p w14:paraId="3E165431" w14:textId="203BBA0A" w:rsidR="00841E1C" w:rsidRPr="00BA0E01" w:rsidRDefault="00DE03A0">
            <w:pPr>
              <w:jc w:val="center"/>
              <w:rPr>
                <w:rFonts w:asciiTheme="minorHAnsi" w:hAnsiTheme="minorHAnsi"/>
                <w:b/>
                <w:color w:val="000000"/>
                <w:sz w:val="22"/>
                <w:szCs w:val="22"/>
              </w:rPr>
            </w:pPr>
            <w:r w:rsidRPr="00BA0E01">
              <w:rPr>
                <w:rFonts w:asciiTheme="minorHAnsi" w:hAnsiTheme="minorHAnsi"/>
                <w:b/>
                <w:color w:val="000000"/>
                <w:sz w:val="22"/>
                <w:szCs w:val="22"/>
              </w:rPr>
              <w:t>1.5</w:t>
            </w:r>
            <w:r w:rsidR="00C14A6A" w:rsidRPr="00BA0E01">
              <w:rPr>
                <w:rFonts w:asciiTheme="minorHAnsi" w:hAnsiTheme="minorHAnsi"/>
                <w:b/>
                <w:color w:val="000000"/>
                <w:sz w:val="22"/>
                <w:szCs w:val="22"/>
              </w:rPr>
              <w:t>%</w:t>
            </w:r>
          </w:p>
        </w:tc>
      </w:tr>
      <w:tr w:rsidR="00C14A6A" w:rsidRPr="00BA0E01" w14:paraId="1852F390" w14:textId="77777777" w:rsidTr="00901F8B">
        <w:trPr>
          <w:trHeight w:val="312"/>
        </w:trPr>
        <w:tc>
          <w:tcPr>
            <w:tcW w:w="5637" w:type="dxa"/>
            <w:noWrap/>
            <w:vAlign w:val="bottom"/>
          </w:tcPr>
          <w:p w14:paraId="59C2D570" w14:textId="77777777" w:rsidR="00C14A6A" w:rsidRPr="00BA0E01" w:rsidRDefault="00C14A6A" w:rsidP="00C14A6A">
            <w:pPr>
              <w:rPr>
                <w:rFonts w:asciiTheme="minorHAnsi" w:hAnsiTheme="minorHAnsi"/>
                <w:color w:val="000000"/>
                <w:sz w:val="22"/>
                <w:szCs w:val="22"/>
                <w:lang w:bidi="ar-SA"/>
              </w:rPr>
            </w:pPr>
            <w:r w:rsidRPr="00BA0E01">
              <w:rPr>
                <w:rFonts w:asciiTheme="minorHAnsi" w:hAnsiTheme="minorHAnsi"/>
                <w:color w:val="000000"/>
                <w:sz w:val="22"/>
                <w:szCs w:val="22"/>
              </w:rPr>
              <w:t>Delay/failure to disclose documentation</w:t>
            </w:r>
          </w:p>
        </w:tc>
        <w:tc>
          <w:tcPr>
            <w:tcW w:w="1842" w:type="dxa"/>
            <w:noWrap/>
            <w:vAlign w:val="center"/>
          </w:tcPr>
          <w:p w14:paraId="2283046E"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1</w:t>
            </w:r>
          </w:p>
        </w:tc>
        <w:tc>
          <w:tcPr>
            <w:tcW w:w="1843" w:type="dxa"/>
            <w:vAlign w:val="center"/>
          </w:tcPr>
          <w:p w14:paraId="174DA22A" w14:textId="75CA54CA" w:rsidR="00C14A6A" w:rsidRPr="00BA0E01" w:rsidRDefault="00C14A6A">
            <w:pPr>
              <w:jc w:val="center"/>
              <w:rPr>
                <w:rFonts w:asciiTheme="minorHAnsi" w:hAnsiTheme="minorHAnsi"/>
                <w:color w:val="000000"/>
                <w:sz w:val="22"/>
                <w:szCs w:val="22"/>
                <w:lang w:bidi="ar-SA"/>
              </w:rPr>
            </w:pPr>
            <w:r w:rsidRPr="00BA0E01">
              <w:rPr>
                <w:rFonts w:asciiTheme="minorHAnsi" w:hAnsiTheme="minorHAnsi"/>
                <w:color w:val="000000"/>
                <w:sz w:val="22"/>
                <w:szCs w:val="22"/>
              </w:rPr>
              <w:t>0.2%</w:t>
            </w:r>
          </w:p>
        </w:tc>
      </w:tr>
      <w:tr w:rsidR="00C14A6A" w:rsidRPr="00BA0E01" w14:paraId="2B981249" w14:textId="77777777" w:rsidTr="00901F8B">
        <w:trPr>
          <w:trHeight w:val="312"/>
        </w:trPr>
        <w:tc>
          <w:tcPr>
            <w:tcW w:w="5637" w:type="dxa"/>
            <w:noWrap/>
            <w:vAlign w:val="bottom"/>
          </w:tcPr>
          <w:p w14:paraId="415687AC" w14:textId="77777777" w:rsidR="00C14A6A" w:rsidRPr="00BA0E01" w:rsidRDefault="00C14A6A" w:rsidP="00C14A6A">
            <w:pPr>
              <w:jc w:val="left"/>
              <w:rPr>
                <w:rFonts w:asciiTheme="minorHAnsi" w:hAnsiTheme="minorHAnsi"/>
                <w:color w:val="000000"/>
                <w:sz w:val="22"/>
                <w:szCs w:val="22"/>
              </w:rPr>
            </w:pPr>
            <w:r w:rsidRPr="00BA0E01">
              <w:rPr>
                <w:rFonts w:asciiTheme="minorHAnsi" w:hAnsiTheme="minorHAnsi"/>
                <w:color w:val="000000"/>
                <w:sz w:val="22"/>
                <w:szCs w:val="22"/>
              </w:rPr>
              <w:t>Inadequate/inaccurate documentation</w:t>
            </w:r>
          </w:p>
        </w:tc>
        <w:tc>
          <w:tcPr>
            <w:tcW w:w="1842" w:type="dxa"/>
            <w:noWrap/>
            <w:vAlign w:val="center"/>
          </w:tcPr>
          <w:p w14:paraId="2F9F9958"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6</w:t>
            </w:r>
          </w:p>
        </w:tc>
        <w:tc>
          <w:tcPr>
            <w:tcW w:w="1843" w:type="dxa"/>
            <w:vAlign w:val="center"/>
          </w:tcPr>
          <w:p w14:paraId="18CA7FDD" w14:textId="6E23BA5F"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1.2%</w:t>
            </w:r>
          </w:p>
        </w:tc>
      </w:tr>
      <w:tr w:rsidR="00841E1C" w:rsidRPr="00BA0E01" w14:paraId="42E4E768" w14:textId="77777777" w:rsidTr="00901F8B">
        <w:trPr>
          <w:trHeight w:val="312"/>
        </w:trPr>
        <w:tc>
          <w:tcPr>
            <w:tcW w:w="5637" w:type="dxa"/>
            <w:shd w:val="clear" w:color="auto" w:fill="D9D9D9"/>
            <w:noWrap/>
          </w:tcPr>
          <w:p w14:paraId="1DB5BAAC" w14:textId="77777777" w:rsidR="00841E1C" w:rsidRPr="00BA0E01" w:rsidRDefault="00841E1C" w:rsidP="00841E1C">
            <w:pPr>
              <w:jc w:val="left"/>
              <w:rPr>
                <w:rFonts w:asciiTheme="minorHAnsi" w:hAnsiTheme="minorHAnsi"/>
                <w:b/>
                <w:color w:val="000000"/>
                <w:sz w:val="22"/>
                <w:szCs w:val="22"/>
                <w:lang w:bidi="ar-SA"/>
              </w:rPr>
            </w:pPr>
            <w:r w:rsidRPr="00BA0E01">
              <w:rPr>
                <w:rFonts w:asciiTheme="minorHAnsi" w:hAnsiTheme="minorHAnsi"/>
                <w:b/>
                <w:color w:val="000000"/>
                <w:sz w:val="22"/>
                <w:szCs w:val="22"/>
                <w:lang w:bidi="ar-SA"/>
              </w:rPr>
              <w:t>Facility</w:t>
            </w:r>
          </w:p>
        </w:tc>
        <w:tc>
          <w:tcPr>
            <w:tcW w:w="1842" w:type="dxa"/>
            <w:shd w:val="clear" w:color="auto" w:fill="D9D9D9"/>
            <w:noWrap/>
            <w:vAlign w:val="center"/>
          </w:tcPr>
          <w:p w14:paraId="5FC71C25" w14:textId="461997A1" w:rsidR="00841E1C" w:rsidRPr="00BA0E01" w:rsidRDefault="00CF0053">
            <w:pPr>
              <w:jc w:val="center"/>
              <w:rPr>
                <w:rFonts w:asciiTheme="minorHAnsi" w:hAnsiTheme="minorHAnsi"/>
                <w:b/>
                <w:color w:val="000000"/>
                <w:sz w:val="22"/>
                <w:szCs w:val="22"/>
                <w:lang w:bidi="ar-SA"/>
              </w:rPr>
            </w:pPr>
            <w:r w:rsidRPr="00BA0E01">
              <w:rPr>
                <w:rFonts w:asciiTheme="minorHAnsi" w:hAnsiTheme="minorHAnsi"/>
                <w:b/>
                <w:color w:val="000000"/>
                <w:sz w:val="22"/>
                <w:szCs w:val="22"/>
                <w:lang w:bidi="ar-SA"/>
              </w:rPr>
              <w:t>7</w:t>
            </w:r>
          </w:p>
        </w:tc>
        <w:tc>
          <w:tcPr>
            <w:tcW w:w="1843" w:type="dxa"/>
            <w:shd w:val="clear" w:color="auto" w:fill="D9D9D9"/>
            <w:vAlign w:val="center"/>
          </w:tcPr>
          <w:p w14:paraId="748F921A" w14:textId="3E2A4521" w:rsidR="00841E1C" w:rsidRPr="00BA0E01" w:rsidRDefault="00DE03A0">
            <w:pPr>
              <w:jc w:val="center"/>
              <w:rPr>
                <w:rFonts w:asciiTheme="minorHAnsi" w:hAnsiTheme="minorHAnsi"/>
                <w:b/>
                <w:color w:val="000000"/>
                <w:sz w:val="22"/>
                <w:szCs w:val="22"/>
              </w:rPr>
            </w:pPr>
            <w:r w:rsidRPr="00BA0E01">
              <w:rPr>
                <w:rFonts w:asciiTheme="minorHAnsi" w:hAnsiTheme="minorHAnsi"/>
                <w:b/>
                <w:color w:val="000000"/>
                <w:sz w:val="22"/>
                <w:szCs w:val="22"/>
              </w:rPr>
              <w:t>1.5</w:t>
            </w:r>
            <w:r w:rsidR="00C14A6A" w:rsidRPr="00BA0E01">
              <w:rPr>
                <w:rFonts w:asciiTheme="minorHAnsi" w:hAnsiTheme="minorHAnsi"/>
                <w:b/>
                <w:color w:val="000000"/>
                <w:sz w:val="22"/>
                <w:szCs w:val="22"/>
              </w:rPr>
              <w:t>%</w:t>
            </w:r>
          </w:p>
        </w:tc>
      </w:tr>
      <w:tr w:rsidR="00841E1C" w:rsidRPr="00BA0E01" w14:paraId="5B9784D5" w14:textId="77777777" w:rsidTr="00901F8B">
        <w:trPr>
          <w:trHeight w:val="312"/>
        </w:trPr>
        <w:tc>
          <w:tcPr>
            <w:tcW w:w="5637" w:type="dxa"/>
            <w:noWrap/>
            <w:hideMark/>
          </w:tcPr>
          <w:p w14:paraId="628E5347" w14:textId="77777777" w:rsidR="00841E1C" w:rsidRPr="00BA0E01" w:rsidRDefault="00841E1C" w:rsidP="00841E1C">
            <w:pPr>
              <w:jc w:val="left"/>
              <w:rPr>
                <w:rFonts w:asciiTheme="minorHAnsi" w:hAnsiTheme="minorHAnsi"/>
                <w:color w:val="000000"/>
                <w:sz w:val="22"/>
                <w:szCs w:val="22"/>
                <w:lang w:bidi="ar-SA"/>
              </w:rPr>
            </w:pPr>
            <w:r w:rsidRPr="00BA0E01">
              <w:rPr>
                <w:rFonts w:asciiTheme="minorHAnsi" w:hAnsiTheme="minorHAnsi"/>
                <w:color w:val="000000"/>
                <w:sz w:val="22"/>
                <w:szCs w:val="22"/>
                <w:lang w:bidi="ar-SA"/>
              </w:rPr>
              <w:t>General safety issue for consumer in facility</w:t>
            </w:r>
          </w:p>
        </w:tc>
        <w:tc>
          <w:tcPr>
            <w:tcW w:w="1842" w:type="dxa"/>
            <w:noWrap/>
            <w:vAlign w:val="center"/>
            <w:hideMark/>
          </w:tcPr>
          <w:p w14:paraId="091DA41C" w14:textId="77777777" w:rsidR="00841E1C" w:rsidRPr="00BA0E01" w:rsidRDefault="00841E1C">
            <w:pPr>
              <w:jc w:val="center"/>
              <w:rPr>
                <w:rFonts w:asciiTheme="minorHAnsi" w:hAnsiTheme="minorHAnsi"/>
                <w:color w:val="000000"/>
                <w:sz w:val="22"/>
                <w:szCs w:val="22"/>
                <w:lang w:bidi="ar-SA"/>
              </w:rPr>
            </w:pPr>
            <w:r w:rsidRPr="00BA0E01">
              <w:rPr>
                <w:rFonts w:asciiTheme="minorHAnsi" w:hAnsiTheme="minorHAnsi"/>
                <w:color w:val="000000"/>
                <w:sz w:val="22"/>
                <w:szCs w:val="22"/>
                <w:lang w:bidi="ar-SA"/>
              </w:rPr>
              <w:t>7</w:t>
            </w:r>
          </w:p>
        </w:tc>
        <w:tc>
          <w:tcPr>
            <w:tcW w:w="1843" w:type="dxa"/>
            <w:vAlign w:val="center"/>
          </w:tcPr>
          <w:p w14:paraId="512D8D6E" w14:textId="2EBE55F0" w:rsidR="00841E1C" w:rsidRPr="00BA0E01" w:rsidRDefault="00DE03A0">
            <w:pPr>
              <w:jc w:val="center"/>
              <w:rPr>
                <w:rFonts w:asciiTheme="minorHAnsi" w:hAnsiTheme="minorHAnsi"/>
                <w:color w:val="000000"/>
                <w:sz w:val="22"/>
                <w:szCs w:val="22"/>
              </w:rPr>
            </w:pPr>
            <w:r w:rsidRPr="00BA0E01">
              <w:rPr>
                <w:rFonts w:asciiTheme="minorHAnsi" w:hAnsiTheme="minorHAnsi"/>
                <w:color w:val="000000"/>
                <w:sz w:val="22"/>
                <w:szCs w:val="22"/>
              </w:rPr>
              <w:t>1.5</w:t>
            </w:r>
            <w:r w:rsidR="00C14A6A" w:rsidRPr="00BA0E01">
              <w:rPr>
                <w:rFonts w:asciiTheme="minorHAnsi" w:hAnsiTheme="minorHAnsi"/>
                <w:color w:val="000000"/>
                <w:sz w:val="22"/>
                <w:szCs w:val="22"/>
              </w:rPr>
              <w:t>%</w:t>
            </w:r>
          </w:p>
        </w:tc>
      </w:tr>
      <w:tr w:rsidR="00DE03A0" w:rsidRPr="00BA0E01" w14:paraId="68147AFC" w14:textId="77777777" w:rsidTr="00901F8B">
        <w:trPr>
          <w:trHeight w:val="312"/>
        </w:trPr>
        <w:tc>
          <w:tcPr>
            <w:tcW w:w="5637" w:type="dxa"/>
            <w:shd w:val="clear" w:color="auto" w:fill="D9D9D9"/>
            <w:noWrap/>
          </w:tcPr>
          <w:p w14:paraId="5ECFD158" w14:textId="77777777" w:rsidR="00DE03A0" w:rsidRPr="00BA0E01" w:rsidRDefault="00DE03A0" w:rsidP="00DE03A0">
            <w:pPr>
              <w:jc w:val="left"/>
              <w:rPr>
                <w:rFonts w:asciiTheme="minorHAnsi" w:hAnsiTheme="minorHAnsi"/>
                <w:b/>
                <w:color w:val="000000"/>
                <w:sz w:val="22"/>
                <w:szCs w:val="22"/>
                <w:lang w:bidi="ar-SA"/>
              </w:rPr>
            </w:pPr>
            <w:r w:rsidRPr="00BA0E01">
              <w:rPr>
                <w:rFonts w:asciiTheme="minorHAnsi" w:hAnsiTheme="minorHAnsi"/>
                <w:b/>
                <w:color w:val="000000"/>
                <w:sz w:val="22"/>
                <w:szCs w:val="22"/>
                <w:lang w:bidi="ar-SA"/>
              </w:rPr>
              <w:t xml:space="preserve">Medication </w:t>
            </w:r>
          </w:p>
        </w:tc>
        <w:tc>
          <w:tcPr>
            <w:tcW w:w="1842" w:type="dxa"/>
            <w:shd w:val="clear" w:color="auto" w:fill="D9D9D9" w:themeFill="background1" w:themeFillShade="D9"/>
            <w:noWrap/>
            <w:vAlign w:val="center"/>
          </w:tcPr>
          <w:p w14:paraId="659F015F" w14:textId="370B937E" w:rsidR="00DE03A0" w:rsidRPr="00BA0E01" w:rsidRDefault="00DE03A0">
            <w:pPr>
              <w:jc w:val="center"/>
              <w:rPr>
                <w:rFonts w:asciiTheme="minorHAnsi" w:hAnsiTheme="minorHAnsi"/>
                <w:b/>
                <w:color w:val="000000"/>
                <w:sz w:val="22"/>
                <w:szCs w:val="22"/>
                <w:lang w:bidi="ar-SA"/>
              </w:rPr>
            </w:pPr>
            <w:r w:rsidRPr="00BA0E01">
              <w:rPr>
                <w:rFonts w:asciiTheme="minorHAnsi" w:hAnsiTheme="minorHAnsi"/>
                <w:b/>
                <w:color w:val="000000"/>
                <w:sz w:val="22"/>
                <w:szCs w:val="22"/>
                <w:lang w:bidi="ar-SA"/>
              </w:rPr>
              <w:t>2</w:t>
            </w:r>
            <w:r w:rsidR="00BA0E01" w:rsidRPr="00BA0E01">
              <w:rPr>
                <w:rFonts w:asciiTheme="minorHAnsi" w:hAnsiTheme="minorHAnsi"/>
                <w:b/>
                <w:color w:val="000000"/>
                <w:sz w:val="22"/>
                <w:szCs w:val="22"/>
                <w:lang w:bidi="ar-SA"/>
              </w:rPr>
              <w:t>6</w:t>
            </w:r>
          </w:p>
        </w:tc>
        <w:tc>
          <w:tcPr>
            <w:tcW w:w="1843" w:type="dxa"/>
            <w:shd w:val="clear" w:color="auto" w:fill="D9D9D9" w:themeFill="background1" w:themeFillShade="D9"/>
            <w:vAlign w:val="center"/>
          </w:tcPr>
          <w:p w14:paraId="200482A3" w14:textId="160E9C37" w:rsidR="00DE03A0" w:rsidRPr="00BA0E01" w:rsidRDefault="00BA0E01" w:rsidP="003A6FD3">
            <w:pPr>
              <w:jc w:val="center"/>
              <w:rPr>
                <w:rFonts w:asciiTheme="minorHAnsi" w:hAnsiTheme="minorHAnsi"/>
                <w:b/>
                <w:color w:val="000000"/>
                <w:sz w:val="22"/>
                <w:szCs w:val="22"/>
              </w:rPr>
            </w:pPr>
            <w:r w:rsidRPr="00BA0E01">
              <w:rPr>
                <w:rFonts w:asciiTheme="minorHAnsi" w:hAnsiTheme="minorHAnsi"/>
                <w:b/>
                <w:color w:val="000000"/>
                <w:sz w:val="22"/>
                <w:szCs w:val="22"/>
              </w:rPr>
              <w:t>5.</w:t>
            </w:r>
            <w:r w:rsidR="003A6FD3">
              <w:rPr>
                <w:rFonts w:asciiTheme="minorHAnsi" w:hAnsiTheme="minorHAnsi"/>
                <w:b/>
                <w:color w:val="000000"/>
                <w:sz w:val="22"/>
                <w:szCs w:val="22"/>
              </w:rPr>
              <w:t>3</w:t>
            </w:r>
            <w:r w:rsidR="00DE03A0" w:rsidRPr="00BA0E01">
              <w:rPr>
                <w:rFonts w:asciiTheme="minorHAnsi" w:hAnsiTheme="minorHAnsi"/>
                <w:b/>
                <w:color w:val="000000"/>
                <w:sz w:val="22"/>
                <w:szCs w:val="22"/>
              </w:rPr>
              <w:t>%</w:t>
            </w:r>
          </w:p>
        </w:tc>
      </w:tr>
      <w:tr w:rsidR="00C14A6A" w:rsidRPr="00BA0E01" w14:paraId="38DA283D" w14:textId="77777777" w:rsidTr="00901F8B">
        <w:trPr>
          <w:trHeight w:val="312"/>
        </w:trPr>
        <w:tc>
          <w:tcPr>
            <w:tcW w:w="5637" w:type="dxa"/>
            <w:noWrap/>
            <w:vAlign w:val="bottom"/>
            <w:hideMark/>
          </w:tcPr>
          <w:p w14:paraId="74BEF23B" w14:textId="77777777" w:rsidR="00C14A6A" w:rsidRPr="00BA0E01" w:rsidRDefault="00C14A6A" w:rsidP="00C14A6A">
            <w:pPr>
              <w:rPr>
                <w:rFonts w:asciiTheme="minorHAnsi" w:hAnsiTheme="minorHAnsi"/>
                <w:color w:val="000000"/>
                <w:sz w:val="22"/>
                <w:szCs w:val="22"/>
                <w:lang w:bidi="ar-SA"/>
              </w:rPr>
            </w:pPr>
            <w:r w:rsidRPr="00BA0E01">
              <w:rPr>
                <w:rFonts w:asciiTheme="minorHAnsi" w:hAnsiTheme="minorHAnsi"/>
                <w:color w:val="000000"/>
                <w:sz w:val="22"/>
                <w:szCs w:val="22"/>
              </w:rPr>
              <w:t>Administration error</w:t>
            </w:r>
          </w:p>
        </w:tc>
        <w:tc>
          <w:tcPr>
            <w:tcW w:w="1842" w:type="dxa"/>
            <w:noWrap/>
            <w:vAlign w:val="center"/>
            <w:hideMark/>
          </w:tcPr>
          <w:p w14:paraId="5C5FB5B9"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5</w:t>
            </w:r>
          </w:p>
        </w:tc>
        <w:tc>
          <w:tcPr>
            <w:tcW w:w="1843" w:type="dxa"/>
            <w:vAlign w:val="center"/>
          </w:tcPr>
          <w:p w14:paraId="5ECB5073" w14:textId="498B9AFC" w:rsidR="00C14A6A" w:rsidRPr="00BA0E01" w:rsidRDefault="00C14A6A" w:rsidP="003A6FD3">
            <w:pPr>
              <w:jc w:val="center"/>
              <w:rPr>
                <w:rFonts w:asciiTheme="minorHAnsi" w:hAnsiTheme="minorHAnsi"/>
                <w:color w:val="000000"/>
                <w:sz w:val="22"/>
                <w:szCs w:val="22"/>
                <w:lang w:bidi="ar-SA"/>
              </w:rPr>
            </w:pPr>
            <w:r w:rsidRPr="00BA0E01">
              <w:rPr>
                <w:rFonts w:asciiTheme="minorHAnsi" w:hAnsiTheme="minorHAnsi"/>
                <w:color w:val="000000"/>
                <w:sz w:val="22"/>
                <w:szCs w:val="22"/>
              </w:rPr>
              <w:t>1.</w:t>
            </w:r>
            <w:r w:rsidR="003A6FD3">
              <w:rPr>
                <w:rFonts w:asciiTheme="minorHAnsi" w:hAnsiTheme="minorHAnsi"/>
                <w:color w:val="000000"/>
                <w:sz w:val="22"/>
                <w:szCs w:val="22"/>
              </w:rPr>
              <w:t>1</w:t>
            </w:r>
            <w:r w:rsidRPr="00BA0E01">
              <w:rPr>
                <w:rFonts w:asciiTheme="minorHAnsi" w:hAnsiTheme="minorHAnsi"/>
                <w:color w:val="000000"/>
                <w:sz w:val="22"/>
                <w:szCs w:val="22"/>
              </w:rPr>
              <w:t>%</w:t>
            </w:r>
          </w:p>
        </w:tc>
      </w:tr>
      <w:tr w:rsidR="00C14A6A" w:rsidRPr="00BA0E01" w14:paraId="0A4D089C" w14:textId="77777777" w:rsidTr="00901F8B">
        <w:trPr>
          <w:trHeight w:val="312"/>
        </w:trPr>
        <w:tc>
          <w:tcPr>
            <w:tcW w:w="5637" w:type="dxa"/>
            <w:noWrap/>
            <w:vAlign w:val="bottom"/>
            <w:hideMark/>
          </w:tcPr>
          <w:p w14:paraId="24468B8C" w14:textId="77777777" w:rsidR="00C14A6A" w:rsidRPr="00BA0E01" w:rsidRDefault="00C14A6A" w:rsidP="00C14A6A">
            <w:pPr>
              <w:jc w:val="left"/>
              <w:rPr>
                <w:rFonts w:asciiTheme="minorHAnsi" w:hAnsiTheme="minorHAnsi"/>
                <w:color w:val="000000"/>
                <w:sz w:val="22"/>
                <w:szCs w:val="22"/>
              </w:rPr>
            </w:pPr>
            <w:r w:rsidRPr="00BA0E01">
              <w:rPr>
                <w:rFonts w:asciiTheme="minorHAnsi" w:hAnsiTheme="minorHAnsi"/>
                <w:color w:val="000000"/>
                <w:sz w:val="22"/>
                <w:szCs w:val="22"/>
              </w:rPr>
              <w:t>Inappropriate administration</w:t>
            </w:r>
          </w:p>
        </w:tc>
        <w:tc>
          <w:tcPr>
            <w:tcW w:w="1842" w:type="dxa"/>
            <w:noWrap/>
            <w:vAlign w:val="center"/>
            <w:hideMark/>
          </w:tcPr>
          <w:p w14:paraId="4164361A"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2</w:t>
            </w:r>
          </w:p>
        </w:tc>
        <w:tc>
          <w:tcPr>
            <w:tcW w:w="1843" w:type="dxa"/>
            <w:vAlign w:val="center"/>
          </w:tcPr>
          <w:p w14:paraId="3C7C5EC9" w14:textId="718241CC"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0.4%</w:t>
            </w:r>
          </w:p>
        </w:tc>
      </w:tr>
      <w:tr w:rsidR="00C14A6A" w:rsidRPr="00BA0E01" w14:paraId="499B27B7" w14:textId="77777777" w:rsidTr="00901F8B">
        <w:trPr>
          <w:trHeight w:val="312"/>
        </w:trPr>
        <w:tc>
          <w:tcPr>
            <w:tcW w:w="5637" w:type="dxa"/>
            <w:noWrap/>
            <w:vAlign w:val="bottom"/>
            <w:hideMark/>
          </w:tcPr>
          <w:p w14:paraId="484FF601" w14:textId="77777777" w:rsidR="00C14A6A" w:rsidRPr="00BA0E01" w:rsidRDefault="00C14A6A" w:rsidP="00C14A6A">
            <w:pPr>
              <w:jc w:val="left"/>
              <w:rPr>
                <w:rFonts w:asciiTheme="minorHAnsi" w:hAnsiTheme="minorHAnsi"/>
                <w:color w:val="000000"/>
                <w:sz w:val="22"/>
                <w:szCs w:val="22"/>
              </w:rPr>
            </w:pPr>
            <w:r w:rsidRPr="00BA0E01">
              <w:rPr>
                <w:rFonts w:asciiTheme="minorHAnsi" w:hAnsiTheme="minorHAnsi"/>
                <w:color w:val="000000"/>
                <w:sz w:val="22"/>
                <w:szCs w:val="22"/>
              </w:rPr>
              <w:t>Inappropriate prescribing</w:t>
            </w:r>
          </w:p>
        </w:tc>
        <w:tc>
          <w:tcPr>
            <w:tcW w:w="1842" w:type="dxa"/>
            <w:noWrap/>
            <w:vAlign w:val="center"/>
            <w:hideMark/>
          </w:tcPr>
          <w:p w14:paraId="3E9D5A15" w14:textId="25B8B288"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13</w:t>
            </w:r>
          </w:p>
        </w:tc>
        <w:tc>
          <w:tcPr>
            <w:tcW w:w="1843" w:type="dxa"/>
            <w:vAlign w:val="center"/>
          </w:tcPr>
          <w:p w14:paraId="3595A9AD" w14:textId="33E9E859" w:rsidR="00C14A6A" w:rsidRPr="00BA0E01" w:rsidRDefault="00C14A6A" w:rsidP="003A6FD3">
            <w:pPr>
              <w:jc w:val="center"/>
              <w:rPr>
                <w:rFonts w:asciiTheme="minorHAnsi" w:hAnsiTheme="minorHAnsi"/>
                <w:color w:val="000000"/>
                <w:sz w:val="22"/>
                <w:szCs w:val="22"/>
              </w:rPr>
            </w:pPr>
            <w:r w:rsidRPr="00BA0E01">
              <w:rPr>
                <w:rFonts w:asciiTheme="minorHAnsi" w:hAnsiTheme="minorHAnsi"/>
                <w:color w:val="000000"/>
                <w:sz w:val="22"/>
                <w:szCs w:val="22"/>
              </w:rPr>
              <w:t>2.</w:t>
            </w:r>
            <w:r w:rsidR="003A6FD3">
              <w:rPr>
                <w:rFonts w:asciiTheme="minorHAnsi" w:hAnsiTheme="minorHAnsi"/>
                <w:color w:val="000000"/>
                <w:sz w:val="22"/>
                <w:szCs w:val="22"/>
              </w:rPr>
              <w:t>5</w:t>
            </w:r>
            <w:r w:rsidRPr="00BA0E01">
              <w:rPr>
                <w:rFonts w:asciiTheme="minorHAnsi" w:hAnsiTheme="minorHAnsi"/>
                <w:color w:val="000000"/>
                <w:sz w:val="22"/>
                <w:szCs w:val="22"/>
              </w:rPr>
              <w:t>%</w:t>
            </w:r>
          </w:p>
        </w:tc>
      </w:tr>
      <w:tr w:rsidR="00C14A6A" w:rsidRPr="00BA0E01" w14:paraId="154A32D5" w14:textId="77777777" w:rsidTr="00901F8B">
        <w:trPr>
          <w:trHeight w:val="312"/>
        </w:trPr>
        <w:tc>
          <w:tcPr>
            <w:tcW w:w="5637" w:type="dxa"/>
            <w:noWrap/>
            <w:vAlign w:val="bottom"/>
          </w:tcPr>
          <w:p w14:paraId="604F7776" w14:textId="77777777" w:rsidR="00C14A6A" w:rsidRPr="00BA0E01" w:rsidRDefault="00C14A6A" w:rsidP="00C14A6A">
            <w:pPr>
              <w:jc w:val="left"/>
              <w:rPr>
                <w:rFonts w:asciiTheme="minorHAnsi" w:hAnsiTheme="minorHAnsi"/>
                <w:color w:val="000000"/>
                <w:sz w:val="22"/>
                <w:szCs w:val="22"/>
              </w:rPr>
            </w:pPr>
            <w:r w:rsidRPr="00BA0E01">
              <w:rPr>
                <w:rFonts w:asciiTheme="minorHAnsi" w:hAnsiTheme="minorHAnsi"/>
                <w:color w:val="000000"/>
                <w:sz w:val="22"/>
                <w:szCs w:val="22"/>
              </w:rPr>
              <w:t>Prescribing error</w:t>
            </w:r>
          </w:p>
        </w:tc>
        <w:tc>
          <w:tcPr>
            <w:tcW w:w="1842" w:type="dxa"/>
            <w:noWrap/>
            <w:vAlign w:val="center"/>
          </w:tcPr>
          <w:p w14:paraId="63A6DDDB"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1</w:t>
            </w:r>
          </w:p>
        </w:tc>
        <w:tc>
          <w:tcPr>
            <w:tcW w:w="1843" w:type="dxa"/>
            <w:vAlign w:val="center"/>
          </w:tcPr>
          <w:p w14:paraId="1399FB4B" w14:textId="39DDC19B"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0.2%</w:t>
            </w:r>
          </w:p>
        </w:tc>
      </w:tr>
      <w:tr w:rsidR="00C14A6A" w:rsidRPr="00BA0E01" w14:paraId="1A722AD4" w14:textId="77777777" w:rsidTr="00901F8B">
        <w:trPr>
          <w:trHeight w:val="312"/>
        </w:trPr>
        <w:tc>
          <w:tcPr>
            <w:tcW w:w="5637" w:type="dxa"/>
            <w:noWrap/>
            <w:vAlign w:val="bottom"/>
          </w:tcPr>
          <w:p w14:paraId="5A8CCCE6" w14:textId="77777777" w:rsidR="00C14A6A" w:rsidRPr="00BA0E01" w:rsidRDefault="00C14A6A" w:rsidP="00C14A6A">
            <w:pPr>
              <w:jc w:val="left"/>
              <w:rPr>
                <w:rFonts w:asciiTheme="minorHAnsi" w:hAnsiTheme="minorHAnsi"/>
                <w:color w:val="000000"/>
                <w:sz w:val="22"/>
                <w:szCs w:val="22"/>
              </w:rPr>
            </w:pPr>
            <w:r w:rsidRPr="00BA0E01">
              <w:rPr>
                <w:rFonts w:asciiTheme="minorHAnsi" w:hAnsiTheme="minorHAnsi"/>
                <w:color w:val="000000"/>
                <w:sz w:val="22"/>
                <w:szCs w:val="22"/>
              </w:rPr>
              <w:t>Refusal to prescribe/dispense/supply</w:t>
            </w:r>
          </w:p>
        </w:tc>
        <w:tc>
          <w:tcPr>
            <w:tcW w:w="1842" w:type="dxa"/>
            <w:noWrap/>
            <w:vAlign w:val="center"/>
          </w:tcPr>
          <w:p w14:paraId="669D843F" w14:textId="77777777" w:rsidR="00C14A6A" w:rsidRPr="00BA0E01" w:rsidRDefault="00C14A6A">
            <w:pPr>
              <w:jc w:val="center"/>
              <w:rPr>
                <w:rFonts w:asciiTheme="minorHAnsi" w:hAnsiTheme="minorHAnsi"/>
                <w:color w:val="000000"/>
                <w:sz w:val="22"/>
                <w:szCs w:val="22"/>
              </w:rPr>
            </w:pPr>
            <w:r w:rsidRPr="00BA0E01">
              <w:rPr>
                <w:rFonts w:asciiTheme="minorHAnsi" w:hAnsiTheme="minorHAnsi"/>
                <w:color w:val="000000"/>
                <w:sz w:val="22"/>
                <w:szCs w:val="22"/>
              </w:rPr>
              <w:t>5</w:t>
            </w:r>
          </w:p>
        </w:tc>
        <w:tc>
          <w:tcPr>
            <w:tcW w:w="1843" w:type="dxa"/>
            <w:vAlign w:val="center"/>
          </w:tcPr>
          <w:p w14:paraId="43E745EB" w14:textId="2F836032" w:rsidR="00C14A6A" w:rsidRPr="00BA0E01" w:rsidRDefault="00C14A6A" w:rsidP="003A6FD3">
            <w:pPr>
              <w:jc w:val="center"/>
              <w:rPr>
                <w:rFonts w:asciiTheme="minorHAnsi" w:hAnsiTheme="minorHAnsi"/>
                <w:color w:val="000000"/>
                <w:sz w:val="22"/>
                <w:szCs w:val="22"/>
              </w:rPr>
            </w:pPr>
            <w:r w:rsidRPr="00BA0E01">
              <w:rPr>
                <w:rFonts w:asciiTheme="minorHAnsi" w:hAnsiTheme="minorHAnsi"/>
                <w:color w:val="000000"/>
                <w:sz w:val="22"/>
                <w:szCs w:val="22"/>
              </w:rPr>
              <w:t>1.</w:t>
            </w:r>
            <w:r w:rsidR="003A6FD3">
              <w:rPr>
                <w:rFonts w:asciiTheme="minorHAnsi" w:hAnsiTheme="minorHAnsi"/>
                <w:color w:val="000000"/>
                <w:sz w:val="22"/>
                <w:szCs w:val="22"/>
              </w:rPr>
              <w:t>1</w:t>
            </w:r>
            <w:r w:rsidRPr="00BA0E01">
              <w:rPr>
                <w:rFonts w:asciiTheme="minorHAnsi" w:hAnsiTheme="minorHAnsi"/>
                <w:color w:val="000000"/>
                <w:sz w:val="22"/>
                <w:szCs w:val="22"/>
              </w:rPr>
              <w:t>%</w:t>
            </w:r>
          </w:p>
        </w:tc>
      </w:tr>
      <w:tr w:rsidR="00CF0053" w:rsidRPr="00BA0E01" w14:paraId="36C7246E" w14:textId="77777777" w:rsidTr="00901F8B">
        <w:trPr>
          <w:trHeight w:val="312"/>
        </w:trPr>
        <w:tc>
          <w:tcPr>
            <w:tcW w:w="5637" w:type="dxa"/>
            <w:shd w:val="clear" w:color="auto" w:fill="D9D9D9" w:themeFill="background1" w:themeFillShade="D9"/>
            <w:noWrap/>
          </w:tcPr>
          <w:p w14:paraId="498518C2" w14:textId="3E2FE9D5" w:rsidR="00CF0053" w:rsidRPr="00BA0E01" w:rsidRDefault="00CF0053" w:rsidP="00841E1C">
            <w:pPr>
              <w:jc w:val="left"/>
              <w:rPr>
                <w:rFonts w:asciiTheme="minorHAnsi" w:hAnsiTheme="minorHAnsi"/>
                <w:b/>
                <w:color w:val="000000"/>
                <w:sz w:val="22"/>
                <w:szCs w:val="22"/>
                <w:lang w:bidi="ar-SA"/>
              </w:rPr>
            </w:pPr>
            <w:r w:rsidRPr="00BA0E01">
              <w:rPr>
                <w:rFonts w:asciiTheme="minorHAnsi" w:hAnsiTheme="minorHAnsi"/>
                <w:b/>
                <w:color w:val="000000"/>
                <w:sz w:val="22"/>
                <w:szCs w:val="22"/>
                <w:lang w:bidi="ar-SA"/>
              </w:rPr>
              <w:t>Report/Certificate</w:t>
            </w:r>
          </w:p>
        </w:tc>
        <w:tc>
          <w:tcPr>
            <w:tcW w:w="1842" w:type="dxa"/>
            <w:shd w:val="clear" w:color="auto" w:fill="D9D9D9" w:themeFill="background1" w:themeFillShade="D9"/>
            <w:noWrap/>
            <w:vAlign w:val="center"/>
          </w:tcPr>
          <w:p w14:paraId="1213ABE3" w14:textId="7358D173" w:rsidR="00CF0053" w:rsidRPr="00BA0E01" w:rsidRDefault="000C2A30">
            <w:pPr>
              <w:jc w:val="center"/>
              <w:rPr>
                <w:rFonts w:asciiTheme="minorHAnsi" w:hAnsiTheme="minorHAnsi"/>
                <w:b/>
                <w:color w:val="000000"/>
                <w:sz w:val="22"/>
                <w:szCs w:val="22"/>
                <w:lang w:bidi="ar-SA"/>
              </w:rPr>
            </w:pPr>
            <w:r w:rsidRPr="00BA0E01">
              <w:rPr>
                <w:rFonts w:asciiTheme="minorHAnsi" w:hAnsiTheme="minorHAnsi"/>
                <w:b/>
                <w:color w:val="000000"/>
                <w:sz w:val="22"/>
                <w:szCs w:val="22"/>
                <w:lang w:bidi="ar-SA"/>
              </w:rPr>
              <w:t>7</w:t>
            </w:r>
          </w:p>
        </w:tc>
        <w:tc>
          <w:tcPr>
            <w:tcW w:w="1843" w:type="dxa"/>
            <w:shd w:val="clear" w:color="auto" w:fill="D9D9D9" w:themeFill="background1" w:themeFillShade="D9"/>
            <w:vAlign w:val="center"/>
          </w:tcPr>
          <w:p w14:paraId="17B5DC0A" w14:textId="5B52E162" w:rsidR="00CF0053" w:rsidRPr="00BA0E01" w:rsidRDefault="00552AE7">
            <w:pPr>
              <w:jc w:val="center"/>
              <w:rPr>
                <w:rFonts w:asciiTheme="minorHAnsi" w:hAnsiTheme="minorHAnsi"/>
                <w:b/>
                <w:color w:val="000000"/>
                <w:sz w:val="22"/>
                <w:szCs w:val="22"/>
              </w:rPr>
            </w:pPr>
            <w:r w:rsidRPr="00BA0E01">
              <w:rPr>
                <w:rFonts w:asciiTheme="minorHAnsi" w:hAnsiTheme="minorHAnsi"/>
                <w:b/>
                <w:color w:val="000000"/>
                <w:sz w:val="22"/>
                <w:szCs w:val="22"/>
              </w:rPr>
              <w:t>1.5%</w:t>
            </w:r>
          </w:p>
        </w:tc>
      </w:tr>
      <w:tr w:rsidR="00CF0053" w:rsidRPr="00BA0E01" w14:paraId="28610E2B" w14:textId="77777777" w:rsidTr="00901F8B">
        <w:trPr>
          <w:trHeight w:val="312"/>
        </w:trPr>
        <w:tc>
          <w:tcPr>
            <w:tcW w:w="5637" w:type="dxa"/>
            <w:shd w:val="clear" w:color="auto" w:fill="auto"/>
            <w:noWrap/>
          </w:tcPr>
          <w:p w14:paraId="0001A25E" w14:textId="0DF67F35" w:rsidR="00CF0053" w:rsidRPr="00BA0E01" w:rsidRDefault="00CF0053" w:rsidP="00CF0053">
            <w:pPr>
              <w:jc w:val="left"/>
              <w:rPr>
                <w:rFonts w:asciiTheme="minorHAnsi" w:hAnsiTheme="minorHAnsi"/>
                <w:b/>
                <w:color w:val="000000"/>
                <w:sz w:val="22"/>
                <w:szCs w:val="22"/>
                <w:lang w:bidi="ar-SA"/>
              </w:rPr>
            </w:pPr>
            <w:r w:rsidRPr="00BA0E01">
              <w:rPr>
                <w:rFonts w:asciiTheme="minorHAnsi" w:hAnsiTheme="minorHAnsi"/>
                <w:color w:val="000000"/>
                <w:sz w:val="22"/>
                <w:szCs w:val="22"/>
                <w:lang w:bidi="ar-SA"/>
              </w:rPr>
              <w:t>Inaccurate report/certificate</w:t>
            </w:r>
          </w:p>
        </w:tc>
        <w:tc>
          <w:tcPr>
            <w:tcW w:w="1842" w:type="dxa"/>
            <w:shd w:val="clear" w:color="auto" w:fill="auto"/>
            <w:noWrap/>
            <w:vAlign w:val="center"/>
          </w:tcPr>
          <w:p w14:paraId="59BE96BC" w14:textId="502445F0" w:rsidR="00CF0053" w:rsidRPr="00BA0E01" w:rsidRDefault="000C2A30">
            <w:pPr>
              <w:jc w:val="center"/>
              <w:rPr>
                <w:rFonts w:asciiTheme="minorHAnsi" w:hAnsiTheme="minorHAnsi"/>
                <w:b/>
                <w:color w:val="000000"/>
                <w:sz w:val="22"/>
                <w:szCs w:val="22"/>
                <w:lang w:bidi="ar-SA"/>
              </w:rPr>
            </w:pPr>
            <w:r w:rsidRPr="00BA0E01">
              <w:rPr>
                <w:rFonts w:asciiTheme="minorHAnsi" w:hAnsiTheme="minorHAnsi"/>
                <w:color w:val="000000"/>
                <w:sz w:val="22"/>
                <w:szCs w:val="22"/>
                <w:lang w:bidi="ar-SA"/>
              </w:rPr>
              <w:t>7</w:t>
            </w:r>
          </w:p>
        </w:tc>
        <w:tc>
          <w:tcPr>
            <w:tcW w:w="1843" w:type="dxa"/>
            <w:shd w:val="clear" w:color="auto" w:fill="auto"/>
            <w:vAlign w:val="center"/>
          </w:tcPr>
          <w:p w14:paraId="7FA9990A" w14:textId="59A76022" w:rsidR="00CF0053" w:rsidRPr="003A6FD3" w:rsidRDefault="00552AE7">
            <w:pPr>
              <w:jc w:val="center"/>
              <w:rPr>
                <w:rFonts w:asciiTheme="minorHAnsi" w:hAnsiTheme="minorHAnsi"/>
                <w:color w:val="000000"/>
                <w:sz w:val="22"/>
                <w:szCs w:val="22"/>
              </w:rPr>
            </w:pPr>
            <w:r w:rsidRPr="003A6FD3">
              <w:rPr>
                <w:color w:val="000000"/>
                <w:szCs w:val="22"/>
              </w:rPr>
              <w:t>1.5%</w:t>
            </w:r>
          </w:p>
        </w:tc>
      </w:tr>
      <w:tr w:rsidR="00841E1C" w:rsidRPr="00BA0E01" w14:paraId="0F46B64C" w14:textId="77777777" w:rsidTr="00901F8B">
        <w:trPr>
          <w:trHeight w:val="312"/>
        </w:trPr>
        <w:tc>
          <w:tcPr>
            <w:tcW w:w="5637" w:type="dxa"/>
            <w:shd w:val="clear" w:color="auto" w:fill="D9D9D9" w:themeFill="background1" w:themeFillShade="D9"/>
            <w:noWrap/>
          </w:tcPr>
          <w:p w14:paraId="28E1D46B" w14:textId="47688047" w:rsidR="00841E1C" w:rsidRPr="00BA0E01" w:rsidRDefault="00841E1C" w:rsidP="00841E1C">
            <w:pPr>
              <w:jc w:val="left"/>
              <w:rPr>
                <w:rFonts w:asciiTheme="minorHAnsi" w:hAnsiTheme="minorHAnsi"/>
                <w:b/>
                <w:color w:val="000000"/>
                <w:sz w:val="22"/>
                <w:szCs w:val="22"/>
                <w:lang w:bidi="ar-SA"/>
              </w:rPr>
            </w:pPr>
            <w:r w:rsidRPr="00BA0E01">
              <w:rPr>
                <w:rFonts w:asciiTheme="minorHAnsi" w:hAnsiTheme="minorHAnsi"/>
                <w:b/>
                <w:color w:val="000000"/>
                <w:sz w:val="22"/>
                <w:szCs w:val="22"/>
                <w:lang w:bidi="ar-SA"/>
              </w:rPr>
              <w:t>Professional conduct</w:t>
            </w:r>
            <w:r w:rsidR="00492E7E" w:rsidRPr="00BA0E01">
              <w:rPr>
                <w:rFonts w:asciiTheme="minorHAnsi" w:hAnsiTheme="minorHAnsi"/>
                <w:b/>
                <w:color w:val="000000"/>
                <w:sz w:val="22"/>
                <w:szCs w:val="22"/>
                <w:lang w:bidi="ar-SA"/>
              </w:rPr>
              <w:t>-related issues</w:t>
            </w:r>
          </w:p>
        </w:tc>
        <w:tc>
          <w:tcPr>
            <w:tcW w:w="1842" w:type="dxa"/>
            <w:shd w:val="clear" w:color="auto" w:fill="D9D9D9" w:themeFill="background1" w:themeFillShade="D9"/>
            <w:noWrap/>
            <w:vAlign w:val="center"/>
          </w:tcPr>
          <w:p w14:paraId="7A9ED8B2" w14:textId="58B5A0EA" w:rsidR="00841E1C" w:rsidRPr="00BA0E01" w:rsidRDefault="00CF0053">
            <w:pPr>
              <w:jc w:val="center"/>
              <w:rPr>
                <w:rFonts w:asciiTheme="minorHAnsi" w:hAnsiTheme="minorHAnsi"/>
                <w:b/>
                <w:color w:val="000000"/>
                <w:sz w:val="22"/>
                <w:szCs w:val="22"/>
                <w:lang w:bidi="ar-SA"/>
              </w:rPr>
            </w:pPr>
            <w:r w:rsidRPr="00BA0E01">
              <w:rPr>
                <w:rFonts w:asciiTheme="minorHAnsi" w:hAnsiTheme="minorHAnsi"/>
                <w:b/>
                <w:color w:val="000000"/>
                <w:sz w:val="22"/>
                <w:szCs w:val="22"/>
                <w:lang w:bidi="ar-SA"/>
              </w:rPr>
              <w:t>6</w:t>
            </w:r>
          </w:p>
        </w:tc>
        <w:tc>
          <w:tcPr>
            <w:tcW w:w="1843" w:type="dxa"/>
            <w:shd w:val="clear" w:color="auto" w:fill="D9D9D9" w:themeFill="background1" w:themeFillShade="D9"/>
            <w:vAlign w:val="center"/>
          </w:tcPr>
          <w:p w14:paraId="3AEC1DF9" w14:textId="5E0E2B0A" w:rsidR="00841E1C" w:rsidRPr="00BA0E01" w:rsidRDefault="00492E7E">
            <w:pPr>
              <w:jc w:val="center"/>
              <w:rPr>
                <w:rFonts w:asciiTheme="minorHAnsi" w:hAnsiTheme="minorHAnsi"/>
                <w:b/>
                <w:color w:val="000000"/>
                <w:sz w:val="22"/>
                <w:szCs w:val="22"/>
              </w:rPr>
            </w:pPr>
            <w:r w:rsidRPr="00BA0E01">
              <w:rPr>
                <w:rFonts w:asciiTheme="minorHAnsi" w:hAnsiTheme="minorHAnsi"/>
                <w:b/>
                <w:color w:val="000000"/>
                <w:sz w:val="22"/>
                <w:szCs w:val="22"/>
              </w:rPr>
              <w:t>1.</w:t>
            </w:r>
            <w:r w:rsidR="00A16504">
              <w:rPr>
                <w:rFonts w:asciiTheme="minorHAnsi" w:hAnsiTheme="minorHAnsi"/>
                <w:b/>
                <w:color w:val="000000"/>
                <w:sz w:val="22"/>
                <w:szCs w:val="22"/>
              </w:rPr>
              <w:t>3</w:t>
            </w:r>
            <w:r w:rsidR="00C14A6A" w:rsidRPr="00BA0E01">
              <w:rPr>
                <w:rFonts w:asciiTheme="minorHAnsi" w:hAnsiTheme="minorHAnsi"/>
                <w:b/>
                <w:color w:val="000000"/>
                <w:sz w:val="22"/>
                <w:szCs w:val="22"/>
              </w:rPr>
              <w:t>%</w:t>
            </w:r>
          </w:p>
        </w:tc>
      </w:tr>
      <w:tr w:rsidR="00492E7E" w:rsidRPr="00BA0E01" w14:paraId="14AE0B3E" w14:textId="77777777" w:rsidTr="00901F8B">
        <w:trPr>
          <w:trHeight w:val="312"/>
        </w:trPr>
        <w:tc>
          <w:tcPr>
            <w:tcW w:w="5637" w:type="dxa"/>
            <w:shd w:val="clear" w:color="auto" w:fill="FFFFFF" w:themeFill="background1"/>
            <w:noWrap/>
          </w:tcPr>
          <w:p w14:paraId="61D7235B" w14:textId="689F4374" w:rsidR="00492E7E" w:rsidRPr="00BA0E01" w:rsidRDefault="00492E7E" w:rsidP="00492E7E">
            <w:pPr>
              <w:jc w:val="left"/>
              <w:rPr>
                <w:rFonts w:asciiTheme="minorHAnsi" w:hAnsiTheme="minorHAnsi"/>
                <w:color w:val="000000"/>
                <w:sz w:val="22"/>
                <w:szCs w:val="22"/>
                <w:lang w:bidi="ar-SA"/>
              </w:rPr>
            </w:pPr>
            <w:r w:rsidRPr="00BA0E01">
              <w:rPr>
                <w:rFonts w:asciiTheme="minorHAnsi" w:hAnsiTheme="minorHAnsi"/>
                <w:sz w:val="22"/>
                <w:szCs w:val="22"/>
              </w:rPr>
              <w:t>Disrespectful behaviour</w:t>
            </w:r>
          </w:p>
        </w:tc>
        <w:tc>
          <w:tcPr>
            <w:tcW w:w="1842" w:type="dxa"/>
            <w:shd w:val="clear" w:color="auto" w:fill="FFFFFF" w:themeFill="background1"/>
            <w:noWrap/>
            <w:vAlign w:val="center"/>
          </w:tcPr>
          <w:p w14:paraId="15745026" w14:textId="349D445E" w:rsidR="00492E7E" w:rsidRPr="00BA0E01" w:rsidRDefault="00492E7E">
            <w:pPr>
              <w:jc w:val="center"/>
              <w:rPr>
                <w:rFonts w:asciiTheme="minorHAnsi" w:hAnsiTheme="minorHAnsi"/>
                <w:color w:val="000000"/>
                <w:sz w:val="22"/>
                <w:szCs w:val="22"/>
                <w:lang w:bidi="ar-SA"/>
              </w:rPr>
            </w:pPr>
            <w:r w:rsidRPr="00BA0E01">
              <w:rPr>
                <w:rFonts w:asciiTheme="minorHAnsi" w:hAnsiTheme="minorHAnsi"/>
                <w:color w:val="000000"/>
                <w:sz w:val="22"/>
                <w:szCs w:val="22"/>
                <w:lang w:bidi="ar-SA"/>
              </w:rPr>
              <w:t>2</w:t>
            </w:r>
          </w:p>
        </w:tc>
        <w:tc>
          <w:tcPr>
            <w:tcW w:w="1843" w:type="dxa"/>
            <w:shd w:val="clear" w:color="auto" w:fill="FFFFFF" w:themeFill="background1"/>
            <w:vAlign w:val="center"/>
          </w:tcPr>
          <w:p w14:paraId="2A337F79" w14:textId="24E275BC" w:rsidR="00492E7E" w:rsidRPr="00BA0E01" w:rsidRDefault="00492E7E">
            <w:pPr>
              <w:jc w:val="center"/>
              <w:rPr>
                <w:rFonts w:asciiTheme="minorHAnsi" w:hAnsiTheme="minorHAnsi"/>
                <w:color w:val="000000"/>
                <w:sz w:val="22"/>
                <w:szCs w:val="22"/>
              </w:rPr>
            </w:pPr>
            <w:r w:rsidRPr="00BA0E01">
              <w:rPr>
                <w:rFonts w:asciiTheme="minorHAnsi" w:hAnsiTheme="minorHAnsi"/>
                <w:color w:val="000000"/>
                <w:sz w:val="22"/>
                <w:szCs w:val="22"/>
              </w:rPr>
              <w:t>0.4%</w:t>
            </w:r>
          </w:p>
        </w:tc>
      </w:tr>
      <w:tr w:rsidR="00492E7E" w:rsidRPr="00BA0E01" w14:paraId="52BE5B36" w14:textId="77777777" w:rsidTr="00901F8B">
        <w:trPr>
          <w:trHeight w:val="312"/>
        </w:trPr>
        <w:tc>
          <w:tcPr>
            <w:tcW w:w="5637" w:type="dxa"/>
            <w:shd w:val="clear" w:color="auto" w:fill="FFFFFF" w:themeFill="background1"/>
            <w:noWrap/>
          </w:tcPr>
          <w:p w14:paraId="2E63F3F0" w14:textId="40EBB6DF" w:rsidR="00492E7E" w:rsidRPr="00BA0E01" w:rsidRDefault="00492E7E" w:rsidP="00492E7E">
            <w:pPr>
              <w:jc w:val="left"/>
              <w:rPr>
                <w:rFonts w:asciiTheme="minorHAnsi" w:hAnsiTheme="minorHAnsi"/>
                <w:color w:val="000000"/>
                <w:sz w:val="22"/>
                <w:szCs w:val="22"/>
                <w:lang w:bidi="ar-SA"/>
              </w:rPr>
            </w:pPr>
            <w:r w:rsidRPr="00BA0E01">
              <w:rPr>
                <w:rFonts w:asciiTheme="minorHAnsi" w:hAnsiTheme="minorHAnsi"/>
                <w:sz w:val="22"/>
                <w:szCs w:val="22"/>
              </w:rPr>
              <w:t>Inappropriate collection/use/disclosure of information</w:t>
            </w:r>
          </w:p>
        </w:tc>
        <w:tc>
          <w:tcPr>
            <w:tcW w:w="1842" w:type="dxa"/>
            <w:shd w:val="clear" w:color="auto" w:fill="FFFFFF" w:themeFill="background1"/>
            <w:noWrap/>
            <w:vAlign w:val="center"/>
          </w:tcPr>
          <w:p w14:paraId="4B921148" w14:textId="10548B90" w:rsidR="00492E7E" w:rsidRPr="00BA0E01" w:rsidRDefault="00492E7E">
            <w:pPr>
              <w:jc w:val="center"/>
              <w:rPr>
                <w:rFonts w:asciiTheme="minorHAnsi" w:hAnsiTheme="minorHAnsi"/>
                <w:color w:val="000000"/>
                <w:sz w:val="22"/>
                <w:szCs w:val="22"/>
                <w:lang w:bidi="ar-SA"/>
              </w:rPr>
            </w:pPr>
            <w:r w:rsidRPr="00BA0E01">
              <w:rPr>
                <w:rFonts w:asciiTheme="minorHAnsi" w:hAnsiTheme="minorHAnsi"/>
                <w:color w:val="000000"/>
                <w:sz w:val="22"/>
                <w:szCs w:val="22"/>
                <w:lang w:bidi="ar-SA"/>
              </w:rPr>
              <w:t>2</w:t>
            </w:r>
          </w:p>
        </w:tc>
        <w:tc>
          <w:tcPr>
            <w:tcW w:w="1843" w:type="dxa"/>
            <w:shd w:val="clear" w:color="auto" w:fill="FFFFFF" w:themeFill="background1"/>
            <w:vAlign w:val="center"/>
          </w:tcPr>
          <w:p w14:paraId="3DADE1DB" w14:textId="106B8283" w:rsidR="00492E7E" w:rsidRPr="00BA0E01" w:rsidRDefault="00492E7E">
            <w:pPr>
              <w:jc w:val="center"/>
              <w:rPr>
                <w:rFonts w:asciiTheme="minorHAnsi" w:hAnsiTheme="minorHAnsi"/>
                <w:color w:val="000000"/>
                <w:sz w:val="22"/>
                <w:szCs w:val="22"/>
              </w:rPr>
            </w:pPr>
            <w:r w:rsidRPr="00BA0E01">
              <w:rPr>
                <w:rFonts w:asciiTheme="minorHAnsi" w:hAnsiTheme="minorHAnsi"/>
                <w:color w:val="000000"/>
                <w:sz w:val="22"/>
                <w:szCs w:val="22"/>
              </w:rPr>
              <w:t>0.4%</w:t>
            </w:r>
          </w:p>
        </w:tc>
      </w:tr>
      <w:tr w:rsidR="00492E7E" w:rsidRPr="00BA0E01" w14:paraId="5DEC7CE1" w14:textId="77777777" w:rsidTr="00901F8B">
        <w:trPr>
          <w:trHeight w:val="312"/>
        </w:trPr>
        <w:tc>
          <w:tcPr>
            <w:tcW w:w="5637" w:type="dxa"/>
            <w:shd w:val="clear" w:color="auto" w:fill="FFFFFF" w:themeFill="background1"/>
            <w:noWrap/>
          </w:tcPr>
          <w:p w14:paraId="0AF762FA" w14:textId="2DD35AE9" w:rsidR="00492E7E" w:rsidRPr="00BA0E01" w:rsidRDefault="00492E7E" w:rsidP="00492E7E">
            <w:pPr>
              <w:jc w:val="left"/>
              <w:rPr>
                <w:rFonts w:asciiTheme="minorHAnsi" w:hAnsiTheme="minorHAnsi"/>
                <w:color w:val="000000"/>
                <w:sz w:val="22"/>
                <w:szCs w:val="22"/>
                <w:lang w:bidi="ar-SA"/>
              </w:rPr>
            </w:pPr>
            <w:r w:rsidRPr="00BA0E01">
              <w:rPr>
                <w:rFonts w:asciiTheme="minorHAnsi" w:hAnsiTheme="minorHAnsi"/>
                <w:sz w:val="22"/>
                <w:szCs w:val="22"/>
              </w:rPr>
              <w:t xml:space="preserve">Other </w:t>
            </w:r>
          </w:p>
        </w:tc>
        <w:tc>
          <w:tcPr>
            <w:tcW w:w="1842" w:type="dxa"/>
            <w:shd w:val="clear" w:color="auto" w:fill="FFFFFF" w:themeFill="background1"/>
            <w:noWrap/>
            <w:vAlign w:val="center"/>
          </w:tcPr>
          <w:p w14:paraId="4F9CCDA9" w14:textId="167ADCBF" w:rsidR="00492E7E" w:rsidRPr="00BA0E01" w:rsidRDefault="00492E7E">
            <w:pPr>
              <w:jc w:val="center"/>
              <w:rPr>
                <w:rFonts w:asciiTheme="minorHAnsi" w:hAnsiTheme="minorHAnsi"/>
                <w:color w:val="000000"/>
                <w:sz w:val="22"/>
                <w:szCs w:val="22"/>
                <w:lang w:bidi="ar-SA"/>
              </w:rPr>
            </w:pPr>
            <w:r w:rsidRPr="00BA0E01">
              <w:rPr>
                <w:rFonts w:asciiTheme="minorHAnsi" w:hAnsiTheme="minorHAnsi"/>
                <w:color w:val="000000"/>
                <w:sz w:val="22"/>
                <w:szCs w:val="22"/>
                <w:lang w:bidi="ar-SA"/>
              </w:rPr>
              <w:t>2</w:t>
            </w:r>
          </w:p>
        </w:tc>
        <w:tc>
          <w:tcPr>
            <w:tcW w:w="1843" w:type="dxa"/>
            <w:shd w:val="clear" w:color="auto" w:fill="FFFFFF" w:themeFill="background1"/>
            <w:vAlign w:val="center"/>
          </w:tcPr>
          <w:p w14:paraId="4D8AB91D" w14:textId="2267597F" w:rsidR="00492E7E" w:rsidRPr="00BA0E01" w:rsidRDefault="00492E7E">
            <w:pPr>
              <w:jc w:val="center"/>
              <w:rPr>
                <w:rFonts w:asciiTheme="minorHAnsi" w:hAnsiTheme="minorHAnsi"/>
                <w:color w:val="000000"/>
                <w:sz w:val="22"/>
                <w:szCs w:val="22"/>
              </w:rPr>
            </w:pPr>
            <w:r w:rsidRPr="00BA0E01">
              <w:rPr>
                <w:rFonts w:asciiTheme="minorHAnsi" w:hAnsiTheme="minorHAnsi"/>
                <w:color w:val="000000"/>
                <w:sz w:val="22"/>
                <w:szCs w:val="22"/>
              </w:rPr>
              <w:t>0.4%</w:t>
            </w:r>
          </w:p>
        </w:tc>
      </w:tr>
      <w:tr w:rsidR="00165F89" w:rsidRPr="00BA0E01" w14:paraId="68C35568" w14:textId="77777777" w:rsidTr="00901F8B">
        <w:trPr>
          <w:trHeight w:val="312"/>
        </w:trPr>
        <w:tc>
          <w:tcPr>
            <w:tcW w:w="5637" w:type="dxa"/>
            <w:shd w:val="clear" w:color="auto" w:fill="BFBFBF" w:themeFill="background1" w:themeFillShade="BF"/>
            <w:noWrap/>
          </w:tcPr>
          <w:p w14:paraId="02876A42" w14:textId="60960668" w:rsidR="00165F89" w:rsidRPr="00BA0E01" w:rsidRDefault="00165F89" w:rsidP="00841E1C">
            <w:pPr>
              <w:jc w:val="left"/>
              <w:rPr>
                <w:rFonts w:asciiTheme="minorHAnsi" w:hAnsiTheme="minorHAnsi"/>
                <w:b/>
                <w:color w:val="000000"/>
                <w:sz w:val="22"/>
                <w:szCs w:val="22"/>
                <w:lang w:bidi="ar-SA"/>
              </w:rPr>
            </w:pPr>
            <w:r w:rsidRPr="00BA0E01">
              <w:rPr>
                <w:rFonts w:asciiTheme="minorHAnsi" w:hAnsiTheme="minorHAnsi"/>
                <w:b/>
                <w:color w:val="000000"/>
                <w:sz w:val="22"/>
                <w:szCs w:val="22"/>
                <w:lang w:bidi="ar-SA"/>
              </w:rPr>
              <w:t>T</w:t>
            </w:r>
            <w:r w:rsidR="00AC554E">
              <w:rPr>
                <w:rFonts w:asciiTheme="minorHAnsi" w:hAnsiTheme="minorHAnsi"/>
                <w:b/>
                <w:color w:val="000000"/>
                <w:sz w:val="22"/>
                <w:szCs w:val="22"/>
                <w:lang w:bidi="ar-SA"/>
              </w:rPr>
              <w:t>OTAL</w:t>
            </w:r>
          </w:p>
        </w:tc>
        <w:tc>
          <w:tcPr>
            <w:tcW w:w="1842" w:type="dxa"/>
            <w:shd w:val="clear" w:color="auto" w:fill="BFBFBF" w:themeFill="background1" w:themeFillShade="BF"/>
            <w:noWrap/>
            <w:vAlign w:val="center"/>
          </w:tcPr>
          <w:p w14:paraId="200419D4" w14:textId="57A4828F" w:rsidR="00165F89" w:rsidRPr="00BA0E01" w:rsidRDefault="002538E2">
            <w:pPr>
              <w:jc w:val="center"/>
              <w:rPr>
                <w:rFonts w:asciiTheme="minorHAnsi" w:hAnsiTheme="minorHAnsi"/>
                <w:b/>
                <w:color w:val="000000"/>
                <w:sz w:val="22"/>
                <w:szCs w:val="22"/>
                <w:lang w:bidi="ar-SA"/>
              </w:rPr>
            </w:pPr>
            <w:r>
              <w:rPr>
                <w:rFonts w:asciiTheme="minorHAnsi" w:hAnsiTheme="minorHAnsi"/>
                <w:b/>
                <w:color w:val="000000"/>
                <w:sz w:val="22"/>
                <w:szCs w:val="22"/>
                <w:lang w:bidi="ar-SA"/>
              </w:rPr>
              <w:t>471</w:t>
            </w:r>
          </w:p>
        </w:tc>
        <w:tc>
          <w:tcPr>
            <w:tcW w:w="1843" w:type="dxa"/>
            <w:shd w:val="clear" w:color="auto" w:fill="BFBFBF" w:themeFill="background1" w:themeFillShade="BF"/>
            <w:vAlign w:val="center"/>
          </w:tcPr>
          <w:p w14:paraId="585FA82B" w14:textId="71E127EA" w:rsidR="00165F89" w:rsidRPr="00BA0E01" w:rsidRDefault="00165F89">
            <w:pPr>
              <w:jc w:val="center"/>
              <w:rPr>
                <w:rFonts w:asciiTheme="minorHAnsi" w:hAnsiTheme="minorHAnsi"/>
                <w:b/>
                <w:color w:val="000000"/>
                <w:sz w:val="22"/>
                <w:szCs w:val="22"/>
              </w:rPr>
            </w:pPr>
          </w:p>
        </w:tc>
      </w:tr>
    </w:tbl>
    <w:p w14:paraId="671E369F" w14:textId="77777777" w:rsidR="00841E1C" w:rsidRDefault="00841E1C" w:rsidP="00841E1C"/>
    <w:p w14:paraId="0D2250D9" w14:textId="677F1C65" w:rsidR="00841E1C" w:rsidRDefault="00841E1C" w:rsidP="00841E1C">
      <w:r>
        <w:t xml:space="preserve">The most common primary issue categories were: </w:t>
      </w:r>
    </w:p>
    <w:p w14:paraId="12712F80" w14:textId="77777777" w:rsidR="00165F89" w:rsidRDefault="00165F89" w:rsidP="00841E1C"/>
    <w:p w14:paraId="78845B90" w14:textId="7680B392" w:rsidR="00841E1C" w:rsidRDefault="00841E1C" w:rsidP="00841E1C">
      <w:pPr>
        <w:pStyle w:val="ListParagraph"/>
        <w:numPr>
          <w:ilvl w:val="0"/>
          <w:numId w:val="3"/>
        </w:numPr>
        <w:ind w:left="425" w:hanging="425"/>
      </w:pPr>
      <w:r>
        <w:t>Care/treatment (5</w:t>
      </w:r>
      <w:r w:rsidR="00A16504">
        <w:t>1</w:t>
      </w:r>
      <w:r>
        <w:t xml:space="preserve">.5%) </w:t>
      </w:r>
    </w:p>
    <w:p w14:paraId="08B98F23" w14:textId="4BF23352" w:rsidR="00841E1C" w:rsidRDefault="00BA0E01" w:rsidP="00841E1C">
      <w:pPr>
        <w:pStyle w:val="ListParagraph"/>
        <w:numPr>
          <w:ilvl w:val="0"/>
          <w:numId w:val="3"/>
        </w:numPr>
        <w:ind w:left="425" w:hanging="425"/>
      </w:pPr>
      <w:r>
        <w:t>Access/funding (16</w:t>
      </w:r>
      <w:r w:rsidR="00A16504">
        <w:t>.1</w:t>
      </w:r>
      <w:r w:rsidR="00841E1C">
        <w:t xml:space="preserve">%) </w:t>
      </w:r>
    </w:p>
    <w:p w14:paraId="51B4F3E0" w14:textId="4066E3C1" w:rsidR="00841E1C" w:rsidRDefault="00C14A6A" w:rsidP="00841E1C">
      <w:pPr>
        <w:pStyle w:val="ListParagraph"/>
        <w:numPr>
          <w:ilvl w:val="0"/>
          <w:numId w:val="3"/>
        </w:numPr>
        <w:ind w:left="425" w:hanging="425"/>
      </w:pPr>
      <w:r>
        <w:t>Consent/information (1</w:t>
      </w:r>
      <w:r w:rsidR="00A16504">
        <w:t>1</w:t>
      </w:r>
      <w:r w:rsidR="00841E1C">
        <w:t>.</w:t>
      </w:r>
      <w:r w:rsidR="00A16504">
        <w:t>7</w:t>
      </w:r>
      <w:r w:rsidR="00841E1C">
        <w:t>%)</w:t>
      </w:r>
    </w:p>
    <w:p w14:paraId="5DDC1DC1" w14:textId="53F450E7" w:rsidR="00BA0E01" w:rsidRDefault="00BA0E01" w:rsidP="00BA0E01">
      <w:pPr>
        <w:pStyle w:val="ListParagraph"/>
        <w:numPr>
          <w:ilvl w:val="0"/>
          <w:numId w:val="3"/>
        </w:numPr>
        <w:spacing w:after="240"/>
        <w:ind w:left="426" w:hanging="426"/>
      </w:pPr>
      <w:r>
        <w:t>Communication (</w:t>
      </w:r>
      <w:r w:rsidR="00730FE5">
        <w:t>7.6</w:t>
      </w:r>
      <w:r>
        <w:t>%)</w:t>
      </w:r>
    </w:p>
    <w:p w14:paraId="14B46478" w14:textId="77777777" w:rsidR="00165F89" w:rsidRDefault="00165F89" w:rsidP="00841E1C"/>
    <w:p w14:paraId="25FCC120" w14:textId="463C32FD" w:rsidR="00841E1C" w:rsidRDefault="00841E1C" w:rsidP="00841E1C">
      <w:r>
        <w:t>The most common specific primary issues complained abou</w:t>
      </w:r>
      <w:r w:rsidR="00A16504">
        <w:t>t</w:t>
      </w:r>
      <w:r>
        <w:t xml:space="preserve"> were: </w:t>
      </w:r>
    </w:p>
    <w:p w14:paraId="50A63F7C" w14:textId="77777777" w:rsidR="00165F89" w:rsidRDefault="00165F89" w:rsidP="00841E1C"/>
    <w:p w14:paraId="6C89BFEA" w14:textId="679788FE" w:rsidR="00841E1C" w:rsidRDefault="00841E1C" w:rsidP="00841E1C">
      <w:pPr>
        <w:pStyle w:val="ListParagraph"/>
        <w:numPr>
          <w:ilvl w:val="0"/>
          <w:numId w:val="4"/>
        </w:numPr>
        <w:tabs>
          <w:tab w:val="left" w:pos="426"/>
        </w:tabs>
        <w:ind w:left="714" w:hanging="714"/>
      </w:pPr>
      <w:r w:rsidRPr="00EB09C2">
        <w:t xml:space="preserve">Missed/incorrect/delayed diagnosis </w:t>
      </w:r>
      <w:r>
        <w:t>(1</w:t>
      </w:r>
      <w:r w:rsidR="00A16504">
        <w:t>4</w:t>
      </w:r>
      <w:r w:rsidR="00BA0E01">
        <w:t>.</w:t>
      </w:r>
      <w:r w:rsidR="00A16504">
        <w:t>0</w:t>
      </w:r>
      <w:r>
        <w:t>%)</w:t>
      </w:r>
    </w:p>
    <w:p w14:paraId="7B94654C" w14:textId="77777777" w:rsidR="00841E1C" w:rsidRDefault="00841E1C" w:rsidP="00841E1C">
      <w:pPr>
        <w:pStyle w:val="ListParagraph"/>
        <w:numPr>
          <w:ilvl w:val="0"/>
          <w:numId w:val="4"/>
        </w:numPr>
        <w:tabs>
          <w:tab w:val="left" w:pos="426"/>
        </w:tabs>
        <w:ind w:left="714" w:hanging="714"/>
      </w:pPr>
      <w:r w:rsidRPr="00EB09C2">
        <w:t>Unexpected treatment outcome</w:t>
      </w:r>
      <w:r>
        <w:t xml:space="preserve"> (9.3%)</w:t>
      </w:r>
    </w:p>
    <w:p w14:paraId="06FF0707" w14:textId="277AB461" w:rsidR="00841E1C" w:rsidRDefault="00841E1C" w:rsidP="00841E1C">
      <w:pPr>
        <w:pStyle w:val="ListParagraph"/>
        <w:numPr>
          <w:ilvl w:val="0"/>
          <w:numId w:val="4"/>
        </w:numPr>
        <w:tabs>
          <w:tab w:val="left" w:pos="426"/>
        </w:tabs>
        <w:ind w:left="714" w:hanging="714"/>
      </w:pPr>
      <w:r w:rsidRPr="007817CA">
        <w:t>Inadequate/inappropriate treatment</w:t>
      </w:r>
      <w:r>
        <w:t xml:space="preserve"> (</w:t>
      </w:r>
      <w:r w:rsidR="00BA0E01">
        <w:t>7.8</w:t>
      </w:r>
      <w:r>
        <w:t>%)</w:t>
      </w:r>
    </w:p>
    <w:p w14:paraId="00BD591C" w14:textId="3B6F6166" w:rsidR="00841E1C" w:rsidRDefault="00841E1C" w:rsidP="00841E1C">
      <w:pPr>
        <w:pStyle w:val="ListParagraph"/>
        <w:numPr>
          <w:ilvl w:val="0"/>
          <w:numId w:val="4"/>
        </w:numPr>
        <w:tabs>
          <w:tab w:val="left" w:pos="426"/>
        </w:tabs>
        <w:ind w:left="714" w:hanging="714"/>
      </w:pPr>
      <w:r w:rsidRPr="00EB09C2">
        <w:t>Waiting list/prioritisation issue</w:t>
      </w:r>
      <w:r w:rsidR="00BA0E01">
        <w:t xml:space="preserve"> (7.</w:t>
      </w:r>
      <w:r w:rsidR="00A16504">
        <w:t>8</w:t>
      </w:r>
      <w:r>
        <w:t>%)</w:t>
      </w:r>
    </w:p>
    <w:p w14:paraId="7B10382C" w14:textId="590C1E0B" w:rsidR="00841E1C" w:rsidRDefault="00841E1C" w:rsidP="00841E1C">
      <w:pPr>
        <w:pStyle w:val="ListParagraph"/>
        <w:numPr>
          <w:ilvl w:val="0"/>
          <w:numId w:val="4"/>
        </w:numPr>
        <w:tabs>
          <w:tab w:val="left" w:pos="426"/>
        </w:tabs>
        <w:ind w:hanging="714"/>
      </w:pPr>
      <w:r w:rsidRPr="00EB09C2">
        <w:t>Lack of access to services</w:t>
      </w:r>
      <w:r w:rsidR="00BA0E01">
        <w:t xml:space="preserve"> </w:t>
      </w:r>
      <w:r w:rsidR="00A16504">
        <w:t>(</w:t>
      </w:r>
      <w:r w:rsidR="00BA0E01">
        <w:t>7.6</w:t>
      </w:r>
      <w:r>
        <w:t>%)</w:t>
      </w:r>
    </w:p>
    <w:p w14:paraId="7AC40001" w14:textId="77777777" w:rsidR="00B01533" w:rsidRDefault="00B01533" w:rsidP="00841E1C">
      <w:pPr>
        <w:spacing w:after="240"/>
      </w:pPr>
    </w:p>
    <w:p w14:paraId="78DEEC86" w14:textId="77777777" w:rsidR="00B01533" w:rsidRDefault="00B01533" w:rsidP="00841E1C">
      <w:pPr>
        <w:spacing w:after="240"/>
      </w:pPr>
    </w:p>
    <w:p w14:paraId="41D35419" w14:textId="1BE035D8" w:rsidR="00841E1C" w:rsidRDefault="00841E1C" w:rsidP="00841E1C">
      <w:pPr>
        <w:spacing w:after="240"/>
      </w:pPr>
      <w:r>
        <w:t>Table 7 shows a comparison over time for the top five primary issues complained about. These have remained broadly consistent.</w:t>
      </w:r>
    </w:p>
    <w:p w14:paraId="634E1833" w14:textId="2DB1FC34" w:rsidR="00841E1C" w:rsidRDefault="00841E1C" w:rsidP="00841E1C">
      <w:pPr>
        <w:spacing w:after="120"/>
      </w:pPr>
      <w:r>
        <w:rPr>
          <w:b/>
        </w:rPr>
        <w:t xml:space="preserve">Table 7. </w:t>
      </w:r>
      <w:r>
        <w:t>Top five primary issues in complaints received over the last four six-month periods</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562"/>
        <w:gridCol w:w="1625"/>
        <w:gridCol w:w="562"/>
        <w:gridCol w:w="1630"/>
        <w:gridCol w:w="562"/>
        <w:gridCol w:w="1676"/>
        <w:gridCol w:w="677"/>
      </w:tblGrid>
      <w:tr w:rsidR="00A16504" w14:paraId="222B083B" w14:textId="77777777" w:rsidTr="00A16504">
        <w:trPr>
          <w:tblHead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D79BBEB" w14:textId="77777777" w:rsidR="00A16504" w:rsidRDefault="00A16504" w:rsidP="00A16504">
            <w:pPr>
              <w:keepNext/>
              <w:keepLines/>
              <w:tabs>
                <w:tab w:val="left" w:pos="1440"/>
                <w:tab w:val="decimal" w:pos="4320"/>
              </w:tabs>
              <w:spacing w:before="120" w:after="120"/>
              <w:jc w:val="center"/>
              <w:outlineLvl w:val="0"/>
              <w:rPr>
                <w:rFonts w:ascii="Calibri" w:hAnsi="Calibri"/>
                <w:b/>
              </w:rPr>
            </w:pPr>
            <w:r>
              <w:rPr>
                <w:rFonts w:ascii="Calibri" w:hAnsi="Calibri"/>
                <w:b/>
                <w:szCs w:val="22"/>
              </w:rPr>
              <w:t xml:space="preserve">Top five primary issues in all complaints </w:t>
            </w:r>
            <w:r>
              <w:rPr>
                <w:rFonts w:ascii="Calibri" w:hAnsi="Calibri"/>
                <w:szCs w:val="22"/>
              </w:rPr>
              <w:t>(%)</w:t>
            </w:r>
          </w:p>
        </w:tc>
      </w:tr>
      <w:tr w:rsidR="00A16504" w14:paraId="12EDF5EA" w14:textId="77777777" w:rsidTr="0050633F">
        <w:tc>
          <w:tcPr>
            <w:tcW w:w="1228" w:type="pct"/>
            <w:gridSpan w:val="2"/>
            <w:tcBorders>
              <w:top w:val="single" w:sz="4" w:space="0" w:color="auto"/>
              <w:left w:val="single" w:sz="4" w:space="0" w:color="auto"/>
              <w:bottom w:val="single" w:sz="4" w:space="0" w:color="auto"/>
              <w:right w:val="single" w:sz="4" w:space="0" w:color="auto"/>
            </w:tcBorders>
            <w:hideMark/>
          </w:tcPr>
          <w:p w14:paraId="33009C70" w14:textId="77777777" w:rsidR="0050633F" w:rsidRDefault="0050633F" w:rsidP="0050633F">
            <w:pPr>
              <w:keepNext/>
              <w:keepLines/>
              <w:tabs>
                <w:tab w:val="left" w:pos="1440"/>
                <w:tab w:val="decimal" w:pos="4320"/>
              </w:tabs>
              <w:ind w:firstLine="152"/>
              <w:jc w:val="center"/>
              <w:outlineLvl w:val="0"/>
              <w:rPr>
                <w:rFonts w:ascii="Calibri" w:hAnsi="Calibri"/>
                <w:b/>
              </w:rPr>
            </w:pPr>
            <w:r>
              <w:rPr>
                <w:rFonts w:ascii="Calibri" w:hAnsi="Calibri"/>
                <w:b/>
                <w:szCs w:val="22"/>
              </w:rPr>
              <w:t>Jan–Jun 18</w:t>
            </w:r>
          </w:p>
          <w:p w14:paraId="3677D793" w14:textId="397E5220" w:rsidR="00A16504" w:rsidRDefault="0050633F" w:rsidP="0050633F">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n=450</w:t>
            </w:r>
          </w:p>
        </w:tc>
        <w:tc>
          <w:tcPr>
            <w:tcW w:w="1225" w:type="pct"/>
            <w:gridSpan w:val="2"/>
            <w:tcBorders>
              <w:top w:val="single" w:sz="4" w:space="0" w:color="auto"/>
              <w:left w:val="single" w:sz="4" w:space="0" w:color="auto"/>
              <w:bottom w:val="single" w:sz="4" w:space="0" w:color="auto"/>
              <w:right w:val="single" w:sz="4" w:space="0" w:color="auto"/>
            </w:tcBorders>
            <w:hideMark/>
          </w:tcPr>
          <w:p w14:paraId="05CB918D" w14:textId="77777777" w:rsidR="0050633F" w:rsidRDefault="0050633F" w:rsidP="0050633F">
            <w:pPr>
              <w:keepNext/>
              <w:keepLines/>
              <w:tabs>
                <w:tab w:val="left" w:pos="1440"/>
                <w:tab w:val="decimal" w:pos="4320"/>
              </w:tabs>
              <w:ind w:firstLine="152"/>
              <w:jc w:val="center"/>
              <w:outlineLvl w:val="0"/>
              <w:rPr>
                <w:rFonts w:ascii="Calibri" w:hAnsi="Calibri"/>
                <w:b/>
              </w:rPr>
            </w:pPr>
            <w:r>
              <w:rPr>
                <w:rFonts w:ascii="Calibri" w:hAnsi="Calibri"/>
                <w:b/>
                <w:szCs w:val="22"/>
              </w:rPr>
              <w:t>Jul–Dec 18</w:t>
            </w:r>
          </w:p>
          <w:p w14:paraId="497F3944" w14:textId="6D9B734F" w:rsidR="00A16504" w:rsidRDefault="0050633F" w:rsidP="0050633F">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n=442</w:t>
            </w:r>
          </w:p>
        </w:tc>
        <w:tc>
          <w:tcPr>
            <w:tcW w:w="1228" w:type="pct"/>
            <w:gridSpan w:val="2"/>
            <w:tcBorders>
              <w:top w:val="single" w:sz="4" w:space="0" w:color="auto"/>
              <w:left w:val="single" w:sz="4" w:space="0" w:color="auto"/>
              <w:bottom w:val="single" w:sz="4" w:space="0" w:color="auto"/>
              <w:right w:val="single" w:sz="4" w:space="0" w:color="auto"/>
            </w:tcBorders>
            <w:hideMark/>
          </w:tcPr>
          <w:p w14:paraId="34AF8EE4" w14:textId="77777777" w:rsidR="0050633F" w:rsidRDefault="0050633F" w:rsidP="0050633F">
            <w:pPr>
              <w:keepNext/>
              <w:keepLines/>
              <w:tabs>
                <w:tab w:val="left" w:pos="1440"/>
                <w:tab w:val="decimal" w:pos="4320"/>
              </w:tabs>
              <w:ind w:firstLine="152"/>
              <w:jc w:val="center"/>
              <w:outlineLvl w:val="0"/>
              <w:rPr>
                <w:rFonts w:ascii="Calibri" w:hAnsi="Calibri"/>
                <w:b/>
              </w:rPr>
            </w:pPr>
            <w:r>
              <w:rPr>
                <w:rFonts w:ascii="Calibri" w:hAnsi="Calibri"/>
                <w:b/>
                <w:szCs w:val="22"/>
              </w:rPr>
              <w:t>Jan–Jun 19</w:t>
            </w:r>
          </w:p>
          <w:p w14:paraId="07EC3E0D" w14:textId="4E099BCA" w:rsidR="00A16504" w:rsidRDefault="0050633F" w:rsidP="0050633F">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n=427</w:t>
            </w:r>
          </w:p>
        </w:tc>
        <w:tc>
          <w:tcPr>
            <w:tcW w:w="1319" w:type="pct"/>
            <w:gridSpan w:val="2"/>
            <w:tcBorders>
              <w:top w:val="single" w:sz="4" w:space="0" w:color="auto"/>
              <w:left w:val="single" w:sz="4" w:space="0" w:color="auto"/>
              <w:bottom w:val="single" w:sz="4" w:space="0" w:color="auto"/>
              <w:right w:val="single" w:sz="4" w:space="0" w:color="auto"/>
            </w:tcBorders>
            <w:hideMark/>
          </w:tcPr>
          <w:p w14:paraId="20D0408A" w14:textId="77777777" w:rsidR="0050633F" w:rsidRDefault="0050633F" w:rsidP="0050633F">
            <w:pPr>
              <w:keepNext/>
              <w:keepLines/>
              <w:tabs>
                <w:tab w:val="left" w:pos="1440"/>
                <w:tab w:val="decimal" w:pos="4320"/>
              </w:tabs>
              <w:ind w:firstLine="152"/>
              <w:jc w:val="center"/>
              <w:outlineLvl w:val="0"/>
              <w:rPr>
                <w:rFonts w:ascii="Calibri" w:hAnsi="Calibri"/>
                <w:b/>
              </w:rPr>
            </w:pPr>
            <w:r>
              <w:rPr>
                <w:rFonts w:ascii="Calibri" w:hAnsi="Calibri"/>
                <w:b/>
                <w:szCs w:val="22"/>
              </w:rPr>
              <w:t>Jul–Dec 19</w:t>
            </w:r>
          </w:p>
          <w:p w14:paraId="7EDD82C0" w14:textId="7048A547" w:rsidR="00A16504" w:rsidRDefault="0050633F" w:rsidP="0050633F">
            <w:pPr>
              <w:jc w:val="center"/>
              <w:rPr>
                <w:rFonts w:ascii="Calibri" w:hAnsi="Calibri"/>
                <w:b/>
                <w:szCs w:val="22"/>
              </w:rPr>
            </w:pPr>
            <w:r>
              <w:rPr>
                <w:rFonts w:ascii="Calibri" w:hAnsi="Calibri"/>
                <w:b/>
                <w:szCs w:val="22"/>
              </w:rPr>
              <w:t>n=472</w:t>
            </w:r>
          </w:p>
        </w:tc>
      </w:tr>
      <w:tr w:rsidR="00A16504" w14:paraId="227F4FD1" w14:textId="77777777" w:rsidTr="0050633F">
        <w:trPr>
          <w:trHeight w:val="450"/>
        </w:trPr>
        <w:tc>
          <w:tcPr>
            <w:tcW w:w="914" w:type="pct"/>
            <w:tcBorders>
              <w:top w:val="single" w:sz="4" w:space="0" w:color="auto"/>
              <w:left w:val="single" w:sz="4" w:space="0" w:color="auto"/>
              <w:bottom w:val="single" w:sz="4" w:space="0" w:color="auto"/>
              <w:right w:val="single" w:sz="4" w:space="0" w:color="auto"/>
            </w:tcBorders>
            <w:vAlign w:val="center"/>
            <w:hideMark/>
          </w:tcPr>
          <w:p w14:paraId="4DFFD6B7" w14:textId="77777777" w:rsidR="00A16504" w:rsidRDefault="00A16504" w:rsidP="00A16504">
            <w:pPr>
              <w:jc w:val="left"/>
              <w:rPr>
                <w:rFonts w:ascii="Calibri" w:hAnsi="Calibri"/>
                <w:sz w:val="20"/>
                <w:szCs w:val="20"/>
              </w:rPr>
            </w:pPr>
            <w:r>
              <w:rPr>
                <w:rFonts w:ascii="Calibri" w:hAnsi="Calibri"/>
                <w:sz w:val="20"/>
                <w:szCs w:val="20"/>
              </w:rPr>
              <w:t>Misdiagnosis</w:t>
            </w:r>
          </w:p>
        </w:tc>
        <w:tc>
          <w:tcPr>
            <w:tcW w:w="315" w:type="pct"/>
            <w:tcBorders>
              <w:top w:val="single" w:sz="4" w:space="0" w:color="auto"/>
              <w:left w:val="single" w:sz="4" w:space="0" w:color="auto"/>
              <w:bottom w:val="single" w:sz="4" w:space="0" w:color="auto"/>
              <w:right w:val="single" w:sz="4" w:space="0" w:color="auto"/>
            </w:tcBorders>
            <w:vAlign w:val="center"/>
            <w:hideMark/>
          </w:tcPr>
          <w:p w14:paraId="6ADD19F9" w14:textId="6B0C7D73" w:rsidR="00A16504" w:rsidRDefault="0050633F" w:rsidP="00A16504">
            <w:pPr>
              <w:jc w:val="center"/>
              <w:rPr>
                <w:rFonts w:ascii="Calibri" w:hAnsi="Calibri"/>
                <w:sz w:val="20"/>
                <w:szCs w:val="20"/>
              </w:rPr>
            </w:pPr>
            <w:r>
              <w:rPr>
                <w:rFonts w:ascii="Calibri" w:hAnsi="Calibri"/>
                <w:sz w:val="20"/>
                <w:szCs w:val="20"/>
              </w:rPr>
              <w:t>13</w:t>
            </w:r>
            <w:r w:rsidR="00A16504">
              <w:rPr>
                <w:rFonts w:ascii="Calibri" w:hAnsi="Calibri"/>
                <w:sz w:val="20"/>
                <w:szCs w:val="20"/>
              </w:rPr>
              <w:t>%</w:t>
            </w:r>
          </w:p>
        </w:tc>
        <w:tc>
          <w:tcPr>
            <w:tcW w:w="910" w:type="pct"/>
            <w:tcBorders>
              <w:top w:val="single" w:sz="4" w:space="0" w:color="auto"/>
              <w:left w:val="single" w:sz="4" w:space="0" w:color="auto"/>
              <w:bottom w:val="single" w:sz="4" w:space="0" w:color="auto"/>
              <w:right w:val="single" w:sz="4" w:space="0" w:color="auto"/>
            </w:tcBorders>
            <w:vAlign w:val="center"/>
          </w:tcPr>
          <w:p w14:paraId="3F3A4A16" w14:textId="77777777" w:rsidR="00A16504" w:rsidRDefault="00A16504" w:rsidP="00A16504">
            <w:pPr>
              <w:jc w:val="left"/>
              <w:rPr>
                <w:rFonts w:ascii="Calibri" w:hAnsi="Calibri"/>
                <w:sz w:val="20"/>
                <w:szCs w:val="20"/>
              </w:rPr>
            </w:pPr>
            <w:r>
              <w:rPr>
                <w:rFonts w:ascii="Calibri" w:hAnsi="Calibri"/>
                <w:sz w:val="20"/>
                <w:szCs w:val="20"/>
              </w:rPr>
              <w:t>Misdiagnosis</w:t>
            </w:r>
          </w:p>
        </w:tc>
        <w:tc>
          <w:tcPr>
            <w:tcW w:w="315" w:type="pct"/>
            <w:tcBorders>
              <w:top w:val="single" w:sz="4" w:space="0" w:color="auto"/>
              <w:left w:val="single" w:sz="4" w:space="0" w:color="auto"/>
              <w:bottom w:val="single" w:sz="4" w:space="0" w:color="auto"/>
              <w:right w:val="single" w:sz="4" w:space="0" w:color="auto"/>
            </w:tcBorders>
            <w:vAlign w:val="center"/>
          </w:tcPr>
          <w:p w14:paraId="3A3905BC" w14:textId="4A2474F4" w:rsidR="00A16504" w:rsidRDefault="0050633F" w:rsidP="00A16504">
            <w:pPr>
              <w:jc w:val="center"/>
              <w:rPr>
                <w:rFonts w:ascii="Calibri" w:hAnsi="Calibri"/>
                <w:sz w:val="20"/>
                <w:szCs w:val="20"/>
              </w:rPr>
            </w:pPr>
            <w:r>
              <w:rPr>
                <w:rFonts w:ascii="Calibri" w:hAnsi="Calibri"/>
                <w:sz w:val="20"/>
                <w:szCs w:val="20"/>
              </w:rPr>
              <w:t>14</w:t>
            </w:r>
            <w:r w:rsidR="00A16504">
              <w:rPr>
                <w:rFonts w:ascii="Calibri" w:hAnsi="Calibri"/>
                <w:sz w:val="20"/>
                <w:szCs w:val="20"/>
              </w:rPr>
              <w:t>%</w:t>
            </w:r>
          </w:p>
        </w:tc>
        <w:tc>
          <w:tcPr>
            <w:tcW w:w="913" w:type="pct"/>
            <w:tcBorders>
              <w:top w:val="single" w:sz="4" w:space="0" w:color="auto"/>
              <w:left w:val="single" w:sz="4" w:space="0" w:color="auto"/>
              <w:bottom w:val="single" w:sz="4" w:space="0" w:color="auto"/>
              <w:right w:val="single" w:sz="4" w:space="0" w:color="auto"/>
            </w:tcBorders>
            <w:vAlign w:val="center"/>
          </w:tcPr>
          <w:p w14:paraId="389DCBAC" w14:textId="77777777" w:rsidR="00A16504" w:rsidRDefault="00A16504" w:rsidP="00A16504">
            <w:pPr>
              <w:jc w:val="left"/>
              <w:rPr>
                <w:rFonts w:ascii="Calibri" w:hAnsi="Calibri"/>
                <w:sz w:val="20"/>
                <w:szCs w:val="20"/>
              </w:rPr>
            </w:pPr>
            <w:r>
              <w:rPr>
                <w:rFonts w:ascii="Calibri" w:hAnsi="Calibri"/>
                <w:sz w:val="20"/>
                <w:szCs w:val="20"/>
              </w:rPr>
              <w:t>Misdiagnosis</w:t>
            </w:r>
          </w:p>
        </w:tc>
        <w:tc>
          <w:tcPr>
            <w:tcW w:w="315" w:type="pct"/>
            <w:tcBorders>
              <w:top w:val="single" w:sz="4" w:space="0" w:color="auto"/>
              <w:left w:val="single" w:sz="4" w:space="0" w:color="auto"/>
              <w:bottom w:val="single" w:sz="4" w:space="0" w:color="auto"/>
              <w:right w:val="single" w:sz="4" w:space="0" w:color="auto"/>
            </w:tcBorders>
            <w:vAlign w:val="center"/>
          </w:tcPr>
          <w:p w14:paraId="189B5F2D" w14:textId="4F213D2C" w:rsidR="00A16504" w:rsidRDefault="0050633F" w:rsidP="00A16504">
            <w:pPr>
              <w:jc w:val="center"/>
              <w:rPr>
                <w:rFonts w:ascii="Calibri" w:hAnsi="Calibri"/>
                <w:sz w:val="20"/>
                <w:szCs w:val="20"/>
              </w:rPr>
            </w:pPr>
            <w:r>
              <w:rPr>
                <w:rFonts w:ascii="Calibri" w:hAnsi="Calibri"/>
                <w:sz w:val="20"/>
                <w:szCs w:val="20"/>
              </w:rPr>
              <w:t>16</w:t>
            </w:r>
            <w:r w:rsidR="00A16504">
              <w:rPr>
                <w:rFonts w:ascii="Calibri" w:hAnsi="Calibri"/>
                <w:sz w:val="20"/>
                <w:szCs w:val="20"/>
              </w:rPr>
              <w:t>%</w:t>
            </w:r>
          </w:p>
        </w:tc>
        <w:tc>
          <w:tcPr>
            <w:tcW w:w="939" w:type="pct"/>
            <w:tcBorders>
              <w:top w:val="single" w:sz="4" w:space="0" w:color="auto"/>
              <w:left w:val="single" w:sz="4" w:space="0" w:color="auto"/>
              <w:bottom w:val="single" w:sz="4" w:space="0" w:color="auto"/>
              <w:right w:val="single" w:sz="4" w:space="0" w:color="auto"/>
            </w:tcBorders>
            <w:vAlign w:val="center"/>
          </w:tcPr>
          <w:p w14:paraId="1B9F0516" w14:textId="77777777" w:rsidR="00A16504" w:rsidRDefault="00A16504" w:rsidP="00A16504">
            <w:pPr>
              <w:jc w:val="left"/>
              <w:rPr>
                <w:rFonts w:ascii="Calibri" w:hAnsi="Calibri"/>
                <w:sz w:val="20"/>
                <w:szCs w:val="20"/>
              </w:rPr>
            </w:pPr>
            <w:r>
              <w:rPr>
                <w:rFonts w:ascii="Calibri" w:hAnsi="Calibri"/>
                <w:sz w:val="20"/>
                <w:szCs w:val="20"/>
              </w:rPr>
              <w:t>Misdiagnosis</w:t>
            </w:r>
          </w:p>
        </w:tc>
        <w:tc>
          <w:tcPr>
            <w:tcW w:w="380" w:type="pct"/>
            <w:tcBorders>
              <w:top w:val="single" w:sz="4" w:space="0" w:color="auto"/>
              <w:left w:val="single" w:sz="4" w:space="0" w:color="auto"/>
              <w:bottom w:val="single" w:sz="4" w:space="0" w:color="auto"/>
              <w:right w:val="single" w:sz="4" w:space="0" w:color="auto"/>
            </w:tcBorders>
            <w:vAlign w:val="center"/>
          </w:tcPr>
          <w:p w14:paraId="3E92D843" w14:textId="784D8FCB" w:rsidR="00A16504" w:rsidRDefault="0050633F" w:rsidP="00A16504">
            <w:pPr>
              <w:jc w:val="center"/>
              <w:rPr>
                <w:rFonts w:ascii="Calibri" w:hAnsi="Calibri"/>
                <w:sz w:val="20"/>
                <w:szCs w:val="20"/>
              </w:rPr>
            </w:pPr>
            <w:r>
              <w:rPr>
                <w:rFonts w:ascii="Calibri" w:hAnsi="Calibri"/>
                <w:sz w:val="20"/>
                <w:szCs w:val="20"/>
              </w:rPr>
              <w:t>14</w:t>
            </w:r>
            <w:r w:rsidR="00A16504">
              <w:rPr>
                <w:rFonts w:ascii="Calibri" w:hAnsi="Calibri"/>
                <w:sz w:val="20"/>
                <w:szCs w:val="20"/>
              </w:rPr>
              <w:t>%</w:t>
            </w:r>
          </w:p>
        </w:tc>
      </w:tr>
      <w:tr w:rsidR="0050633F" w14:paraId="04613B39" w14:textId="77777777" w:rsidTr="0050633F">
        <w:trPr>
          <w:trHeight w:val="400"/>
        </w:trPr>
        <w:tc>
          <w:tcPr>
            <w:tcW w:w="914" w:type="pct"/>
            <w:tcBorders>
              <w:top w:val="single" w:sz="4" w:space="0" w:color="auto"/>
              <w:left w:val="single" w:sz="4" w:space="0" w:color="auto"/>
              <w:bottom w:val="single" w:sz="4" w:space="0" w:color="auto"/>
              <w:right w:val="single" w:sz="4" w:space="0" w:color="auto"/>
            </w:tcBorders>
            <w:vAlign w:val="center"/>
            <w:hideMark/>
          </w:tcPr>
          <w:p w14:paraId="0925D7BA" w14:textId="12E4577F" w:rsidR="0050633F" w:rsidRDefault="0050633F" w:rsidP="0050633F">
            <w:pPr>
              <w:jc w:val="left"/>
              <w:rPr>
                <w:rFonts w:ascii="Calibri" w:hAnsi="Calibri"/>
                <w:sz w:val="20"/>
                <w:szCs w:val="20"/>
              </w:rPr>
            </w:pPr>
            <w:r>
              <w:rPr>
                <w:rFonts w:ascii="Calibri" w:hAnsi="Calibri"/>
                <w:sz w:val="20"/>
                <w:szCs w:val="20"/>
              </w:rPr>
              <w:t>Unexpected treatment outcome</w:t>
            </w:r>
          </w:p>
        </w:tc>
        <w:tc>
          <w:tcPr>
            <w:tcW w:w="315" w:type="pct"/>
            <w:tcBorders>
              <w:top w:val="single" w:sz="4" w:space="0" w:color="auto"/>
              <w:left w:val="single" w:sz="4" w:space="0" w:color="auto"/>
              <w:bottom w:val="single" w:sz="4" w:space="0" w:color="auto"/>
              <w:right w:val="single" w:sz="4" w:space="0" w:color="auto"/>
            </w:tcBorders>
            <w:vAlign w:val="center"/>
            <w:hideMark/>
          </w:tcPr>
          <w:p w14:paraId="0BD1A309" w14:textId="6016259F" w:rsidR="0050633F" w:rsidRDefault="0050633F" w:rsidP="0050633F">
            <w:pPr>
              <w:jc w:val="center"/>
              <w:rPr>
                <w:rFonts w:ascii="Calibri" w:hAnsi="Calibri"/>
                <w:sz w:val="20"/>
                <w:szCs w:val="20"/>
              </w:rPr>
            </w:pPr>
            <w:r>
              <w:rPr>
                <w:rFonts w:ascii="Calibri" w:hAnsi="Calibri"/>
                <w:sz w:val="20"/>
                <w:szCs w:val="20"/>
              </w:rPr>
              <w:t>12%</w:t>
            </w:r>
          </w:p>
        </w:tc>
        <w:tc>
          <w:tcPr>
            <w:tcW w:w="910" w:type="pct"/>
            <w:tcBorders>
              <w:top w:val="single" w:sz="4" w:space="0" w:color="auto"/>
              <w:left w:val="single" w:sz="4" w:space="0" w:color="auto"/>
              <w:bottom w:val="single" w:sz="4" w:space="0" w:color="auto"/>
              <w:right w:val="single" w:sz="4" w:space="0" w:color="auto"/>
            </w:tcBorders>
            <w:vAlign w:val="center"/>
          </w:tcPr>
          <w:p w14:paraId="2F7A425F" w14:textId="4C6957FB" w:rsidR="0050633F" w:rsidRDefault="0050633F" w:rsidP="0050633F">
            <w:pPr>
              <w:jc w:val="left"/>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tcPr>
          <w:p w14:paraId="0050F408" w14:textId="685ABE2F" w:rsidR="0050633F" w:rsidRDefault="0050633F" w:rsidP="0050633F">
            <w:pPr>
              <w:jc w:val="center"/>
              <w:rPr>
                <w:rFonts w:ascii="Calibri" w:hAnsi="Calibri"/>
                <w:sz w:val="20"/>
                <w:szCs w:val="20"/>
              </w:rPr>
            </w:pPr>
            <w:r>
              <w:rPr>
                <w:rFonts w:ascii="Calibri" w:hAnsi="Calibri"/>
                <w:sz w:val="20"/>
                <w:szCs w:val="20"/>
              </w:rPr>
              <w:t>9%</w:t>
            </w:r>
          </w:p>
        </w:tc>
        <w:tc>
          <w:tcPr>
            <w:tcW w:w="913" w:type="pct"/>
            <w:tcBorders>
              <w:top w:val="single" w:sz="4" w:space="0" w:color="auto"/>
              <w:left w:val="single" w:sz="4" w:space="0" w:color="auto"/>
              <w:bottom w:val="single" w:sz="4" w:space="0" w:color="auto"/>
              <w:right w:val="single" w:sz="4" w:space="0" w:color="auto"/>
            </w:tcBorders>
            <w:vAlign w:val="center"/>
          </w:tcPr>
          <w:p w14:paraId="730DA4E8" w14:textId="77777777" w:rsidR="0050633F" w:rsidRDefault="0050633F" w:rsidP="0050633F">
            <w:pPr>
              <w:jc w:val="left"/>
              <w:rPr>
                <w:rFonts w:ascii="Calibri" w:hAnsi="Calibri"/>
                <w:sz w:val="20"/>
                <w:szCs w:val="20"/>
              </w:rPr>
            </w:pPr>
            <w:r>
              <w:rPr>
                <w:rFonts w:ascii="Calibri" w:hAnsi="Calibri"/>
                <w:sz w:val="20"/>
                <w:szCs w:val="20"/>
              </w:rPr>
              <w:t>Waiting list/</w:t>
            </w:r>
          </w:p>
          <w:p w14:paraId="0FBA7ADF" w14:textId="6D7C5542" w:rsidR="0050633F" w:rsidRDefault="0050633F" w:rsidP="0050633F">
            <w:pPr>
              <w:jc w:val="left"/>
              <w:rPr>
                <w:rFonts w:ascii="Calibri" w:hAnsi="Calibri"/>
                <w:sz w:val="20"/>
                <w:szCs w:val="20"/>
              </w:rPr>
            </w:pPr>
            <w:r>
              <w:rPr>
                <w:rFonts w:ascii="Calibri" w:hAnsi="Calibri"/>
                <w:sz w:val="20"/>
                <w:szCs w:val="20"/>
              </w:rPr>
              <w:t>prioritisation</w:t>
            </w:r>
          </w:p>
        </w:tc>
        <w:tc>
          <w:tcPr>
            <w:tcW w:w="315" w:type="pct"/>
            <w:tcBorders>
              <w:top w:val="single" w:sz="4" w:space="0" w:color="auto"/>
              <w:left w:val="single" w:sz="4" w:space="0" w:color="auto"/>
              <w:bottom w:val="single" w:sz="4" w:space="0" w:color="auto"/>
              <w:right w:val="single" w:sz="4" w:space="0" w:color="auto"/>
            </w:tcBorders>
            <w:vAlign w:val="center"/>
          </w:tcPr>
          <w:p w14:paraId="00087F1A" w14:textId="500C3087" w:rsidR="0050633F" w:rsidRDefault="0050633F" w:rsidP="0050633F">
            <w:pPr>
              <w:jc w:val="center"/>
              <w:rPr>
                <w:rFonts w:ascii="Calibri" w:hAnsi="Calibri"/>
                <w:sz w:val="20"/>
                <w:szCs w:val="20"/>
              </w:rPr>
            </w:pPr>
            <w:r>
              <w:rPr>
                <w:rFonts w:ascii="Calibri" w:hAnsi="Calibri"/>
                <w:sz w:val="20"/>
                <w:szCs w:val="20"/>
              </w:rPr>
              <w:t>12%</w:t>
            </w:r>
          </w:p>
        </w:tc>
        <w:tc>
          <w:tcPr>
            <w:tcW w:w="939" w:type="pct"/>
            <w:tcBorders>
              <w:top w:val="single" w:sz="4" w:space="0" w:color="auto"/>
              <w:left w:val="single" w:sz="4" w:space="0" w:color="auto"/>
              <w:bottom w:val="single" w:sz="4" w:space="0" w:color="auto"/>
              <w:right w:val="single" w:sz="4" w:space="0" w:color="auto"/>
            </w:tcBorders>
            <w:vAlign w:val="center"/>
          </w:tcPr>
          <w:p w14:paraId="6100C3DD" w14:textId="77777777" w:rsidR="0050633F" w:rsidRDefault="0050633F" w:rsidP="0050633F">
            <w:pPr>
              <w:jc w:val="left"/>
              <w:rPr>
                <w:rFonts w:ascii="Calibri" w:hAnsi="Calibri"/>
                <w:sz w:val="20"/>
                <w:szCs w:val="20"/>
              </w:rPr>
            </w:pPr>
            <w:r>
              <w:rPr>
                <w:rFonts w:ascii="Calibri" w:hAnsi="Calibri"/>
                <w:sz w:val="20"/>
                <w:szCs w:val="20"/>
              </w:rPr>
              <w:t>Unexpected treatment outcome</w:t>
            </w:r>
          </w:p>
        </w:tc>
        <w:tc>
          <w:tcPr>
            <w:tcW w:w="380" w:type="pct"/>
            <w:tcBorders>
              <w:top w:val="single" w:sz="4" w:space="0" w:color="auto"/>
              <w:left w:val="single" w:sz="4" w:space="0" w:color="auto"/>
              <w:bottom w:val="single" w:sz="4" w:space="0" w:color="auto"/>
              <w:right w:val="single" w:sz="4" w:space="0" w:color="auto"/>
            </w:tcBorders>
            <w:vAlign w:val="center"/>
          </w:tcPr>
          <w:p w14:paraId="7566D0B2" w14:textId="4236DEB0" w:rsidR="0050633F" w:rsidRDefault="0050633F" w:rsidP="0050633F">
            <w:pPr>
              <w:jc w:val="center"/>
              <w:rPr>
                <w:rFonts w:ascii="Calibri" w:hAnsi="Calibri"/>
                <w:sz w:val="20"/>
                <w:szCs w:val="20"/>
              </w:rPr>
            </w:pPr>
            <w:r>
              <w:rPr>
                <w:rFonts w:ascii="Calibri" w:hAnsi="Calibri"/>
                <w:sz w:val="20"/>
                <w:szCs w:val="20"/>
              </w:rPr>
              <w:t>9%</w:t>
            </w:r>
          </w:p>
        </w:tc>
      </w:tr>
      <w:tr w:rsidR="0050633F" w14:paraId="108E224F" w14:textId="77777777" w:rsidTr="0050633F">
        <w:tc>
          <w:tcPr>
            <w:tcW w:w="914" w:type="pct"/>
            <w:tcBorders>
              <w:top w:val="single" w:sz="4" w:space="0" w:color="auto"/>
              <w:left w:val="single" w:sz="4" w:space="0" w:color="auto"/>
              <w:bottom w:val="single" w:sz="4" w:space="0" w:color="auto"/>
              <w:right w:val="single" w:sz="4" w:space="0" w:color="auto"/>
            </w:tcBorders>
            <w:vAlign w:val="center"/>
            <w:hideMark/>
          </w:tcPr>
          <w:p w14:paraId="3F170B8C" w14:textId="77777777" w:rsidR="0050633F" w:rsidRDefault="0050633F" w:rsidP="0050633F">
            <w:pPr>
              <w:jc w:val="left"/>
              <w:rPr>
                <w:rFonts w:ascii="Calibri" w:hAnsi="Calibri"/>
                <w:sz w:val="20"/>
                <w:szCs w:val="20"/>
              </w:rPr>
            </w:pPr>
            <w:r>
              <w:rPr>
                <w:rFonts w:ascii="Calibri" w:hAnsi="Calibri"/>
                <w:sz w:val="20"/>
                <w:szCs w:val="20"/>
              </w:rPr>
              <w:t>Waiting list/</w:t>
            </w:r>
          </w:p>
          <w:p w14:paraId="2129A53E" w14:textId="7222CA08" w:rsidR="0050633F" w:rsidRDefault="0050633F" w:rsidP="0050633F">
            <w:pPr>
              <w:jc w:val="left"/>
              <w:rPr>
                <w:rFonts w:ascii="Calibri" w:hAnsi="Calibri"/>
                <w:sz w:val="20"/>
                <w:szCs w:val="20"/>
              </w:rPr>
            </w:pPr>
            <w:r>
              <w:rPr>
                <w:rFonts w:ascii="Calibri" w:hAnsi="Calibri"/>
                <w:sz w:val="20"/>
                <w:szCs w:val="20"/>
              </w:rPr>
              <w:t>prioritisation</w:t>
            </w:r>
          </w:p>
        </w:tc>
        <w:tc>
          <w:tcPr>
            <w:tcW w:w="315" w:type="pct"/>
            <w:tcBorders>
              <w:top w:val="single" w:sz="4" w:space="0" w:color="auto"/>
              <w:left w:val="single" w:sz="4" w:space="0" w:color="auto"/>
              <w:bottom w:val="single" w:sz="4" w:space="0" w:color="auto"/>
              <w:right w:val="single" w:sz="4" w:space="0" w:color="auto"/>
            </w:tcBorders>
            <w:vAlign w:val="center"/>
            <w:hideMark/>
          </w:tcPr>
          <w:p w14:paraId="55B50374" w14:textId="010A0C21" w:rsidR="0050633F" w:rsidRDefault="0050633F" w:rsidP="0050633F">
            <w:pPr>
              <w:jc w:val="center"/>
              <w:rPr>
                <w:rFonts w:ascii="Calibri" w:hAnsi="Calibri"/>
                <w:sz w:val="20"/>
                <w:szCs w:val="20"/>
              </w:rPr>
            </w:pPr>
            <w:r>
              <w:rPr>
                <w:rFonts w:ascii="Calibri" w:hAnsi="Calibri"/>
                <w:sz w:val="20"/>
                <w:szCs w:val="20"/>
              </w:rPr>
              <w:t>11%</w:t>
            </w:r>
          </w:p>
        </w:tc>
        <w:tc>
          <w:tcPr>
            <w:tcW w:w="910" w:type="pct"/>
            <w:tcBorders>
              <w:top w:val="single" w:sz="4" w:space="0" w:color="auto"/>
              <w:left w:val="single" w:sz="4" w:space="0" w:color="auto"/>
              <w:bottom w:val="single" w:sz="4" w:space="0" w:color="auto"/>
              <w:right w:val="single" w:sz="4" w:space="0" w:color="auto"/>
            </w:tcBorders>
            <w:vAlign w:val="center"/>
          </w:tcPr>
          <w:p w14:paraId="1C52615E" w14:textId="77777777" w:rsidR="0050633F" w:rsidRDefault="0050633F" w:rsidP="0050633F">
            <w:pPr>
              <w:jc w:val="left"/>
              <w:rPr>
                <w:rFonts w:ascii="Calibri" w:hAnsi="Calibri"/>
                <w:sz w:val="20"/>
                <w:szCs w:val="20"/>
              </w:rPr>
            </w:pPr>
            <w:r>
              <w:rPr>
                <w:rFonts w:ascii="Calibri" w:hAnsi="Calibri"/>
                <w:sz w:val="20"/>
                <w:szCs w:val="20"/>
              </w:rPr>
              <w:t>Unexpected treatment outcome</w:t>
            </w:r>
          </w:p>
        </w:tc>
        <w:tc>
          <w:tcPr>
            <w:tcW w:w="315" w:type="pct"/>
            <w:tcBorders>
              <w:top w:val="single" w:sz="4" w:space="0" w:color="auto"/>
              <w:left w:val="single" w:sz="4" w:space="0" w:color="auto"/>
              <w:bottom w:val="single" w:sz="4" w:space="0" w:color="auto"/>
              <w:right w:val="single" w:sz="4" w:space="0" w:color="auto"/>
            </w:tcBorders>
            <w:vAlign w:val="center"/>
          </w:tcPr>
          <w:p w14:paraId="1F6E2007" w14:textId="4247C2A3" w:rsidR="0050633F" w:rsidRDefault="0050633F" w:rsidP="0050633F">
            <w:pPr>
              <w:jc w:val="center"/>
              <w:rPr>
                <w:rFonts w:ascii="Calibri" w:hAnsi="Calibri"/>
                <w:sz w:val="20"/>
                <w:szCs w:val="20"/>
              </w:rPr>
            </w:pPr>
            <w:r>
              <w:rPr>
                <w:rFonts w:ascii="Calibri" w:hAnsi="Calibri"/>
                <w:sz w:val="20"/>
                <w:szCs w:val="20"/>
              </w:rPr>
              <w:t>9%</w:t>
            </w:r>
          </w:p>
        </w:tc>
        <w:tc>
          <w:tcPr>
            <w:tcW w:w="913" w:type="pct"/>
            <w:tcBorders>
              <w:top w:val="single" w:sz="4" w:space="0" w:color="auto"/>
              <w:left w:val="single" w:sz="4" w:space="0" w:color="auto"/>
              <w:bottom w:val="single" w:sz="4" w:space="0" w:color="auto"/>
              <w:right w:val="single" w:sz="4" w:space="0" w:color="auto"/>
            </w:tcBorders>
            <w:vAlign w:val="center"/>
          </w:tcPr>
          <w:p w14:paraId="5ECF6DF4" w14:textId="557737FE" w:rsidR="0050633F" w:rsidRDefault="0050633F" w:rsidP="0050633F">
            <w:pPr>
              <w:jc w:val="left"/>
              <w:rPr>
                <w:rFonts w:ascii="Calibri" w:hAnsi="Calibri"/>
                <w:sz w:val="20"/>
                <w:szCs w:val="20"/>
              </w:rPr>
            </w:pPr>
            <w:r>
              <w:rPr>
                <w:rFonts w:ascii="Calibri" w:hAnsi="Calibri"/>
                <w:sz w:val="20"/>
                <w:szCs w:val="20"/>
              </w:rPr>
              <w:t>Unexpected treatment outcome</w:t>
            </w:r>
          </w:p>
        </w:tc>
        <w:tc>
          <w:tcPr>
            <w:tcW w:w="315" w:type="pct"/>
            <w:tcBorders>
              <w:top w:val="single" w:sz="4" w:space="0" w:color="auto"/>
              <w:left w:val="single" w:sz="4" w:space="0" w:color="auto"/>
              <w:bottom w:val="single" w:sz="4" w:space="0" w:color="auto"/>
              <w:right w:val="single" w:sz="4" w:space="0" w:color="auto"/>
            </w:tcBorders>
            <w:vAlign w:val="center"/>
          </w:tcPr>
          <w:p w14:paraId="56BA196F" w14:textId="00A47BF4" w:rsidR="0050633F" w:rsidRDefault="0050633F" w:rsidP="0050633F">
            <w:pPr>
              <w:jc w:val="center"/>
              <w:rPr>
                <w:rFonts w:ascii="Calibri" w:hAnsi="Calibri"/>
                <w:sz w:val="20"/>
                <w:szCs w:val="20"/>
              </w:rPr>
            </w:pPr>
            <w:r>
              <w:rPr>
                <w:rFonts w:ascii="Calibri" w:hAnsi="Calibri"/>
                <w:sz w:val="20"/>
                <w:szCs w:val="20"/>
              </w:rPr>
              <w:t>9%</w:t>
            </w:r>
          </w:p>
        </w:tc>
        <w:tc>
          <w:tcPr>
            <w:tcW w:w="939" w:type="pct"/>
            <w:tcBorders>
              <w:top w:val="single" w:sz="4" w:space="0" w:color="auto"/>
              <w:left w:val="single" w:sz="4" w:space="0" w:color="auto"/>
              <w:bottom w:val="single" w:sz="4" w:space="0" w:color="auto"/>
              <w:right w:val="single" w:sz="4" w:space="0" w:color="auto"/>
            </w:tcBorders>
            <w:vAlign w:val="center"/>
          </w:tcPr>
          <w:p w14:paraId="3C6E9177" w14:textId="77777777" w:rsidR="0050633F" w:rsidRDefault="0050633F" w:rsidP="0050633F">
            <w:pPr>
              <w:jc w:val="left"/>
              <w:rPr>
                <w:rFonts w:ascii="Calibri" w:hAnsi="Calibri"/>
                <w:sz w:val="20"/>
                <w:szCs w:val="20"/>
              </w:rPr>
            </w:pPr>
            <w:r>
              <w:rPr>
                <w:rFonts w:ascii="Calibri" w:hAnsi="Calibri"/>
                <w:sz w:val="20"/>
                <w:szCs w:val="20"/>
              </w:rPr>
              <w:t>Waiting list/</w:t>
            </w:r>
          </w:p>
          <w:p w14:paraId="78CF4969" w14:textId="77777777" w:rsidR="0050633F" w:rsidRDefault="0050633F" w:rsidP="0050633F">
            <w:pPr>
              <w:jc w:val="left"/>
              <w:rPr>
                <w:rFonts w:ascii="Calibri" w:hAnsi="Calibri"/>
                <w:sz w:val="20"/>
                <w:szCs w:val="20"/>
              </w:rPr>
            </w:pPr>
            <w:r>
              <w:rPr>
                <w:rFonts w:ascii="Calibri" w:hAnsi="Calibri"/>
                <w:sz w:val="20"/>
                <w:szCs w:val="20"/>
              </w:rPr>
              <w:t>prioritisation</w:t>
            </w:r>
          </w:p>
        </w:tc>
        <w:tc>
          <w:tcPr>
            <w:tcW w:w="380" w:type="pct"/>
            <w:tcBorders>
              <w:top w:val="single" w:sz="4" w:space="0" w:color="auto"/>
              <w:left w:val="single" w:sz="4" w:space="0" w:color="auto"/>
              <w:bottom w:val="single" w:sz="4" w:space="0" w:color="auto"/>
              <w:right w:val="single" w:sz="4" w:space="0" w:color="auto"/>
            </w:tcBorders>
            <w:vAlign w:val="center"/>
          </w:tcPr>
          <w:p w14:paraId="4340306A" w14:textId="391C982F" w:rsidR="0050633F" w:rsidRDefault="0050633F" w:rsidP="0050633F">
            <w:pPr>
              <w:jc w:val="center"/>
              <w:rPr>
                <w:rFonts w:ascii="Calibri" w:hAnsi="Calibri"/>
                <w:sz w:val="20"/>
                <w:szCs w:val="20"/>
              </w:rPr>
            </w:pPr>
            <w:r>
              <w:rPr>
                <w:rFonts w:ascii="Calibri" w:hAnsi="Calibri"/>
                <w:sz w:val="20"/>
                <w:szCs w:val="20"/>
              </w:rPr>
              <w:t>8%</w:t>
            </w:r>
          </w:p>
        </w:tc>
      </w:tr>
      <w:tr w:rsidR="0050633F" w14:paraId="52AB3651" w14:textId="77777777" w:rsidTr="0050633F">
        <w:trPr>
          <w:trHeight w:val="639"/>
        </w:trPr>
        <w:tc>
          <w:tcPr>
            <w:tcW w:w="914" w:type="pct"/>
            <w:tcBorders>
              <w:top w:val="single" w:sz="4" w:space="0" w:color="auto"/>
              <w:left w:val="single" w:sz="4" w:space="0" w:color="auto"/>
              <w:bottom w:val="single" w:sz="4" w:space="0" w:color="auto"/>
              <w:right w:val="single" w:sz="4" w:space="0" w:color="auto"/>
            </w:tcBorders>
            <w:vAlign w:val="center"/>
            <w:hideMark/>
          </w:tcPr>
          <w:p w14:paraId="37C6F556" w14:textId="670D2934" w:rsidR="0050633F" w:rsidRDefault="0050633F" w:rsidP="0050633F">
            <w:pPr>
              <w:jc w:val="left"/>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hideMark/>
          </w:tcPr>
          <w:p w14:paraId="66BEA667" w14:textId="0783D1CC" w:rsidR="0050633F" w:rsidRDefault="0050633F" w:rsidP="0050633F">
            <w:pPr>
              <w:jc w:val="center"/>
              <w:rPr>
                <w:rFonts w:ascii="Calibri" w:hAnsi="Calibri"/>
                <w:sz w:val="20"/>
                <w:szCs w:val="20"/>
              </w:rPr>
            </w:pPr>
            <w:r>
              <w:rPr>
                <w:rFonts w:ascii="Calibri" w:hAnsi="Calibri"/>
                <w:sz w:val="20"/>
                <w:szCs w:val="20"/>
              </w:rPr>
              <w:t xml:space="preserve">6% </w:t>
            </w:r>
          </w:p>
        </w:tc>
        <w:tc>
          <w:tcPr>
            <w:tcW w:w="910" w:type="pct"/>
            <w:tcBorders>
              <w:top w:val="single" w:sz="4" w:space="0" w:color="auto"/>
              <w:left w:val="single" w:sz="4" w:space="0" w:color="auto"/>
              <w:bottom w:val="single" w:sz="4" w:space="0" w:color="auto"/>
              <w:right w:val="single" w:sz="4" w:space="0" w:color="auto"/>
            </w:tcBorders>
            <w:vAlign w:val="center"/>
          </w:tcPr>
          <w:p w14:paraId="51FCEAE8" w14:textId="77777777" w:rsidR="0050633F" w:rsidRDefault="0050633F" w:rsidP="0050633F">
            <w:pPr>
              <w:jc w:val="left"/>
              <w:rPr>
                <w:rFonts w:ascii="Calibri" w:hAnsi="Calibri"/>
                <w:sz w:val="20"/>
                <w:szCs w:val="20"/>
              </w:rPr>
            </w:pPr>
            <w:r>
              <w:rPr>
                <w:rFonts w:ascii="Calibri" w:hAnsi="Calibri"/>
                <w:sz w:val="20"/>
                <w:szCs w:val="20"/>
              </w:rPr>
              <w:t>Waiting list/</w:t>
            </w:r>
          </w:p>
          <w:p w14:paraId="3B02A62B" w14:textId="1C49546F" w:rsidR="0050633F" w:rsidRDefault="0050633F" w:rsidP="0050633F">
            <w:pPr>
              <w:jc w:val="left"/>
              <w:rPr>
                <w:rFonts w:ascii="Calibri" w:hAnsi="Calibri"/>
                <w:sz w:val="20"/>
                <w:szCs w:val="20"/>
              </w:rPr>
            </w:pPr>
            <w:r>
              <w:rPr>
                <w:rFonts w:ascii="Calibri" w:hAnsi="Calibri"/>
                <w:sz w:val="20"/>
                <w:szCs w:val="20"/>
              </w:rPr>
              <w:t>Prioritisation</w:t>
            </w:r>
          </w:p>
        </w:tc>
        <w:tc>
          <w:tcPr>
            <w:tcW w:w="315" w:type="pct"/>
            <w:tcBorders>
              <w:top w:val="single" w:sz="4" w:space="0" w:color="auto"/>
              <w:left w:val="single" w:sz="4" w:space="0" w:color="auto"/>
              <w:bottom w:val="single" w:sz="4" w:space="0" w:color="auto"/>
              <w:right w:val="single" w:sz="4" w:space="0" w:color="auto"/>
            </w:tcBorders>
            <w:vAlign w:val="center"/>
          </w:tcPr>
          <w:p w14:paraId="6FAD96E9" w14:textId="2E39071B" w:rsidR="0050633F" w:rsidRDefault="0050633F" w:rsidP="0050633F">
            <w:pPr>
              <w:jc w:val="center"/>
              <w:rPr>
                <w:rFonts w:ascii="Calibri" w:hAnsi="Calibri"/>
                <w:sz w:val="20"/>
                <w:szCs w:val="20"/>
              </w:rPr>
            </w:pPr>
            <w:r>
              <w:rPr>
                <w:rFonts w:ascii="Calibri" w:hAnsi="Calibri"/>
                <w:sz w:val="20"/>
                <w:szCs w:val="20"/>
              </w:rPr>
              <w:t xml:space="preserve">7% </w:t>
            </w:r>
          </w:p>
        </w:tc>
        <w:tc>
          <w:tcPr>
            <w:tcW w:w="913" w:type="pct"/>
            <w:tcBorders>
              <w:top w:val="single" w:sz="4" w:space="0" w:color="auto"/>
              <w:left w:val="single" w:sz="4" w:space="0" w:color="auto"/>
              <w:bottom w:val="single" w:sz="4" w:space="0" w:color="auto"/>
              <w:right w:val="single" w:sz="4" w:space="0" w:color="auto"/>
            </w:tcBorders>
            <w:vAlign w:val="center"/>
          </w:tcPr>
          <w:p w14:paraId="718359EF" w14:textId="5958829D" w:rsidR="0050633F" w:rsidRDefault="0050633F" w:rsidP="0050633F">
            <w:pPr>
              <w:jc w:val="left"/>
              <w:rPr>
                <w:rFonts w:ascii="Calibri" w:hAnsi="Calibri"/>
                <w:sz w:val="20"/>
                <w:szCs w:val="20"/>
              </w:rPr>
            </w:pPr>
            <w:r>
              <w:rPr>
                <w:rFonts w:ascii="Calibri" w:hAnsi="Calibri"/>
                <w:sz w:val="20"/>
                <w:szCs w:val="20"/>
              </w:rPr>
              <w:t>Inadequate treatment</w:t>
            </w:r>
          </w:p>
        </w:tc>
        <w:tc>
          <w:tcPr>
            <w:tcW w:w="315" w:type="pct"/>
            <w:tcBorders>
              <w:top w:val="single" w:sz="4" w:space="0" w:color="auto"/>
              <w:left w:val="single" w:sz="4" w:space="0" w:color="auto"/>
              <w:bottom w:val="single" w:sz="4" w:space="0" w:color="auto"/>
              <w:right w:val="single" w:sz="4" w:space="0" w:color="auto"/>
            </w:tcBorders>
            <w:vAlign w:val="center"/>
          </w:tcPr>
          <w:p w14:paraId="571E183D" w14:textId="2D558487" w:rsidR="0050633F" w:rsidRDefault="0050633F" w:rsidP="0050633F">
            <w:pPr>
              <w:jc w:val="center"/>
              <w:rPr>
                <w:rFonts w:ascii="Calibri" w:hAnsi="Calibri"/>
                <w:sz w:val="20"/>
                <w:szCs w:val="20"/>
              </w:rPr>
            </w:pPr>
            <w:r>
              <w:rPr>
                <w:rFonts w:ascii="Calibri" w:hAnsi="Calibri"/>
                <w:sz w:val="20"/>
                <w:szCs w:val="20"/>
              </w:rPr>
              <w:t xml:space="preserve">7% </w:t>
            </w:r>
          </w:p>
        </w:tc>
        <w:tc>
          <w:tcPr>
            <w:tcW w:w="939" w:type="pct"/>
            <w:tcBorders>
              <w:top w:val="single" w:sz="4" w:space="0" w:color="auto"/>
              <w:left w:val="single" w:sz="4" w:space="0" w:color="auto"/>
              <w:bottom w:val="single" w:sz="4" w:space="0" w:color="auto"/>
              <w:right w:val="single" w:sz="4" w:space="0" w:color="auto"/>
            </w:tcBorders>
            <w:vAlign w:val="center"/>
          </w:tcPr>
          <w:p w14:paraId="3894C416" w14:textId="2195E7D6" w:rsidR="0050633F" w:rsidRDefault="0050633F" w:rsidP="0050633F">
            <w:pPr>
              <w:jc w:val="left"/>
              <w:rPr>
                <w:rFonts w:ascii="Calibri" w:hAnsi="Calibri"/>
                <w:sz w:val="20"/>
                <w:szCs w:val="20"/>
              </w:rPr>
            </w:pPr>
            <w:r>
              <w:rPr>
                <w:rFonts w:ascii="Calibri" w:hAnsi="Calibri"/>
                <w:sz w:val="20"/>
                <w:szCs w:val="20"/>
              </w:rPr>
              <w:t>Inadequate treatment</w:t>
            </w:r>
          </w:p>
        </w:tc>
        <w:tc>
          <w:tcPr>
            <w:tcW w:w="380" w:type="pct"/>
            <w:tcBorders>
              <w:top w:val="single" w:sz="4" w:space="0" w:color="auto"/>
              <w:left w:val="single" w:sz="4" w:space="0" w:color="auto"/>
              <w:bottom w:val="single" w:sz="4" w:space="0" w:color="auto"/>
              <w:right w:val="single" w:sz="4" w:space="0" w:color="auto"/>
            </w:tcBorders>
            <w:vAlign w:val="center"/>
          </w:tcPr>
          <w:p w14:paraId="3E33575C" w14:textId="18AAE335" w:rsidR="0050633F" w:rsidRDefault="0050633F" w:rsidP="0050633F">
            <w:pPr>
              <w:jc w:val="center"/>
              <w:rPr>
                <w:rFonts w:ascii="Calibri" w:hAnsi="Calibri"/>
                <w:sz w:val="20"/>
                <w:szCs w:val="20"/>
              </w:rPr>
            </w:pPr>
            <w:r>
              <w:rPr>
                <w:rFonts w:ascii="Calibri" w:hAnsi="Calibri"/>
                <w:sz w:val="20"/>
                <w:szCs w:val="20"/>
              </w:rPr>
              <w:t>8%</w:t>
            </w:r>
          </w:p>
        </w:tc>
      </w:tr>
      <w:tr w:rsidR="0050633F" w14:paraId="30EF8F1A" w14:textId="77777777" w:rsidTr="0050633F">
        <w:trPr>
          <w:trHeight w:val="561"/>
        </w:trPr>
        <w:tc>
          <w:tcPr>
            <w:tcW w:w="914" w:type="pct"/>
            <w:tcBorders>
              <w:top w:val="single" w:sz="4" w:space="0" w:color="auto"/>
              <w:left w:val="single" w:sz="4" w:space="0" w:color="auto"/>
              <w:bottom w:val="single" w:sz="4" w:space="0" w:color="auto"/>
              <w:right w:val="single" w:sz="4" w:space="0" w:color="auto"/>
            </w:tcBorders>
            <w:vAlign w:val="center"/>
            <w:hideMark/>
          </w:tcPr>
          <w:p w14:paraId="45150E12" w14:textId="4308D664" w:rsidR="0050633F" w:rsidRDefault="0050633F" w:rsidP="0050633F">
            <w:pPr>
              <w:jc w:val="left"/>
              <w:rPr>
                <w:rFonts w:ascii="Calibri" w:hAnsi="Calibri"/>
                <w:sz w:val="20"/>
                <w:szCs w:val="20"/>
              </w:rPr>
            </w:pPr>
            <w:r>
              <w:rPr>
                <w:rFonts w:ascii="Calibri" w:hAnsi="Calibri"/>
                <w:sz w:val="20"/>
                <w:szCs w:val="20"/>
              </w:rPr>
              <w:t>Inadequate treatment</w:t>
            </w:r>
          </w:p>
        </w:tc>
        <w:tc>
          <w:tcPr>
            <w:tcW w:w="315" w:type="pct"/>
            <w:tcBorders>
              <w:top w:val="single" w:sz="4" w:space="0" w:color="auto"/>
              <w:left w:val="single" w:sz="4" w:space="0" w:color="auto"/>
              <w:bottom w:val="single" w:sz="4" w:space="0" w:color="auto"/>
              <w:right w:val="single" w:sz="4" w:space="0" w:color="auto"/>
            </w:tcBorders>
            <w:vAlign w:val="center"/>
            <w:hideMark/>
          </w:tcPr>
          <w:p w14:paraId="53C9956A" w14:textId="7AE51CFA" w:rsidR="0050633F" w:rsidRDefault="0050633F" w:rsidP="0050633F">
            <w:pPr>
              <w:jc w:val="center"/>
              <w:rPr>
                <w:rFonts w:ascii="Calibri" w:hAnsi="Calibri"/>
                <w:sz w:val="20"/>
                <w:szCs w:val="20"/>
              </w:rPr>
            </w:pPr>
            <w:r>
              <w:rPr>
                <w:rFonts w:ascii="Calibri" w:hAnsi="Calibri"/>
                <w:sz w:val="20"/>
                <w:szCs w:val="20"/>
              </w:rPr>
              <w:t xml:space="preserve">4% </w:t>
            </w:r>
          </w:p>
        </w:tc>
        <w:tc>
          <w:tcPr>
            <w:tcW w:w="910" w:type="pct"/>
            <w:tcBorders>
              <w:top w:val="single" w:sz="4" w:space="0" w:color="auto"/>
              <w:left w:val="single" w:sz="4" w:space="0" w:color="auto"/>
              <w:bottom w:val="single" w:sz="4" w:space="0" w:color="auto"/>
              <w:right w:val="single" w:sz="4" w:space="0" w:color="auto"/>
            </w:tcBorders>
            <w:vAlign w:val="center"/>
          </w:tcPr>
          <w:p w14:paraId="7775EB48" w14:textId="2DD95AF7" w:rsidR="0050633F" w:rsidRDefault="0050633F" w:rsidP="0050633F">
            <w:pPr>
              <w:jc w:val="left"/>
              <w:rPr>
                <w:rFonts w:ascii="Calibri" w:hAnsi="Calibri"/>
                <w:sz w:val="20"/>
                <w:szCs w:val="20"/>
              </w:rPr>
            </w:pPr>
            <w:r>
              <w:rPr>
                <w:rFonts w:ascii="Calibri" w:hAnsi="Calibri"/>
                <w:sz w:val="20"/>
                <w:szCs w:val="20"/>
              </w:rPr>
              <w:t>Inadequate treatment</w:t>
            </w:r>
          </w:p>
        </w:tc>
        <w:tc>
          <w:tcPr>
            <w:tcW w:w="315" w:type="pct"/>
            <w:tcBorders>
              <w:top w:val="single" w:sz="4" w:space="0" w:color="auto"/>
              <w:left w:val="single" w:sz="4" w:space="0" w:color="auto"/>
              <w:bottom w:val="single" w:sz="4" w:space="0" w:color="auto"/>
              <w:right w:val="single" w:sz="4" w:space="0" w:color="auto"/>
            </w:tcBorders>
            <w:vAlign w:val="center"/>
          </w:tcPr>
          <w:p w14:paraId="01D018F4" w14:textId="77777777" w:rsidR="0050633F" w:rsidRDefault="0050633F" w:rsidP="0050633F">
            <w:pPr>
              <w:jc w:val="center"/>
              <w:rPr>
                <w:rFonts w:ascii="Calibri" w:hAnsi="Calibri"/>
                <w:sz w:val="20"/>
                <w:szCs w:val="20"/>
              </w:rPr>
            </w:pPr>
            <w:r>
              <w:rPr>
                <w:rFonts w:ascii="Calibri" w:hAnsi="Calibri"/>
                <w:sz w:val="20"/>
                <w:szCs w:val="20"/>
              </w:rPr>
              <w:t xml:space="preserve">6% </w:t>
            </w:r>
          </w:p>
        </w:tc>
        <w:tc>
          <w:tcPr>
            <w:tcW w:w="913" w:type="pct"/>
            <w:tcBorders>
              <w:top w:val="single" w:sz="4" w:space="0" w:color="auto"/>
              <w:left w:val="single" w:sz="4" w:space="0" w:color="auto"/>
              <w:bottom w:val="single" w:sz="4" w:space="0" w:color="auto"/>
              <w:right w:val="single" w:sz="4" w:space="0" w:color="auto"/>
            </w:tcBorders>
            <w:vAlign w:val="center"/>
          </w:tcPr>
          <w:p w14:paraId="2759FC6B" w14:textId="5C346895" w:rsidR="0050633F" w:rsidRDefault="0050633F" w:rsidP="0050633F">
            <w:pPr>
              <w:jc w:val="left"/>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tcPr>
          <w:p w14:paraId="42355C0E" w14:textId="6CB7AADE" w:rsidR="0050633F" w:rsidRDefault="0050633F" w:rsidP="0050633F">
            <w:pPr>
              <w:jc w:val="center"/>
              <w:rPr>
                <w:rFonts w:ascii="Calibri" w:hAnsi="Calibri"/>
                <w:sz w:val="20"/>
                <w:szCs w:val="20"/>
              </w:rPr>
            </w:pPr>
            <w:r>
              <w:rPr>
                <w:rFonts w:ascii="Calibri" w:hAnsi="Calibri"/>
                <w:sz w:val="20"/>
                <w:szCs w:val="20"/>
              </w:rPr>
              <w:t xml:space="preserve">6% </w:t>
            </w:r>
          </w:p>
        </w:tc>
        <w:tc>
          <w:tcPr>
            <w:tcW w:w="939" w:type="pct"/>
            <w:tcBorders>
              <w:top w:val="single" w:sz="4" w:space="0" w:color="auto"/>
              <w:left w:val="single" w:sz="4" w:space="0" w:color="auto"/>
              <w:bottom w:val="single" w:sz="4" w:space="0" w:color="auto"/>
              <w:right w:val="single" w:sz="4" w:space="0" w:color="auto"/>
            </w:tcBorders>
            <w:vAlign w:val="center"/>
          </w:tcPr>
          <w:p w14:paraId="141964FF" w14:textId="434BFDC8" w:rsidR="0050633F" w:rsidRDefault="0050633F" w:rsidP="0050633F">
            <w:pPr>
              <w:jc w:val="left"/>
              <w:rPr>
                <w:rFonts w:ascii="Calibri" w:hAnsi="Calibri"/>
                <w:sz w:val="20"/>
                <w:szCs w:val="20"/>
              </w:rPr>
            </w:pPr>
            <w:r>
              <w:rPr>
                <w:rFonts w:ascii="Calibri" w:hAnsi="Calibri"/>
                <w:sz w:val="20"/>
                <w:szCs w:val="20"/>
              </w:rPr>
              <w:t>Lack of access to services</w:t>
            </w:r>
          </w:p>
        </w:tc>
        <w:tc>
          <w:tcPr>
            <w:tcW w:w="380" w:type="pct"/>
            <w:tcBorders>
              <w:top w:val="single" w:sz="4" w:space="0" w:color="auto"/>
              <w:left w:val="single" w:sz="4" w:space="0" w:color="auto"/>
              <w:bottom w:val="single" w:sz="4" w:space="0" w:color="auto"/>
              <w:right w:val="single" w:sz="4" w:space="0" w:color="auto"/>
            </w:tcBorders>
            <w:vAlign w:val="center"/>
          </w:tcPr>
          <w:p w14:paraId="2D44514C" w14:textId="647A37DC" w:rsidR="0050633F" w:rsidRDefault="0050633F" w:rsidP="0050633F">
            <w:pPr>
              <w:jc w:val="center"/>
              <w:rPr>
                <w:rFonts w:ascii="Calibri" w:hAnsi="Calibri"/>
                <w:sz w:val="20"/>
                <w:szCs w:val="20"/>
              </w:rPr>
            </w:pPr>
            <w:r>
              <w:rPr>
                <w:rFonts w:ascii="Calibri" w:hAnsi="Calibri"/>
                <w:sz w:val="20"/>
                <w:szCs w:val="20"/>
              </w:rPr>
              <w:t>8%</w:t>
            </w:r>
          </w:p>
        </w:tc>
      </w:tr>
    </w:tbl>
    <w:p w14:paraId="20251F80" w14:textId="68284274" w:rsidR="00A16504" w:rsidRDefault="00A16504" w:rsidP="00841E1C">
      <w:pPr>
        <w:spacing w:after="120"/>
        <w:rPr>
          <w:b/>
        </w:rPr>
      </w:pPr>
    </w:p>
    <w:p w14:paraId="6B8A3AEC" w14:textId="31036752" w:rsidR="00A16504" w:rsidRDefault="00A16504" w:rsidP="00841E1C">
      <w:pPr>
        <w:spacing w:after="120"/>
        <w:rPr>
          <w:b/>
        </w:rPr>
      </w:pPr>
    </w:p>
    <w:p w14:paraId="6A9F8ABB" w14:textId="059A0EE4" w:rsidR="00A16504" w:rsidRDefault="00A16504" w:rsidP="00841E1C">
      <w:pPr>
        <w:spacing w:after="120"/>
        <w:rPr>
          <w:b/>
        </w:rPr>
      </w:pPr>
    </w:p>
    <w:p w14:paraId="0239E3F9" w14:textId="01EB8234" w:rsidR="00A16504" w:rsidRDefault="00A16504" w:rsidP="00841E1C">
      <w:pPr>
        <w:spacing w:after="120"/>
        <w:rPr>
          <w:b/>
        </w:rPr>
      </w:pPr>
    </w:p>
    <w:p w14:paraId="42EEC7F4" w14:textId="77777777" w:rsidR="00A16504" w:rsidRDefault="00A16504" w:rsidP="00841E1C">
      <w:pPr>
        <w:spacing w:after="120"/>
        <w:rPr>
          <w:b/>
        </w:rPr>
      </w:pPr>
    </w:p>
    <w:p w14:paraId="2C0FD841" w14:textId="77777777" w:rsidR="00841E1C" w:rsidRDefault="00841E1C" w:rsidP="00841E1C"/>
    <w:p w14:paraId="76E80137" w14:textId="77777777" w:rsidR="00841E1C" w:rsidRDefault="00841E1C" w:rsidP="00841E1C"/>
    <w:p w14:paraId="3D837F63" w14:textId="77777777" w:rsidR="00841E1C" w:rsidRDefault="00841E1C" w:rsidP="00841E1C">
      <w:pPr>
        <w:tabs>
          <w:tab w:val="left" w:pos="3840"/>
        </w:tabs>
        <w:rPr>
          <w:rFonts w:ascii="Calibri" w:hAnsi="Calibri"/>
          <w:szCs w:val="22"/>
        </w:rPr>
      </w:pPr>
    </w:p>
    <w:p w14:paraId="78BABBB9" w14:textId="77777777" w:rsidR="00841E1C" w:rsidRDefault="00841E1C" w:rsidP="00841E1C">
      <w:pPr>
        <w:widowControl w:val="0"/>
        <w:rPr>
          <w:rFonts w:ascii="Calibri" w:hAnsi="Calibri"/>
          <w:szCs w:val="22"/>
        </w:rPr>
      </w:pPr>
    </w:p>
    <w:p w14:paraId="2EC0A257" w14:textId="77777777" w:rsidR="00841E1C" w:rsidRDefault="00841E1C" w:rsidP="00841E1C">
      <w:pPr>
        <w:widowControl w:val="0"/>
        <w:rPr>
          <w:rFonts w:ascii="Calibri" w:hAnsi="Calibri"/>
          <w:szCs w:val="22"/>
        </w:rPr>
      </w:pPr>
    </w:p>
    <w:p w14:paraId="2F20C071" w14:textId="77777777" w:rsidR="00841E1C" w:rsidRDefault="00841E1C" w:rsidP="00841E1C">
      <w:pPr>
        <w:widowControl w:val="0"/>
        <w:rPr>
          <w:rFonts w:ascii="Calibri" w:hAnsi="Calibri"/>
          <w:szCs w:val="22"/>
        </w:rPr>
      </w:pPr>
    </w:p>
    <w:p w14:paraId="16838AEA" w14:textId="77777777" w:rsidR="00841E1C" w:rsidRDefault="00841E1C" w:rsidP="00841E1C">
      <w:pPr>
        <w:widowControl w:val="0"/>
        <w:rPr>
          <w:rFonts w:ascii="Calibri" w:hAnsi="Calibri"/>
          <w:szCs w:val="22"/>
        </w:rPr>
      </w:pPr>
    </w:p>
    <w:p w14:paraId="4F750102" w14:textId="77777777" w:rsidR="00841E1C" w:rsidRDefault="00841E1C" w:rsidP="00841E1C">
      <w:pPr>
        <w:widowControl w:val="0"/>
        <w:rPr>
          <w:rFonts w:ascii="Calibri" w:hAnsi="Calibri"/>
          <w:szCs w:val="22"/>
        </w:rPr>
      </w:pPr>
    </w:p>
    <w:p w14:paraId="56B486F0" w14:textId="77777777" w:rsidR="00841E1C" w:rsidRDefault="00841E1C" w:rsidP="00841E1C">
      <w:pPr>
        <w:widowControl w:val="0"/>
        <w:rPr>
          <w:rFonts w:ascii="Calibri" w:hAnsi="Calibri"/>
          <w:szCs w:val="22"/>
        </w:rPr>
      </w:pPr>
    </w:p>
    <w:p w14:paraId="66A97D87" w14:textId="77777777" w:rsidR="00841E1C" w:rsidRDefault="00841E1C" w:rsidP="00841E1C">
      <w:pPr>
        <w:widowControl w:val="0"/>
        <w:rPr>
          <w:rFonts w:ascii="Calibri" w:hAnsi="Calibri"/>
          <w:szCs w:val="22"/>
        </w:rPr>
      </w:pPr>
    </w:p>
    <w:p w14:paraId="0F4183CE" w14:textId="77777777" w:rsidR="00841E1C" w:rsidRDefault="00841E1C" w:rsidP="00841E1C">
      <w:pPr>
        <w:widowControl w:val="0"/>
        <w:rPr>
          <w:rFonts w:ascii="Calibri" w:hAnsi="Calibri"/>
          <w:szCs w:val="22"/>
        </w:rPr>
      </w:pPr>
    </w:p>
    <w:p w14:paraId="5F6A2E8E" w14:textId="77777777" w:rsidR="00841E1C" w:rsidRDefault="00841E1C" w:rsidP="00841E1C">
      <w:pPr>
        <w:widowControl w:val="0"/>
        <w:rPr>
          <w:rFonts w:ascii="Calibri" w:hAnsi="Calibri"/>
          <w:szCs w:val="22"/>
        </w:rPr>
      </w:pPr>
    </w:p>
    <w:p w14:paraId="0788EAAF" w14:textId="77777777" w:rsidR="00841E1C" w:rsidRDefault="00841E1C" w:rsidP="00841E1C">
      <w:pPr>
        <w:rPr>
          <w:rFonts w:cs="Arial"/>
          <w:bCs/>
          <w:i/>
          <w:szCs w:val="26"/>
        </w:rPr>
      </w:pPr>
      <w:bookmarkStart w:id="83" w:name="_Toc426462634"/>
      <w:bookmarkStart w:id="84" w:name="_Toc443992229"/>
      <w:bookmarkStart w:id="85" w:name="_Toc445910053"/>
      <w:bookmarkStart w:id="86" w:name="_Toc447291337"/>
      <w:bookmarkStart w:id="87" w:name="_Toc447291475"/>
      <w:bookmarkStart w:id="88" w:name="_Toc447527532"/>
      <w:bookmarkStart w:id="89" w:name="_Toc493684130"/>
      <w:r>
        <w:br w:type="page"/>
      </w:r>
    </w:p>
    <w:p w14:paraId="2AA00109" w14:textId="037E6F92" w:rsidR="00841E1C" w:rsidRPr="003607E1" w:rsidRDefault="00841E1C" w:rsidP="00841E1C">
      <w:pPr>
        <w:pStyle w:val="Heading3"/>
      </w:pPr>
      <w:bookmarkStart w:id="90" w:name="_Toc39138050"/>
      <w:r w:rsidRPr="003607E1">
        <w:t>3.2</w:t>
      </w:r>
      <w:r w:rsidRPr="003607E1">
        <w:tab/>
        <w:t>All complaint issues</w:t>
      </w:r>
      <w:bookmarkEnd w:id="83"/>
      <w:bookmarkEnd w:id="84"/>
      <w:bookmarkEnd w:id="85"/>
      <w:bookmarkEnd w:id="86"/>
      <w:bookmarkEnd w:id="87"/>
      <w:bookmarkEnd w:id="88"/>
      <w:bookmarkEnd w:id="89"/>
      <w:bookmarkEnd w:id="90"/>
    </w:p>
    <w:p w14:paraId="5754785B" w14:textId="77777777" w:rsidR="00841E1C" w:rsidRPr="00B7094E" w:rsidRDefault="00841E1C" w:rsidP="00841E1C">
      <w:pPr>
        <w:spacing w:after="480"/>
        <w:rPr>
          <w:rFonts w:ascii="Calibri" w:hAnsi="Calibri"/>
          <w:szCs w:val="22"/>
        </w:rPr>
      </w:pPr>
      <w:r>
        <w:rPr>
          <w:rFonts w:ascii="Calibri" w:hAnsi="Calibri"/>
          <w:szCs w:val="22"/>
        </w:rPr>
        <w:t xml:space="preserve">As well as the primary complaint issue, up to six additional other complaint issues are identified for each complaint received by HDC. Table 8 includes these additional complaint issues, as well as the primary complaint issues, to show all issues identified in complaints received. </w:t>
      </w:r>
    </w:p>
    <w:p w14:paraId="5E9A1CD7" w14:textId="77777777" w:rsidR="00841E1C" w:rsidRDefault="00841E1C" w:rsidP="00841E1C">
      <w:pPr>
        <w:widowControl w:val="0"/>
        <w:spacing w:after="120"/>
        <w:rPr>
          <w:rFonts w:ascii="Calibri" w:hAnsi="Calibri"/>
          <w:szCs w:val="22"/>
        </w:rPr>
      </w:pPr>
      <w:r>
        <w:rPr>
          <w:rFonts w:ascii="Calibri" w:hAnsi="Calibri"/>
          <w:b/>
          <w:szCs w:val="22"/>
        </w:rPr>
        <w:t xml:space="preserve">Table 8. </w:t>
      </w:r>
      <w:r>
        <w:rPr>
          <w:rFonts w:ascii="Calibri" w:hAnsi="Calibri"/>
          <w:szCs w:val="22"/>
        </w:rPr>
        <w:t xml:space="preserve">All issues identified in complaints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559"/>
        <w:gridCol w:w="1701"/>
      </w:tblGrid>
      <w:tr w:rsidR="00841E1C" w14:paraId="38E11596" w14:textId="77777777" w:rsidTr="0080255D">
        <w:trPr>
          <w:tblHeader/>
        </w:trPr>
        <w:tc>
          <w:tcPr>
            <w:tcW w:w="6521" w:type="dxa"/>
            <w:tcBorders>
              <w:top w:val="single" w:sz="4" w:space="0" w:color="auto"/>
              <w:left w:val="single" w:sz="4" w:space="0" w:color="auto"/>
              <w:bottom w:val="single" w:sz="4" w:space="0" w:color="auto"/>
              <w:right w:val="single" w:sz="4" w:space="0" w:color="auto"/>
            </w:tcBorders>
            <w:hideMark/>
          </w:tcPr>
          <w:p w14:paraId="59513F84" w14:textId="77777777" w:rsidR="00841E1C" w:rsidRDefault="00841E1C" w:rsidP="00841E1C">
            <w:pPr>
              <w:keepNext/>
              <w:keepLines/>
              <w:tabs>
                <w:tab w:val="left" w:pos="1440"/>
                <w:tab w:val="decimal" w:pos="4320"/>
              </w:tabs>
              <w:spacing w:before="120"/>
              <w:jc w:val="left"/>
              <w:outlineLvl w:val="0"/>
              <w:rPr>
                <w:rFonts w:ascii="Calibri" w:hAnsi="Calibri"/>
                <w:b/>
                <w:szCs w:val="22"/>
              </w:rPr>
            </w:pPr>
            <w:r>
              <w:rPr>
                <w:rFonts w:ascii="Calibri" w:hAnsi="Calibri"/>
                <w:b/>
                <w:szCs w:val="22"/>
              </w:rPr>
              <w:t xml:space="preserve">All issues in complaints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FE9BDF" w14:textId="6E8CDC0E" w:rsidR="00841E1C" w:rsidRDefault="00841E1C">
            <w:pPr>
              <w:keepNext/>
              <w:keepLines/>
              <w:tabs>
                <w:tab w:val="left" w:pos="1440"/>
                <w:tab w:val="decimal" w:pos="4320"/>
              </w:tabs>
              <w:spacing w:before="120"/>
              <w:jc w:val="center"/>
              <w:outlineLvl w:val="0"/>
              <w:rPr>
                <w:rFonts w:ascii="Calibri" w:hAnsi="Calibri"/>
                <w:b/>
                <w:szCs w:val="22"/>
              </w:rPr>
            </w:pPr>
            <w:r>
              <w:rPr>
                <w:rFonts w:ascii="Calibri" w:hAnsi="Calibri"/>
                <w:b/>
                <w:szCs w:val="22"/>
              </w:rPr>
              <w:t>Number of complaints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AE8995" w14:textId="77777777" w:rsidR="00841E1C" w:rsidRDefault="00841E1C">
            <w:pPr>
              <w:keepNext/>
              <w:keepLines/>
              <w:tabs>
                <w:tab w:val="left" w:pos="1440"/>
                <w:tab w:val="decimal" w:pos="4320"/>
              </w:tabs>
              <w:jc w:val="center"/>
              <w:outlineLvl w:val="0"/>
              <w:rPr>
                <w:rFonts w:ascii="Calibri" w:hAnsi="Calibri"/>
                <w:b/>
                <w:szCs w:val="22"/>
              </w:rPr>
            </w:pPr>
            <w:r>
              <w:rPr>
                <w:rFonts w:ascii="Calibri" w:hAnsi="Calibri"/>
                <w:b/>
                <w:szCs w:val="22"/>
              </w:rPr>
              <w:t>Percentage</w:t>
            </w:r>
          </w:p>
        </w:tc>
      </w:tr>
      <w:tr w:rsidR="00841E1C" w14:paraId="264D6FD9" w14:textId="77777777" w:rsidTr="00841E1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E05EA18" w14:textId="77777777" w:rsidR="00841E1C" w:rsidRPr="0080255D" w:rsidRDefault="00841E1C" w:rsidP="00841E1C">
            <w:pPr>
              <w:keepNext/>
              <w:keepLines/>
              <w:rPr>
                <w:rFonts w:ascii="Calibri" w:hAnsi="Calibri" w:cs="Calibri"/>
                <w:b/>
                <w:color w:val="000000"/>
                <w:szCs w:val="22"/>
              </w:rPr>
            </w:pPr>
            <w:r w:rsidRPr="0080255D">
              <w:rPr>
                <w:rFonts w:ascii="Calibri" w:hAnsi="Calibri" w:cs="Calibri"/>
                <w:b/>
                <w:color w:val="000000"/>
                <w:szCs w:val="22"/>
              </w:rPr>
              <w:t>Access/Funding</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262F3" w14:textId="77777777" w:rsidR="00841E1C" w:rsidRPr="0080255D" w:rsidRDefault="00841E1C" w:rsidP="00841E1C">
            <w:pPr>
              <w:keepNext/>
              <w:keepLines/>
              <w:jc w:val="center"/>
              <w:rPr>
                <w:rFonts w:ascii="Calibri" w:hAnsi="Calibri" w:cs="Calibri"/>
                <w:b/>
                <w:color w:val="000000"/>
                <w:szCs w:val="22"/>
              </w:rPr>
            </w:pPr>
            <w:r w:rsidRPr="0080255D">
              <w:rPr>
                <w:rFonts w:ascii="Calibri" w:hAnsi="Calibri" w:cs="Calibri"/>
                <w:b/>
                <w:color w:val="000000"/>
                <w:szCs w:val="22"/>
              </w:rPr>
              <w:t>116</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CAE202" w14:textId="77777777" w:rsidR="00841E1C" w:rsidRPr="0080255D" w:rsidRDefault="00841E1C" w:rsidP="00841E1C">
            <w:pPr>
              <w:keepNext/>
              <w:keepLines/>
              <w:jc w:val="center"/>
              <w:rPr>
                <w:rFonts w:ascii="Calibri" w:hAnsi="Calibri" w:cs="Calibri"/>
                <w:b/>
                <w:color w:val="000000"/>
                <w:szCs w:val="22"/>
              </w:rPr>
            </w:pPr>
            <w:r w:rsidRPr="0080255D">
              <w:rPr>
                <w:rFonts w:ascii="Calibri" w:hAnsi="Calibri" w:cs="Calibri"/>
                <w:b/>
                <w:color w:val="000000"/>
                <w:szCs w:val="22"/>
              </w:rPr>
              <w:t>24.6%</w:t>
            </w:r>
          </w:p>
        </w:tc>
      </w:tr>
      <w:tr w:rsidR="00841E1C" w14:paraId="4A0BD651" w14:textId="77777777" w:rsidTr="00841E1C">
        <w:tc>
          <w:tcPr>
            <w:tcW w:w="6521" w:type="dxa"/>
            <w:tcBorders>
              <w:top w:val="single" w:sz="4" w:space="0" w:color="auto"/>
              <w:left w:val="single" w:sz="4" w:space="0" w:color="auto"/>
              <w:bottom w:val="single" w:sz="4" w:space="0" w:color="auto"/>
              <w:right w:val="single" w:sz="4" w:space="0" w:color="auto"/>
            </w:tcBorders>
            <w:vAlign w:val="bottom"/>
            <w:hideMark/>
          </w:tcPr>
          <w:p w14:paraId="03C89AE6" w14:textId="77777777" w:rsidR="00841E1C" w:rsidRDefault="00841E1C" w:rsidP="00841E1C">
            <w:pPr>
              <w:keepNext/>
              <w:keepLines/>
              <w:tabs>
                <w:tab w:val="left" w:pos="176"/>
              </w:tabs>
              <w:ind w:left="176"/>
              <w:jc w:val="left"/>
              <w:rPr>
                <w:rFonts w:ascii="Calibri" w:hAnsi="Calibri" w:cs="Calibri"/>
                <w:color w:val="000000"/>
                <w:szCs w:val="22"/>
              </w:rPr>
            </w:pPr>
            <w:r>
              <w:rPr>
                <w:rFonts w:ascii="Calibri" w:hAnsi="Calibri" w:cs="Calibri"/>
                <w:color w:val="000000"/>
                <w:szCs w:val="22"/>
              </w:rPr>
              <w:t xml:space="preserve">Lack of access to services </w:t>
            </w:r>
          </w:p>
        </w:tc>
        <w:tc>
          <w:tcPr>
            <w:tcW w:w="1559" w:type="dxa"/>
            <w:tcBorders>
              <w:top w:val="single" w:sz="4" w:space="0" w:color="auto"/>
              <w:left w:val="single" w:sz="4" w:space="0" w:color="auto"/>
              <w:bottom w:val="single" w:sz="4" w:space="0" w:color="auto"/>
              <w:right w:val="single" w:sz="4" w:space="0" w:color="auto"/>
            </w:tcBorders>
            <w:vAlign w:val="center"/>
          </w:tcPr>
          <w:p w14:paraId="41EB0C79" w14:textId="77777777" w:rsidR="00841E1C" w:rsidRDefault="00841E1C" w:rsidP="00841E1C">
            <w:pPr>
              <w:keepNext/>
              <w:keepLines/>
              <w:jc w:val="center"/>
              <w:rPr>
                <w:rFonts w:ascii="Calibri" w:hAnsi="Calibri" w:cs="Calibri"/>
                <w:color w:val="000000"/>
                <w:szCs w:val="22"/>
              </w:rPr>
            </w:pPr>
            <w:r>
              <w:rPr>
                <w:rFonts w:ascii="Calibri" w:hAnsi="Calibri" w:cs="Calibri"/>
                <w:color w:val="000000"/>
                <w:szCs w:val="22"/>
              </w:rPr>
              <w:t>55</w:t>
            </w:r>
          </w:p>
        </w:tc>
        <w:tc>
          <w:tcPr>
            <w:tcW w:w="1701" w:type="dxa"/>
            <w:tcBorders>
              <w:top w:val="single" w:sz="4" w:space="0" w:color="auto"/>
              <w:left w:val="single" w:sz="4" w:space="0" w:color="auto"/>
              <w:bottom w:val="single" w:sz="4" w:space="0" w:color="auto"/>
              <w:right w:val="single" w:sz="4" w:space="0" w:color="auto"/>
            </w:tcBorders>
            <w:vAlign w:val="center"/>
          </w:tcPr>
          <w:p w14:paraId="714A4A28" w14:textId="77777777" w:rsidR="00841E1C" w:rsidRDefault="00841E1C" w:rsidP="00841E1C">
            <w:pPr>
              <w:keepNext/>
              <w:keepLines/>
              <w:jc w:val="center"/>
              <w:rPr>
                <w:rFonts w:ascii="Calibri" w:hAnsi="Calibri" w:cs="Calibri"/>
                <w:color w:val="000000"/>
                <w:szCs w:val="22"/>
              </w:rPr>
            </w:pPr>
            <w:r>
              <w:rPr>
                <w:rFonts w:ascii="Calibri" w:hAnsi="Calibri" w:cs="Calibri"/>
                <w:color w:val="000000"/>
                <w:szCs w:val="22"/>
              </w:rPr>
              <w:t>11.6%</w:t>
            </w:r>
          </w:p>
        </w:tc>
      </w:tr>
      <w:tr w:rsidR="00841E1C" w14:paraId="579D7BE4" w14:textId="77777777" w:rsidTr="00841E1C">
        <w:tc>
          <w:tcPr>
            <w:tcW w:w="6521" w:type="dxa"/>
            <w:tcBorders>
              <w:top w:val="single" w:sz="4" w:space="0" w:color="auto"/>
              <w:left w:val="single" w:sz="4" w:space="0" w:color="auto"/>
              <w:bottom w:val="single" w:sz="4" w:space="0" w:color="auto"/>
              <w:right w:val="single" w:sz="4" w:space="0" w:color="auto"/>
            </w:tcBorders>
            <w:vAlign w:val="bottom"/>
            <w:hideMark/>
          </w:tcPr>
          <w:p w14:paraId="4329CFF2" w14:textId="77777777" w:rsidR="00841E1C" w:rsidRDefault="00841E1C" w:rsidP="00841E1C">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559" w:type="dxa"/>
            <w:tcBorders>
              <w:top w:val="single" w:sz="4" w:space="0" w:color="auto"/>
              <w:left w:val="single" w:sz="4" w:space="0" w:color="auto"/>
              <w:bottom w:val="single" w:sz="4" w:space="0" w:color="auto"/>
              <w:right w:val="single" w:sz="4" w:space="0" w:color="auto"/>
            </w:tcBorders>
            <w:vAlign w:val="center"/>
          </w:tcPr>
          <w:p w14:paraId="361B4DAF" w14:textId="77777777" w:rsidR="00841E1C" w:rsidRDefault="00841E1C" w:rsidP="00841E1C">
            <w:pPr>
              <w:keepNext/>
              <w:keepLines/>
              <w:jc w:val="center"/>
              <w:rPr>
                <w:rFonts w:ascii="Calibri" w:hAnsi="Calibri" w:cs="Calibri"/>
                <w:color w:val="000000"/>
                <w:szCs w:val="22"/>
              </w:rPr>
            </w:pPr>
            <w:r>
              <w:rPr>
                <w:rFonts w:ascii="Calibri" w:hAnsi="Calibri" w:cs="Calibri"/>
                <w:color w:val="000000"/>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507FF316" w14:textId="77777777" w:rsidR="00841E1C" w:rsidRDefault="00841E1C" w:rsidP="00841E1C">
            <w:pPr>
              <w:keepNext/>
              <w:keepLines/>
              <w:jc w:val="center"/>
              <w:rPr>
                <w:rFonts w:ascii="Calibri" w:hAnsi="Calibri" w:cs="Calibri"/>
                <w:color w:val="000000"/>
                <w:szCs w:val="22"/>
              </w:rPr>
            </w:pPr>
            <w:r>
              <w:rPr>
                <w:rFonts w:ascii="Calibri" w:hAnsi="Calibri" w:cs="Calibri"/>
                <w:color w:val="000000"/>
                <w:szCs w:val="22"/>
              </w:rPr>
              <w:t>1.5%</w:t>
            </w:r>
          </w:p>
        </w:tc>
      </w:tr>
      <w:tr w:rsidR="00841E1C" w14:paraId="300CF4C3" w14:textId="77777777" w:rsidTr="00841E1C">
        <w:tc>
          <w:tcPr>
            <w:tcW w:w="6521" w:type="dxa"/>
            <w:tcBorders>
              <w:top w:val="single" w:sz="4" w:space="0" w:color="auto"/>
              <w:left w:val="single" w:sz="4" w:space="0" w:color="auto"/>
              <w:bottom w:val="single" w:sz="4" w:space="0" w:color="auto"/>
              <w:right w:val="single" w:sz="4" w:space="0" w:color="auto"/>
            </w:tcBorders>
            <w:vAlign w:val="bottom"/>
            <w:hideMark/>
          </w:tcPr>
          <w:p w14:paraId="4FA6BF0E" w14:textId="77777777" w:rsidR="00841E1C" w:rsidRDefault="00841E1C" w:rsidP="00841E1C">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559" w:type="dxa"/>
            <w:tcBorders>
              <w:top w:val="single" w:sz="4" w:space="0" w:color="auto"/>
              <w:left w:val="single" w:sz="4" w:space="0" w:color="auto"/>
              <w:bottom w:val="single" w:sz="4" w:space="0" w:color="auto"/>
              <w:right w:val="single" w:sz="4" w:space="0" w:color="auto"/>
            </w:tcBorders>
            <w:vAlign w:val="center"/>
          </w:tcPr>
          <w:p w14:paraId="4AFC6523" w14:textId="77777777" w:rsidR="00841E1C" w:rsidRDefault="00841E1C" w:rsidP="00841E1C">
            <w:pPr>
              <w:keepNext/>
              <w:keepLines/>
              <w:jc w:val="center"/>
              <w:rPr>
                <w:rFonts w:ascii="Calibri" w:hAnsi="Calibri" w:cs="Calibri"/>
                <w:color w:val="000000"/>
                <w:szCs w:val="22"/>
              </w:rPr>
            </w:pPr>
            <w:r>
              <w:rPr>
                <w:rFonts w:ascii="Calibri" w:hAnsi="Calibri" w:cs="Calibri"/>
                <w:color w:val="000000"/>
                <w:szCs w:val="22"/>
              </w:rPr>
              <w:t>56</w:t>
            </w:r>
          </w:p>
        </w:tc>
        <w:tc>
          <w:tcPr>
            <w:tcW w:w="1701" w:type="dxa"/>
            <w:tcBorders>
              <w:top w:val="single" w:sz="4" w:space="0" w:color="auto"/>
              <w:left w:val="single" w:sz="4" w:space="0" w:color="auto"/>
              <w:bottom w:val="single" w:sz="4" w:space="0" w:color="auto"/>
              <w:right w:val="single" w:sz="4" w:space="0" w:color="auto"/>
            </w:tcBorders>
            <w:vAlign w:val="center"/>
          </w:tcPr>
          <w:p w14:paraId="4FC0BC84" w14:textId="77777777" w:rsidR="00841E1C" w:rsidRDefault="00841E1C" w:rsidP="00841E1C">
            <w:pPr>
              <w:keepNext/>
              <w:keepLines/>
              <w:jc w:val="center"/>
              <w:rPr>
                <w:rFonts w:ascii="Calibri" w:hAnsi="Calibri" w:cs="Calibri"/>
                <w:color w:val="000000"/>
                <w:szCs w:val="22"/>
              </w:rPr>
            </w:pPr>
            <w:r>
              <w:rPr>
                <w:rFonts w:ascii="Calibri" w:hAnsi="Calibri" w:cs="Calibri"/>
                <w:color w:val="000000"/>
                <w:szCs w:val="22"/>
              </w:rPr>
              <w:t>11.9%</w:t>
            </w:r>
          </w:p>
        </w:tc>
      </w:tr>
      <w:tr w:rsidR="00841E1C" w14:paraId="1DE31B7D" w14:textId="77777777" w:rsidTr="00841E1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C16AA63" w14:textId="77777777" w:rsidR="00841E1C" w:rsidRPr="0080255D" w:rsidRDefault="00841E1C" w:rsidP="00841E1C">
            <w:pPr>
              <w:keepNext/>
              <w:keepLines/>
              <w:rPr>
                <w:rFonts w:ascii="Calibri" w:hAnsi="Calibri" w:cs="Calibri"/>
                <w:b/>
                <w:color w:val="000000"/>
                <w:szCs w:val="22"/>
              </w:rPr>
            </w:pPr>
            <w:r w:rsidRPr="0080255D">
              <w:rPr>
                <w:rFonts w:ascii="Calibri" w:hAnsi="Calibri" w:cs="Calibri"/>
                <w:b/>
                <w:color w:val="000000"/>
                <w:szCs w:val="22"/>
              </w:rPr>
              <w:t>Boundary violation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39818" w14:textId="77777777" w:rsidR="00841E1C" w:rsidRPr="0080255D" w:rsidRDefault="00841E1C" w:rsidP="00841E1C">
            <w:pPr>
              <w:keepNext/>
              <w:keepLines/>
              <w:jc w:val="center"/>
              <w:rPr>
                <w:rFonts w:ascii="Calibri" w:hAnsi="Calibri" w:cs="Calibri"/>
                <w:b/>
                <w:color w:val="000000"/>
                <w:szCs w:val="22"/>
              </w:rPr>
            </w:pPr>
            <w:r w:rsidRPr="0080255D">
              <w:rPr>
                <w:rFonts w:ascii="Calibri" w:hAnsi="Calibri" w:cs="Calibri"/>
                <w:b/>
                <w:color w:val="000000"/>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E9B93" w14:textId="77777777" w:rsidR="00841E1C" w:rsidRPr="0080255D" w:rsidRDefault="00841E1C" w:rsidP="00841E1C">
            <w:pPr>
              <w:keepNext/>
              <w:keepLines/>
              <w:jc w:val="center"/>
              <w:rPr>
                <w:rFonts w:ascii="Calibri" w:hAnsi="Calibri" w:cs="Calibri"/>
                <w:b/>
                <w:color w:val="000000"/>
                <w:szCs w:val="22"/>
              </w:rPr>
            </w:pPr>
            <w:r w:rsidRPr="0080255D">
              <w:rPr>
                <w:rFonts w:ascii="Calibri" w:hAnsi="Calibri" w:cs="Calibri"/>
                <w:b/>
                <w:color w:val="000000"/>
                <w:szCs w:val="22"/>
              </w:rPr>
              <w:t>&lt;1%</w:t>
            </w:r>
          </w:p>
        </w:tc>
      </w:tr>
      <w:tr w:rsidR="00841E1C" w14:paraId="39EE9A1B" w14:textId="77777777" w:rsidTr="00841E1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CA25005" w14:textId="2BA2F1D1" w:rsidR="00841E1C" w:rsidRPr="0080255D" w:rsidRDefault="00841E1C" w:rsidP="006D765D">
            <w:pPr>
              <w:keepNext/>
              <w:keepLines/>
              <w:tabs>
                <w:tab w:val="left" w:pos="176"/>
              </w:tabs>
              <w:jc w:val="left"/>
              <w:rPr>
                <w:rFonts w:ascii="Calibri" w:hAnsi="Calibri" w:cs="Calibri"/>
                <w:b/>
                <w:color w:val="000000"/>
                <w:szCs w:val="22"/>
              </w:rPr>
            </w:pPr>
            <w:r w:rsidRPr="0080255D">
              <w:rPr>
                <w:rFonts w:ascii="Calibri" w:hAnsi="Calibri" w:cs="Calibri"/>
                <w:b/>
                <w:color w:val="000000"/>
                <w:szCs w:val="22"/>
              </w:rPr>
              <w:t>Care/</w:t>
            </w:r>
            <w:r w:rsidR="006D765D" w:rsidRPr="0080255D">
              <w:rPr>
                <w:rFonts w:ascii="Calibri" w:hAnsi="Calibri" w:cs="Calibri"/>
                <w:b/>
                <w:color w:val="000000"/>
                <w:szCs w:val="22"/>
              </w:rPr>
              <w:t>t</w:t>
            </w:r>
            <w:r w:rsidRPr="0080255D">
              <w:rPr>
                <w:rFonts w:ascii="Calibri" w:hAnsi="Calibri" w:cs="Calibri"/>
                <w:b/>
                <w:color w:val="000000"/>
                <w:szCs w:val="22"/>
              </w:rPr>
              <w:t>reatment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49FD6" w14:textId="77777777" w:rsidR="00841E1C" w:rsidRPr="0080255D" w:rsidRDefault="00841E1C" w:rsidP="00841E1C">
            <w:pPr>
              <w:keepNext/>
              <w:keepLines/>
              <w:jc w:val="center"/>
              <w:rPr>
                <w:rFonts w:ascii="Calibri" w:hAnsi="Calibri" w:cs="Calibri"/>
                <w:b/>
                <w:color w:val="000000"/>
                <w:szCs w:val="22"/>
              </w:rPr>
            </w:pPr>
            <w:r w:rsidRPr="0080255D">
              <w:rPr>
                <w:rFonts w:ascii="Calibri" w:hAnsi="Calibri" w:cs="Calibri"/>
                <w:b/>
                <w:color w:val="000000"/>
                <w:szCs w:val="22"/>
              </w:rPr>
              <w:t>401</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D4D4A6" w14:textId="77777777" w:rsidR="00841E1C" w:rsidRPr="0080255D" w:rsidRDefault="00841E1C" w:rsidP="00841E1C">
            <w:pPr>
              <w:keepNext/>
              <w:keepLines/>
              <w:jc w:val="center"/>
              <w:rPr>
                <w:rFonts w:ascii="Calibri" w:hAnsi="Calibri" w:cs="Calibri"/>
                <w:b/>
                <w:color w:val="000000"/>
                <w:szCs w:val="22"/>
              </w:rPr>
            </w:pPr>
            <w:r w:rsidRPr="0080255D">
              <w:rPr>
                <w:rFonts w:ascii="Calibri" w:hAnsi="Calibri" w:cs="Calibri"/>
                <w:b/>
                <w:color w:val="000000"/>
                <w:szCs w:val="22"/>
              </w:rPr>
              <w:t>84.9%</w:t>
            </w:r>
          </w:p>
        </w:tc>
      </w:tr>
      <w:tr w:rsidR="00841E1C" w14:paraId="141AC201" w14:textId="77777777" w:rsidTr="00841E1C">
        <w:tc>
          <w:tcPr>
            <w:tcW w:w="6521" w:type="dxa"/>
            <w:tcBorders>
              <w:top w:val="single" w:sz="4" w:space="0" w:color="auto"/>
              <w:left w:val="single" w:sz="4" w:space="0" w:color="auto"/>
              <w:bottom w:val="single" w:sz="4" w:space="0" w:color="auto"/>
              <w:right w:val="single" w:sz="4" w:space="0" w:color="auto"/>
            </w:tcBorders>
            <w:vAlign w:val="bottom"/>
            <w:hideMark/>
          </w:tcPr>
          <w:p w14:paraId="119AC153" w14:textId="77777777" w:rsidR="00841E1C" w:rsidRDefault="00841E1C" w:rsidP="00841E1C">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559" w:type="dxa"/>
            <w:tcBorders>
              <w:top w:val="single" w:sz="4" w:space="0" w:color="auto"/>
              <w:left w:val="single" w:sz="4" w:space="0" w:color="auto"/>
              <w:bottom w:val="single" w:sz="4" w:space="0" w:color="auto"/>
              <w:right w:val="single" w:sz="4" w:space="0" w:color="auto"/>
            </w:tcBorders>
            <w:vAlign w:val="center"/>
          </w:tcPr>
          <w:p w14:paraId="78F74A84" w14:textId="77777777" w:rsidR="00841E1C" w:rsidRDefault="00841E1C" w:rsidP="00841E1C">
            <w:pPr>
              <w:keepNext/>
              <w:keepLines/>
              <w:jc w:val="center"/>
              <w:rPr>
                <w:rFonts w:ascii="Calibri" w:hAnsi="Calibri" w:cs="Calibri"/>
                <w:color w:val="000000"/>
                <w:szCs w:val="22"/>
              </w:rPr>
            </w:pPr>
            <w:r>
              <w:rPr>
                <w:rFonts w:ascii="Calibri" w:hAnsi="Calibri" w:cs="Calibri"/>
                <w:color w:val="000000"/>
                <w:szCs w:val="22"/>
              </w:rPr>
              <w:t>90</w:t>
            </w:r>
          </w:p>
        </w:tc>
        <w:tc>
          <w:tcPr>
            <w:tcW w:w="1701" w:type="dxa"/>
            <w:tcBorders>
              <w:top w:val="single" w:sz="4" w:space="0" w:color="auto"/>
              <w:left w:val="single" w:sz="4" w:space="0" w:color="auto"/>
              <w:bottom w:val="single" w:sz="4" w:space="0" w:color="auto"/>
              <w:right w:val="single" w:sz="4" w:space="0" w:color="auto"/>
            </w:tcBorders>
            <w:vAlign w:val="center"/>
          </w:tcPr>
          <w:p w14:paraId="41F2A117" w14:textId="4E2F1F3A" w:rsidR="00841E1C" w:rsidRDefault="00841E1C" w:rsidP="00841E1C">
            <w:pPr>
              <w:keepNext/>
              <w:keepLines/>
              <w:jc w:val="center"/>
              <w:rPr>
                <w:rFonts w:ascii="Calibri" w:hAnsi="Calibri" w:cs="Calibri"/>
                <w:color w:val="000000"/>
                <w:szCs w:val="22"/>
              </w:rPr>
            </w:pPr>
            <w:r>
              <w:rPr>
                <w:rFonts w:ascii="Calibri" w:hAnsi="Calibri" w:cs="Calibri"/>
                <w:color w:val="000000"/>
                <w:szCs w:val="22"/>
              </w:rPr>
              <w:t>19.</w:t>
            </w:r>
            <w:r w:rsidR="00E217F6">
              <w:rPr>
                <w:rFonts w:ascii="Calibri" w:hAnsi="Calibri" w:cs="Calibri"/>
                <w:color w:val="000000"/>
                <w:szCs w:val="22"/>
              </w:rPr>
              <w:t>1</w:t>
            </w:r>
            <w:r>
              <w:rPr>
                <w:rFonts w:ascii="Calibri" w:hAnsi="Calibri" w:cs="Calibri"/>
                <w:color w:val="000000"/>
                <w:szCs w:val="22"/>
              </w:rPr>
              <w:t>%</w:t>
            </w:r>
          </w:p>
        </w:tc>
      </w:tr>
      <w:tr w:rsidR="00841E1C" w14:paraId="4414EB18" w14:textId="77777777" w:rsidTr="00841E1C">
        <w:tc>
          <w:tcPr>
            <w:tcW w:w="6521" w:type="dxa"/>
            <w:tcBorders>
              <w:top w:val="single" w:sz="4" w:space="0" w:color="auto"/>
              <w:left w:val="single" w:sz="4" w:space="0" w:color="auto"/>
              <w:bottom w:val="single" w:sz="4" w:space="0" w:color="auto"/>
              <w:right w:val="single" w:sz="4" w:space="0" w:color="auto"/>
            </w:tcBorders>
            <w:vAlign w:val="bottom"/>
            <w:hideMark/>
          </w:tcPr>
          <w:p w14:paraId="61916140" w14:textId="77777777" w:rsidR="00841E1C" w:rsidRDefault="00841E1C" w:rsidP="00841E1C">
            <w:pPr>
              <w:keepNext/>
              <w:keepLines/>
              <w:tabs>
                <w:tab w:val="left" w:pos="176"/>
              </w:tabs>
              <w:ind w:left="176"/>
              <w:rPr>
                <w:rFonts w:ascii="Calibri" w:hAnsi="Calibri" w:cs="Calibri"/>
                <w:color w:val="000000"/>
                <w:szCs w:val="22"/>
              </w:rPr>
            </w:pPr>
            <w:r>
              <w:rPr>
                <w:rFonts w:ascii="Calibri" w:hAnsi="Calibri" w:cs="Calibri"/>
                <w:color w:val="000000"/>
                <w:szCs w:val="22"/>
              </w:rPr>
              <w:t>Delayed/inadequate/inappropriate referral</w:t>
            </w:r>
          </w:p>
        </w:tc>
        <w:tc>
          <w:tcPr>
            <w:tcW w:w="1559" w:type="dxa"/>
            <w:tcBorders>
              <w:top w:val="single" w:sz="4" w:space="0" w:color="auto"/>
              <w:left w:val="single" w:sz="4" w:space="0" w:color="auto"/>
              <w:bottom w:val="single" w:sz="4" w:space="0" w:color="auto"/>
              <w:right w:val="single" w:sz="4" w:space="0" w:color="auto"/>
            </w:tcBorders>
            <w:vAlign w:val="center"/>
          </w:tcPr>
          <w:p w14:paraId="214CB9A1" w14:textId="77777777" w:rsidR="00841E1C" w:rsidRDefault="00841E1C" w:rsidP="00841E1C">
            <w:pPr>
              <w:keepNext/>
              <w:keepLines/>
              <w:jc w:val="center"/>
              <w:rPr>
                <w:rFonts w:ascii="Calibri" w:hAnsi="Calibri" w:cs="Calibri"/>
                <w:color w:val="000000"/>
                <w:szCs w:val="22"/>
              </w:rPr>
            </w:pPr>
            <w:r>
              <w:rPr>
                <w:rFonts w:ascii="Calibri" w:hAnsi="Calibri" w:cs="Calibri"/>
                <w:color w:val="000000"/>
                <w:szCs w:val="22"/>
              </w:rPr>
              <w:t>22</w:t>
            </w:r>
          </w:p>
        </w:tc>
        <w:tc>
          <w:tcPr>
            <w:tcW w:w="1701" w:type="dxa"/>
            <w:tcBorders>
              <w:top w:val="single" w:sz="4" w:space="0" w:color="auto"/>
              <w:left w:val="single" w:sz="4" w:space="0" w:color="auto"/>
              <w:bottom w:val="single" w:sz="4" w:space="0" w:color="auto"/>
              <w:right w:val="single" w:sz="4" w:space="0" w:color="auto"/>
            </w:tcBorders>
            <w:vAlign w:val="center"/>
          </w:tcPr>
          <w:p w14:paraId="177A261D" w14:textId="77777777" w:rsidR="00841E1C" w:rsidRPr="00756A8F" w:rsidRDefault="00841E1C" w:rsidP="00841E1C">
            <w:pPr>
              <w:keepNext/>
              <w:keepLines/>
              <w:jc w:val="center"/>
              <w:rPr>
                <w:rFonts w:ascii="Calibri" w:hAnsi="Calibri" w:cs="Calibri"/>
                <w:color w:val="000000"/>
                <w:szCs w:val="22"/>
              </w:rPr>
            </w:pPr>
            <w:r>
              <w:rPr>
                <w:rFonts w:ascii="Calibri" w:hAnsi="Calibri" w:cs="Calibri"/>
                <w:color w:val="000000"/>
                <w:szCs w:val="22"/>
              </w:rPr>
              <w:t>4.7%</w:t>
            </w:r>
          </w:p>
        </w:tc>
      </w:tr>
      <w:tr w:rsidR="00841E1C" w14:paraId="0A343027" w14:textId="77777777" w:rsidTr="00841E1C">
        <w:tc>
          <w:tcPr>
            <w:tcW w:w="6521" w:type="dxa"/>
            <w:tcBorders>
              <w:top w:val="single" w:sz="4" w:space="0" w:color="auto"/>
              <w:left w:val="single" w:sz="4" w:space="0" w:color="auto"/>
              <w:bottom w:val="single" w:sz="4" w:space="0" w:color="auto"/>
              <w:right w:val="single" w:sz="4" w:space="0" w:color="auto"/>
            </w:tcBorders>
            <w:vAlign w:val="bottom"/>
            <w:hideMark/>
          </w:tcPr>
          <w:p w14:paraId="718BD946" w14:textId="77777777" w:rsidR="00841E1C" w:rsidRDefault="00841E1C" w:rsidP="00841E1C">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559" w:type="dxa"/>
            <w:tcBorders>
              <w:top w:val="single" w:sz="4" w:space="0" w:color="auto"/>
              <w:left w:val="single" w:sz="4" w:space="0" w:color="auto"/>
              <w:bottom w:val="single" w:sz="4" w:space="0" w:color="auto"/>
              <w:right w:val="single" w:sz="4" w:space="0" w:color="auto"/>
            </w:tcBorders>
            <w:vAlign w:val="center"/>
          </w:tcPr>
          <w:p w14:paraId="1D1B3F4E" w14:textId="77777777" w:rsidR="00841E1C" w:rsidRDefault="00841E1C" w:rsidP="00841E1C">
            <w:pPr>
              <w:jc w:val="center"/>
              <w:rPr>
                <w:rFonts w:ascii="Calibri" w:hAnsi="Calibri" w:cs="Calibri"/>
                <w:color w:val="000000"/>
                <w:szCs w:val="22"/>
              </w:rPr>
            </w:pPr>
            <w:r>
              <w:rPr>
                <w:rFonts w:ascii="Calibri" w:hAnsi="Calibri" w:cs="Calibri"/>
                <w:color w:val="000000"/>
                <w:szCs w:val="22"/>
              </w:rPr>
              <w:t>84</w:t>
            </w:r>
          </w:p>
        </w:tc>
        <w:tc>
          <w:tcPr>
            <w:tcW w:w="1701" w:type="dxa"/>
            <w:tcBorders>
              <w:top w:val="single" w:sz="4" w:space="0" w:color="auto"/>
              <w:left w:val="single" w:sz="4" w:space="0" w:color="auto"/>
              <w:bottom w:val="single" w:sz="4" w:space="0" w:color="auto"/>
              <w:right w:val="single" w:sz="4" w:space="0" w:color="auto"/>
            </w:tcBorders>
            <w:vAlign w:val="center"/>
          </w:tcPr>
          <w:p w14:paraId="395843F7" w14:textId="77777777" w:rsidR="00841E1C" w:rsidRDefault="00841E1C" w:rsidP="00841E1C">
            <w:pPr>
              <w:jc w:val="center"/>
              <w:rPr>
                <w:rFonts w:ascii="Calibri" w:hAnsi="Calibri" w:cs="Calibri"/>
                <w:color w:val="000000"/>
                <w:szCs w:val="22"/>
              </w:rPr>
            </w:pPr>
            <w:r>
              <w:rPr>
                <w:rFonts w:ascii="Calibri" w:hAnsi="Calibri" w:cs="Calibri"/>
                <w:color w:val="000000"/>
                <w:szCs w:val="22"/>
              </w:rPr>
              <w:t>17.8%</w:t>
            </w:r>
          </w:p>
        </w:tc>
      </w:tr>
      <w:tr w:rsidR="006A440C" w14:paraId="037E28AA" w14:textId="77777777" w:rsidTr="006A440C">
        <w:tc>
          <w:tcPr>
            <w:tcW w:w="6521" w:type="dxa"/>
            <w:tcBorders>
              <w:top w:val="single" w:sz="4" w:space="0" w:color="auto"/>
              <w:left w:val="single" w:sz="4" w:space="0" w:color="auto"/>
              <w:bottom w:val="single" w:sz="4" w:space="0" w:color="auto"/>
              <w:right w:val="single" w:sz="4" w:space="0" w:color="auto"/>
            </w:tcBorders>
            <w:vAlign w:val="bottom"/>
          </w:tcPr>
          <w:p w14:paraId="221B5D12" w14:textId="7947990B" w:rsidR="006A440C" w:rsidRDefault="006A440C" w:rsidP="006A440C">
            <w:pPr>
              <w:keepNext/>
              <w:keepLines/>
              <w:tabs>
                <w:tab w:val="left" w:pos="176"/>
                <w:tab w:val="left" w:pos="1440"/>
                <w:tab w:val="decimal" w:pos="4320"/>
              </w:tabs>
              <w:ind w:left="176"/>
              <w:jc w:val="left"/>
              <w:outlineLvl w:val="0"/>
              <w:rPr>
                <w:rFonts w:ascii="Calibri" w:hAnsi="Calibri"/>
                <w:szCs w:val="22"/>
              </w:rPr>
            </w:pPr>
            <w:r>
              <w:rPr>
                <w:rFonts w:ascii="Calibri" w:hAnsi="Calibri"/>
                <w:color w:val="000000"/>
                <w:szCs w:val="22"/>
              </w:rPr>
              <w:t>Inadequate/inappropriate non-clinical care</w:t>
            </w:r>
          </w:p>
        </w:tc>
        <w:tc>
          <w:tcPr>
            <w:tcW w:w="1559" w:type="dxa"/>
            <w:tcBorders>
              <w:top w:val="single" w:sz="4" w:space="0" w:color="auto"/>
              <w:left w:val="single" w:sz="4" w:space="0" w:color="auto"/>
              <w:bottom w:val="single" w:sz="4" w:space="0" w:color="auto"/>
              <w:right w:val="single" w:sz="4" w:space="0" w:color="auto"/>
            </w:tcBorders>
            <w:vAlign w:val="center"/>
          </w:tcPr>
          <w:p w14:paraId="0ECE377C" w14:textId="54E6EB59" w:rsidR="006A440C" w:rsidRDefault="006A440C" w:rsidP="006A440C">
            <w:pPr>
              <w:jc w:val="center"/>
              <w:rPr>
                <w:rFonts w:ascii="Calibri" w:hAnsi="Calibri" w:cs="Calibri"/>
                <w:color w:val="000000"/>
                <w:szCs w:val="22"/>
              </w:rPr>
            </w:pPr>
            <w:r>
              <w:rPr>
                <w:rFonts w:ascii="Calibri" w:hAnsi="Calibri" w:cs="Calibri"/>
                <w:color w:val="000000"/>
                <w:szCs w:val="22"/>
              </w:rPr>
              <w:t>30</w:t>
            </w:r>
          </w:p>
        </w:tc>
        <w:tc>
          <w:tcPr>
            <w:tcW w:w="1701" w:type="dxa"/>
            <w:tcBorders>
              <w:top w:val="single" w:sz="4" w:space="0" w:color="auto"/>
              <w:left w:val="single" w:sz="4" w:space="0" w:color="auto"/>
              <w:bottom w:val="single" w:sz="4" w:space="0" w:color="auto"/>
              <w:right w:val="single" w:sz="4" w:space="0" w:color="auto"/>
            </w:tcBorders>
            <w:vAlign w:val="center"/>
          </w:tcPr>
          <w:p w14:paraId="18334F84" w14:textId="00CDC4B3" w:rsidR="006A440C" w:rsidRDefault="00E217F6" w:rsidP="006A440C">
            <w:pPr>
              <w:jc w:val="center"/>
              <w:rPr>
                <w:rFonts w:ascii="Calibri" w:hAnsi="Calibri" w:cs="Calibri"/>
                <w:color w:val="000000"/>
                <w:szCs w:val="22"/>
              </w:rPr>
            </w:pPr>
            <w:r>
              <w:rPr>
                <w:rFonts w:ascii="Calibri" w:hAnsi="Calibri" w:cs="Calibri"/>
                <w:color w:val="000000"/>
                <w:szCs w:val="22"/>
              </w:rPr>
              <w:t>6.3</w:t>
            </w:r>
            <w:r w:rsidR="006A440C">
              <w:rPr>
                <w:rFonts w:ascii="Calibri" w:hAnsi="Calibri" w:cs="Calibri"/>
                <w:color w:val="000000"/>
                <w:szCs w:val="22"/>
              </w:rPr>
              <w:t>%</w:t>
            </w:r>
          </w:p>
        </w:tc>
      </w:tr>
      <w:tr w:rsidR="006A440C" w14:paraId="7A48551F" w14:textId="77777777" w:rsidTr="00841E1C">
        <w:tc>
          <w:tcPr>
            <w:tcW w:w="6521" w:type="dxa"/>
            <w:tcBorders>
              <w:top w:val="single" w:sz="4" w:space="0" w:color="auto"/>
              <w:left w:val="single" w:sz="4" w:space="0" w:color="auto"/>
              <w:bottom w:val="single" w:sz="4" w:space="0" w:color="auto"/>
              <w:right w:val="single" w:sz="4" w:space="0" w:color="auto"/>
            </w:tcBorders>
            <w:hideMark/>
          </w:tcPr>
          <w:p w14:paraId="0F27FE58" w14:textId="77777777" w:rsidR="006A440C" w:rsidRDefault="006A440C" w:rsidP="006A440C">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559" w:type="dxa"/>
            <w:tcBorders>
              <w:top w:val="single" w:sz="4" w:space="0" w:color="auto"/>
              <w:left w:val="single" w:sz="4" w:space="0" w:color="auto"/>
              <w:bottom w:val="single" w:sz="4" w:space="0" w:color="auto"/>
              <w:right w:val="single" w:sz="4" w:space="0" w:color="auto"/>
            </w:tcBorders>
            <w:vAlign w:val="center"/>
          </w:tcPr>
          <w:p w14:paraId="0C5535F6" w14:textId="77777777" w:rsidR="006A440C" w:rsidRDefault="006A440C" w:rsidP="006A440C">
            <w:pPr>
              <w:jc w:val="center"/>
              <w:rPr>
                <w:rFonts w:ascii="Calibri" w:hAnsi="Calibri" w:cs="Calibri"/>
                <w:color w:val="000000"/>
                <w:szCs w:val="22"/>
              </w:rPr>
            </w:pPr>
            <w:r>
              <w:rPr>
                <w:rFonts w:ascii="Calibri" w:hAnsi="Calibri" w:cs="Calibri"/>
                <w:color w:val="000000"/>
                <w:szCs w:val="22"/>
              </w:rPr>
              <w:t>188</w:t>
            </w:r>
          </w:p>
        </w:tc>
        <w:tc>
          <w:tcPr>
            <w:tcW w:w="1701" w:type="dxa"/>
            <w:tcBorders>
              <w:top w:val="single" w:sz="4" w:space="0" w:color="auto"/>
              <w:left w:val="single" w:sz="4" w:space="0" w:color="auto"/>
              <w:bottom w:val="single" w:sz="4" w:space="0" w:color="auto"/>
              <w:right w:val="single" w:sz="4" w:space="0" w:color="auto"/>
            </w:tcBorders>
            <w:vAlign w:val="center"/>
          </w:tcPr>
          <w:p w14:paraId="3C03D67D" w14:textId="77777777" w:rsidR="006A440C" w:rsidRDefault="006A440C" w:rsidP="006A440C">
            <w:pPr>
              <w:jc w:val="center"/>
              <w:rPr>
                <w:rFonts w:ascii="Calibri" w:hAnsi="Calibri" w:cs="Calibri"/>
                <w:color w:val="000000"/>
                <w:szCs w:val="22"/>
              </w:rPr>
            </w:pPr>
            <w:r>
              <w:rPr>
                <w:rFonts w:ascii="Calibri" w:hAnsi="Calibri" w:cs="Calibri"/>
                <w:color w:val="000000"/>
                <w:szCs w:val="22"/>
              </w:rPr>
              <w:t>39.8%</w:t>
            </w:r>
          </w:p>
        </w:tc>
      </w:tr>
      <w:tr w:rsidR="006A440C" w14:paraId="2ADA7811" w14:textId="77777777" w:rsidTr="00841E1C">
        <w:tc>
          <w:tcPr>
            <w:tcW w:w="6521" w:type="dxa"/>
            <w:tcBorders>
              <w:top w:val="single" w:sz="4" w:space="0" w:color="auto"/>
              <w:left w:val="single" w:sz="4" w:space="0" w:color="auto"/>
              <w:bottom w:val="single" w:sz="4" w:space="0" w:color="auto"/>
              <w:right w:val="single" w:sz="4" w:space="0" w:color="auto"/>
            </w:tcBorders>
            <w:hideMark/>
          </w:tcPr>
          <w:p w14:paraId="43F66CB0" w14:textId="77777777" w:rsidR="006A440C" w:rsidRDefault="006A440C" w:rsidP="006A440C">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559" w:type="dxa"/>
            <w:tcBorders>
              <w:top w:val="single" w:sz="4" w:space="0" w:color="auto"/>
              <w:left w:val="single" w:sz="4" w:space="0" w:color="auto"/>
              <w:bottom w:val="single" w:sz="4" w:space="0" w:color="auto"/>
              <w:right w:val="single" w:sz="4" w:space="0" w:color="auto"/>
            </w:tcBorders>
            <w:vAlign w:val="center"/>
          </w:tcPr>
          <w:p w14:paraId="5FB48177" w14:textId="77777777" w:rsidR="006A440C" w:rsidRDefault="006A440C" w:rsidP="006A440C">
            <w:pPr>
              <w:jc w:val="center"/>
              <w:rPr>
                <w:rFonts w:ascii="Calibri" w:hAnsi="Calibri" w:cs="Calibri"/>
                <w:color w:val="000000"/>
                <w:szCs w:val="22"/>
              </w:rPr>
            </w:pPr>
            <w:r>
              <w:rPr>
                <w:rFonts w:ascii="Calibri" w:hAnsi="Calibri" w:cs="Calibri"/>
                <w:color w:val="000000"/>
                <w:szCs w:val="22"/>
              </w:rPr>
              <w:t>127</w:t>
            </w:r>
          </w:p>
        </w:tc>
        <w:tc>
          <w:tcPr>
            <w:tcW w:w="1701" w:type="dxa"/>
            <w:tcBorders>
              <w:top w:val="single" w:sz="4" w:space="0" w:color="auto"/>
              <w:left w:val="single" w:sz="4" w:space="0" w:color="auto"/>
              <w:bottom w:val="single" w:sz="4" w:space="0" w:color="auto"/>
              <w:right w:val="single" w:sz="4" w:space="0" w:color="auto"/>
            </w:tcBorders>
            <w:vAlign w:val="center"/>
          </w:tcPr>
          <w:p w14:paraId="2AD790CB" w14:textId="77777777" w:rsidR="006A440C" w:rsidRDefault="006A440C" w:rsidP="006A440C">
            <w:pPr>
              <w:jc w:val="center"/>
              <w:rPr>
                <w:rFonts w:ascii="Calibri" w:hAnsi="Calibri" w:cs="Calibri"/>
                <w:color w:val="000000"/>
                <w:szCs w:val="22"/>
              </w:rPr>
            </w:pPr>
            <w:r>
              <w:rPr>
                <w:rFonts w:ascii="Calibri" w:hAnsi="Calibri" w:cs="Calibri"/>
                <w:color w:val="000000"/>
                <w:szCs w:val="22"/>
              </w:rPr>
              <w:t>26.9%</w:t>
            </w:r>
          </w:p>
        </w:tc>
      </w:tr>
      <w:tr w:rsidR="006A440C" w14:paraId="692C50C6" w14:textId="77777777" w:rsidTr="00841E1C">
        <w:tc>
          <w:tcPr>
            <w:tcW w:w="6521" w:type="dxa"/>
            <w:tcBorders>
              <w:top w:val="single" w:sz="4" w:space="0" w:color="auto"/>
              <w:left w:val="single" w:sz="4" w:space="0" w:color="auto"/>
              <w:bottom w:val="single" w:sz="4" w:space="0" w:color="auto"/>
              <w:right w:val="single" w:sz="4" w:space="0" w:color="auto"/>
            </w:tcBorders>
            <w:vAlign w:val="bottom"/>
            <w:hideMark/>
          </w:tcPr>
          <w:p w14:paraId="1A3CE01F" w14:textId="77777777" w:rsidR="006A440C" w:rsidRDefault="006A440C" w:rsidP="006A440C">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559" w:type="dxa"/>
            <w:tcBorders>
              <w:top w:val="single" w:sz="4" w:space="0" w:color="auto"/>
              <w:left w:val="single" w:sz="4" w:space="0" w:color="auto"/>
              <w:bottom w:val="single" w:sz="4" w:space="0" w:color="auto"/>
              <w:right w:val="single" w:sz="4" w:space="0" w:color="auto"/>
            </w:tcBorders>
            <w:vAlign w:val="center"/>
          </w:tcPr>
          <w:p w14:paraId="2C6EC4BA" w14:textId="77777777" w:rsidR="006A440C" w:rsidRDefault="006A440C" w:rsidP="006A440C">
            <w:pPr>
              <w:jc w:val="center"/>
              <w:rPr>
                <w:rFonts w:ascii="Calibri" w:hAnsi="Calibri" w:cs="Calibri"/>
                <w:color w:val="000000"/>
                <w:szCs w:val="22"/>
              </w:rPr>
            </w:pPr>
            <w:r>
              <w:rPr>
                <w:rFonts w:ascii="Calibri" w:hAnsi="Calibri" w:cs="Calibri"/>
                <w:color w:val="000000"/>
                <w:szCs w:val="22"/>
              </w:rPr>
              <w:t>66</w:t>
            </w:r>
          </w:p>
        </w:tc>
        <w:tc>
          <w:tcPr>
            <w:tcW w:w="1701" w:type="dxa"/>
            <w:tcBorders>
              <w:top w:val="single" w:sz="4" w:space="0" w:color="auto"/>
              <w:left w:val="single" w:sz="4" w:space="0" w:color="auto"/>
              <w:bottom w:val="single" w:sz="4" w:space="0" w:color="auto"/>
              <w:right w:val="single" w:sz="4" w:space="0" w:color="auto"/>
            </w:tcBorders>
            <w:vAlign w:val="center"/>
          </w:tcPr>
          <w:p w14:paraId="307DE7A4" w14:textId="1D7F093D" w:rsidR="006A440C" w:rsidRDefault="006A440C" w:rsidP="006A440C">
            <w:pPr>
              <w:jc w:val="center"/>
              <w:rPr>
                <w:rFonts w:ascii="Calibri" w:hAnsi="Calibri" w:cs="Calibri"/>
                <w:color w:val="000000"/>
                <w:szCs w:val="22"/>
              </w:rPr>
            </w:pPr>
            <w:r>
              <w:rPr>
                <w:rFonts w:ascii="Calibri" w:hAnsi="Calibri" w:cs="Calibri"/>
                <w:color w:val="000000"/>
                <w:szCs w:val="22"/>
              </w:rPr>
              <w:t>14</w:t>
            </w:r>
            <w:r w:rsidR="00E217F6">
              <w:rPr>
                <w:rFonts w:ascii="Calibri" w:hAnsi="Calibri" w:cs="Calibri"/>
                <w:color w:val="000000"/>
                <w:szCs w:val="22"/>
              </w:rPr>
              <w:t>.0</w:t>
            </w:r>
            <w:r>
              <w:rPr>
                <w:rFonts w:ascii="Calibri" w:hAnsi="Calibri" w:cs="Calibri"/>
                <w:color w:val="000000"/>
                <w:szCs w:val="22"/>
              </w:rPr>
              <w:t>%</w:t>
            </w:r>
          </w:p>
        </w:tc>
      </w:tr>
      <w:tr w:rsidR="001918F5" w14:paraId="1BCC0CBF" w14:textId="77777777" w:rsidTr="00841E1C">
        <w:tc>
          <w:tcPr>
            <w:tcW w:w="6521" w:type="dxa"/>
            <w:tcBorders>
              <w:top w:val="single" w:sz="4" w:space="0" w:color="auto"/>
              <w:left w:val="single" w:sz="4" w:space="0" w:color="auto"/>
              <w:bottom w:val="single" w:sz="4" w:space="0" w:color="auto"/>
              <w:right w:val="single" w:sz="4" w:space="0" w:color="auto"/>
            </w:tcBorders>
            <w:vAlign w:val="bottom"/>
          </w:tcPr>
          <w:p w14:paraId="04BE6765" w14:textId="060FCFE3" w:rsidR="001918F5" w:rsidRDefault="001918F5" w:rsidP="001918F5">
            <w:pPr>
              <w:tabs>
                <w:tab w:val="left" w:pos="176"/>
              </w:tabs>
              <w:ind w:left="176"/>
              <w:rPr>
                <w:rFonts w:ascii="Calibri" w:hAnsi="Calibri" w:cs="Calibri"/>
                <w:color w:val="000000"/>
                <w:szCs w:val="22"/>
              </w:rPr>
            </w:pPr>
            <w:r w:rsidRPr="00BA0E01">
              <w:rPr>
                <w:color w:val="000000"/>
                <w:szCs w:val="22"/>
              </w:rPr>
              <w:t xml:space="preserve">Inadequate/inappropriate </w:t>
            </w:r>
            <w:r>
              <w:rPr>
                <w:color w:val="000000"/>
                <w:szCs w:val="22"/>
              </w:rPr>
              <w:t xml:space="preserve">non-clinical </w:t>
            </w:r>
            <w:r w:rsidRPr="00BA0E01">
              <w:rPr>
                <w:color w:val="000000"/>
                <w:szCs w:val="22"/>
              </w:rPr>
              <w:t>care</w:t>
            </w:r>
          </w:p>
        </w:tc>
        <w:tc>
          <w:tcPr>
            <w:tcW w:w="1559" w:type="dxa"/>
            <w:tcBorders>
              <w:top w:val="single" w:sz="4" w:space="0" w:color="auto"/>
              <w:left w:val="single" w:sz="4" w:space="0" w:color="auto"/>
              <w:bottom w:val="single" w:sz="4" w:space="0" w:color="auto"/>
              <w:right w:val="single" w:sz="4" w:space="0" w:color="auto"/>
            </w:tcBorders>
            <w:vAlign w:val="center"/>
          </w:tcPr>
          <w:p w14:paraId="17914118" w14:textId="27A6E7DF" w:rsidR="001918F5" w:rsidRDefault="001918F5" w:rsidP="001918F5">
            <w:pPr>
              <w:jc w:val="center"/>
              <w:rPr>
                <w:rFonts w:ascii="Calibri" w:hAnsi="Calibri" w:cs="Calibri"/>
                <w:color w:val="000000"/>
                <w:szCs w:val="22"/>
              </w:rPr>
            </w:pPr>
            <w:r>
              <w:rPr>
                <w:rFonts w:ascii="Calibri" w:hAnsi="Calibri" w:cs="Calibri"/>
                <w:color w:val="000000"/>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14:paraId="3A7B006C" w14:textId="6D6641FE" w:rsidR="001918F5" w:rsidRDefault="001918F5" w:rsidP="001918F5">
            <w:pPr>
              <w:jc w:val="center"/>
              <w:rPr>
                <w:rFonts w:ascii="Calibri" w:hAnsi="Calibri" w:cs="Calibri"/>
                <w:color w:val="000000"/>
                <w:szCs w:val="22"/>
              </w:rPr>
            </w:pPr>
            <w:r>
              <w:rPr>
                <w:rFonts w:ascii="Calibri" w:hAnsi="Calibri" w:cs="Calibri"/>
                <w:color w:val="000000"/>
                <w:szCs w:val="22"/>
              </w:rPr>
              <w:t>&lt;1%</w:t>
            </w:r>
          </w:p>
        </w:tc>
      </w:tr>
      <w:tr w:rsidR="001918F5" w14:paraId="7BE5BB6A" w14:textId="77777777" w:rsidTr="00841E1C">
        <w:tc>
          <w:tcPr>
            <w:tcW w:w="6521" w:type="dxa"/>
            <w:tcBorders>
              <w:top w:val="single" w:sz="4" w:space="0" w:color="auto"/>
              <w:left w:val="single" w:sz="4" w:space="0" w:color="auto"/>
              <w:bottom w:val="single" w:sz="4" w:space="0" w:color="auto"/>
              <w:right w:val="single" w:sz="4" w:space="0" w:color="auto"/>
            </w:tcBorders>
            <w:vAlign w:val="bottom"/>
            <w:hideMark/>
          </w:tcPr>
          <w:p w14:paraId="64239FBB" w14:textId="77777777" w:rsidR="001918F5" w:rsidRDefault="001918F5" w:rsidP="001918F5">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559" w:type="dxa"/>
            <w:tcBorders>
              <w:top w:val="single" w:sz="4" w:space="0" w:color="auto"/>
              <w:left w:val="single" w:sz="4" w:space="0" w:color="auto"/>
              <w:bottom w:val="single" w:sz="4" w:space="0" w:color="auto"/>
              <w:right w:val="single" w:sz="4" w:space="0" w:color="auto"/>
            </w:tcBorders>
            <w:vAlign w:val="center"/>
          </w:tcPr>
          <w:p w14:paraId="45B3C70A" w14:textId="77777777" w:rsidR="001918F5" w:rsidRDefault="001918F5" w:rsidP="001918F5">
            <w:pPr>
              <w:jc w:val="center"/>
              <w:rPr>
                <w:rFonts w:ascii="Calibri" w:hAnsi="Calibri" w:cs="Calibri"/>
                <w:color w:val="000000"/>
                <w:szCs w:val="22"/>
              </w:rPr>
            </w:pPr>
            <w:r>
              <w:rPr>
                <w:rFonts w:ascii="Calibri" w:hAnsi="Calibri" w:cs="Calibri"/>
                <w:color w:val="000000"/>
                <w:szCs w:val="22"/>
              </w:rPr>
              <w:t>31</w:t>
            </w:r>
          </w:p>
        </w:tc>
        <w:tc>
          <w:tcPr>
            <w:tcW w:w="1701" w:type="dxa"/>
            <w:tcBorders>
              <w:top w:val="single" w:sz="4" w:space="0" w:color="auto"/>
              <w:left w:val="single" w:sz="4" w:space="0" w:color="auto"/>
              <w:bottom w:val="single" w:sz="4" w:space="0" w:color="auto"/>
              <w:right w:val="single" w:sz="4" w:space="0" w:color="auto"/>
            </w:tcBorders>
            <w:vAlign w:val="center"/>
          </w:tcPr>
          <w:p w14:paraId="1CE79903" w14:textId="77777777" w:rsidR="001918F5" w:rsidRDefault="001918F5" w:rsidP="001918F5">
            <w:pPr>
              <w:jc w:val="center"/>
              <w:rPr>
                <w:rFonts w:ascii="Calibri" w:hAnsi="Calibri" w:cs="Calibri"/>
                <w:color w:val="000000"/>
                <w:szCs w:val="22"/>
              </w:rPr>
            </w:pPr>
            <w:r>
              <w:rPr>
                <w:rFonts w:ascii="Calibri" w:hAnsi="Calibri" w:cs="Calibri"/>
                <w:color w:val="000000"/>
                <w:szCs w:val="22"/>
              </w:rPr>
              <w:t>6.6%</w:t>
            </w:r>
          </w:p>
        </w:tc>
      </w:tr>
      <w:tr w:rsidR="001918F5" w14:paraId="7AB81856" w14:textId="77777777" w:rsidTr="00841E1C">
        <w:tc>
          <w:tcPr>
            <w:tcW w:w="6521" w:type="dxa"/>
            <w:tcBorders>
              <w:top w:val="single" w:sz="4" w:space="0" w:color="auto"/>
              <w:left w:val="single" w:sz="4" w:space="0" w:color="auto"/>
              <w:bottom w:val="single" w:sz="4" w:space="0" w:color="auto"/>
              <w:right w:val="single" w:sz="4" w:space="0" w:color="auto"/>
            </w:tcBorders>
            <w:vAlign w:val="bottom"/>
          </w:tcPr>
          <w:p w14:paraId="3753BB9B" w14:textId="77777777" w:rsidR="001918F5" w:rsidRDefault="001918F5" w:rsidP="001918F5">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559" w:type="dxa"/>
            <w:tcBorders>
              <w:top w:val="single" w:sz="4" w:space="0" w:color="auto"/>
              <w:left w:val="single" w:sz="4" w:space="0" w:color="auto"/>
              <w:bottom w:val="single" w:sz="4" w:space="0" w:color="auto"/>
              <w:right w:val="single" w:sz="4" w:space="0" w:color="auto"/>
            </w:tcBorders>
            <w:vAlign w:val="center"/>
          </w:tcPr>
          <w:p w14:paraId="22510AF1" w14:textId="77777777" w:rsidR="001918F5" w:rsidRDefault="001918F5" w:rsidP="001918F5">
            <w:pPr>
              <w:jc w:val="center"/>
              <w:rPr>
                <w:rFonts w:ascii="Calibri" w:hAnsi="Calibri" w:cs="Calibri"/>
                <w:color w:val="000000"/>
                <w:szCs w:val="22"/>
              </w:rPr>
            </w:pPr>
            <w:r>
              <w:rPr>
                <w:rFonts w:ascii="Calibri" w:hAnsi="Calibri" w:cs="Calibri"/>
                <w:color w:val="000000"/>
                <w:szCs w:val="22"/>
              </w:rPr>
              <w:t>54</w:t>
            </w:r>
          </w:p>
        </w:tc>
        <w:tc>
          <w:tcPr>
            <w:tcW w:w="1701" w:type="dxa"/>
            <w:tcBorders>
              <w:top w:val="single" w:sz="4" w:space="0" w:color="auto"/>
              <w:left w:val="single" w:sz="4" w:space="0" w:color="auto"/>
              <w:bottom w:val="single" w:sz="4" w:space="0" w:color="auto"/>
              <w:right w:val="single" w:sz="4" w:space="0" w:color="auto"/>
            </w:tcBorders>
            <w:vAlign w:val="center"/>
          </w:tcPr>
          <w:p w14:paraId="1A1D8D07" w14:textId="77777777" w:rsidR="001918F5" w:rsidRDefault="001918F5" w:rsidP="001918F5">
            <w:pPr>
              <w:jc w:val="center"/>
              <w:rPr>
                <w:rFonts w:ascii="Calibri" w:hAnsi="Calibri" w:cs="Calibri"/>
                <w:color w:val="000000"/>
                <w:szCs w:val="22"/>
              </w:rPr>
            </w:pPr>
            <w:r>
              <w:rPr>
                <w:rFonts w:ascii="Calibri" w:hAnsi="Calibri" w:cs="Calibri"/>
                <w:color w:val="000000"/>
                <w:szCs w:val="22"/>
              </w:rPr>
              <w:t>11.4%</w:t>
            </w:r>
          </w:p>
        </w:tc>
      </w:tr>
      <w:tr w:rsidR="001918F5" w14:paraId="4377472C" w14:textId="77777777" w:rsidTr="00841E1C">
        <w:tc>
          <w:tcPr>
            <w:tcW w:w="6521" w:type="dxa"/>
            <w:tcBorders>
              <w:top w:val="single" w:sz="4" w:space="0" w:color="auto"/>
              <w:left w:val="single" w:sz="4" w:space="0" w:color="auto"/>
              <w:bottom w:val="single" w:sz="4" w:space="0" w:color="auto"/>
              <w:right w:val="single" w:sz="4" w:space="0" w:color="auto"/>
            </w:tcBorders>
          </w:tcPr>
          <w:p w14:paraId="038A906F"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admission/failure to admit</w:t>
            </w:r>
          </w:p>
        </w:tc>
        <w:tc>
          <w:tcPr>
            <w:tcW w:w="1559" w:type="dxa"/>
            <w:tcBorders>
              <w:top w:val="single" w:sz="4" w:space="0" w:color="auto"/>
              <w:left w:val="single" w:sz="4" w:space="0" w:color="auto"/>
              <w:bottom w:val="single" w:sz="4" w:space="0" w:color="auto"/>
              <w:right w:val="single" w:sz="4" w:space="0" w:color="auto"/>
            </w:tcBorders>
            <w:vAlign w:val="center"/>
          </w:tcPr>
          <w:p w14:paraId="75D3A918"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12</w:t>
            </w:r>
          </w:p>
        </w:tc>
        <w:tc>
          <w:tcPr>
            <w:tcW w:w="1701" w:type="dxa"/>
            <w:tcBorders>
              <w:top w:val="single" w:sz="4" w:space="0" w:color="auto"/>
              <w:left w:val="single" w:sz="4" w:space="0" w:color="auto"/>
              <w:bottom w:val="single" w:sz="4" w:space="0" w:color="auto"/>
              <w:right w:val="single" w:sz="4" w:space="0" w:color="auto"/>
            </w:tcBorders>
            <w:vAlign w:val="center"/>
          </w:tcPr>
          <w:p w14:paraId="540AF574"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2.5%</w:t>
            </w:r>
          </w:p>
        </w:tc>
      </w:tr>
      <w:tr w:rsidR="001918F5" w14:paraId="58887ECC" w14:textId="77777777" w:rsidTr="00841E1C">
        <w:tc>
          <w:tcPr>
            <w:tcW w:w="6521" w:type="dxa"/>
            <w:tcBorders>
              <w:top w:val="single" w:sz="4" w:space="0" w:color="auto"/>
              <w:left w:val="single" w:sz="4" w:space="0" w:color="auto"/>
              <w:bottom w:val="single" w:sz="4" w:space="0" w:color="auto"/>
              <w:right w:val="single" w:sz="4" w:space="0" w:color="auto"/>
            </w:tcBorders>
            <w:hideMark/>
          </w:tcPr>
          <w:p w14:paraId="51F22944"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559" w:type="dxa"/>
            <w:tcBorders>
              <w:top w:val="single" w:sz="4" w:space="0" w:color="auto"/>
              <w:left w:val="single" w:sz="4" w:space="0" w:color="auto"/>
              <w:bottom w:val="single" w:sz="4" w:space="0" w:color="auto"/>
              <w:right w:val="single" w:sz="4" w:space="0" w:color="auto"/>
            </w:tcBorders>
            <w:vAlign w:val="center"/>
          </w:tcPr>
          <w:p w14:paraId="5225FE14"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62</w:t>
            </w:r>
          </w:p>
        </w:tc>
        <w:tc>
          <w:tcPr>
            <w:tcW w:w="1701" w:type="dxa"/>
            <w:tcBorders>
              <w:top w:val="single" w:sz="4" w:space="0" w:color="auto"/>
              <w:left w:val="single" w:sz="4" w:space="0" w:color="auto"/>
              <w:bottom w:val="single" w:sz="4" w:space="0" w:color="auto"/>
              <w:right w:val="single" w:sz="4" w:space="0" w:color="auto"/>
            </w:tcBorders>
            <w:vAlign w:val="center"/>
          </w:tcPr>
          <w:p w14:paraId="16912015"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13.1%</w:t>
            </w:r>
          </w:p>
        </w:tc>
      </w:tr>
      <w:tr w:rsidR="001918F5" w14:paraId="0118FACA" w14:textId="77777777" w:rsidTr="00841E1C">
        <w:tc>
          <w:tcPr>
            <w:tcW w:w="6521" w:type="dxa"/>
            <w:tcBorders>
              <w:top w:val="single" w:sz="4" w:space="0" w:color="auto"/>
              <w:left w:val="single" w:sz="4" w:space="0" w:color="auto"/>
              <w:bottom w:val="single" w:sz="4" w:space="0" w:color="auto"/>
              <w:right w:val="single" w:sz="4" w:space="0" w:color="auto"/>
            </w:tcBorders>
            <w:vAlign w:val="bottom"/>
            <w:hideMark/>
          </w:tcPr>
          <w:p w14:paraId="077548A8" w14:textId="77777777" w:rsidR="001918F5" w:rsidRDefault="001918F5" w:rsidP="001918F5">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559" w:type="dxa"/>
            <w:tcBorders>
              <w:top w:val="single" w:sz="4" w:space="0" w:color="auto"/>
              <w:left w:val="single" w:sz="4" w:space="0" w:color="auto"/>
              <w:bottom w:val="single" w:sz="4" w:space="0" w:color="auto"/>
              <w:right w:val="single" w:sz="4" w:space="0" w:color="auto"/>
            </w:tcBorders>
            <w:vAlign w:val="center"/>
          </w:tcPr>
          <w:p w14:paraId="397101C4" w14:textId="77777777" w:rsidR="001918F5" w:rsidRDefault="001918F5" w:rsidP="001918F5">
            <w:pPr>
              <w:jc w:val="center"/>
              <w:rPr>
                <w:rFonts w:ascii="Calibri" w:hAnsi="Calibri" w:cs="Calibri"/>
                <w:color w:val="000000"/>
                <w:szCs w:val="22"/>
              </w:rPr>
            </w:pPr>
            <w:r>
              <w:rPr>
                <w:rFonts w:ascii="Calibri" w:hAnsi="Calibri" w:cs="Calibri"/>
                <w:color w:val="000000"/>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14:paraId="3F5D808A" w14:textId="77777777" w:rsidR="001918F5" w:rsidRDefault="001918F5" w:rsidP="001918F5">
            <w:pPr>
              <w:jc w:val="center"/>
              <w:rPr>
                <w:rFonts w:ascii="Calibri" w:hAnsi="Calibri" w:cs="Calibri"/>
                <w:color w:val="000000"/>
                <w:szCs w:val="22"/>
              </w:rPr>
            </w:pPr>
            <w:r>
              <w:rPr>
                <w:rFonts w:ascii="Calibri" w:hAnsi="Calibri" w:cs="Calibri"/>
                <w:color w:val="000000"/>
                <w:szCs w:val="22"/>
              </w:rPr>
              <w:t>1.9%</w:t>
            </w:r>
          </w:p>
        </w:tc>
      </w:tr>
      <w:tr w:rsidR="001918F5" w14:paraId="5EBCBB40" w14:textId="77777777" w:rsidTr="00841E1C">
        <w:tc>
          <w:tcPr>
            <w:tcW w:w="6521" w:type="dxa"/>
            <w:tcBorders>
              <w:top w:val="single" w:sz="4" w:space="0" w:color="auto"/>
              <w:left w:val="single" w:sz="4" w:space="0" w:color="auto"/>
              <w:bottom w:val="single" w:sz="4" w:space="0" w:color="auto"/>
              <w:right w:val="single" w:sz="4" w:space="0" w:color="auto"/>
            </w:tcBorders>
            <w:hideMark/>
          </w:tcPr>
          <w:p w14:paraId="3659C3E4"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559" w:type="dxa"/>
            <w:tcBorders>
              <w:top w:val="single" w:sz="4" w:space="0" w:color="auto"/>
              <w:left w:val="single" w:sz="4" w:space="0" w:color="auto"/>
              <w:bottom w:val="single" w:sz="4" w:space="0" w:color="auto"/>
              <w:right w:val="single" w:sz="4" w:space="0" w:color="auto"/>
            </w:tcBorders>
            <w:vAlign w:val="center"/>
          </w:tcPr>
          <w:p w14:paraId="2CBCD7A0"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90</w:t>
            </w:r>
          </w:p>
        </w:tc>
        <w:tc>
          <w:tcPr>
            <w:tcW w:w="1701" w:type="dxa"/>
            <w:tcBorders>
              <w:top w:val="single" w:sz="4" w:space="0" w:color="auto"/>
              <w:left w:val="single" w:sz="4" w:space="0" w:color="auto"/>
              <w:bottom w:val="single" w:sz="4" w:space="0" w:color="auto"/>
              <w:right w:val="single" w:sz="4" w:space="0" w:color="auto"/>
            </w:tcBorders>
            <w:vAlign w:val="center"/>
          </w:tcPr>
          <w:p w14:paraId="63A8D33D"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19.1%</w:t>
            </w:r>
          </w:p>
        </w:tc>
      </w:tr>
      <w:tr w:rsidR="001918F5" w14:paraId="2F53E04A" w14:textId="77777777" w:rsidTr="00841E1C">
        <w:tc>
          <w:tcPr>
            <w:tcW w:w="6521" w:type="dxa"/>
            <w:tcBorders>
              <w:top w:val="single" w:sz="4" w:space="0" w:color="auto"/>
              <w:left w:val="single" w:sz="4" w:space="0" w:color="auto"/>
              <w:bottom w:val="single" w:sz="4" w:space="0" w:color="auto"/>
              <w:right w:val="single" w:sz="4" w:space="0" w:color="auto"/>
            </w:tcBorders>
          </w:tcPr>
          <w:p w14:paraId="09687C44"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Personal privacy not respected</w:t>
            </w:r>
          </w:p>
        </w:tc>
        <w:tc>
          <w:tcPr>
            <w:tcW w:w="1559" w:type="dxa"/>
            <w:tcBorders>
              <w:top w:val="single" w:sz="4" w:space="0" w:color="auto"/>
              <w:left w:val="single" w:sz="4" w:space="0" w:color="auto"/>
              <w:bottom w:val="single" w:sz="4" w:space="0" w:color="auto"/>
              <w:right w:val="single" w:sz="4" w:space="0" w:color="auto"/>
            </w:tcBorders>
            <w:vAlign w:val="center"/>
          </w:tcPr>
          <w:p w14:paraId="0873F368"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14:paraId="634D80D2"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&lt;1%</w:t>
            </w:r>
          </w:p>
        </w:tc>
      </w:tr>
      <w:tr w:rsidR="001918F5" w14:paraId="4EAD2361" w14:textId="77777777" w:rsidTr="00841E1C">
        <w:tc>
          <w:tcPr>
            <w:tcW w:w="6521" w:type="dxa"/>
            <w:tcBorders>
              <w:top w:val="single" w:sz="4" w:space="0" w:color="auto"/>
              <w:left w:val="single" w:sz="4" w:space="0" w:color="auto"/>
              <w:bottom w:val="single" w:sz="4" w:space="0" w:color="auto"/>
              <w:right w:val="single" w:sz="4" w:space="0" w:color="auto"/>
            </w:tcBorders>
          </w:tcPr>
          <w:p w14:paraId="3FD05538"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assist/attend</w:t>
            </w:r>
          </w:p>
        </w:tc>
        <w:tc>
          <w:tcPr>
            <w:tcW w:w="1559" w:type="dxa"/>
            <w:tcBorders>
              <w:top w:val="single" w:sz="4" w:space="0" w:color="auto"/>
              <w:left w:val="single" w:sz="4" w:space="0" w:color="auto"/>
              <w:bottom w:val="single" w:sz="4" w:space="0" w:color="auto"/>
              <w:right w:val="single" w:sz="4" w:space="0" w:color="auto"/>
            </w:tcBorders>
            <w:vAlign w:val="center"/>
          </w:tcPr>
          <w:p w14:paraId="3662131F"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14:paraId="6B845491"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1.2%</w:t>
            </w:r>
          </w:p>
        </w:tc>
      </w:tr>
      <w:tr w:rsidR="001918F5" w14:paraId="741C6AF7" w14:textId="77777777" w:rsidTr="00841E1C">
        <w:tc>
          <w:tcPr>
            <w:tcW w:w="6521" w:type="dxa"/>
            <w:tcBorders>
              <w:top w:val="single" w:sz="4" w:space="0" w:color="auto"/>
              <w:left w:val="single" w:sz="4" w:space="0" w:color="auto"/>
              <w:bottom w:val="single" w:sz="4" w:space="0" w:color="auto"/>
              <w:right w:val="single" w:sz="4" w:space="0" w:color="auto"/>
            </w:tcBorders>
            <w:hideMark/>
          </w:tcPr>
          <w:p w14:paraId="63331EDF" w14:textId="77777777" w:rsidR="001918F5" w:rsidRDefault="001918F5" w:rsidP="001918F5">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treat</w:t>
            </w:r>
            <w:r>
              <w:rPr>
                <w:rFonts w:ascii="Calibri" w:hAnsi="Calibri"/>
                <w:szCs w:val="22"/>
              </w:rPr>
              <w:tab/>
            </w:r>
          </w:p>
        </w:tc>
        <w:tc>
          <w:tcPr>
            <w:tcW w:w="1559" w:type="dxa"/>
            <w:tcBorders>
              <w:top w:val="single" w:sz="4" w:space="0" w:color="auto"/>
              <w:left w:val="single" w:sz="4" w:space="0" w:color="auto"/>
              <w:bottom w:val="single" w:sz="4" w:space="0" w:color="auto"/>
              <w:right w:val="single" w:sz="4" w:space="0" w:color="auto"/>
            </w:tcBorders>
            <w:vAlign w:val="center"/>
          </w:tcPr>
          <w:p w14:paraId="3B343AA9"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8</w:t>
            </w:r>
          </w:p>
        </w:tc>
        <w:tc>
          <w:tcPr>
            <w:tcW w:w="1701" w:type="dxa"/>
            <w:tcBorders>
              <w:top w:val="single" w:sz="4" w:space="0" w:color="auto"/>
              <w:left w:val="single" w:sz="4" w:space="0" w:color="auto"/>
              <w:bottom w:val="single" w:sz="4" w:space="0" w:color="auto"/>
              <w:right w:val="single" w:sz="4" w:space="0" w:color="auto"/>
            </w:tcBorders>
            <w:vAlign w:val="center"/>
          </w:tcPr>
          <w:p w14:paraId="5DBB4394"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1.7%</w:t>
            </w:r>
          </w:p>
        </w:tc>
      </w:tr>
      <w:tr w:rsidR="001918F5" w14:paraId="325F2D85" w14:textId="77777777" w:rsidTr="00841E1C">
        <w:tc>
          <w:tcPr>
            <w:tcW w:w="6521" w:type="dxa"/>
            <w:tcBorders>
              <w:top w:val="single" w:sz="4" w:space="0" w:color="auto"/>
              <w:left w:val="single" w:sz="4" w:space="0" w:color="auto"/>
              <w:bottom w:val="single" w:sz="4" w:space="0" w:color="auto"/>
              <w:right w:val="single" w:sz="4" w:space="0" w:color="auto"/>
            </w:tcBorders>
            <w:hideMark/>
          </w:tcPr>
          <w:p w14:paraId="01407CA5"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559" w:type="dxa"/>
            <w:tcBorders>
              <w:top w:val="single" w:sz="4" w:space="0" w:color="auto"/>
              <w:left w:val="single" w:sz="4" w:space="0" w:color="auto"/>
              <w:bottom w:val="single" w:sz="4" w:space="0" w:color="auto"/>
              <w:right w:val="single" w:sz="4" w:space="0" w:color="auto"/>
            </w:tcBorders>
            <w:vAlign w:val="center"/>
          </w:tcPr>
          <w:p w14:paraId="21FA839C"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15</w:t>
            </w:r>
          </w:p>
        </w:tc>
        <w:tc>
          <w:tcPr>
            <w:tcW w:w="1701" w:type="dxa"/>
            <w:tcBorders>
              <w:top w:val="single" w:sz="4" w:space="0" w:color="auto"/>
              <w:left w:val="single" w:sz="4" w:space="0" w:color="auto"/>
              <w:bottom w:val="single" w:sz="4" w:space="0" w:color="auto"/>
              <w:right w:val="single" w:sz="4" w:space="0" w:color="auto"/>
            </w:tcBorders>
            <w:vAlign w:val="center"/>
          </w:tcPr>
          <w:p w14:paraId="2297BDF5" w14:textId="70FFA539" w:rsidR="001918F5" w:rsidRDefault="001918F5" w:rsidP="001918F5">
            <w:pPr>
              <w:widowControl w:val="0"/>
              <w:jc w:val="center"/>
              <w:rPr>
                <w:rFonts w:ascii="Calibri" w:hAnsi="Calibri" w:cs="Calibri"/>
                <w:color w:val="000000"/>
                <w:szCs w:val="22"/>
              </w:rPr>
            </w:pPr>
            <w:r>
              <w:rPr>
                <w:rFonts w:ascii="Calibri" w:hAnsi="Calibri" w:cs="Calibri"/>
                <w:color w:val="000000"/>
                <w:szCs w:val="22"/>
              </w:rPr>
              <w:t>3.2%</w:t>
            </w:r>
          </w:p>
        </w:tc>
      </w:tr>
      <w:tr w:rsidR="001918F5" w14:paraId="34FE0BD8" w14:textId="77777777" w:rsidTr="00841E1C">
        <w:tc>
          <w:tcPr>
            <w:tcW w:w="6521" w:type="dxa"/>
            <w:tcBorders>
              <w:top w:val="single" w:sz="4" w:space="0" w:color="auto"/>
              <w:left w:val="single" w:sz="4" w:space="0" w:color="auto"/>
              <w:bottom w:val="single" w:sz="4" w:space="0" w:color="auto"/>
              <w:right w:val="single" w:sz="4" w:space="0" w:color="auto"/>
            </w:tcBorders>
            <w:hideMark/>
          </w:tcPr>
          <w:p w14:paraId="08620A6B"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559" w:type="dxa"/>
            <w:tcBorders>
              <w:top w:val="single" w:sz="4" w:space="0" w:color="auto"/>
              <w:left w:val="single" w:sz="4" w:space="0" w:color="auto"/>
              <w:bottom w:val="single" w:sz="4" w:space="0" w:color="auto"/>
              <w:right w:val="single" w:sz="4" w:space="0" w:color="auto"/>
            </w:tcBorders>
            <w:vAlign w:val="center"/>
          </w:tcPr>
          <w:p w14:paraId="34366474"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72</w:t>
            </w:r>
          </w:p>
        </w:tc>
        <w:tc>
          <w:tcPr>
            <w:tcW w:w="1701" w:type="dxa"/>
            <w:tcBorders>
              <w:top w:val="single" w:sz="4" w:space="0" w:color="auto"/>
              <w:left w:val="single" w:sz="4" w:space="0" w:color="auto"/>
              <w:bottom w:val="single" w:sz="4" w:space="0" w:color="auto"/>
              <w:right w:val="single" w:sz="4" w:space="0" w:color="auto"/>
            </w:tcBorders>
            <w:vAlign w:val="center"/>
          </w:tcPr>
          <w:p w14:paraId="25B89377" w14:textId="2D68FD8E"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15.3%</w:t>
            </w:r>
          </w:p>
        </w:tc>
      </w:tr>
      <w:tr w:rsidR="001918F5" w14:paraId="1122BB87" w14:textId="77777777" w:rsidTr="00841E1C">
        <w:tc>
          <w:tcPr>
            <w:tcW w:w="6521" w:type="dxa"/>
            <w:tcBorders>
              <w:top w:val="single" w:sz="4" w:space="0" w:color="auto"/>
              <w:left w:val="single" w:sz="4" w:space="0" w:color="auto"/>
              <w:bottom w:val="single" w:sz="4" w:space="0" w:color="auto"/>
              <w:right w:val="single" w:sz="4" w:space="0" w:color="auto"/>
            </w:tcBorders>
          </w:tcPr>
          <w:p w14:paraId="111923DE"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Unnecessary treatment/over-servicing</w:t>
            </w:r>
          </w:p>
        </w:tc>
        <w:tc>
          <w:tcPr>
            <w:tcW w:w="1559" w:type="dxa"/>
            <w:tcBorders>
              <w:top w:val="single" w:sz="4" w:space="0" w:color="auto"/>
              <w:left w:val="single" w:sz="4" w:space="0" w:color="auto"/>
              <w:bottom w:val="single" w:sz="4" w:space="0" w:color="auto"/>
              <w:right w:val="single" w:sz="4" w:space="0" w:color="auto"/>
            </w:tcBorders>
            <w:vAlign w:val="center"/>
          </w:tcPr>
          <w:p w14:paraId="0C81B4EF"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14:paraId="6706F646"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&lt;1%</w:t>
            </w:r>
          </w:p>
        </w:tc>
      </w:tr>
      <w:tr w:rsidR="001918F5" w14:paraId="42D85663" w14:textId="77777777" w:rsidTr="00841E1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80EEF9" w14:textId="77777777" w:rsidR="001918F5" w:rsidRPr="0080255D" w:rsidRDefault="001918F5" w:rsidP="001918F5">
            <w:pPr>
              <w:widowControl w:val="0"/>
              <w:tabs>
                <w:tab w:val="left" w:pos="176"/>
                <w:tab w:val="left" w:pos="1440"/>
                <w:tab w:val="decimal" w:pos="4320"/>
              </w:tabs>
              <w:ind w:left="176" w:hanging="176"/>
              <w:jc w:val="left"/>
              <w:outlineLvl w:val="0"/>
              <w:rPr>
                <w:rFonts w:ascii="Calibri" w:hAnsi="Calibri"/>
                <w:b/>
                <w:szCs w:val="22"/>
              </w:rPr>
            </w:pPr>
            <w:r w:rsidRPr="0080255D">
              <w:rPr>
                <w:rFonts w:ascii="Calibri" w:hAnsi="Calibri"/>
                <w:b/>
                <w:szCs w:val="22"/>
              </w:rPr>
              <w:t>Communication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CCADA" w14:textId="77777777"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334</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F0BE5" w14:textId="750E045A"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70.8%</w:t>
            </w:r>
          </w:p>
        </w:tc>
      </w:tr>
      <w:tr w:rsidR="001918F5" w14:paraId="07F63D7F" w14:textId="77777777" w:rsidTr="00841E1C">
        <w:tc>
          <w:tcPr>
            <w:tcW w:w="6521" w:type="dxa"/>
            <w:tcBorders>
              <w:top w:val="single" w:sz="4" w:space="0" w:color="auto"/>
              <w:left w:val="single" w:sz="4" w:space="0" w:color="auto"/>
              <w:bottom w:val="single" w:sz="4" w:space="0" w:color="auto"/>
              <w:right w:val="single" w:sz="4" w:space="0" w:color="auto"/>
            </w:tcBorders>
            <w:hideMark/>
          </w:tcPr>
          <w:p w14:paraId="0076FA19" w14:textId="77777777" w:rsidR="001918F5" w:rsidRDefault="001918F5" w:rsidP="001918F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559" w:type="dxa"/>
            <w:tcBorders>
              <w:top w:val="single" w:sz="4" w:space="0" w:color="auto"/>
              <w:left w:val="single" w:sz="4" w:space="0" w:color="auto"/>
              <w:bottom w:val="single" w:sz="4" w:space="0" w:color="auto"/>
              <w:right w:val="single" w:sz="4" w:space="0" w:color="auto"/>
            </w:tcBorders>
            <w:vAlign w:val="center"/>
          </w:tcPr>
          <w:p w14:paraId="6F65344C"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82</w:t>
            </w:r>
          </w:p>
        </w:tc>
        <w:tc>
          <w:tcPr>
            <w:tcW w:w="1701" w:type="dxa"/>
            <w:tcBorders>
              <w:top w:val="single" w:sz="4" w:space="0" w:color="auto"/>
              <w:left w:val="single" w:sz="4" w:space="0" w:color="auto"/>
              <w:bottom w:val="single" w:sz="4" w:space="0" w:color="auto"/>
              <w:right w:val="single" w:sz="4" w:space="0" w:color="auto"/>
            </w:tcBorders>
            <w:vAlign w:val="center"/>
          </w:tcPr>
          <w:p w14:paraId="18942FB0" w14:textId="1EA17F83"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17.4%</w:t>
            </w:r>
          </w:p>
        </w:tc>
      </w:tr>
      <w:tr w:rsidR="001918F5" w14:paraId="15816EE4" w14:textId="77777777" w:rsidTr="00841E1C">
        <w:tc>
          <w:tcPr>
            <w:tcW w:w="6521" w:type="dxa"/>
            <w:tcBorders>
              <w:top w:val="single" w:sz="4" w:space="0" w:color="auto"/>
              <w:left w:val="single" w:sz="4" w:space="0" w:color="auto"/>
              <w:bottom w:val="single" w:sz="4" w:space="0" w:color="auto"/>
              <w:right w:val="single" w:sz="4" w:space="0" w:color="auto"/>
            </w:tcBorders>
          </w:tcPr>
          <w:p w14:paraId="0CA1DA5A"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accommodate cultural/language needs</w:t>
            </w:r>
          </w:p>
        </w:tc>
        <w:tc>
          <w:tcPr>
            <w:tcW w:w="1559" w:type="dxa"/>
            <w:tcBorders>
              <w:top w:val="single" w:sz="4" w:space="0" w:color="auto"/>
              <w:left w:val="single" w:sz="4" w:space="0" w:color="auto"/>
              <w:bottom w:val="single" w:sz="4" w:space="0" w:color="auto"/>
              <w:right w:val="single" w:sz="4" w:space="0" w:color="auto"/>
            </w:tcBorders>
            <w:vAlign w:val="center"/>
          </w:tcPr>
          <w:p w14:paraId="38425E6D"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14:paraId="652D4A1F"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&lt;1%</w:t>
            </w:r>
          </w:p>
        </w:tc>
      </w:tr>
      <w:tr w:rsidR="001918F5" w14:paraId="20E0D6D2" w14:textId="77777777" w:rsidTr="00841E1C">
        <w:tc>
          <w:tcPr>
            <w:tcW w:w="6521" w:type="dxa"/>
            <w:tcBorders>
              <w:top w:val="single" w:sz="4" w:space="0" w:color="auto"/>
              <w:left w:val="single" w:sz="4" w:space="0" w:color="auto"/>
              <w:bottom w:val="single" w:sz="4" w:space="0" w:color="auto"/>
              <w:right w:val="single" w:sz="4" w:space="0" w:color="auto"/>
            </w:tcBorders>
            <w:hideMark/>
          </w:tcPr>
          <w:p w14:paraId="2187DC53"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559" w:type="dxa"/>
            <w:tcBorders>
              <w:top w:val="single" w:sz="4" w:space="0" w:color="auto"/>
              <w:left w:val="single" w:sz="4" w:space="0" w:color="auto"/>
              <w:bottom w:val="single" w:sz="4" w:space="0" w:color="auto"/>
              <w:right w:val="single" w:sz="4" w:space="0" w:color="auto"/>
            </w:tcBorders>
            <w:vAlign w:val="center"/>
          </w:tcPr>
          <w:p w14:paraId="741C182B"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203</w:t>
            </w:r>
          </w:p>
        </w:tc>
        <w:tc>
          <w:tcPr>
            <w:tcW w:w="1701" w:type="dxa"/>
            <w:tcBorders>
              <w:top w:val="single" w:sz="4" w:space="0" w:color="auto"/>
              <w:left w:val="single" w:sz="4" w:space="0" w:color="auto"/>
              <w:bottom w:val="single" w:sz="4" w:space="0" w:color="auto"/>
              <w:right w:val="single" w:sz="4" w:space="0" w:color="auto"/>
            </w:tcBorders>
            <w:vAlign w:val="center"/>
          </w:tcPr>
          <w:p w14:paraId="74D8166A" w14:textId="5A83BDD3" w:rsidR="001918F5" w:rsidRDefault="001918F5" w:rsidP="001918F5">
            <w:pPr>
              <w:widowControl w:val="0"/>
              <w:jc w:val="center"/>
              <w:rPr>
                <w:rFonts w:ascii="Calibri" w:hAnsi="Calibri" w:cs="Calibri"/>
                <w:color w:val="000000"/>
                <w:szCs w:val="22"/>
              </w:rPr>
            </w:pPr>
            <w:r>
              <w:rPr>
                <w:rFonts w:ascii="Calibri" w:hAnsi="Calibri" w:cs="Calibri"/>
                <w:color w:val="000000"/>
                <w:szCs w:val="22"/>
              </w:rPr>
              <w:t>43</w:t>
            </w:r>
            <w:r w:rsidR="00E217F6">
              <w:rPr>
                <w:rFonts w:ascii="Calibri" w:hAnsi="Calibri" w:cs="Calibri"/>
                <w:color w:val="000000"/>
                <w:szCs w:val="22"/>
              </w:rPr>
              <w:t>.0</w:t>
            </w:r>
            <w:r>
              <w:rPr>
                <w:rFonts w:ascii="Calibri" w:hAnsi="Calibri" w:cs="Calibri"/>
                <w:color w:val="000000"/>
                <w:szCs w:val="22"/>
              </w:rPr>
              <w:t>%</w:t>
            </w:r>
          </w:p>
        </w:tc>
      </w:tr>
      <w:tr w:rsidR="001918F5" w14:paraId="0C780086"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hideMark/>
          </w:tcPr>
          <w:p w14:paraId="6C9E08EF"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559" w:type="dxa"/>
            <w:tcBorders>
              <w:top w:val="single" w:sz="4" w:space="0" w:color="auto"/>
              <w:left w:val="single" w:sz="4" w:space="0" w:color="auto"/>
              <w:bottom w:val="single" w:sz="4" w:space="0" w:color="auto"/>
              <w:right w:val="single" w:sz="4" w:space="0" w:color="auto"/>
            </w:tcBorders>
            <w:vAlign w:val="center"/>
          </w:tcPr>
          <w:p w14:paraId="05C9A014"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107</w:t>
            </w:r>
          </w:p>
        </w:tc>
        <w:tc>
          <w:tcPr>
            <w:tcW w:w="1701" w:type="dxa"/>
            <w:tcBorders>
              <w:top w:val="single" w:sz="4" w:space="0" w:color="auto"/>
              <w:left w:val="single" w:sz="4" w:space="0" w:color="auto"/>
              <w:bottom w:val="single" w:sz="4" w:space="0" w:color="auto"/>
              <w:right w:val="single" w:sz="4" w:space="0" w:color="auto"/>
            </w:tcBorders>
            <w:vAlign w:val="center"/>
          </w:tcPr>
          <w:p w14:paraId="230EDE6F" w14:textId="4CDC0040" w:rsidR="001918F5" w:rsidRDefault="001918F5" w:rsidP="001918F5">
            <w:pPr>
              <w:widowControl w:val="0"/>
              <w:jc w:val="center"/>
              <w:rPr>
                <w:rFonts w:ascii="Calibri" w:hAnsi="Calibri" w:cs="Calibri"/>
                <w:color w:val="000000"/>
                <w:szCs w:val="22"/>
              </w:rPr>
            </w:pPr>
            <w:r>
              <w:rPr>
                <w:rFonts w:ascii="Calibri" w:hAnsi="Calibri" w:cs="Calibri"/>
                <w:color w:val="000000"/>
                <w:szCs w:val="22"/>
              </w:rPr>
              <w:t>22.7%</w:t>
            </w:r>
          </w:p>
        </w:tc>
      </w:tr>
      <w:tr w:rsidR="001918F5" w14:paraId="4E4D5C4F"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B8D0FF" w14:textId="77777777" w:rsidR="001918F5" w:rsidRPr="0080255D" w:rsidRDefault="001918F5" w:rsidP="001918F5">
            <w:pPr>
              <w:widowControl w:val="0"/>
              <w:tabs>
                <w:tab w:val="left" w:pos="176"/>
                <w:tab w:val="left" w:pos="1440"/>
                <w:tab w:val="decimal" w:pos="4320"/>
              </w:tabs>
              <w:ind w:left="176" w:hanging="176"/>
              <w:jc w:val="left"/>
              <w:outlineLvl w:val="0"/>
              <w:rPr>
                <w:rFonts w:ascii="Calibri" w:hAnsi="Calibri"/>
                <w:b/>
                <w:szCs w:val="22"/>
              </w:rPr>
            </w:pPr>
            <w:r w:rsidRPr="0080255D">
              <w:rPr>
                <w:rFonts w:ascii="Calibri" w:hAnsi="Calibri"/>
                <w:b/>
                <w:szCs w:val="22"/>
              </w:rPr>
              <w:t>Complaints process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6A8F2" w14:textId="77777777"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79</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C0B61" w14:textId="77777777"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16.7%</w:t>
            </w:r>
          </w:p>
        </w:tc>
      </w:tr>
      <w:tr w:rsidR="001918F5" w14:paraId="5E16A59D"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hideMark/>
          </w:tcPr>
          <w:p w14:paraId="08DB14E6" w14:textId="77777777" w:rsidR="001918F5" w:rsidRDefault="001918F5" w:rsidP="001918F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response to complaint</w:t>
            </w:r>
          </w:p>
        </w:tc>
        <w:tc>
          <w:tcPr>
            <w:tcW w:w="1559" w:type="dxa"/>
            <w:tcBorders>
              <w:top w:val="single" w:sz="4" w:space="0" w:color="auto"/>
              <w:left w:val="single" w:sz="4" w:space="0" w:color="auto"/>
              <w:bottom w:val="single" w:sz="4" w:space="0" w:color="auto"/>
              <w:right w:val="single" w:sz="4" w:space="0" w:color="auto"/>
            </w:tcBorders>
            <w:vAlign w:val="center"/>
          </w:tcPr>
          <w:p w14:paraId="57BD78FF"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78</w:t>
            </w:r>
          </w:p>
        </w:tc>
        <w:tc>
          <w:tcPr>
            <w:tcW w:w="1701" w:type="dxa"/>
            <w:tcBorders>
              <w:top w:val="single" w:sz="4" w:space="0" w:color="auto"/>
              <w:left w:val="single" w:sz="4" w:space="0" w:color="auto"/>
              <w:bottom w:val="single" w:sz="4" w:space="0" w:color="auto"/>
              <w:right w:val="single" w:sz="4" w:space="0" w:color="auto"/>
            </w:tcBorders>
            <w:vAlign w:val="center"/>
          </w:tcPr>
          <w:p w14:paraId="1AD7A661"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16.5%</w:t>
            </w:r>
          </w:p>
        </w:tc>
      </w:tr>
      <w:tr w:rsidR="001918F5" w14:paraId="28793492"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25DC51BA" w14:textId="77777777" w:rsidR="001918F5" w:rsidRDefault="001918F5" w:rsidP="001918F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Retaliation/discrimination as a result of a complaint</w:t>
            </w:r>
          </w:p>
        </w:tc>
        <w:tc>
          <w:tcPr>
            <w:tcW w:w="1559" w:type="dxa"/>
            <w:tcBorders>
              <w:top w:val="single" w:sz="4" w:space="0" w:color="auto"/>
              <w:left w:val="single" w:sz="4" w:space="0" w:color="auto"/>
              <w:bottom w:val="single" w:sz="4" w:space="0" w:color="auto"/>
              <w:right w:val="single" w:sz="4" w:space="0" w:color="auto"/>
            </w:tcBorders>
            <w:vAlign w:val="center"/>
          </w:tcPr>
          <w:p w14:paraId="1038104F"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14:paraId="51D661F7"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&lt;1%</w:t>
            </w:r>
          </w:p>
        </w:tc>
      </w:tr>
      <w:tr w:rsidR="001918F5" w14:paraId="2C27AAF0"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E297D6" w14:textId="77777777" w:rsidR="001918F5" w:rsidRPr="0080255D" w:rsidRDefault="001918F5" w:rsidP="001918F5">
            <w:pPr>
              <w:widowControl w:val="0"/>
              <w:tabs>
                <w:tab w:val="left" w:pos="176"/>
                <w:tab w:val="left" w:pos="1440"/>
                <w:tab w:val="decimal" w:pos="4320"/>
              </w:tabs>
              <w:jc w:val="left"/>
              <w:outlineLvl w:val="0"/>
              <w:rPr>
                <w:rFonts w:ascii="Calibri" w:hAnsi="Calibri"/>
                <w:b/>
                <w:szCs w:val="22"/>
              </w:rPr>
            </w:pPr>
            <w:r w:rsidRPr="0080255D">
              <w:rPr>
                <w:rFonts w:ascii="Calibri" w:hAnsi="Calibri"/>
                <w:b/>
                <w:szCs w:val="22"/>
              </w:rPr>
              <w:t>Consent/Information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7BB91" w14:textId="77777777"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114</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86CF" w14:textId="1A725D44"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24.</w:t>
            </w:r>
            <w:r w:rsidR="00E217F6" w:rsidRPr="0080255D">
              <w:rPr>
                <w:rFonts w:ascii="Calibri" w:hAnsi="Calibri" w:cs="Calibri"/>
                <w:b/>
                <w:color w:val="000000"/>
                <w:szCs w:val="22"/>
              </w:rPr>
              <w:t>2</w:t>
            </w:r>
            <w:r w:rsidRPr="0080255D">
              <w:rPr>
                <w:rFonts w:ascii="Calibri" w:hAnsi="Calibri" w:cs="Calibri"/>
                <w:b/>
                <w:color w:val="000000"/>
                <w:szCs w:val="22"/>
              </w:rPr>
              <w:t>%</w:t>
            </w:r>
          </w:p>
        </w:tc>
      </w:tr>
      <w:tr w:rsidR="001918F5" w14:paraId="07E5C680"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hideMark/>
          </w:tcPr>
          <w:p w14:paraId="08D576DB"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559" w:type="dxa"/>
            <w:tcBorders>
              <w:top w:val="single" w:sz="4" w:space="0" w:color="auto"/>
              <w:left w:val="single" w:sz="4" w:space="0" w:color="auto"/>
              <w:bottom w:val="single" w:sz="4" w:space="0" w:color="auto"/>
              <w:right w:val="single" w:sz="4" w:space="0" w:color="auto"/>
            </w:tcBorders>
            <w:vAlign w:val="center"/>
          </w:tcPr>
          <w:p w14:paraId="003D75D8"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31</w:t>
            </w:r>
          </w:p>
        </w:tc>
        <w:tc>
          <w:tcPr>
            <w:tcW w:w="1701" w:type="dxa"/>
            <w:tcBorders>
              <w:top w:val="single" w:sz="4" w:space="0" w:color="auto"/>
              <w:left w:val="single" w:sz="4" w:space="0" w:color="auto"/>
              <w:bottom w:val="single" w:sz="4" w:space="0" w:color="auto"/>
              <w:right w:val="single" w:sz="4" w:space="0" w:color="auto"/>
            </w:tcBorders>
            <w:vAlign w:val="center"/>
          </w:tcPr>
          <w:p w14:paraId="50DEA17B" w14:textId="3070CBC0" w:rsidR="001918F5" w:rsidRDefault="001918F5" w:rsidP="001918F5">
            <w:pPr>
              <w:widowControl w:val="0"/>
              <w:jc w:val="center"/>
              <w:rPr>
                <w:rFonts w:ascii="Calibri" w:hAnsi="Calibri" w:cs="Calibri"/>
                <w:color w:val="000000"/>
                <w:szCs w:val="22"/>
              </w:rPr>
            </w:pPr>
            <w:r>
              <w:rPr>
                <w:rFonts w:ascii="Calibri" w:hAnsi="Calibri" w:cs="Calibri"/>
                <w:color w:val="000000"/>
                <w:szCs w:val="22"/>
              </w:rPr>
              <w:t>6.</w:t>
            </w:r>
            <w:r w:rsidR="00E217F6">
              <w:rPr>
                <w:rFonts w:ascii="Calibri" w:hAnsi="Calibri" w:cs="Calibri"/>
                <w:color w:val="000000"/>
                <w:szCs w:val="22"/>
              </w:rPr>
              <w:t>6</w:t>
            </w:r>
            <w:r>
              <w:rPr>
                <w:rFonts w:ascii="Calibri" w:hAnsi="Calibri" w:cs="Calibri"/>
                <w:color w:val="000000"/>
                <w:szCs w:val="22"/>
              </w:rPr>
              <w:t>%</w:t>
            </w:r>
          </w:p>
        </w:tc>
      </w:tr>
      <w:tr w:rsidR="001918F5" w14:paraId="588A91D3"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14FCE40F"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adverse event</w:t>
            </w:r>
          </w:p>
        </w:tc>
        <w:tc>
          <w:tcPr>
            <w:tcW w:w="1559" w:type="dxa"/>
            <w:tcBorders>
              <w:top w:val="single" w:sz="4" w:space="0" w:color="auto"/>
              <w:left w:val="single" w:sz="4" w:space="0" w:color="auto"/>
              <w:bottom w:val="single" w:sz="4" w:space="0" w:color="auto"/>
              <w:right w:val="single" w:sz="4" w:space="0" w:color="auto"/>
            </w:tcBorders>
            <w:vAlign w:val="center"/>
          </w:tcPr>
          <w:p w14:paraId="44C5D8D5"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8</w:t>
            </w:r>
          </w:p>
        </w:tc>
        <w:tc>
          <w:tcPr>
            <w:tcW w:w="1701" w:type="dxa"/>
            <w:tcBorders>
              <w:top w:val="single" w:sz="4" w:space="0" w:color="auto"/>
              <w:left w:val="single" w:sz="4" w:space="0" w:color="auto"/>
              <w:bottom w:val="single" w:sz="4" w:space="0" w:color="auto"/>
              <w:right w:val="single" w:sz="4" w:space="0" w:color="auto"/>
            </w:tcBorders>
          </w:tcPr>
          <w:p w14:paraId="751C44DC" w14:textId="77777777" w:rsidR="001918F5" w:rsidRDefault="001918F5" w:rsidP="001918F5">
            <w:pPr>
              <w:jc w:val="center"/>
            </w:pPr>
            <w:r>
              <w:t>1.7%</w:t>
            </w:r>
          </w:p>
        </w:tc>
      </w:tr>
      <w:tr w:rsidR="001918F5" w14:paraId="32446A4E"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570926B0"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condition</w:t>
            </w:r>
          </w:p>
        </w:tc>
        <w:tc>
          <w:tcPr>
            <w:tcW w:w="1559" w:type="dxa"/>
            <w:tcBorders>
              <w:top w:val="single" w:sz="4" w:space="0" w:color="auto"/>
              <w:left w:val="single" w:sz="4" w:space="0" w:color="auto"/>
              <w:bottom w:val="single" w:sz="4" w:space="0" w:color="auto"/>
              <w:right w:val="single" w:sz="4" w:space="0" w:color="auto"/>
            </w:tcBorders>
            <w:vAlign w:val="center"/>
          </w:tcPr>
          <w:p w14:paraId="151E2261"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8</w:t>
            </w:r>
          </w:p>
        </w:tc>
        <w:tc>
          <w:tcPr>
            <w:tcW w:w="1701" w:type="dxa"/>
            <w:tcBorders>
              <w:top w:val="single" w:sz="4" w:space="0" w:color="auto"/>
              <w:left w:val="single" w:sz="4" w:space="0" w:color="auto"/>
              <w:bottom w:val="single" w:sz="4" w:space="0" w:color="auto"/>
              <w:right w:val="single" w:sz="4" w:space="0" w:color="auto"/>
            </w:tcBorders>
          </w:tcPr>
          <w:p w14:paraId="4019A10E" w14:textId="77777777" w:rsidR="001918F5" w:rsidRDefault="001918F5" w:rsidP="001918F5">
            <w:pPr>
              <w:jc w:val="center"/>
            </w:pPr>
            <w:r>
              <w:t>1.7%</w:t>
            </w:r>
          </w:p>
        </w:tc>
      </w:tr>
      <w:tr w:rsidR="001918F5" w14:paraId="6E3CF182"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05AF1279" w14:textId="6BA645A4"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cs="Arial"/>
                <w:color w:val="000000"/>
                <w:szCs w:val="22"/>
              </w:rPr>
              <w:t xml:space="preserve"> </w:t>
            </w:r>
            <w:r w:rsidRPr="00AF3542">
              <w:rPr>
                <w:rFonts w:cs="Arial"/>
                <w:color w:val="000000"/>
                <w:szCs w:val="22"/>
              </w:rPr>
              <w:t>Inadequate information provided re</w:t>
            </w:r>
            <w:r>
              <w:rPr>
                <w:rFonts w:cs="Arial"/>
                <w:color w:val="000000"/>
                <w:szCs w:val="22"/>
              </w:rPr>
              <w:t>garding</w:t>
            </w:r>
            <w:r w:rsidRPr="00AF3542">
              <w:rPr>
                <w:rFonts w:cs="Arial"/>
                <w:color w:val="000000"/>
                <w:szCs w:val="22"/>
              </w:rPr>
              <w:t xml:space="preserve"> fees/costs</w:t>
            </w:r>
          </w:p>
        </w:tc>
        <w:tc>
          <w:tcPr>
            <w:tcW w:w="1559" w:type="dxa"/>
            <w:tcBorders>
              <w:top w:val="single" w:sz="4" w:space="0" w:color="auto"/>
              <w:left w:val="single" w:sz="4" w:space="0" w:color="auto"/>
              <w:bottom w:val="single" w:sz="4" w:space="0" w:color="auto"/>
              <w:right w:val="single" w:sz="4" w:space="0" w:color="auto"/>
            </w:tcBorders>
            <w:vAlign w:val="center"/>
          </w:tcPr>
          <w:p w14:paraId="28646128"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14:paraId="2DF01406" w14:textId="77777777" w:rsidR="001918F5" w:rsidRDefault="001918F5" w:rsidP="001918F5">
            <w:pPr>
              <w:jc w:val="center"/>
            </w:pPr>
            <w:r>
              <w:rPr>
                <w:rFonts w:ascii="Calibri" w:hAnsi="Calibri" w:cs="Calibri"/>
                <w:color w:val="000000"/>
                <w:szCs w:val="22"/>
              </w:rPr>
              <w:t>&lt;1%</w:t>
            </w:r>
          </w:p>
        </w:tc>
      </w:tr>
      <w:tr w:rsidR="001918F5" w14:paraId="30F93788"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330A056F"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options</w:t>
            </w:r>
          </w:p>
        </w:tc>
        <w:tc>
          <w:tcPr>
            <w:tcW w:w="1559" w:type="dxa"/>
            <w:tcBorders>
              <w:top w:val="single" w:sz="4" w:space="0" w:color="auto"/>
              <w:left w:val="single" w:sz="4" w:space="0" w:color="auto"/>
              <w:bottom w:val="single" w:sz="4" w:space="0" w:color="auto"/>
              <w:right w:val="single" w:sz="4" w:space="0" w:color="auto"/>
            </w:tcBorders>
            <w:vAlign w:val="center"/>
          </w:tcPr>
          <w:p w14:paraId="227F3AE2"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15</w:t>
            </w:r>
          </w:p>
        </w:tc>
        <w:tc>
          <w:tcPr>
            <w:tcW w:w="1701" w:type="dxa"/>
            <w:tcBorders>
              <w:top w:val="single" w:sz="4" w:space="0" w:color="auto"/>
              <w:left w:val="single" w:sz="4" w:space="0" w:color="auto"/>
              <w:bottom w:val="single" w:sz="4" w:space="0" w:color="auto"/>
              <w:right w:val="single" w:sz="4" w:space="0" w:color="auto"/>
            </w:tcBorders>
          </w:tcPr>
          <w:p w14:paraId="0602B57D" w14:textId="77777777" w:rsidR="001918F5" w:rsidRDefault="001918F5" w:rsidP="001918F5">
            <w:pPr>
              <w:jc w:val="center"/>
            </w:pPr>
            <w:r>
              <w:t>3.2%</w:t>
            </w:r>
          </w:p>
        </w:tc>
      </w:tr>
      <w:tr w:rsidR="001918F5" w14:paraId="37FE8BA9"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63D41BF2"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provider</w:t>
            </w:r>
          </w:p>
        </w:tc>
        <w:tc>
          <w:tcPr>
            <w:tcW w:w="1559" w:type="dxa"/>
            <w:tcBorders>
              <w:top w:val="single" w:sz="4" w:space="0" w:color="auto"/>
              <w:left w:val="single" w:sz="4" w:space="0" w:color="auto"/>
              <w:bottom w:val="single" w:sz="4" w:space="0" w:color="auto"/>
              <w:right w:val="single" w:sz="4" w:space="0" w:color="auto"/>
            </w:tcBorders>
            <w:vAlign w:val="center"/>
          </w:tcPr>
          <w:p w14:paraId="5B40EDF3"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4</w:t>
            </w:r>
          </w:p>
        </w:tc>
        <w:tc>
          <w:tcPr>
            <w:tcW w:w="1701" w:type="dxa"/>
            <w:tcBorders>
              <w:top w:val="single" w:sz="4" w:space="0" w:color="auto"/>
              <w:left w:val="single" w:sz="4" w:space="0" w:color="auto"/>
              <w:bottom w:val="single" w:sz="4" w:space="0" w:color="auto"/>
              <w:right w:val="single" w:sz="4" w:space="0" w:color="auto"/>
            </w:tcBorders>
          </w:tcPr>
          <w:p w14:paraId="64F577B7" w14:textId="77777777" w:rsidR="001918F5" w:rsidRDefault="001918F5" w:rsidP="001918F5">
            <w:pPr>
              <w:jc w:val="center"/>
            </w:pPr>
            <w:r>
              <w:t>&lt;1%</w:t>
            </w:r>
          </w:p>
        </w:tc>
      </w:tr>
      <w:tr w:rsidR="001918F5" w14:paraId="5317F990"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hideMark/>
          </w:tcPr>
          <w:p w14:paraId="3B40A69D"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559" w:type="dxa"/>
            <w:tcBorders>
              <w:top w:val="single" w:sz="4" w:space="0" w:color="auto"/>
              <w:left w:val="single" w:sz="4" w:space="0" w:color="auto"/>
              <w:bottom w:val="single" w:sz="4" w:space="0" w:color="auto"/>
              <w:right w:val="single" w:sz="4" w:space="0" w:color="auto"/>
            </w:tcBorders>
            <w:vAlign w:val="center"/>
          </w:tcPr>
          <w:p w14:paraId="3A44B52B"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6</w:t>
            </w:r>
          </w:p>
        </w:tc>
        <w:tc>
          <w:tcPr>
            <w:tcW w:w="1701" w:type="dxa"/>
            <w:tcBorders>
              <w:top w:val="single" w:sz="4" w:space="0" w:color="auto"/>
              <w:left w:val="single" w:sz="4" w:space="0" w:color="auto"/>
              <w:bottom w:val="single" w:sz="4" w:space="0" w:color="auto"/>
              <w:right w:val="single" w:sz="4" w:space="0" w:color="auto"/>
            </w:tcBorders>
          </w:tcPr>
          <w:p w14:paraId="78E70E2E" w14:textId="77777777" w:rsidR="001918F5" w:rsidRDefault="001918F5" w:rsidP="001918F5">
            <w:pPr>
              <w:jc w:val="center"/>
            </w:pPr>
            <w:r>
              <w:t>1.2%</w:t>
            </w:r>
          </w:p>
        </w:tc>
      </w:tr>
      <w:tr w:rsidR="001918F5" w14:paraId="6B19794C"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hideMark/>
          </w:tcPr>
          <w:p w14:paraId="59CDF715"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559" w:type="dxa"/>
            <w:tcBorders>
              <w:top w:val="single" w:sz="4" w:space="0" w:color="auto"/>
              <w:left w:val="single" w:sz="4" w:space="0" w:color="auto"/>
              <w:bottom w:val="single" w:sz="4" w:space="0" w:color="auto"/>
              <w:right w:val="single" w:sz="4" w:space="0" w:color="auto"/>
            </w:tcBorders>
            <w:vAlign w:val="center"/>
          </w:tcPr>
          <w:p w14:paraId="4D8CBE70"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35</w:t>
            </w:r>
          </w:p>
        </w:tc>
        <w:tc>
          <w:tcPr>
            <w:tcW w:w="1701" w:type="dxa"/>
            <w:tcBorders>
              <w:top w:val="single" w:sz="4" w:space="0" w:color="auto"/>
              <w:left w:val="single" w:sz="4" w:space="0" w:color="auto"/>
              <w:bottom w:val="single" w:sz="4" w:space="0" w:color="auto"/>
              <w:right w:val="single" w:sz="4" w:space="0" w:color="auto"/>
            </w:tcBorders>
          </w:tcPr>
          <w:p w14:paraId="2B72B86A" w14:textId="77777777" w:rsidR="001918F5" w:rsidRDefault="001918F5" w:rsidP="001918F5">
            <w:pPr>
              <w:jc w:val="center"/>
            </w:pPr>
            <w:r>
              <w:t>7.4%</w:t>
            </w:r>
          </w:p>
        </w:tc>
      </w:tr>
      <w:tr w:rsidR="001918F5" w14:paraId="7FFCF00A"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4B4F3AB1"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Incorrect/misleading information provided</w:t>
            </w:r>
          </w:p>
        </w:tc>
        <w:tc>
          <w:tcPr>
            <w:tcW w:w="1559" w:type="dxa"/>
            <w:tcBorders>
              <w:top w:val="single" w:sz="4" w:space="0" w:color="auto"/>
              <w:left w:val="single" w:sz="4" w:space="0" w:color="auto"/>
              <w:bottom w:val="single" w:sz="4" w:space="0" w:color="auto"/>
              <w:right w:val="single" w:sz="4" w:space="0" w:color="auto"/>
            </w:tcBorders>
            <w:vAlign w:val="center"/>
          </w:tcPr>
          <w:p w14:paraId="398B694D" w14:textId="7385FFA8" w:rsidR="001918F5" w:rsidRDefault="00591D29" w:rsidP="001918F5">
            <w:pPr>
              <w:widowControl w:val="0"/>
              <w:jc w:val="center"/>
              <w:rPr>
                <w:rFonts w:ascii="Calibri" w:hAnsi="Calibri" w:cs="Calibri"/>
                <w:color w:val="000000"/>
                <w:szCs w:val="22"/>
              </w:rPr>
            </w:pPr>
            <w:r>
              <w:rPr>
                <w:rFonts w:ascii="Calibri" w:hAnsi="Calibri" w:cs="Calibri"/>
                <w:color w:val="000000"/>
                <w:szCs w:val="22"/>
              </w:rPr>
              <w:t>6</w:t>
            </w:r>
          </w:p>
        </w:tc>
        <w:tc>
          <w:tcPr>
            <w:tcW w:w="1701" w:type="dxa"/>
            <w:tcBorders>
              <w:top w:val="single" w:sz="4" w:space="0" w:color="auto"/>
              <w:left w:val="single" w:sz="4" w:space="0" w:color="auto"/>
              <w:bottom w:val="single" w:sz="4" w:space="0" w:color="auto"/>
              <w:right w:val="single" w:sz="4" w:space="0" w:color="auto"/>
            </w:tcBorders>
          </w:tcPr>
          <w:p w14:paraId="34537003" w14:textId="2B3F0723" w:rsidR="001918F5" w:rsidRDefault="00591D29" w:rsidP="001918F5">
            <w:pPr>
              <w:jc w:val="center"/>
            </w:pPr>
            <w:r>
              <w:t>1.2</w:t>
            </w:r>
            <w:r w:rsidR="001918F5">
              <w:t>%</w:t>
            </w:r>
          </w:p>
        </w:tc>
      </w:tr>
      <w:tr w:rsidR="001918F5" w14:paraId="34DEAF51"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hideMark/>
          </w:tcPr>
          <w:p w14:paraId="25919E61"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559" w:type="dxa"/>
            <w:tcBorders>
              <w:top w:val="single" w:sz="4" w:space="0" w:color="auto"/>
              <w:left w:val="single" w:sz="4" w:space="0" w:color="auto"/>
              <w:bottom w:val="single" w:sz="4" w:space="0" w:color="auto"/>
              <w:right w:val="single" w:sz="4" w:space="0" w:color="auto"/>
            </w:tcBorders>
            <w:vAlign w:val="center"/>
          </w:tcPr>
          <w:p w14:paraId="5E75B4B2"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24</w:t>
            </w:r>
          </w:p>
        </w:tc>
        <w:tc>
          <w:tcPr>
            <w:tcW w:w="1701" w:type="dxa"/>
            <w:tcBorders>
              <w:top w:val="single" w:sz="4" w:space="0" w:color="auto"/>
              <w:left w:val="single" w:sz="4" w:space="0" w:color="auto"/>
              <w:bottom w:val="single" w:sz="4" w:space="0" w:color="auto"/>
              <w:right w:val="single" w:sz="4" w:space="0" w:color="auto"/>
            </w:tcBorders>
            <w:vAlign w:val="center"/>
          </w:tcPr>
          <w:p w14:paraId="64A1F91D"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5.1%</w:t>
            </w:r>
          </w:p>
        </w:tc>
      </w:tr>
      <w:tr w:rsidR="001918F5" w14:paraId="054E383D"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2F84ECCB" w14:textId="3115622D" w:rsidR="001918F5" w:rsidRDefault="001918F5" w:rsidP="001918F5">
            <w:pPr>
              <w:widowControl w:val="0"/>
              <w:tabs>
                <w:tab w:val="left" w:pos="176"/>
                <w:tab w:val="left" w:pos="1440"/>
                <w:tab w:val="decimal" w:pos="4320"/>
              </w:tabs>
              <w:ind w:left="176"/>
              <w:jc w:val="left"/>
              <w:outlineLvl w:val="0"/>
              <w:rPr>
                <w:rFonts w:ascii="Calibri" w:hAnsi="Calibri"/>
                <w:szCs w:val="22"/>
              </w:rPr>
            </w:pPr>
            <w:r w:rsidRPr="006D765D">
              <w:rPr>
                <w:rFonts w:ascii="Calibri" w:hAnsi="Calibri"/>
                <w:szCs w:val="22"/>
              </w:rPr>
              <w:t xml:space="preserve">Issues </w:t>
            </w:r>
            <w:r>
              <w:rPr>
                <w:rFonts w:ascii="Calibri" w:hAnsi="Calibri"/>
                <w:szCs w:val="22"/>
              </w:rPr>
              <w:t>with</w:t>
            </w:r>
            <w:r w:rsidRPr="006D765D">
              <w:rPr>
                <w:rFonts w:ascii="Calibri" w:hAnsi="Calibri"/>
                <w:szCs w:val="22"/>
              </w:rPr>
              <w:t xml:space="preserve"> consent when consumer not competent</w:t>
            </w:r>
          </w:p>
        </w:tc>
        <w:tc>
          <w:tcPr>
            <w:tcW w:w="1559" w:type="dxa"/>
            <w:tcBorders>
              <w:top w:val="single" w:sz="4" w:space="0" w:color="auto"/>
              <w:left w:val="single" w:sz="4" w:space="0" w:color="auto"/>
              <w:bottom w:val="single" w:sz="4" w:space="0" w:color="auto"/>
              <w:right w:val="single" w:sz="4" w:space="0" w:color="auto"/>
            </w:tcBorders>
            <w:vAlign w:val="center"/>
          </w:tcPr>
          <w:p w14:paraId="197CF4DA" w14:textId="1C641844"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14:paraId="69C9FF26" w14:textId="53C35061" w:rsidR="001918F5" w:rsidRDefault="001918F5" w:rsidP="001918F5">
            <w:pPr>
              <w:widowControl w:val="0"/>
              <w:jc w:val="center"/>
              <w:rPr>
                <w:rFonts w:ascii="Calibri" w:hAnsi="Calibri" w:cs="Calibri"/>
                <w:color w:val="000000"/>
                <w:szCs w:val="22"/>
              </w:rPr>
            </w:pPr>
            <w:r>
              <w:rPr>
                <w:rFonts w:ascii="Calibri" w:hAnsi="Calibri" w:cs="Calibri"/>
                <w:color w:val="000000"/>
                <w:szCs w:val="22"/>
              </w:rPr>
              <w:t>&lt;1%</w:t>
            </w:r>
          </w:p>
        </w:tc>
      </w:tr>
      <w:tr w:rsidR="001918F5" w14:paraId="3A0BC130"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5DF891D6" w14:textId="77777777" w:rsidR="001918F5" w:rsidRPr="00AF3542" w:rsidRDefault="001918F5" w:rsidP="001918F5">
            <w:pPr>
              <w:jc w:val="left"/>
              <w:rPr>
                <w:szCs w:val="22"/>
              </w:rPr>
            </w:pPr>
            <w:r w:rsidRPr="00AF3542">
              <w:rPr>
                <w:rFonts w:cs="Arial"/>
                <w:color w:val="000000"/>
                <w:szCs w:val="22"/>
              </w:rPr>
              <w:t xml:space="preserve">    Coercion by provider to obtain consent</w:t>
            </w:r>
          </w:p>
        </w:tc>
        <w:tc>
          <w:tcPr>
            <w:tcW w:w="1559" w:type="dxa"/>
            <w:tcBorders>
              <w:top w:val="single" w:sz="4" w:space="0" w:color="auto"/>
              <w:left w:val="single" w:sz="4" w:space="0" w:color="auto"/>
              <w:bottom w:val="single" w:sz="4" w:space="0" w:color="auto"/>
              <w:right w:val="single" w:sz="4" w:space="0" w:color="auto"/>
            </w:tcBorders>
            <w:vAlign w:val="center"/>
          </w:tcPr>
          <w:p w14:paraId="23FFAFA9"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14:paraId="2302B5F8"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&lt;1%</w:t>
            </w:r>
          </w:p>
        </w:tc>
      </w:tr>
      <w:tr w:rsidR="001918F5" w14:paraId="72250E3D"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FF1CF6" w14:textId="77777777" w:rsidR="001918F5" w:rsidRPr="0080255D" w:rsidRDefault="001918F5" w:rsidP="001918F5">
            <w:pPr>
              <w:widowControl w:val="0"/>
              <w:tabs>
                <w:tab w:val="left" w:pos="176"/>
                <w:tab w:val="left" w:pos="1440"/>
                <w:tab w:val="decimal" w:pos="4320"/>
              </w:tabs>
              <w:jc w:val="left"/>
              <w:outlineLvl w:val="0"/>
              <w:rPr>
                <w:rFonts w:ascii="Calibri" w:hAnsi="Calibri"/>
                <w:b/>
                <w:szCs w:val="22"/>
              </w:rPr>
            </w:pPr>
            <w:r w:rsidRPr="0080255D">
              <w:rPr>
                <w:rFonts w:ascii="Calibri" w:hAnsi="Calibri"/>
                <w:b/>
                <w:szCs w:val="22"/>
              </w:rPr>
              <w:t>Documentation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6F0FF" w14:textId="77777777"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34</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82235" w14:textId="77777777"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7.2%</w:t>
            </w:r>
          </w:p>
        </w:tc>
      </w:tr>
      <w:tr w:rsidR="001918F5" w14:paraId="3A3A11A4"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12A022D7"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disclose documentation</w:t>
            </w:r>
          </w:p>
        </w:tc>
        <w:tc>
          <w:tcPr>
            <w:tcW w:w="1559" w:type="dxa"/>
            <w:tcBorders>
              <w:top w:val="single" w:sz="4" w:space="0" w:color="auto"/>
              <w:left w:val="single" w:sz="4" w:space="0" w:color="auto"/>
              <w:bottom w:val="single" w:sz="4" w:space="0" w:color="auto"/>
              <w:right w:val="single" w:sz="4" w:space="0" w:color="auto"/>
            </w:tcBorders>
            <w:vAlign w:val="center"/>
          </w:tcPr>
          <w:p w14:paraId="24653C24"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5AC10718" w14:textId="6BD7B0AF"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1.5%</w:t>
            </w:r>
          </w:p>
        </w:tc>
      </w:tr>
      <w:tr w:rsidR="001918F5" w14:paraId="50725056"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hideMark/>
          </w:tcPr>
          <w:p w14:paraId="60C385F6"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559" w:type="dxa"/>
            <w:tcBorders>
              <w:top w:val="single" w:sz="4" w:space="0" w:color="auto"/>
              <w:left w:val="single" w:sz="4" w:space="0" w:color="auto"/>
              <w:bottom w:val="single" w:sz="4" w:space="0" w:color="auto"/>
              <w:right w:val="single" w:sz="4" w:space="0" w:color="auto"/>
            </w:tcBorders>
            <w:vAlign w:val="center"/>
          </w:tcPr>
          <w:p w14:paraId="47F70FD9"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25</w:t>
            </w:r>
          </w:p>
        </w:tc>
        <w:tc>
          <w:tcPr>
            <w:tcW w:w="1701" w:type="dxa"/>
            <w:tcBorders>
              <w:top w:val="single" w:sz="4" w:space="0" w:color="auto"/>
              <w:left w:val="single" w:sz="4" w:space="0" w:color="auto"/>
              <w:bottom w:val="single" w:sz="4" w:space="0" w:color="auto"/>
              <w:right w:val="single" w:sz="4" w:space="0" w:color="auto"/>
            </w:tcBorders>
            <w:vAlign w:val="center"/>
          </w:tcPr>
          <w:p w14:paraId="6C27DDBB"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5.3%</w:t>
            </w:r>
          </w:p>
        </w:tc>
      </w:tr>
      <w:tr w:rsidR="001918F5" w14:paraId="76B7C561"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4C80C164"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maintenance/disposal of documentation</w:t>
            </w:r>
          </w:p>
        </w:tc>
        <w:tc>
          <w:tcPr>
            <w:tcW w:w="1559" w:type="dxa"/>
            <w:tcBorders>
              <w:top w:val="single" w:sz="4" w:space="0" w:color="auto"/>
              <w:left w:val="single" w:sz="4" w:space="0" w:color="auto"/>
              <w:bottom w:val="single" w:sz="4" w:space="0" w:color="auto"/>
              <w:right w:val="single" w:sz="4" w:space="0" w:color="auto"/>
            </w:tcBorders>
            <w:vAlign w:val="center"/>
          </w:tcPr>
          <w:p w14:paraId="0288047B"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14:paraId="37208C6B"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&lt;1%</w:t>
            </w:r>
          </w:p>
        </w:tc>
      </w:tr>
      <w:tr w:rsidR="001918F5" w14:paraId="5ACE3428"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031C0949"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Intentionally misleading/altered documentation</w:t>
            </w:r>
          </w:p>
        </w:tc>
        <w:tc>
          <w:tcPr>
            <w:tcW w:w="1559" w:type="dxa"/>
            <w:tcBorders>
              <w:top w:val="single" w:sz="4" w:space="0" w:color="auto"/>
              <w:left w:val="single" w:sz="4" w:space="0" w:color="auto"/>
              <w:bottom w:val="single" w:sz="4" w:space="0" w:color="auto"/>
              <w:right w:val="single" w:sz="4" w:space="0" w:color="auto"/>
            </w:tcBorders>
            <w:vAlign w:val="center"/>
          </w:tcPr>
          <w:p w14:paraId="659CF07C"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14:paraId="50C2C361"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&lt;1%</w:t>
            </w:r>
          </w:p>
        </w:tc>
      </w:tr>
      <w:tr w:rsidR="001918F5" w14:paraId="5CED4EE0"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33B3CD28"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559" w:type="dxa"/>
            <w:tcBorders>
              <w:top w:val="single" w:sz="4" w:space="0" w:color="auto"/>
              <w:left w:val="single" w:sz="4" w:space="0" w:color="auto"/>
              <w:bottom w:val="single" w:sz="4" w:space="0" w:color="auto"/>
              <w:right w:val="single" w:sz="4" w:space="0" w:color="auto"/>
            </w:tcBorders>
            <w:vAlign w:val="center"/>
          </w:tcPr>
          <w:p w14:paraId="13D23D38"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14:paraId="03833DFA"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&lt;1%</w:t>
            </w:r>
          </w:p>
        </w:tc>
      </w:tr>
      <w:tr w:rsidR="001918F5" w14:paraId="230740FA"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F7C3EA" w14:textId="77777777" w:rsidR="001918F5" w:rsidRPr="0080255D" w:rsidRDefault="001918F5" w:rsidP="001918F5">
            <w:pPr>
              <w:widowControl w:val="0"/>
              <w:tabs>
                <w:tab w:val="left" w:pos="176"/>
                <w:tab w:val="left" w:pos="1440"/>
                <w:tab w:val="decimal" w:pos="4320"/>
              </w:tabs>
              <w:jc w:val="left"/>
              <w:outlineLvl w:val="0"/>
              <w:rPr>
                <w:rFonts w:ascii="Calibri" w:hAnsi="Calibri"/>
                <w:b/>
                <w:szCs w:val="22"/>
              </w:rPr>
            </w:pPr>
            <w:r w:rsidRPr="0080255D">
              <w:rPr>
                <w:rFonts w:ascii="Calibri" w:hAnsi="Calibri"/>
                <w:b/>
                <w:szCs w:val="22"/>
              </w:rPr>
              <w:t>Facility issues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3A7FF" w14:textId="77777777"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52</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0C020" w14:textId="37720D03"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11</w:t>
            </w:r>
            <w:r w:rsidR="00E217F6" w:rsidRPr="0080255D">
              <w:rPr>
                <w:rFonts w:ascii="Calibri" w:hAnsi="Calibri" w:cs="Calibri"/>
                <w:b/>
                <w:color w:val="000000"/>
                <w:szCs w:val="22"/>
              </w:rPr>
              <w:t>.0</w:t>
            </w:r>
            <w:r w:rsidRPr="0080255D">
              <w:rPr>
                <w:rFonts w:ascii="Calibri" w:hAnsi="Calibri" w:cs="Calibri"/>
                <w:b/>
                <w:color w:val="000000"/>
                <w:szCs w:val="22"/>
              </w:rPr>
              <w:t>%</w:t>
            </w:r>
          </w:p>
        </w:tc>
      </w:tr>
      <w:tr w:rsidR="001918F5" w14:paraId="29975127"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685476E2"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Cleanliness/hygiene issue</w:t>
            </w:r>
          </w:p>
        </w:tc>
        <w:tc>
          <w:tcPr>
            <w:tcW w:w="1559" w:type="dxa"/>
            <w:tcBorders>
              <w:top w:val="single" w:sz="4" w:space="0" w:color="auto"/>
              <w:left w:val="single" w:sz="4" w:space="0" w:color="auto"/>
              <w:bottom w:val="single" w:sz="4" w:space="0" w:color="auto"/>
              <w:right w:val="single" w:sz="4" w:space="0" w:color="auto"/>
            </w:tcBorders>
            <w:vAlign w:val="center"/>
          </w:tcPr>
          <w:p w14:paraId="0B61A18F"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3</w:t>
            </w:r>
          </w:p>
        </w:tc>
        <w:tc>
          <w:tcPr>
            <w:tcW w:w="1701" w:type="dxa"/>
            <w:tcBorders>
              <w:top w:val="single" w:sz="4" w:space="0" w:color="auto"/>
              <w:left w:val="single" w:sz="4" w:space="0" w:color="auto"/>
              <w:bottom w:val="single" w:sz="4" w:space="0" w:color="auto"/>
              <w:right w:val="single" w:sz="4" w:space="0" w:color="auto"/>
            </w:tcBorders>
          </w:tcPr>
          <w:p w14:paraId="3B7F9C2D" w14:textId="77777777" w:rsidR="001918F5" w:rsidRDefault="001918F5" w:rsidP="001918F5">
            <w:pPr>
              <w:jc w:val="center"/>
            </w:pPr>
            <w:r>
              <w:rPr>
                <w:rFonts w:ascii="Calibri" w:hAnsi="Calibri" w:cs="Calibri"/>
                <w:color w:val="000000"/>
                <w:szCs w:val="22"/>
              </w:rPr>
              <w:t>&lt;1%</w:t>
            </w:r>
          </w:p>
        </w:tc>
      </w:tr>
      <w:tr w:rsidR="001918F5" w14:paraId="09F3D4BA"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2D1100BD"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sidRPr="00705E11">
              <w:rPr>
                <w:rFonts w:ascii="Calibri" w:hAnsi="Calibri"/>
                <w:szCs w:val="22"/>
              </w:rPr>
              <w:t>Inadequate/inappropriate policies/procedures</w:t>
            </w:r>
          </w:p>
        </w:tc>
        <w:tc>
          <w:tcPr>
            <w:tcW w:w="1559" w:type="dxa"/>
            <w:tcBorders>
              <w:top w:val="single" w:sz="4" w:space="0" w:color="auto"/>
              <w:left w:val="single" w:sz="4" w:space="0" w:color="auto"/>
              <w:bottom w:val="single" w:sz="4" w:space="0" w:color="auto"/>
              <w:right w:val="single" w:sz="4" w:space="0" w:color="auto"/>
            </w:tcBorders>
            <w:vAlign w:val="center"/>
          </w:tcPr>
          <w:p w14:paraId="005615A6"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12</w:t>
            </w:r>
          </w:p>
        </w:tc>
        <w:tc>
          <w:tcPr>
            <w:tcW w:w="1701" w:type="dxa"/>
            <w:tcBorders>
              <w:top w:val="single" w:sz="4" w:space="0" w:color="auto"/>
              <w:left w:val="single" w:sz="4" w:space="0" w:color="auto"/>
              <w:bottom w:val="single" w:sz="4" w:space="0" w:color="auto"/>
              <w:right w:val="single" w:sz="4" w:space="0" w:color="auto"/>
            </w:tcBorders>
          </w:tcPr>
          <w:p w14:paraId="0189439F" w14:textId="77777777" w:rsidR="001918F5" w:rsidRDefault="001918F5" w:rsidP="001918F5">
            <w:pPr>
              <w:jc w:val="center"/>
            </w:pPr>
            <w:r>
              <w:t>2.5%</w:t>
            </w:r>
          </w:p>
        </w:tc>
      </w:tr>
      <w:tr w:rsidR="001918F5" w14:paraId="0C1E6135"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6A349AA1"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follow policies/procedures</w:t>
            </w:r>
          </w:p>
        </w:tc>
        <w:tc>
          <w:tcPr>
            <w:tcW w:w="1559" w:type="dxa"/>
            <w:tcBorders>
              <w:top w:val="single" w:sz="4" w:space="0" w:color="auto"/>
              <w:left w:val="single" w:sz="4" w:space="0" w:color="auto"/>
              <w:bottom w:val="single" w:sz="4" w:space="0" w:color="auto"/>
              <w:right w:val="single" w:sz="4" w:space="0" w:color="auto"/>
            </w:tcBorders>
            <w:vAlign w:val="center"/>
          </w:tcPr>
          <w:p w14:paraId="7F1CF457"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8</w:t>
            </w:r>
          </w:p>
        </w:tc>
        <w:tc>
          <w:tcPr>
            <w:tcW w:w="1701" w:type="dxa"/>
            <w:tcBorders>
              <w:top w:val="single" w:sz="4" w:space="0" w:color="auto"/>
              <w:left w:val="single" w:sz="4" w:space="0" w:color="auto"/>
              <w:bottom w:val="single" w:sz="4" w:space="0" w:color="auto"/>
              <w:right w:val="single" w:sz="4" w:space="0" w:color="auto"/>
            </w:tcBorders>
          </w:tcPr>
          <w:p w14:paraId="14D6B65A" w14:textId="77777777" w:rsidR="001918F5" w:rsidRDefault="001918F5" w:rsidP="001918F5">
            <w:pPr>
              <w:jc w:val="center"/>
            </w:pPr>
            <w:r>
              <w:t>1.7%</w:t>
            </w:r>
          </w:p>
        </w:tc>
      </w:tr>
      <w:tr w:rsidR="001918F5" w14:paraId="459B8458"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hideMark/>
          </w:tcPr>
          <w:p w14:paraId="0483DED0"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559" w:type="dxa"/>
            <w:tcBorders>
              <w:top w:val="single" w:sz="4" w:space="0" w:color="auto"/>
              <w:left w:val="single" w:sz="4" w:space="0" w:color="auto"/>
              <w:bottom w:val="single" w:sz="4" w:space="0" w:color="auto"/>
              <w:right w:val="single" w:sz="4" w:space="0" w:color="auto"/>
            </w:tcBorders>
            <w:vAlign w:val="center"/>
          </w:tcPr>
          <w:p w14:paraId="520779A6"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11</w:t>
            </w:r>
          </w:p>
        </w:tc>
        <w:tc>
          <w:tcPr>
            <w:tcW w:w="1701" w:type="dxa"/>
            <w:tcBorders>
              <w:top w:val="single" w:sz="4" w:space="0" w:color="auto"/>
              <w:left w:val="single" w:sz="4" w:space="0" w:color="auto"/>
              <w:bottom w:val="single" w:sz="4" w:space="0" w:color="auto"/>
              <w:right w:val="single" w:sz="4" w:space="0" w:color="auto"/>
            </w:tcBorders>
          </w:tcPr>
          <w:p w14:paraId="03D2B5F7" w14:textId="77777777" w:rsidR="001918F5" w:rsidRDefault="001918F5" w:rsidP="001918F5">
            <w:pPr>
              <w:jc w:val="center"/>
            </w:pPr>
            <w:r>
              <w:t>2.3%</w:t>
            </w:r>
          </w:p>
        </w:tc>
      </w:tr>
      <w:tr w:rsidR="001918F5" w14:paraId="4C89EE9D"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7A3105F9"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sharing facility with other consumers</w:t>
            </w:r>
          </w:p>
        </w:tc>
        <w:tc>
          <w:tcPr>
            <w:tcW w:w="1559" w:type="dxa"/>
            <w:tcBorders>
              <w:top w:val="single" w:sz="4" w:space="0" w:color="auto"/>
              <w:left w:val="single" w:sz="4" w:space="0" w:color="auto"/>
              <w:bottom w:val="single" w:sz="4" w:space="0" w:color="auto"/>
              <w:right w:val="single" w:sz="4" w:space="0" w:color="auto"/>
            </w:tcBorders>
            <w:vAlign w:val="center"/>
          </w:tcPr>
          <w:p w14:paraId="45BF11C6"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3</w:t>
            </w:r>
          </w:p>
        </w:tc>
        <w:tc>
          <w:tcPr>
            <w:tcW w:w="1701" w:type="dxa"/>
            <w:tcBorders>
              <w:top w:val="single" w:sz="4" w:space="0" w:color="auto"/>
              <w:left w:val="single" w:sz="4" w:space="0" w:color="auto"/>
              <w:bottom w:val="single" w:sz="4" w:space="0" w:color="auto"/>
              <w:right w:val="single" w:sz="4" w:space="0" w:color="auto"/>
            </w:tcBorders>
          </w:tcPr>
          <w:p w14:paraId="4E19BD8F" w14:textId="77777777" w:rsidR="001918F5" w:rsidRDefault="001918F5" w:rsidP="001918F5">
            <w:pPr>
              <w:jc w:val="center"/>
            </w:pPr>
            <w:r>
              <w:t>&lt;1%</w:t>
            </w:r>
          </w:p>
        </w:tc>
      </w:tr>
      <w:tr w:rsidR="001918F5" w14:paraId="4ADAC3E9"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6293EACE"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quality of aids/equipment</w:t>
            </w:r>
          </w:p>
        </w:tc>
        <w:tc>
          <w:tcPr>
            <w:tcW w:w="1559" w:type="dxa"/>
            <w:tcBorders>
              <w:top w:val="single" w:sz="4" w:space="0" w:color="auto"/>
              <w:left w:val="single" w:sz="4" w:space="0" w:color="auto"/>
              <w:bottom w:val="single" w:sz="4" w:space="0" w:color="auto"/>
              <w:right w:val="single" w:sz="4" w:space="0" w:color="auto"/>
            </w:tcBorders>
            <w:vAlign w:val="center"/>
          </w:tcPr>
          <w:p w14:paraId="5FA3BEA5"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5</w:t>
            </w:r>
          </w:p>
        </w:tc>
        <w:tc>
          <w:tcPr>
            <w:tcW w:w="1701" w:type="dxa"/>
            <w:tcBorders>
              <w:top w:val="single" w:sz="4" w:space="0" w:color="auto"/>
              <w:left w:val="single" w:sz="4" w:space="0" w:color="auto"/>
              <w:bottom w:val="single" w:sz="4" w:space="0" w:color="auto"/>
              <w:right w:val="single" w:sz="4" w:space="0" w:color="auto"/>
            </w:tcBorders>
          </w:tcPr>
          <w:p w14:paraId="27D5A9AB" w14:textId="77777777" w:rsidR="001918F5" w:rsidRDefault="001918F5" w:rsidP="001918F5">
            <w:pPr>
              <w:jc w:val="center"/>
            </w:pPr>
            <w:r>
              <w:t>&lt;1%</w:t>
            </w:r>
          </w:p>
        </w:tc>
      </w:tr>
      <w:tr w:rsidR="001918F5" w14:paraId="5DA99B53"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459AA3BA"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Staffing/rostering/other HR issues</w:t>
            </w:r>
          </w:p>
        </w:tc>
        <w:tc>
          <w:tcPr>
            <w:tcW w:w="1559" w:type="dxa"/>
            <w:tcBorders>
              <w:top w:val="single" w:sz="4" w:space="0" w:color="auto"/>
              <w:left w:val="single" w:sz="4" w:space="0" w:color="auto"/>
              <w:bottom w:val="single" w:sz="4" w:space="0" w:color="auto"/>
              <w:right w:val="single" w:sz="4" w:space="0" w:color="auto"/>
            </w:tcBorders>
            <w:vAlign w:val="center"/>
          </w:tcPr>
          <w:p w14:paraId="5887E77E"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10</w:t>
            </w:r>
          </w:p>
        </w:tc>
        <w:tc>
          <w:tcPr>
            <w:tcW w:w="1701" w:type="dxa"/>
            <w:tcBorders>
              <w:top w:val="single" w:sz="4" w:space="0" w:color="auto"/>
              <w:left w:val="single" w:sz="4" w:space="0" w:color="auto"/>
              <w:bottom w:val="single" w:sz="4" w:space="0" w:color="auto"/>
              <w:right w:val="single" w:sz="4" w:space="0" w:color="auto"/>
            </w:tcBorders>
          </w:tcPr>
          <w:p w14:paraId="70C8AD34" w14:textId="77777777" w:rsidR="001918F5" w:rsidRDefault="001918F5" w:rsidP="001918F5">
            <w:pPr>
              <w:jc w:val="center"/>
            </w:pPr>
            <w:r>
              <w:t>2.1%</w:t>
            </w:r>
          </w:p>
        </w:tc>
      </w:tr>
      <w:tr w:rsidR="001918F5" w14:paraId="26EF2087"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hideMark/>
          </w:tcPr>
          <w:p w14:paraId="4EB8ADAC" w14:textId="77777777" w:rsidR="001918F5" w:rsidRDefault="001918F5" w:rsidP="001918F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Waiting times</w:t>
            </w:r>
          </w:p>
        </w:tc>
        <w:tc>
          <w:tcPr>
            <w:tcW w:w="1559" w:type="dxa"/>
            <w:tcBorders>
              <w:top w:val="single" w:sz="4" w:space="0" w:color="auto"/>
              <w:left w:val="single" w:sz="4" w:space="0" w:color="auto"/>
              <w:bottom w:val="single" w:sz="4" w:space="0" w:color="auto"/>
              <w:right w:val="single" w:sz="4" w:space="0" w:color="auto"/>
            </w:tcBorders>
            <w:vAlign w:val="center"/>
          </w:tcPr>
          <w:p w14:paraId="1DEB7641"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5</w:t>
            </w:r>
          </w:p>
        </w:tc>
        <w:tc>
          <w:tcPr>
            <w:tcW w:w="1701" w:type="dxa"/>
            <w:tcBorders>
              <w:top w:val="single" w:sz="4" w:space="0" w:color="auto"/>
              <w:left w:val="single" w:sz="4" w:space="0" w:color="auto"/>
              <w:bottom w:val="single" w:sz="4" w:space="0" w:color="auto"/>
              <w:right w:val="single" w:sz="4" w:space="0" w:color="auto"/>
            </w:tcBorders>
          </w:tcPr>
          <w:p w14:paraId="6D245C20" w14:textId="228629D6" w:rsidR="001918F5" w:rsidRDefault="001918F5" w:rsidP="001918F5">
            <w:pPr>
              <w:jc w:val="center"/>
            </w:pPr>
            <w:r>
              <w:t>&lt;1.%</w:t>
            </w:r>
          </w:p>
        </w:tc>
      </w:tr>
      <w:tr w:rsidR="001918F5" w14:paraId="60318B04"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BF99E9" w14:textId="77777777" w:rsidR="001918F5" w:rsidRPr="0080255D" w:rsidRDefault="001918F5" w:rsidP="001918F5">
            <w:pPr>
              <w:widowControl w:val="0"/>
              <w:tabs>
                <w:tab w:val="left" w:pos="176"/>
                <w:tab w:val="left" w:pos="1440"/>
                <w:tab w:val="decimal" w:pos="4320"/>
              </w:tabs>
              <w:jc w:val="left"/>
              <w:outlineLvl w:val="0"/>
              <w:rPr>
                <w:rFonts w:ascii="Calibri" w:hAnsi="Calibri"/>
                <w:b/>
                <w:szCs w:val="22"/>
              </w:rPr>
            </w:pPr>
            <w:r w:rsidRPr="0080255D">
              <w:rPr>
                <w:rFonts w:ascii="Calibri" w:hAnsi="Calibri"/>
                <w:b/>
                <w:szCs w:val="22"/>
              </w:rPr>
              <w:t>Medication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04254" w14:textId="77777777"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57</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D83AE" w14:textId="556FC448"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12</w:t>
            </w:r>
            <w:r w:rsidR="00E217F6" w:rsidRPr="0080255D">
              <w:rPr>
                <w:rFonts w:ascii="Calibri" w:hAnsi="Calibri" w:cs="Calibri"/>
                <w:b/>
                <w:color w:val="000000"/>
                <w:szCs w:val="22"/>
              </w:rPr>
              <w:t>.1</w:t>
            </w:r>
            <w:r w:rsidRPr="0080255D">
              <w:rPr>
                <w:rFonts w:ascii="Calibri" w:hAnsi="Calibri" w:cs="Calibri"/>
                <w:b/>
                <w:color w:val="000000"/>
                <w:szCs w:val="22"/>
              </w:rPr>
              <w:t>%</w:t>
            </w:r>
          </w:p>
        </w:tc>
      </w:tr>
      <w:tr w:rsidR="001918F5" w14:paraId="3D7095A1"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hideMark/>
          </w:tcPr>
          <w:p w14:paraId="67AF0C5D" w14:textId="77777777" w:rsidR="001918F5" w:rsidRDefault="001918F5" w:rsidP="001918F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559" w:type="dxa"/>
            <w:tcBorders>
              <w:top w:val="single" w:sz="4" w:space="0" w:color="auto"/>
              <w:left w:val="single" w:sz="4" w:space="0" w:color="auto"/>
              <w:bottom w:val="single" w:sz="4" w:space="0" w:color="auto"/>
              <w:right w:val="single" w:sz="4" w:space="0" w:color="auto"/>
            </w:tcBorders>
            <w:vAlign w:val="center"/>
          </w:tcPr>
          <w:p w14:paraId="417A4BEA"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5</w:t>
            </w:r>
          </w:p>
        </w:tc>
        <w:tc>
          <w:tcPr>
            <w:tcW w:w="1701" w:type="dxa"/>
            <w:tcBorders>
              <w:top w:val="single" w:sz="4" w:space="0" w:color="auto"/>
              <w:left w:val="single" w:sz="4" w:space="0" w:color="auto"/>
              <w:bottom w:val="single" w:sz="4" w:space="0" w:color="auto"/>
              <w:right w:val="single" w:sz="4" w:space="0" w:color="auto"/>
            </w:tcBorders>
          </w:tcPr>
          <w:p w14:paraId="0BBF1AB7" w14:textId="77777777" w:rsidR="001918F5" w:rsidRDefault="001918F5" w:rsidP="001918F5">
            <w:pPr>
              <w:jc w:val="center"/>
            </w:pPr>
            <w:r>
              <w:t>&lt;1%</w:t>
            </w:r>
          </w:p>
        </w:tc>
      </w:tr>
      <w:tr w:rsidR="001918F5" w14:paraId="09DE43E0"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hideMark/>
          </w:tcPr>
          <w:p w14:paraId="23290F57" w14:textId="77777777" w:rsidR="001918F5" w:rsidRDefault="001918F5" w:rsidP="001918F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administration</w:t>
            </w:r>
          </w:p>
        </w:tc>
        <w:tc>
          <w:tcPr>
            <w:tcW w:w="1559" w:type="dxa"/>
            <w:tcBorders>
              <w:top w:val="single" w:sz="4" w:space="0" w:color="auto"/>
              <w:left w:val="single" w:sz="4" w:space="0" w:color="auto"/>
              <w:bottom w:val="single" w:sz="4" w:space="0" w:color="auto"/>
              <w:right w:val="single" w:sz="4" w:space="0" w:color="auto"/>
            </w:tcBorders>
            <w:vAlign w:val="center"/>
          </w:tcPr>
          <w:p w14:paraId="793E4BE0"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2</w:t>
            </w:r>
          </w:p>
        </w:tc>
        <w:tc>
          <w:tcPr>
            <w:tcW w:w="1701" w:type="dxa"/>
            <w:tcBorders>
              <w:top w:val="single" w:sz="4" w:space="0" w:color="auto"/>
              <w:left w:val="single" w:sz="4" w:space="0" w:color="auto"/>
              <w:bottom w:val="single" w:sz="4" w:space="0" w:color="auto"/>
              <w:right w:val="single" w:sz="4" w:space="0" w:color="auto"/>
            </w:tcBorders>
          </w:tcPr>
          <w:p w14:paraId="65F1D752" w14:textId="77777777" w:rsidR="001918F5" w:rsidRDefault="001918F5" w:rsidP="001918F5">
            <w:pPr>
              <w:jc w:val="center"/>
            </w:pPr>
            <w:r>
              <w:t>&lt;1%</w:t>
            </w:r>
          </w:p>
        </w:tc>
      </w:tr>
      <w:tr w:rsidR="001918F5" w14:paraId="26931AF9"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tcPr>
          <w:p w14:paraId="2EDEAF1C" w14:textId="77777777" w:rsidR="001918F5" w:rsidRDefault="001918F5" w:rsidP="001918F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Prescribing error</w:t>
            </w:r>
          </w:p>
        </w:tc>
        <w:tc>
          <w:tcPr>
            <w:tcW w:w="1559" w:type="dxa"/>
            <w:tcBorders>
              <w:top w:val="single" w:sz="4" w:space="0" w:color="auto"/>
              <w:left w:val="single" w:sz="4" w:space="0" w:color="auto"/>
              <w:bottom w:val="single" w:sz="4" w:space="0" w:color="auto"/>
              <w:right w:val="single" w:sz="4" w:space="0" w:color="auto"/>
            </w:tcBorders>
            <w:vAlign w:val="center"/>
          </w:tcPr>
          <w:p w14:paraId="2FF08AA2"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2</w:t>
            </w:r>
          </w:p>
        </w:tc>
        <w:tc>
          <w:tcPr>
            <w:tcW w:w="1701" w:type="dxa"/>
            <w:tcBorders>
              <w:top w:val="single" w:sz="4" w:space="0" w:color="auto"/>
              <w:left w:val="single" w:sz="4" w:space="0" w:color="auto"/>
              <w:bottom w:val="single" w:sz="4" w:space="0" w:color="auto"/>
              <w:right w:val="single" w:sz="4" w:space="0" w:color="auto"/>
            </w:tcBorders>
          </w:tcPr>
          <w:p w14:paraId="3A032AF0" w14:textId="77777777" w:rsidR="001918F5" w:rsidRDefault="001918F5" w:rsidP="001918F5">
            <w:pPr>
              <w:jc w:val="center"/>
            </w:pPr>
            <w:r>
              <w:t>&lt;1%</w:t>
            </w:r>
          </w:p>
        </w:tc>
      </w:tr>
      <w:tr w:rsidR="001918F5" w14:paraId="160AB566"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hideMark/>
          </w:tcPr>
          <w:p w14:paraId="747E7781" w14:textId="77777777" w:rsidR="001918F5" w:rsidRDefault="001918F5" w:rsidP="001918F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559" w:type="dxa"/>
            <w:tcBorders>
              <w:top w:val="single" w:sz="4" w:space="0" w:color="auto"/>
              <w:left w:val="single" w:sz="4" w:space="0" w:color="auto"/>
              <w:bottom w:val="single" w:sz="4" w:space="0" w:color="auto"/>
              <w:right w:val="single" w:sz="4" w:space="0" w:color="auto"/>
            </w:tcBorders>
            <w:vAlign w:val="center"/>
          </w:tcPr>
          <w:p w14:paraId="32BB80C8"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34</w:t>
            </w:r>
          </w:p>
        </w:tc>
        <w:tc>
          <w:tcPr>
            <w:tcW w:w="1701" w:type="dxa"/>
            <w:tcBorders>
              <w:top w:val="single" w:sz="4" w:space="0" w:color="auto"/>
              <w:left w:val="single" w:sz="4" w:space="0" w:color="auto"/>
              <w:bottom w:val="single" w:sz="4" w:space="0" w:color="auto"/>
              <w:right w:val="single" w:sz="4" w:space="0" w:color="auto"/>
            </w:tcBorders>
            <w:vAlign w:val="center"/>
          </w:tcPr>
          <w:p w14:paraId="5E48484E"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7.2%</w:t>
            </w:r>
          </w:p>
        </w:tc>
      </w:tr>
      <w:tr w:rsidR="001918F5" w14:paraId="1DE40D4E"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hideMark/>
          </w:tcPr>
          <w:p w14:paraId="33DDD476" w14:textId="77777777" w:rsidR="001918F5" w:rsidRDefault="001918F5" w:rsidP="001918F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559" w:type="dxa"/>
            <w:tcBorders>
              <w:top w:val="single" w:sz="4" w:space="0" w:color="auto"/>
              <w:left w:val="single" w:sz="4" w:space="0" w:color="auto"/>
              <w:bottom w:val="single" w:sz="4" w:space="0" w:color="auto"/>
              <w:right w:val="single" w:sz="4" w:space="0" w:color="auto"/>
            </w:tcBorders>
            <w:vAlign w:val="center"/>
          </w:tcPr>
          <w:p w14:paraId="602C7481" w14:textId="77777777" w:rsidR="001918F5" w:rsidRDefault="001918F5" w:rsidP="001918F5">
            <w:pPr>
              <w:widowControl w:val="0"/>
              <w:jc w:val="center"/>
              <w:rPr>
                <w:rFonts w:ascii="Calibri" w:hAnsi="Calibri" w:cs="Calibri"/>
                <w:color w:val="000000"/>
                <w:szCs w:val="22"/>
              </w:rPr>
            </w:pPr>
            <w:r>
              <w:rPr>
                <w:rFonts w:ascii="Calibri" w:hAnsi="Calibri" w:cs="Calibri"/>
                <w:color w:val="000000"/>
                <w:szCs w:val="22"/>
              </w:rPr>
              <w:t>9</w:t>
            </w:r>
          </w:p>
        </w:tc>
        <w:tc>
          <w:tcPr>
            <w:tcW w:w="1701" w:type="dxa"/>
            <w:tcBorders>
              <w:top w:val="single" w:sz="4" w:space="0" w:color="auto"/>
              <w:left w:val="single" w:sz="4" w:space="0" w:color="auto"/>
              <w:bottom w:val="single" w:sz="4" w:space="0" w:color="auto"/>
              <w:right w:val="single" w:sz="4" w:space="0" w:color="auto"/>
            </w:tcBorders>
          </w:tcPr>
          <w:p w14:paraId="247E5733" w14:textId="77777777" w:rsidR="001918F5" w:rsidRDefault="001918F5" w:rsidP="001918F5">
            <w:pPr>
              <w:jc w:val="center"/>
            </w:pPr>
            <w:r>
              <w:t>1.7%</w:t>
            </w:r>
          </w:p>
        </w:tc>
      </w:tr>
      <w:tr w:rsidR="001918F5" w14:paraId="4D5A6408"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F31A4" w14:textId="77777777" w:rsidR="001918F5" w:rsidRPr="0080255D" w:rsidRDefault="001918F5" w:rsidP="001918F5">
            <w:pPr>
              <w:widowControl w:val="0"/>
              <w:tabs>
                <w:tab w:val="left" w:pos="176"/>
                <w:tab w:val="left" w:pos="1440"/>
                <w:tab w:val="decimal" w:pos="4320"/>
              </w:tabs>
              <w:jc w:val="left"/>
              <w:outlineLvl w:val="0"/>
              <w:rPr>
                <w:rFonts w:ascii="Calibri" w:hAnsi="Calibri"/>
                <w:b/>
                <w:szCs w:val="22"/>
              </w:rPr>
            </w:pPr>
            <w:r w:rsidRPr="0080255D">
              <w:rPr>
                <w:rFonts w:ascii="Calibri" w:hAnsi="Calibri"/>
                <w:b/>
                <w:szCs w:val="22"/>
              </w:rPr>
              <w:t>Reports/certificates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04549" w14:textId="77777777"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11</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EB9CA" w14:textId="77777777"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2.3%</w:t>
            </w:r>
          </w:p>
        </w:tc>
      </w:tr>
      <w:tr w:rsidR="001918F5" w14:paraId="11278318"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FBC6518" w14:textId="77777777" w:rsidR="001918F5" w:rsidRDefault="001918F5" w:rsidP="001918F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7F098F" w14:textId="77777777" w:rsidR="001918F5" w:rsidRPr="004D62A7" w:rsidRDefault="001918F5" w:rsidP="001918F5">
            <w:pPr>
              <w:widowControl w:val="0"/>
              <w:jc w:val="center"/>
              <w:rPr>
                <w:rFonts w:ascii="Calibri" w:hAnsi="Calibri" w:cs="Calibri"/>
                <w:color w:val="000000"/>
                <w:szCs w:val="22"/>
              </w:rPr>
            </w:pPr>
            <w:r>
              <w:rPr>
                <w:rFonts w:ascii="Calibri" w:hAnsi="Calibri" w:cs="Calibri"/>
                <w:color w:val="000000"/>
                <w:szCs w:val="22"/>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9E837F" w14:textId="77777777" w:rsidR="001918F5" w:rsidRPr="00B32D14" w:rsidRDefault="001918F5" w:rsidP="001918F5">
            <w:pPr>
              <w:widowControl w:val="0"/>
              <w:jc w:val="center"/>
              <w:rPr>
                <w:rFonts w:ascii="Calibri" w:hAnsi="Calibri" w:cs="Calibri"/>
                <w:color w:val="000000"/>
                <w:szCs w:val="22"/>
              </w:rPr>
            </w:pPr>
            <w:r>
              <w:rPr>
                <w:rFonts w:ascii="Calibri" w:hAnsi="Calibri" w:cs="Calibri"/>
                <w:color w:val="000000"/>
                <w:szCs w:val="22"/>
              </w:rPr>
              <w:t>2.3%</w:t>
            </w:r>
          </w:p>
        </w:tc>
      </w:tr>
      <w:tr w:rsidR="001918F5" w14:paraId="48BAF5AA"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BCBEF5" w14:textId="77777777" w:rsidR="001918F5" w:rsidRPr="0080255D" w:rsidRDefault="001918F5" w:rsidP="001918F5">
            <w:pPr>
              <w:widowControl w:val="0"/>
              <w:tabs>
                <w:tab w:val="left" w:pos="176"/>
                <w:tab w:val="left" w:pos="1440"/>
                <w:tab w:val="decimal" w:pos="4320"/>
              </w:tabs>
              <w:jc w:val="left"/>
              <w:outlineLvl w:val="0"/>
              <w:rPr>
                <w:rFonts w:ascii="Calibri" w:hAnsi="Calibri"/>
                <w:b/>
                <w:szCs w:val="22"/>
              </w:rPr>
            </w:pPr>
            <w:r w:rsidRPr="0080255D">
              <w:rPr>
                <w:rFonts w:ascii="Calibri" w:hAnsi="Calibri"/>
                <w:b/>
                <w:szCs w:val="22"/>
              </w:rPr>
              <w:t>Other professional conduct issues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68C6E" w14:textId="17FD5F94"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18</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6201E" w14:textId="1307608E"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3.8%</w:t>
            </w:r>
          </w:p>
        </w:tc>
      </w:tr>
      <w:tr w:rsidR="001918F5" w14:paraId="596AEDDE"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6F61A2" w14:textId="77777777" w:rsidR="001918F5" w:rsidRPr="0080255D" w:rsidRDefault="001918F5" w:rsidP="001918F5">
            <w:pPr>
              <w:widowControl w:val="0"/>
              <w:tabs>
                <w:tab w:val="left" w:pos="176"/>
                <w:tab w:val="left" w:pos="1440"/>
                <w:tab w:val="decimal" w:pos="4320"/>
              </w:tabs>
              <w:outlineLvl w:val="0"/>
              <w:rPr>
                <w:rFonts w:ascii="Calibri" w:hAnsi="Calibri"/>
                <w:b/>
                <w:szCs w:val="22"/>
              </w:rPr>
            </w:pPr>
            <w:r w:rsidRPr="0080255D">
              <w:rPr>
                <w:rFonts w:ascii="Calibri" w:hAnsi="Calibri"/>
                <w:b/>
                <w:szCs w:val="22"/>
              </w:rPr>
              <w:t>Disability-related issues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16CC1" w14:textId="77777777"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19</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5E6FB" w14:textId="7ED39BC0" w:rsidR="001918F5" w:rsidRPr="0080255D" w:rsidRDefault="001918F5" w:rsidP="001918F5">
            <w:pPr>
              <w:widowControl w:val="0"/>
              <w:jc w:val="center"/>
              <w:rPr>
                <w:rFonts w:ascii="Calibri" w:hAnsi="Calibri" w:cs="Calibri"/>
                <w:b/>
                <w:color w:val="000000"/>
                <w:szCs w:val="22"/>
              </w:rPr>
            </w:pPr>
            <w:r w:rsidRPr="0080255D">
              <w:rPr>
                <w:rFonts w:ascii="Calibri" w:hAnsi="Calibri" w:cs="Calibri"/>
                <w:b/>
                <w:color w:val="000000"/>
                <w:szCs w:val="22"/>
              </w:rPr>
              <w:t>4.0%</w:t>
            </w:r>
          </w:p>
        </w:tc>
      </w:tr>
      <w:tr w:rsidR="00E217F6" w14:paraId="4B82A15E" w14:textId="77777777" w:rsidTr="00841E1C">
        <w:trPr>
          <w:trHeight w:val="281"/>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17217" w14:textId="31E927F1" w:rsidR="00E217F6" w:rsidRPr="0080255D" w:rsidRDefault="00E217F6" w:rsidP="001918F5">
            <w:pPr>
              <w:widowControl w:val="0"/>
              <w:tabs>
                <w:tab w:val="left" w:pos="176"/>
                <w:tab w:val="left" w:pos="1440"/>
                <w:tab w:val="decimal" w:pos="4320"/>
              </w:tabs>
              <w:outlineLvl w:val="0"/>
              <w:rPr>
                <w:rFonts w:ascii="Calibri" w:hAnsi="Calibri"/>
                <w:b/>
                <w:szCs w:val="22"/>
              </w:rPr>
            </w:pPr>
            <w:r w:rsidRPr="0080255D">
              <w:rPr>
                <w:rFonts w:ascii="Calibri" w:hAnsi="Calibri"/>
                <w:b/>
                <w:szCs w:val="22"/>
              </w:rPr>
              <w:t>Other issues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2A0D6" w14:textId="018BB231" w:rsidR="00E217F6" w:rsidRPr="0080255D" w:rsidRDefault="003A6FD3" w:rsidP="001918F5">
            <w:pPr>
              <w:widowControl w:val="0"/>
              <w:jc w:val="center"/>
              <w:rPr>
                <w:rFonts w:ascii="Calibri" w:hAnsi="Calibri" w:cs="Calibri"/>
                <w:b/>
                <w:color w:val="000000"/>
                <w:szCs w:val="22"/>
              </w:rPr>
            </w:pPr>
            <w:r>
              <w:rPr>
                <w:rFonts w:ascii="Calibri" w:hAnsi="Calibri" w:cs="Calibri"/>
                <w:b/>
                <w:color w:val="000000"/>
                <w:szCs w:val="22"/>
              </w:rPr>
              <w:t>11</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8132B1" w14:textId="673FAED5" w:rsidR="00E217F6" w:rsidRPr="0080255D" w:rsidRDefault="003A6FD3" w:rsidP="001918F5">
            <w:pPr>
              <w:widowControl w:val="0"/>
              <w:jc w:val="center"/>
              <w:rPr>
                <w:rFonts w:ascii="Calibri" w:hAnsi="Calibri" w:cs="Calibri"/>
                <w:b/>
                <w:color w:val="000000"/>
                <w:szCs w:val="22"/>
              </w:rPr>
            </w:pPr>
            <w:r>
              <w:rPr>
                <w:rFonts w:ascii="Calibri" w:hAnsi="Calibri" w:cs="Calibri"/>
                <w:b/>
                <w:color w:val="000000"/>
                <w:szCs w:val="22"/>
              </w:rPr>
              <w:t>2.3</w:t>
            </w:r>
            <w:r w:rsidR="00E217F6" w:rsidRPr="0080255D">
              <w:rPr>
                <w:rFonts w:ascii="Calibri" w:hAnsi="Calibri" w:cs="Calibri"/>
                <w:b/>
                <w:color w:val="000000"/>
                <w:szCs w:val="22"/>
              </w:rPr>
              <w:t>%</w:t>
            </w:r>
          </w:p>
        </w:tc>
      </w:tr>
    </w:tbl>
    <w:p w14:paraId="763450CF" w14:textId="77777777" w:rsidR="00841E1C" w:rsidRDefault="00841E1C" w:rsidP="00841E1C">
      <w:pPr>
        <w:widowControl w:val="0"/>
        <w:spacing w:after="120"/>
        <w:rPr>
          <w:rFonts w:ascii="Calibri" w:hAnsi="Calibri"/>
          <w:szCs w:val="22"/>
        </w:rPr>
      </w:pPr>
    </w:p>
    <w:p w14:paraId="500D1C5F" w14:textId="77777777" w:rsidR="00841E1C" w:rsidRPr="00AF3542" w:rsidRDefault="00841E1C" w:rsidP="00841E1C">
      <w:pPr>
        <w:spacing w:after="240"/>
        <w:rPr>
          <w:rFonts w:ascii="Calibri" w:hAnsi="Calibri"/>
          <w:szCs w:val="22"/>
        </w:rPr>
      </w:pPr>
      <w:r w:rsidRPr="00AF3542">
        <w:rPr>
          <w:rFonts w:ascii="Calibri" w:hAnsi="Calibri"/>
          <w:szCs w:val="22"/>
        </w:rPr>
        <w:t xml:space="preserve">On analysis of all issues identified in complaints about DHBs, the most common complaint issue categories were: </w:t>
      </w:r>
    </w:p>
    <w:p w14:paraId="22063611" w14:textId="77777777" w:rsidR="00841E1C" w:rsidRPr="00AF3542" w:rsidRDefault="00841E1C" w:rsidP="00841E1C">
      <w:pPr>
        <w:pStyle w:val="ListParagraph"/>
        <w:numPr>
          <w:ilvl w:val="0"/>
          <w:numId w:val="5"/>
        </w:numPr>
        <w:ind w:left="426" w:hanging="426"/>
        <w:rPr>
          <w:rFonts w:ascii="Calibri" w:hAnsi="Calibri"/>
          <w:szCs w:val="22"/>
        </w:rPr>
      </w:pPr>
      <w:r w:rsidRPr="00AF3542">
        <w:rPr>
          <w:rFonts w:ascii="Calibri" w:hAnsi="Calibri"/>
          <w:szCs w:val="22"/>
        </w:rPr>
        <w:t xml:space="preserve">Care/treatment (present for </w:t>
      </w:r>
      <w:r>
        <w:rPr>
          <w:rFonts w:ascii="Calibri" w:hAnsi="Calibri"/>
          <w:szCs w:val="22"/>
        </w:rPr>
        <w:t>8</w:t>
      </w:r>
      <w:r w:rsidRPr="00AF3542">
        <w:rPr>
          <w:rFonts w:ascii="Calibri" w:hAnsi="Calibri"/>
          <w:szCs w:val="22"/>
        </w:rPr>
        <w:t xml:space="preserve">5% of all complaints) </w:t>
      </w:r>
    </w:p>
    <w:p w14:paraId="6354DD93" w14:textId="77777777" w:rsidR="00841E1C" w:rsidRPr="00AF3542" w:rsidRDefault="00841E1C" w:rsidP="00841E1C">
      <w:pPr>
        <w:pStyle w:val="ListParagraph"/>
        <w:numPr>
          <w:ilvl w:val="0"/>
          <w:numId w:val="5"/>
        </w:numPr>
        <w:ind w:left="426" w:hanging="426"/>
        <w:rPr>
          <w:rFonts w:ascii="Calibri" w:hAnsi="Calibri"/>
          <w:szCs w:val="22"/>
        </w:rPr>
      </w:pPr>
      <w:r w:rsidRPr="00AF3542">
        <w:rPr>
          <w:rFonts w:ascii="Calibri" w:hAnsi="Calibri"/>
          <w:szCs w:val="22"/>
        </w:rPr>
        <w:t xml:space="preserve">Communication (present for </w:t>
      </w:r>
      <w:r>
        <w:rPr>
          <w:rFonts w:ascii="Calibri" w:hAnsi="Calibri"/>
          <w:szCs w:val="22"/>
        </w:rPr>
        <w:t>71</w:t>
      </w:r>
      <w:r w:rsidRPr="00AF3542">
        <w:rPr>
          <w:rFonts w:ascii="Calibri" w:hAnsi="Calibri"/>
          <w:szCs w:val="22"/>
        </w:rPr>
        <w:t>% of all complaints)</w:t>
      </w:r>
    </w:p>
    <w:p w14:paraId="49C54178" w14:textId="77777777" w:rsidR="00841E1C" w:rsidRPr="00AF3542" w:rsidRDefault="00841E1C" w:rsidP="00841E1C">
      <w:pPr>
        <w:pStyle w:val="ListParagraph"/>
        <w:numPr>
          <w:ilvl w:val="0"/>
          <w:numId w:val="5"/>
        </w:numPr>
        <w:ind w:left="426" w:hanging="426"/>
        <w:rPr>
          <w:rFonts w:ascii="Calibri" w:hAnsi="Calibri"/>
          <w:szCs w:val="22"/>
        </w:rPr>
      </w:pPr>
      <w:r w:rsidRPr="00AF3542">
        <w:rPr>
          <w:rFonts w:ascii="Calibri" w:hAnsi="Calibri"/>
          <w:szCs w:val="22"/>
        </w:rPr>
        <w:t xml:space="preserve">Access/funding (present for </w:t>
      </w:r>
      <w:r>
        <w:rPr>
          <w:rFonts w:ascii="Calibri" w:hAnsi="Calibri"/>
          <w:szCs w:val="22"/>
        </w:rPr>
        <w:t>25</w:t>
      </w:r>
      <w:r w:rsidRPr="00AF3542">
        <w:rPr>
          <w:rFonts w:ascii="Calibri" w:hAnsi="Calibri"/>
          <w:szCs w:val="22"/>
        </w:rPr>
        <w:t xml:space="preserve">% of all complaints) </w:t>
      </w:r>
    </w:p>
    <w:p w14:paraId="2F6D761B" w14:textId="77777777" w:rsidR="00841E1C" w:rsidRPr="00AF3542" w:rsidRDefault="00841E1C" w:rsidP="00841E1C">
      <w:pPr>
        <w:pStyle w:val="ListParagraph"/>
        <w:numPr>
          <w:ilvl w:val="0"/>
          <w:numId w:val="5"/>
        </w:numPr>
        <w:ind w:left="426" w:hanging="426"/>
        <w:rPr>
          <w:rFonts w:ascii="Calibri" w:hAnsi="Calibri"/>
          <w:szCs w:val="22"/>
        </w:rPr>
      </w:pPr>
      <w:r w:rsidRPr="00AF3542">
        <w:rPr>
          <w:rFonts w:ascii="Calibri" w:hAnsi="Calibri"/>
          <w:szCs w:val="22"/>
        </w:rPr>
        <w:t xml:space="preserve">Consent/information (present for </w:t>
      </w:r>
      <w:r>
        <w:rPr>
          <w:rFonts w:ascii="Calibri" w:hAnsi="Calibri"/>
          <w:szCs w:val="22"/>
        </w:rPr>
        <w:t>24</w:t>
      </w:r>
      <w:r w:rsidRPr="00AF3542">
        <w:rPr>
          <w:rFonts w:ascii="Calibri" w:hAnsi="Calibri"/>
          <w:szCs w:val="22"/>
        </w:rPr>
        <w:t xml:space="preserve">% of all complaints). </w:t>
      </w:r>
    </w:p>
    <w:p w14:paraId="1558B7A9" w14:textId="77777777" w:rsidR="00841E1C" w:rsidRDefault="00841E1C" w:rsidP="00841E1C">
      <w:pPr>
        <w:rPr>
          <w:rFonts w:ascii="Calibri" w:hAnsi="Calibri"/>
          <w:szCs w:val="22"/>
        </w:rPr>
      </w:pPr>
    </w:p>
    <w:p w14:paraId="078A9DAC" w14:textId="786C87B9" w:rsidR="00841E1C" w:rsidRDefault="00841E1C" w:rsidP="00841E1C">
      <w:pPr>
        <w:spacing w:after="240"/>
        <w:rPr>
          <w:rFonts w:ascii="Calibri" w:hAnsi="Calibri"/>
          <w:szCs w:val="22"/>
        </w:rPr>
      </w:pPr>
      <w:r>
        <w:rPr>
          <w:rFonts w:ascii="Calibri" w:hAnsi="Calibri"/>
          <w:szCs w:val="22"/>
        </w:rPr>
        <w:t xml:space="preserve">The most common </w:t>
      </w:r>
      <w:r w:rsidRPr="00AF3542">
        <w:rPr>
          <w:rFonts w:ascii="Calibri" w:hAnsi="Calibri"/>
          <w:i/>
          <w:szCs w:val="22"/>
        </w:rPr>
        <w:t>specific</w:t>
      </w:r>
      <w:r>
        <w:rPr>
          <w:rFonts w:ascii="Calibri" w:hAnsi="Calibri"/>
          <w:szCs w:val="22"/>
        </w:rPr>
        <w:t xml:space="preserve"> issues were: </w:t>
      </w:r>
    </w:p>
    <w:p w14:paraId="6BCF89B4" w14:textId="77777777" w:rsidR="00841E1C" w:rsidRPr="00CD79E2" w:rsidRDefault="00841E1C" w:rsidP="00841E1C">
      <w:pPr>
        <w:pStyle w:val="ListParagraph"/>
        <w:numPr>
          <w:ilvl w:val="0"/>
          <w:numId w:val="6"/>
        </w:numPr>
        <w:ind w:left="426" w:hanging="426"/>
        <w:rPr>
          <w:lang w:eastAsia="en-NZ" w:bidi="ar-SA"/>
        </w:rPr>
      </w:pPr>
      <w:r>
        <w:rPr>
          <w:rFonts w:ascii="Calibri" w:hAnsi="Calibri"/>
          <w:szCs w:val="22"/>
        </w:rPr>
        <w:t>F</w:t>
      </w:r>
      <w:r w:rsidRPr="00064B53">
        <w:rPr>
          <w:rFonts w:ascii="Calibri" w:hAnsi="Calibri"/>
          <w:szCs w:val="22"/>
        </w:rPr>
        <w:t>ailure to communicate effectively with consumer</w:t>
      </w:r>
      <w:r>
        <w:rPr>
          <w:rFonts w:ascii="Calibri" w:hAnsi="Calibri"/>
          <w:szCs w:val="22"/>
        </w:rPr>
        <w:t xml:space="preserve"> (43%)</w:t>
      </w:r>
    </w:p>
    <w:p w14:paraId="13E29D67" w14:textId="77777777" w:rsidR="00841E1C" w:rsidRPr="00B32D14" w:rsidRDefault="00841E1C" w:rsidP="00841E1C">
      <w:pPr>
        <w:pStyle w:val="ListParagraph"/>
        <w:numPr>
          <w:ilvl w:val="0"/>
          <w:numId w:val="6"/>
        </w:numPr>
        <w:ind w:left="426" w:hanging="426"/>
        <w:rPr>
          <w:lang w:eastAsia="en-NZ" w:bidi="ar-SA"/>
        </w:rPr>
      </w:pPr>
      <w:r w:rsidRPr="00064B53">
        <w:rPr>
          <w:rFonts w:ascii="Calibri" w:hAnsi="Calibri"/>
          <w:szCs w:val="22"/>
        </w:rPr>
        <w:t>Inadequate/i</w:t>
      </w:r>
      <w:r>
        <w:rPr>
          <w:rFonts w:ascii="Calibri" w:hAnsi="Calibri"/>
          <w:szCs w:val="22"/>
        </w:rPr>
        <w:t>nappropriate clinical treatment (40%)</w:t>
      </w:r>
    </w:p>
    <w:p w14:paraId="77BD382E" w14:textId="6DDD6A5B" w:rsidR="00841E1C" w:rsidRPr="00A65512" w:rsidRDefault="00841E1C" w:rsidP="00841E1C">
      <w:pPr>
        <w:pStyle w:val="ListParagraph"/>
        <w:numPr>
          <w:ilvl w:val="0"/>
          <w:numId w:val="6"/>
        </w:numPr>
        <w:ind w:left="426" w:hanging="426"/>
        <w:rPr>
          <w:lang w:eastAsia="en-NZ" w:bidi="ar-SA"/>
        </w:rPr>
      </w:pPr>
      <w:r>
        <w:rPr>
          <w:rFonts w:ascii="Calibri" w:hAnsi="Calibri"/>
          <w:szCs w:val="22"/>
        </w:rPr>
        <w:t>I</w:t>
      </w:r>
      <w:r w:rsidRPr="00064B53">
        <w:rPr>
          <w:rFonts w:ascii="Calibri" w:hAnsi="Calibri"/>
          <w:szCs w:val="22"/>
        </w:rPr>
        <w:t>nadequate/inappropriate examination/a</w:t>
      </w:r>
      <w:r>
        <w:rPr>
          <w:rFonts w:ascii="Calibri" w:hAnsi="Calibri"/>
          <w:szCs w:val="22"/>
        </w:rPr>
        <w:t>ssessment (27%)</w:t>
      </w:r>
    </w:p>
    <w:p w14:paraId="3580EA93" w14:textId="1536BE95" w:rsidR="00A65512" w:rsidRPr="00B32D14" w:rsidRDefault="00A65512" w:rsidP="00A65512">
      <w:pPr>
        <w:pStyle w:val="ListParagraph"/>
        <w:numPr>
          <w:ilvl w:val="0"/>
          <w:numId w:val="6"/>
        </w:numPr>
        <w:ind w:left="426" w:hanging="426"/>
        <w:rPr>
          <w:lang w:eastAsia="en-NZ" w:bidi="ar-SA"/>
        </w:rPr>
      </w:pPr>
      <w:r>
        <w:rPr>
          <w:rFonts w:ascii="Calibri" w:hAnsi="Calibri"/>
          <w:szCs w:val="22"/>
        </w:rPr>
        <w:t>Failure to communicate effectively with family (23%)</w:t>
      </w:r>
    </w:p>
    <w:p w14:paraId="31212CA8" w14:textId="77777777" w:rsidR="00841E1C" w:rsidRPr="00CD79E2" w:rsidRDefault="00841E1C" w:rsidP="00841E1C">
      <w:pPr>
        <w:pStyle w:val="ListParagraph"/>
        <w:numPr>
          <w:ilvl w:val="0"/>
          <w:numId w:val="6"/>
        </w:numPr>
        <w:ind w:left="426" w:hanging="426"/>
        <w:rPr>
          <w:lang w:eastAsia="en-NZ" w:bidi="ar-SA"/>
        </w:rPr>
      </w:pPr>
      <w:r>
        <w:rPr>
          <w:rFonts w:ascii="Calibri" w:hAnsi="Calibri"/>
          <w:szCs w:val="22"/>
        </w:rPr>
        <w:t>M</w:t>
      </w:r>
      <w:r w:rsidRPr="00064B53">
        <w:rPr>
          <w:rFonts w:ascii="Calibri" w:hAnsi="Calibri"/>
          <w:szCs w:val="22"/>
        </w:rPr>
        <w:t>issed/incorrect/delay</w:t>
      </w:r>
      <w:r>
        <w:rPr>
          <w:rFonts w:ascii="Calibri" w:hAnsi="Calibri"/>
          <w:szCs w:val="22"/>
        </w:rPr>
        <w:t>ed diagnosis (19%)</w:t>
      </w:r>
    </w:p>
    <w:p w14:paraId="60BAEAE4" w14:textId="77777777" w:rsidR="00841E1C" w:rsidRPr="00AF4742" w:rsidRDefault="00841E1C" w:rsidP="00841E1C">
      <w:pPr>
        <w:pStyle w:val="ListParagraph"/>
        <w:numPr>
          <w:ilvl w:val="0"/>
          <w:numId w:val="6"/>
        </w:numPr>
        <w:ind w:left="426" w:hanging="426"/>
        <w:rPr>
          <w:lang w:eastAsia="en-NZ" w:bidi="ar-SA"/>
        </w:rPr>
      </w:pPr>
      <w:r>
        <w:rPr>
          <w:rFonts w:ascii="Calibri" w:hAnsi="Calibri"/>
          <w:szCs w:val="22"/>
        </w:rPr>
        <w:t>Delay in treatment (19%)</w:t>
      </w:r>
    </w:p>
    <w:p w14:paraId="7DD22010" w14:textId="7FAFB363" w:rsidR="00841E1C" w:rsidRPr="00A65512" w:rsidRDefault="00841E1C" w:rsidP="00841E1C">
      <w:pPr>
        <w:pStyle w:val="ListParagraph"/>
        <w:numPr>
          <w:ilvl w:val="0"/>
          <w:numId w:val="6"/>
        </w:numPr>
        <w:ind w:left="426" w:hanging="426"/>
        <w:rPr>
          <w:lang w:eastAsia="en-NZ" w:bidi="ar-SA"/>
        </w:rPr>
      </w:pPr>
      <w:r>
        <w:rPr>
          <w:rFonts w:ascii="Calibri" w:hAnsi="Calibri"/>
          <w:szCs w:val="22"/>
        </w:rPr>
        <w:t>I</w:t>
      </w:r>
      <w:r w:rsidRPr="00064B53">
        <w:rPr>
          <w:rFonts w:ascii="Calibri" w:hAnsi="Calibri"/>
          <w:szCs w:val="22"/>
        </w:rPr>
        <w:t>nadequate coordinatio</w:t>
      </w:r>
      <w:r>
        <w:rPr>
          <w:rFonts w:ascii="Calibri" w:hAnsi="Calibri"/>
          <w:szCs w:val="22"/>
        </w:rPr>
        <w:t>n of care/treatment</w:t>
      </w:r>
      <w:r w:rsidRPr="00064B53">
        <w:rPr>
          <w:rFonts w:ascii="Calibri" w:hAnsi="Calibri"/>
          <w:szCs w:val="22"/>
        </w:rPr>
        <w:t xml:space="preserve"> </w:t>
      </w:r>
      <w:r>
        <w:rPr>
          <w:rFonts w:ascii="Calibri" w:hAnsi="Calibri"/>
          <w:szCs w:val="22"/>
        </w:rPr>
        <w:t>(18%)</w:t>
      </w:r>
    </w:p>
    <w:p w14:paraId="1D41F306" w14:textId="77777777" w:rsidR="00A65512" w:rsidRPr="00064B53" w:rsidRDefault="00A65512" w:rsidP="00A65512">
      <w:pPr>
        <w:pStyle w:val="ListParagraph"/>
        <w:numPr>
          <w:ilvl w:val="0"/>
          <w:numId w:val="6"/>
        </w:numPr>
        <w:ind w:left="426" w:hanging="426"/>
        <w:rPr>
          <w:lang w:eastAsia="en-NZ" w:bidi="ar-SA"/>
        </w:rPr>
      </w:pPr>
      <w:r>
        <w:rPr>
          <w:rFonts w:ascii="Calibri" w:hAnsi="Calibri"/>
          <w:szCs w:val="22"/>
        </w:rPr>
        <w:t>Inadequate response to complaint (17%)</w:t>
      </w:r>
    </w:p>
    <w:p w14:paraId="012513F5" w14:textId="77777777" w:rsidR="00841E1C" w:rsidRPr="00064B53" w:rsidRDefault="00841E1C" w:rsidP="00841E1C">
      <w:pPr>
        <w:pStyle w:val="ListParagraph"/>
        <w:numPr>
          <w:ilvl w:val="0"/>
          <w:numId w:val="6"/>
        </w:numPr>
        <w:ind w:left="426" w:hanging="426"/>
        <w:rPr>
          <w:lang w:eastAsia="en-NZ" w:bidi="ar-SA"/>
        </w:rPr>
      </w:pPr>
      <w:r>
        <w:rPr>
          <w:rFonts w:ascii="Calibri" w:hAnsi="Calibri"/>
          <w:szCs w:val="22"/>
        </w:rPr>
        <w:t>Disrespectful manner/attitude (17%)</w:t>
      </w:r>
    </w:p>
    <w:p w14:paraId="067B4126" w14:textId="77777777" w:rsidR="00841E1C" w:rsidRPr="00064B53" w:rsidRDefault="00841E1C" w:rsidP="00841E1C">
      <w:pPr>
        <w:pStyle w:val="ListParagraph"/>
        <w:numPr>
          <w:ilvl w:val="0"/>
          <w:numId w:val="6"/>
        </w:numPr>
        <w:ind w:left="426" w:hanging="426"/>
        <w:rPr>
          <w:lang w:eastAsia="en-NZ" w:bidi="ar-SA"/>
        </w:rPr>
      </w:pPr>
      <w:r>
        <w:rPr>
          <w:rFonts w:ascii="Calibri" w:hAnsi="Calibri"/>
          <w:szCs w:val="22"/>
        </w:rPr>
        <w:t>Unexpected treatment outcome (15%)</w:t>
      </w:r>
    </w:p>
    <w:p w14:paraId="419E34C8" w14:textId="77777777" w:rsidR="00841E1C" w:rsidRDefault="00841E1C" w:rsidP="00841E1C">
      <w:pPr>
        <w:rPr>
          <w:rFonts w:ascii="Calibri" w:hAnsi="Calibri"/>
          <w:szCs w:val="22"/>
        </w:rPr>
      </w:pPr>
    </w:p>
    <w:p w14:paraId="6D5BACFA" w14:textId="5D6CBC04" w:rsidR="00841E1C" w:rsidRDefault="00841E1C" w:rsidP="00841E1C">
      <w:pPr>
        <w:rPr>
          <w:lang w:eastAsia="en-NZ" w:bidi="ar-SA"/>
        </w:rPr>
      </w:pPr>
      <w:r>
        <w:rPr>
          <w:rFonts w:ascii="Calibri" w:hAnsi="Calibri"/>
          <w:szCs w:val="22"/>
        </w:rPr>
        <w:t>This is</w:t>
      </w:r>
      <w:r w:rsidRPr="00FE7D99">
        <w:rPr>
          <w:rFonts w:ascii="Calibri" w:hAnsi="Calibri"/>
          <w:szCs w:val="22"/>
        </w:rPr>
        <w:t xml:space="preserve"> broadly similar to what was seen</w:t>
      </w:r>
      <w:r>
        <w:rPr>
          <w:rFonts w:ascii="Calibri" w:hAnsi="Calibri"/>
          <w:szCs w:val="22"/>
        </w:rPr>
        <w:t xml:space="preserve"> in the last six-month</w:t>
      </w:r>
      <w:r w:rsidRPr="00FE7D99">
        <w:rPr>
          <w:rFonts w:ascii="Calibri" w:hAnsi="Calibri"/>
          <w:szCs w:val="22"/>
        </w:rPr>
        <w:t xml:space="preserve"> period.</w:t>
      </w:r>
      <w:r>
        <w:rPr>
          <w:rFonts w:ascii="Calibri" w:hAnsi="Calibri"/>
          <w:szCs w:val="22"/>
        </w:rPr>
        <w:t xml:space="preserve"> There was an increase in complaints about an inadequate response to the consume</w:t>
      </w:r>
      <w:r w:rsidR="00A65512">
        <w:rPr>
          <w:rFonts w:ascii="Calibri" w:hAnsi="Calibri"/>
          <w:szCs w:val="22"/>
        </w:rPr>
        <w:t xml:space="preserve">r’s complaint by the DHB, from </w:t>
      </w:r>
      <w:r>
        <w:rPr>
          <w:rFonts w:ascii="Calibri" w:hAnsi="Calibri"/>
          <w:szCs w:val="22"/>
        </w:rPr>
        <w:t xml:space="preserve">10% in the previous reporting period to </w:t>
      </w:r>
      <w:r w:rsidR="00A65512">
        <w:rPr>
          <w:rFonts w:ascii="Calibri" w:hAnsi="Calibri"/>
          <w:szCs w:val="22"/>
        </w:rPr>
        <w:t>17</w:t>
      </w:r>
      <w:r>
        <w:rPr>
          <w:rFonts w:ascii="Calibri" w:hAnsi="Calibri"/>
          <w:szCs w:val="22"/>
        </w:rPr>
        <w:t xml:space="preserve">% in Jul-Dec 2019. </w:t>
      </w:r>
    </w:p>
    <w:p w14:paraId="7107E83B" w14:textId="77777777" w:rsidR="00841E1C" w:rsidRDefault="00841E1C" w:rsidP="00841E1C"/>
    <w:p w14:paraId="5765118C" w14:textId="77777777" w:rsidR="00841E1C" w:rsidRPr="003607E1" w:rsidRDefault="00841E1C" w:rsidP="00841E1C">
      <w:pPr>
        <w:pStyle w:val="Heading3"/>
      </w:pPr>
      <w:bookmarkStart w:id="91" w:name="_Toc426462635"/>
      <w:bookmarkStart w:id="92" w:name="_Toc443992230"/>
      <w:bookmarkStart w:id="93" w:name="_Toc445910054"/>
      <w:bookmarkStart w:id="94" w:name="_Toc447291338"/>
      <w:bookmarkStart w:id="95" w:name="_Toc447291476"/>
      <w:bookmarkStart w:id="96" w:name="_Toc447527533"/>
      <w:bookmarkStart w:id="97" w:name="_Toc493684131"/>
      <w:bookmarkStart w:id="98" w:name="_Toc39138051"/>
      <w:r w:rsidRPr="003607E1">
        <w:t>3.3</w:t>
      </w:r>
      <w:r w:rsidRPr="003607E1">
        <w:tab/>
        <w:t>Service type and primary issue</w:t>
      </w:r>
      <w:bookmarkEnd w:id="91"/>
      <w:bookmarkEnd w:id="92"/>
      <w:bookmarkEnd w:id="93"/>
      <w:bookmarkEnd w:id="94"/>
      <w:bookmarkEnd w:id="95"/>
      <w:bookmarkEnd w:id="96"/>
      <w:bookmarkEnd w:id="97"/>
      <w:bookmarkEnd w:id="98"/>
    </w:p>
    <w:p w14:paraId="29241091" w14:textId="69B23F61" w:rsidR="00281A03" w:rsidRDefault="00841E1C" w:rsidP="00841E1C">
      <w:pPr>
        <w:keepNext/>
        <w:keepLines/>
        <w:spacing w:after="480"/>
      </w:pPr>
      <w:r>
        <w:t>Table 9 shows the top three primary issues in complaints concerning the most commonly complained about service types. This is broadly similar to what was seen in the last six-month period.</w:t>
      </w:r>
      <w:r w:rsidR="00281A03">
        <w:t xml:space="preserve"> </w:t>
      </w:r>
      <w:r w:rsidR="00091893">
        <w:t xml:space="preserve">However, </w:t>
      </w:r>
      <w:r w:rsidR="00281A03">
        <w:t xml:space="preserve">there was an increase in the proportion of complaints regarding inadequate follow-up for mental health services and inadequate coordination of care/treatment for medicine services in Jul-Dec 2019. </w:t>
      </w:r>
    </w:p>
    <w:p w14:paraId="48126C9A" w14:textId="04C3832D" w:rsidR="00281A03" w:rsidRDefault="00841E1C" w:rsidP="0080255D">
      <w:pPr>
        <w:keepNext/>
        <w:keepLines/>
        <w:spacing w:after="480"/>
        <w:rPr>
          <w:szCs w:val="22"/>
        </w:rPr>
      </w:pPr>
      <w:r>
        <w:rPr>
          <w:b/>
          <w:szCs w:val="22"/>
        </w:rPr>
        <w:t xml:space="preserve">Table 9. </w:t>
      </w:r>
      <w:r>
        <w:rPr>
          <w:szCs w:val="22"/>
        </w:rPr>
        <w:t>Three most common primary issues in complaints by service typ</w:t>
      </w:r>
      <w:r w:rsidR="00091893">
        <w:rPr>
          <w:szCs w:val="22"/>
        </w:rPr>
        <w:t>e</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562"/>
        <w:gridCol w:w="1624"/>
        <w:gridCol w:w="562"/>
        <w:gridCol w:w="1630"/>
        <w:gridCol w:w="562"/>
        <w:gridCol w:w="1677"/>
        <w:gridCol w:w="679"/>
      </w:tblGrid>
      <w:tr w:rsidR="00281A03" w14:paraId="0285771B" w14:textId="77777777" w:rsidTr="00281A03">
        <w:tc>
          <w:tcPr>
            <w:tcW w:w="1225" w:type="pct"/>
            <w:gridSpan w:val="2"/>
            <w:tcBorders>
              <w:top w:val="single" w:sz="4" w:space="0" w:color="auto"/>
              <w:left w:val="single" w:sz="4" w:space="0" w:color="auto"/>
              <w:bottom w:val="single" w:sz="4" w:space="0" w:color="auto"/>
              <w:right w:val="single" w:sz="4" w:space="0" w:color="auto"/>
            </w:tcBorders>
            <w:hideMark/>
          </w:tcPr>
          <w:p w14:paraId="697AC8C6" w14:textId="77777777" w:rsidR="00281A03" w:rsidRPr="00E30917" w:rsidRDefault="00281A03" w:rsidP="00281A03">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Surgery</w:t>
            </w:r>
          </w:p>
          <w:p w14:paraId="26755495" w14:textId="62963D74" w:rsidR="00281A03" w:rsidRPr="00E30917" w:rsidRDefault="00281A03" w:rsidP="00281A03">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n=157</w:t>
            </w:r>
          </w:p>
        </w:tc>
        <w:tc>
          <w:tcPr>
            <w:tcW w:w="1222" w:type="pct"/>
            <w:gridSpan w:val="2"/>
            <w:tcBorders>
              <w:top w:val="single" w:sz="4" w:space="0" w:color="auto"/>
              <w:left w:val="single" w:sz="4" w:space="0" w:color="auto"/>
              <w:bottom w:val="single" w:sz="4" w:space="0" w:color="auto"/>
              <w:right w:val="single" w:sz="4" w:space="0" w:color="auto"/>
            </w:tcBorders>
            <w:hideMark/>
          </w:tcPr>
          <w:p w14:paraId="7E3AAD3E" w14:textId="77777777" w:rsidR="00281A03" w:rsidRPr="00E30917" w:rsidRDefault="00281A03" w:rsidP="00281A03">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Mental health</w:t>
            </w:r>
          </w:p>
          <w:p w14:paraId="2C1530EA" w14:textId="33783A0C" w:rsidR="00281A03" w:rsidRPr="00E30917" w:rsidRDefault="00281A03" w:rsidP="00281A03">
            <w:pPr>
              <w:keepNext/>
              <w:keepLines/>
              <w:tabs>
                <w:tab w:val="left" w:pos="1440"/>
                <w:tab w:val="decimal" w:pos="4320"/>
              </w:tabs>
              <w:ind w:left="139" w:right="10" w:firstLine="13"/>
              <w:jc w:val="center"/>
              <w:outlineLvl w:val="0"/>
              <w:rPr>
                <w:rFonts w:ascii="Calibri" w:hAnsi="Calibri"/>
                <w:b/>
                <w:sz w:val="20"/>
                <w:szCs w:val="20"/>
              </w:rPr>
            </w:pPr>
            <w:r w:rsidRPr="00E30917">
              <w:rPr>
                <w:rFonts w:ascii="Calibri" w:hAnsi="Calibri"/>
                <w:b/>
                <w:sz w:val="20"/>
                <w:szCs w:val="20"/>
              </w:rPr>
              <w:t>n=</w:t>
            </w:r>
            <w:r>
              <w:rPr>
                <w:rFonts w:ascii="Calibri" w:hAnsi="Calibri"/>
                <w:b/>
                <w:sz w:val="20"/>
                <w:szCs w:val="20"/>
              </w:rPr>
              <w:t>127</w:t>
            </w:r>
          </w:p>
        </w:tc>
        <w:tc>
          <w:tcPr>
            <w:tcW w:w="1224" w:type="pct"/>
            <w:gridSpan w:val="2"/>
            <w:tcBorders>
              <w:top w:val="single" w:sz="4" w:space="0" w:color="auto"/>
              <w:left w:val="single" w:sz="4" w:space="0" w:color="auto"/>
              <w:bottom w:val="single" w:sz="4" w:space="0" w:color="auto"/>
              <w:right w:val="single" w:sz="4" w:space="0" w:color="auto"/>
            </w:tcBorders>
            <w:hideMark/>
          </w:tcPr>
          <w:p w14:paraId="4402518E" w14:textId="77777777" w:rsidR="00281A03" w:rsidRPr="00E30917" w:rsidRDefault="00281A03" w:rsidP="00281A03">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Medicine</w:t>
            </w:r>
          </w:p>
          <w:p w14:paraId="27FF988B" w14:textId="08EC36BB" w:rsidR="00281A03" w:rsidRPr="00E30917" w:rsidRDefault="00281A03" w:rsidP="00281A03">
            <w:pPr>
              <w:keepNext/>
              <w:keepLines/>
              <w:tabs>
                <w:tab w:val="left" w:pos="1440"/>
                <w:tab w:val="decimal" w:pos="4320"/>
              </w:tabs>
              <w:ind w:left="139" w:right="10" w:firstLine="13"/>
              <w:jc w:val="center"/>
              <w:outlineLvl w:val="0"/>
              <w:rPr>
                <w:rFonts w:ascii="Calibri" w:hAnsi="Calibri"/>
                <w:b/>
                <w:sz w:val="20"/>
                <w:szCs w:val="20"/>
              </w:rPr>
            </w:pPr>
            <w:r w:rsidRPr="00E30917">
              <w:rPr>
                <w:rFonts w:ascii="Calibri" w:hAnsi="Calibri"/>
                <w:b/>
                <w:sz w:val="20"/>
                <w:szCs w:val="20"/>
              </w:rPr>
              <w:t>n=</w:t>
            </w:r>
            <w:r>
              <w:rPr>
                <w:rFonts w:ascii="Calibri" w:hAnsi="Calibri"/>
                <w:b/>
                <w:sz w:val="20"/>
                <w:szCs w:val="20"/>
              </w:rPr>
              <w:t>82</w:t>
            </w:r>
          </w:p>
        </w:tc>
        <w:tc>
          <w:tcPr>
            <w:tcW w:w="1329" w:type="pct"/>
            <w:gridSpan w:val="2"/>
            <w:tcBorders>
              <w:top w:val="single" w:sz="4" w:space="0" w:color="auto"/>
              <w:left w:val="single" w:sz="4" w:space="0" w:color="auto"/>
              <w:bottom w:val="single" w:sz="4" w:space="0" w:color="auto"/>
              <w:right w:val="single" w:sz="4" w:space="0" w:color="auto"/>
            </w:tcBorders>
            <w:hideMark/>
          </w:tcPr>
          <w:p w14:paraId="138BCBD0" w14:textId="77777777" w:rsidR="00281A03" w:rsidRPr="00E30917" w:rsidRDefault="00281A03" w:rsidP="00281A03">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Emergency department</w:t>
            </w:r>
          </w:p>
          <w:p w14:paraId="7516B0B1" w14:textId="5C3CDAD5" w:rsidR="00281A03" w:rsidRPr="00E30917" w:rsidRDefault="00281A03" w:rsidP="00281A03">
            <w:pPr>
              <w:jc w:val="center"/>
              <w:rPr>
                <w:rFonts w:ascii="Calibri" w:hAnsi="Calibri"/>
                <w:b/>
                <w:sz w:val="20"/>
                <w:szCs w:val="20"/>
              </w:rPr>
            </w:pPr>
            <w:r>
              <w:rPr>
                <w:rFonts w:ascii="Calibri" w:hAnsi="Calibri"/>
                <w:b/>
                <w:sz w:val="20"/>
                <w:szCs w:val="20"/>
              </w:rPr>
              <w:t>n=57</w:t>
            </w:r>
          </w:p>
        </w:tc>
      </w:tr>
      <w:tr w:rsidR="00281A03" w14:paraId="0F4F0175" w14:textId="77777777" w:rsidTr="00281A03">
        <w:trPr>
          <w:trHeight w:val="450"/>
        </w:trPr>
        <w:tc>
          <w:tcPr>
            <w:tcW w:w="918" w:type="pct"/>
            <w:tcBorders>
              <w:top w:val="single" w:sz="4" w:space="0" w:color="auto"/>
              <w:left w:val="single" w:sz="4" w:space="0" w:color="auto"/>
              <w:bottom w:val="single" w:sz="4" w:space="0" w:color="auto"/>
              <w:right w:val="single" w:sz="4" w:space="0" w:color="auto"/>
            </w:tcBorders>
            <w:vAlign w:val="center"/>
            <w:hideMark/>
          </w:tcPr>
          <w:p w14:paraId="55370393"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Unexpected treatment outcome</w:t>
            </w:r>
          </w:p>
        </w:tc>
        <w:tc>
          <w:tcPr>
            <w:tcW w:w="307" w:type="pct"/>
            <w:tcBorders>
              <w:top w:val="single" w:sz="4" w:space="0" w:color="auto"/>
              <w:left w:val="single" w:sz="4" w:space="0" w:color="auto"/>
              <w:bottom w:val="single" w:sz="4" w:space="0" w:color="auto"/>
              <w:right w:val="single" w:sz="4" w:space="0" w:color="auto"/>
            </w:tcBorders>
            <w:vAlign w:val="center"/>
            <w:hideMark/>
          </w:tcPr>
          <w:p w14:paraId="3A910428" w14:textId="77777777" w:rsidR="00281A03" w:rsidRDefault="00281A03" w:rsidP="00281A03">
            <w:pPr>
              <w:keepNext/>
              <w:keepLines/>
              <w:tabs>
                <w:tab w:val="left" w:pos="1440"/>
                <w:tab w:val="decimal" w:pos="4320"/>
              </w:tabs>
              <w:jc w:val="center"/>
              <w:outlineLvl w:val="0"/>
              <w:rPr>
                <w:rFonts w:ascii="Calibri" w:hAnsi="Calibri"/>
                <w:sz w:val="20"/>
                <w:szCs w:val="20"/>
              </w:rPr>
            </w:pPr>
            <w:r>
              <w:rPr>
                <w:rFonts w:ascii="Calibri" w:hAnsi="Calibri"/>
                <w:sz w:val="20"/>
                <w:szCs w:val="20"/>
              </w:rPr>
              <w:t>23%</w:t>
            </w:r>
          </w:p>
        </w:tc>
        <w:tc>
          <w:tcPr>
            <w:tcW w:w="915" w:type="pct"/>
            <w:tcBorders>
              <w:top w:val="single" w:sz="4" w:space="0" w:color="auto"/>
              <w:left w:val="single" w:sz="4" w:space="0" w:color="auto"/>
              <w:bottom w:val="single" w:sz="4" w:space="0" w:color="auto"/>
              <w:right w:val="single" w:sz="4" w:space="0" w:color="auto"/>
            </w:tcBorders>
            <w:vAlign w:val="center"/>
          </w:tcPr>
          <w:p w14:paraId="685956A2"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Issues with involuntary admission/</w:t>
            </w:r>
          </w:p>
          <w:p w14:paraId="465D7877" w14:textId="0D6D97C6"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Treatment</w:t>
            </w:r>
          </w:p>
        </w:tc>
        <w:tc>
          <w:tcPr>
            <w:tcW w:w="307" w:type="pct"/>
            <w:tcBorders>
              <w:top w:val="single" w:sz="4" w:space="0" w:color="auto"/>
              <w:left w:val="single" w:sz="4" w:space="0" w:color="auto"/>
              <w:bottom w:val="single" w:sz="4" w:space="0" w:color="auto"/>
              <w:right w:val="single" w:sz="4" w:space="0" w:color="auto"/>
            </w:tcBorders>
            <w:vAlign w:val="center"/>
          </w:tcPr>
          <w:p w14:paraId="0AE3517D" w14:textId="366FF408" w:rsidR="00281A03" w:rsidRDefault="00281A03" w:rsidP="00281A03">
            <w:pPr>
              <w:keepNext/>
              <w:keepLines/>
              <w:tabs>
                <w:tab w:val="left" w:pos="1440"/>
                <w:tab w:val="decimal" w:pos="4320"/>
              </w:tabs>
              <w:jc w:val="center"/>
              <w:outlineLvl w:val="0"/>
              <w:rPr>
                <w:rFonts w:ascii="Calibri" w:hAnsi="Calibri"/>
                <w:sz w:val="20"/>
                <w:szCs w:val="20"/>
              </w:rPr>
            </w:pPr>
            <w:r>
              <w:rPr>
                <w:rFonts w:ascii="Calibri" w:hAnsi="Calibri"/>
                <w:sz w:val="20"/>
                <w:szCs w:val="20"/>
              </w:rPr>
              <w:t>15%</w:t>
            </w:r>
          </w:p>
        </w:tc>
        <w:tc>
          <w:tcPr>
            <w:tcW w:w="918" w:type="pct"/>
            <w:tcBorders>
              <w:top w:val="single" w:sz="4" w:space="0" w:color="auto"/>
              <w:left w:val="single" w:sz="4" w:space="0" w:color="auto"/>
              <w:bottom w:val="single" w:sz="4" w:space="0" w:color="auto"/>
              <w:right w:val="single" w:sz="4" w:space="0" w:color="auto"/>
            </w:tcBorders>
            <w:vAlign w:val="center"/>
          </w:tcPr>
          <w:p w14:paraId="4DB9DD3C"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14:paraId="6E6922CE"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14:paraId="52693B23"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06" w:type="pct"/>
            <w:tcBorders>
              <w:top w:val="single" w:sz="4" w:space="0" w:color="auto"/>
              <w:left w:val="single" w:sz="4" w:space="0" w:color="auto"/>
              <w:bottom w:val="single" w:sz="4" w:space="0" w:color="auto"/>
              <w:right w:val="single" w:sz="4" w:space="0" w:color="auto"/>
            </w:tcBorders>
            <w:vAlign w:val="center"/>
          </w:tcPr>
          <w:p w14:paraId="2A0E82C3" w14:textId="62440CDE" w:rsidR="00281A03" w:rsidRDefault="00281A03" w:rsidP="00281A03">
            <w:pPr>
              <w:keepNext/>
              <w:keepLines/>
              <w:tabs>
                <w:tab w:val="left" w:pos="1440"/>
                <w:tab w:val="decimal" w:pos="4320"/>
              </w:tabs>
              <w:jc w:val="center"/>
              <w:outlineLvl w:val="0"/>
              <w:rPr>
                <w:rFonts w:ascii="Calibri" w:hAnsi="Calibri"/>
                <w:sz w:val="20"/>
                <w:szCs w:val="20"/>
              </w:rPr>
            </w:pPr>
            <w:r>
              <w:rPr>
                <w:rFonts w:ascii="Calibri" w:hAnsi="Calibri"/>
                <w:sz w:val="20"/>
                <w:szCs w:val="20"/>
              </w:rPr>
              <w:t>24%</w:t>
            </w:r>
          </w:p>
        </w:tc>
        <w:tc>
          <w:tcPr>
            <w:tcW w:w="944" w:type="pct"/>
            <w:tcBorders>
              <w:top w:val="single" w:sz="4" w:space="0" w:color="auto"/>
              <w:left w:val="single" w:sz="4" w:space="0" w:color="auto"/>
              <w:bottom w:val="single" w:sz="4" w:space="0" w:color="auto"/>
              <w:right w:val="single" w:sz="4" w:space="0" w:color="auto"/>
            </w:tcBorders>
            <w:vAlign w:val="center"/>
          </w:tcPr>
          <w:p w14:paraId="09BB2C8A"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14:paraId="6CA8585C"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14:paraId="1152C466"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85" w:type="pct"/>
            <w:tcBorders>
              <w:top w:val="single" w:sz="4" w:space="0" w:color="auto"/>
              <w:left w:val="single" w:sz="4" w:space="0" w:color="auto"/>
              <w:bottom w:val="single" w:sz="4" w:space="0" w:color="auto"/>
              <w:right w:val="single" w:sz="4" w:space="0" w:color="auto"/>
            </w:tcBorders>
            <w:vAlign w:val="center"/>
          </w:tcPr>
          <w:p w14:paraId="2F454403" w14:textId="0795D01E" w:rsidR="00281A03" w:rsidRDefault="00281A03" w:rsidP="00281A03">
            <w:pPr>
              <w:keepNext/>
              <w:keepLines/>
              <w:tabs>
                <w:tab w:val="left" w:pos="1440"/>
                <w:tab w:val="decimal" w:pos="4320"/>
              </w:tabs>
              <w:jc w:val="center"/>
              <w:outlineLvl w:val="0"/>
              <w:rPr>
                <w:rFonts w:ascii="Calibri" w:hAnsi="Calibri"/>
                <w:sz w:val="20"/>
                <w:szCs w:val="20"/>
              </w:rPr>
            </w:pPr>
            <w:r>
              <w:rPr>
                <w:rFonts w:ascii="Calibri" w:hAnsi="Calibri"/>
                <w:sz w:val="20"/>
                <w:szCs w:val="20"/>
              </w:rPr>
              <w:t>32%</w:t>
            </w:r>
          </w:p>
        </w:tc>
      </w:tr>
      <w:tr w:rsidR="00281A03" w14:paraId="63CB8F1C" w14:textId="77777777" w:rsidTr="00281A03">
        <w:trPr>
          <w:trHeight w:val="400"/>
        </w:trPr>
        <w:tc>
          <w:tcPr>
            <w:tcW w:w="918" w:type="pct"/>
            <w:tcBorders>
              <w:top w:val="single" w:sz="4" w:space="0" w:color="auto"/>
              <w:left w:val="single" w:sz="4" w:space="0" w:color="auto"/>
              <w:bottom w:val="single" w:sz="4" w:space="0" w:color="auto"/>
              <w:right w:val="single" w:sz="4" w:space="0" w:color="auto"/>
            </w:tcBorders>
            <w:vAlign w:val="center"/>
            <w:hideMark/>
          </w:tcPr>
          <w:p w14:paraId="64F79B3A"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14:paraId="0A0AE2FB"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prioritisation issue</w:t>
            </w:r>
          </w:p>
        </w:tc>
        <w:tc>
          <w:tcPr>
            <w:tcW w:w="307" w:type="pct"/>
            <w:tcBorders>
              <w:top w:val="single" w:sz="4" w:space="0" w:color="auto"/>
              <w:left w:val="single" w:sz="4" w:space="0" w:color="auto"/>
              <w:bottom w:val="single" w:sz="4" w:space="0" w:color="auto"/>
              <w:right w:val="single" w:sz="4" w:space="0" w:color="auto"/>
            </w:tcBorders>
            <w:vAlign w:val="center"/>
            <w:hideMark/>
          </w:tcPr>
          <w:p w14:paraId="5EB261AB" w14:textId="09AC8902" w:rsidR="00281A03" w:rsidRDefault="00281A03" w:rsidP="00281A03">
            <w:pPr>
              <w:keepNext/>
              <w:keepLines/>
              <w:tabs>
                <w:tab w:val="left" w:pos="1440"/>
                <w:tab w:val="decimal" w:pos="4320"/>
              </w:tabs>
              <w:jc w:val="center"/>
              <w:outlineLvl w:val="0"/>
              <w:rPr>
                <w:rFonts w:ascii="Calibri" w:hAnsi="Calibri"/>
                <w:sz w:val="20"/>
                <w:szCs w:val="20"/>
              </w:rPr>
            </w:pPr>
            <w:r>
              <w:rPr>
                <w:rFonts w:ascii="Calibri" w:hAnsi="Calibri"/>
                <w:sz w:val="20"/>
                <w:szCs w:val="20"/>
              </w:rPr>
              <w:t>16%</w:t>
            </w:r>
          </w:p>
        </w:tc>
        <w:tc>
          <w:tcPr>
            <w:tcW w:w="915" w:type="pct"/>
            <w:tcBorders>
              <w:top w:val="single" w:sz="4" w:space="0" w:color="auto"/>
              <w:left w:val="single" w:sz="4" w:space="0" w:color="auto"/>
              <w:bottom w:val="single" w:sz="4" w:space="0" w:color="auto"/>
              <w:right w:val="single" w:sz="4" w:space="0" w:color="auto"/>
            </w:tcBorders>
            <w:vAlign w:val="center"/>
          </w:tcPr>
          <w:p w14:paraId="7C59B695" w14:textId="3DDC213A"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Inadequate treatment &amp; inadequate follow-up</w:t>
            </w:r>
          </w:p>
        </w:tc>
        <w:tc>
          <w:tcPr>
            <w:tcW w:w="307" w:type="pct"/>
            <w:tcBorders>
              <w:top w:val="single" w:sz="4" w:space="0" w:color="auto"/>
              <w:left w:val="single" w:sz="4" w:space="0" w:color="auto"/>
              <w:bottom w:val="single" w:sz="4" w:space="0" w:color="auto"/>
              <w:right w:val="single" w:sz="4" w:space="0" w:color="auto"/>
            </w:tcBorders>
            <w:vAlign w:val="center"/>
          </w:tcPr>
          <w:p w14:paraId="18BE6DB0" w14:textId="201E14A1" w:rsidR="00281A03" w:rsidRDefault="00281A03" w:rsidP="00281A03">
            <w:pPr>
              <w:keepNext/>
              <w:keepLines/>
              <w:tabs>
                <w:tab w:val="left" w:pos="1440"/>
                <w:tab w:val="decimal" w:pos="4320"/>
              </w:tabs>
              <w:jc w:val="center"/>
              <w:outlineLvl w:val="0"/>
              <w:rPr>
                <w:rFonts w:ascii="Calibri" w:hAnsi="Calibri"/>
                <w:sz w:val="20"/>
                <w:szCs w:val="20"/>
              </w:rPr>
            </w:pPr>
            <w:r>
              <w:rPr>
                <w:rFonts w:ascii="Calibri" w:hAnsi="Calibri"/>
                <w:sz w:val="20"/>
                <w:szCs w:val="20"/>
              </w:rPr>
              <w:t>9%</w:t>
            </w:r>
          </w:p>
        </w:tc>
        <w:tc>
          <w:tcPr>
            <w:tcW w:w="918" w:type="pct"/>
            <w:tcBorders>
              <w:top w:val="single" w:sz="4" w:space="0" w:color="auto"/>
              <w:left w:val="single" w:sz="4" w:space="0" w:color="auto"/>
              <w:bottom w:val="single" w:sz="4" w:space="0" w:color="auto"/>
              <w:right w:val="single" w:sz="4" w:space="0" w:color="auto"/>
            </w:tcBorders>
            <w:vAlign w:val="center"/>
          </w:tcPr>
          <w:p w14:paraId="7511DC94" w14:textId="25FE1DD1"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Inadequate coordination of care/treatment</w:t>
            </w:r>
          </w:p>
        </w:tc>
        <w:tc>
          <w:tcPr>
            <w:tcW w:w="306" w:type="pct"/>
            <w:tcBorders>
              <w:top w:val="single" w:sz="4" w:space="0" w:color="auto"/>
              <w:left w:val="single" w:sz="4" w:space="0" w:color="auto"/>
              <w:bottom w:val="single" w:sz="4" w:space="0" w:color="auto"/>
              <w:right w:val="single" w:sz="4" w:space="0" w:color="auto"/>
            </w:tcBorders>
            <w:vAlign w:val="center"/>
          </w:tcPr>
          <w:p w14:paraId="4948006B" w14:textId="052D75DC" w:rsidR="00281A03" w:rsidRDefault="00281A03" w:rsidP="00281A03">
            <w:pPr>
              <w:keepNext/>
              <w:keepLines/>
              <w:tabs>
                <w:tab w:val="left" w:pos="1440"/>
                <w:tab w:val="decimal" w:pos="4320"/>
              </w:tabs>
              <w:jc w:val="center"/>
              <w:outlineLvl w:val="0"/>
              <w:rPr>
                <w:rFonts w:ascii="Calibri" w:hAnsi="Calibri"/>
                <w:sz w:val="20"/>
                <w:szCs w:val="20"/>
              </w:rPr>
            </w:pPr>
            <w:r>
              <w:rPr>
                <w:rFonts w:ascii="Calibri" w:hAnsi="Calibri"/>
                <w:sz w:val="20"/>
                <w:szCs w:val="20"/>
              </w:rPr>
              <w:t>12%</w:t>
            </w:r>
          </w:p>
        </w:tc>
        <w:tc>
          <w:tcPr>
            <w:tcW w:w="944" w:type="pct"/>
            <w:tcBorders>
              <w:top w:val="single" w:sz="4" w:space="0" w:color="auto"/>
              <w:left w:val="single" w:sz="4" w:space="0" w:color="auto"/>
              <w:bottom w:val="single" w:sz="4" w:space="0" w:color="auto"/>
              <w:right w:val="single" w:sz="4" w:space="0" w:color="auto"/>
            </w:tcBorders>
            <w:vAlign w:val="center"/>
          </w:tcPr>
          <w:p w14:paraId="625CF678"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14:paraId="182D7C16" w14:textId="236840FF"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 treatment</w:t>
            </w:r>
          </w:p>
        </w:tc>
        <w:tc>
          <w:tcPr>
            <w:tcW w:w="385" w:type="pct"/>
            <w:tcBorders>
              <w:top w:val="single" w:sz="4" w:space="0" w:color="auto"/>
              <w:left w:val="single" w:sz="4" w:space="0" w:color="auto"/>
              <w:bottom w:val="single" w:sz="4" w:space="0" w:color="auto"/>
              <w:right w:val="single" w:sz="4" w:space="0" w:color="auto"/>
            </w:tcBorders>
            <w:vAlign w:val="center"/>
          </w:tcPr>
          <w:p w14:paraId="23FE09D2" w14:textId="77777777" w:rsidR="00281A03" w:rsidRDefault="00281A03" w:rsidP="00281A03">
            <w:pPr>
              <w:keepNext/>
              <w:keepLines/>
              <w:tabs>
                <w:tab w:val="left" w:pos="1440"/>
                <w:tab w:val="decimal" w:pos="4320"/>
              </w:tabs>
              <w:jc w:val="center"/>
              <w:outlineLvl w:val="0"/>
              <w:rPr>
                <w:rFonts w:ascii="Calibri" w:hAnsi="Calibri"/>
                <w:sz w:val="20"/>
                <w:szCs w:val="20"/>
              </w:rPr>
            </w:pPr>
            <w:r>
              <w:rPr>
                <w:rFonts w:ascii="Calibri" w:hAnsi="Calibri"/>
                <w:sz w:val="20"/>
                <w:szCs w:val="20"/>
              </w:rPr>
              <w:t>12%</w:t>
            </w:r>
          </w:p>
        </w:tc>
      </w:tr>
      <w:tr w:rsidR="00281A03" w14:paraId="256B20FC" w14:textId="77777777" w:rsidTr="00281A03">
        <w:tc>
          <w:tcPr>
            <w:tcW w:w="918" w:type="pct"/>
            <w:tcBorders>
              <w:top w:val="single" w:sz="4" w:space="0" w:color="auto"/>
              <w:left w:val="single" w:sz="4" w:space="0" w:color="auto"/>
              <w:bottom w:val="single" w:sz="4" w:space="0" w:color="auto"/>
              <w:right w:val="single" w:sz="4" w:space="0" w:color="auto"/>
            </w:tcBorders>
            <w:vAlign w:val="center"/>
            <w:hideMark/>
          </w:tcPr>
          <w:p w14:paraId="133E0C80"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14:paraId="4E72507C"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14:paraId="1286718D"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07" w:type="pct"/>
            <w:tcBorders>
              <w:top w:val="single" w:sz="4" w:space="0" w:color="auto"/>
              <w:left w:val="single" w:sz="4" w:space="0" w:color="auto"/>
              <w:bottom w:val="single" w:sz="4" w:space="0" w:color="auto"/>
              <w:right w:val="single" w:sz="4" w:space="0" w:color="auto"/>
            </w:tcBorders>
            <w:vAlign w:val="center"/>
            <w:hideMark/>
          </w:tcPr>
          <w:p w14:paraId="4ABEF328" w14:textId="765D5128" w:rsidR="00281A03" w:rsidRDefault="00281A03" w:rsidP="00281A03">
            <w:pPr>
              <w:keepNext/>
              <w:keepLines/>
              <w:tabs>
                <w:tab w:val="left" w:pos="1440"/>
                <w:tab w:val="decimal" w:pos="4320"/>
              </w:tabs>
              <w:jc w:val="center"/>
              <w:outlineLvl w:val="0"/>
              <w:rPr>
                <w:rFonts w:ascii="Calibri" w:hAnsi="Calibri"/>
                <w:sz w:val="20"/>
                <w:szCs w:val="20"/>
              </w:rPr>
            </w:pPr>
            <w:r>
              <w:rPr>
                <w:rFonts w:ascii="Calibri" w:hAnsi="Calibri"/>
                <w:sz w:val="20"/>
                <w:szCs w:val="20"/>
              </w:rPr>
              <w:t>13%</w:t>
            </w:r>
          </w:p>
          <w:p w14:paraId="1A832392" w14:textId="77777777" w:rsidR="00281A03" w:rsidRDefault="00281A03" w:rsidP="00281A03">
            <w:pPr>
              <w:keepNext/>
              <w:keepLines/>
              <w:tabs>
                <w:tab w:val="left" w:pos="1440"/>
                <w:tab w:val="decimal" w:pos="4320"/>
              </w:tabs>
              <w:jc w:val="center"/>
              <w:outlineLvl w:val="0"/>
              <w:rPr>
                <w:rFonts w:ascii="Calibri" w:hAnsi="Calibri"/>
                <w:sz w:val="20"/>
                <w:szCs w:val="20"/>
              </w:rPr>
            </w:pPr>
          </w:p>
        </w:tc>
        <w:tc>
          <w:tcPr>
            <w:tcW w:w="915" w:type="pct"/>
            <w:tcBorders>
              <w:top w:val="single" w:sz="4" w:space="0" w:color="auto"/>
              <w:left w:val="single" w:sz="4" w:space="0" w:color="auto"/>
              <w:bottom w:val="single" w:sz="4" w:space="0" w:color="auto"/>
              <w:right w:val="single" w:sz="4" w:space="0" w:color="auto"/>
            </w:tcBorders>
            <w:vAlign w:val="center"/>
          </w:tcPr>
          <w:p w14:paraId="33F849F1"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14:paraId="57397B57"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w:t>
            </w:r>
          </w:p>
          <w:p w14:paraId="533D9BCF"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examination/</w:t>
            </w:r>
          </w:p>
          <w:p w14:paraId="7D8F40EB"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assessment</w:t>
            </w:r>
          </w:p>
        </w:tc>
        <w:tc>
          <w:tcPr>
            <w:tcW w:w="307" w:type="pct"/>
            <w:tcBorders>
              <w:top w:val="single" w:sz="4" w:space="0" w:color="auto"/>
              <w:left w:val="single" w:sz="4" w:space="0" w:color="auto"/>
              <w:bottom w:val="single" w:sz="4" w:space="0" w:color="auto"/>
              <w:right w:val="single" w:sz="4" w:space="0" w:color="auto"/>
            </w:tcBorders>
            <w:vAlign w:val="center"/>
          </w:tcPr>
          <w:p w14:paraId="7BBA66B6" w14:textId="6E6A63D3" w:rsidR="00281A03" w:rsidRDefault="00281A03" w:rsidP="00281A03">
            <w:pPr>
              <w:keepNext/>
              <w:keepLines/>
              <w:tabs>
                <w:tab w:val="left" w:pos="1440"/>
                <w:tab w:val="decimal" w:pos="4320"/>
              </w:tabs>
              <w:jc w:val="center"/>
              <w:outlineLvl w:val="0"/>
              <w:rPr>
                <w:rFonts w:ascii="Calibri" w:hAnsi="Calibri"/>
                <w:sz w:val="20"/>
                <w:szCs w:val="20"/>
              </w:rPr>
            </w:pPr>
            <w:r>
              <w:rPr>
                <w:rFonts w:ascii="Calibri" w:hAnsi="Calibri"/>
                <w:sz w:val="20"/>
                <w:szCs w:val="20"/>
              </w:rPr>
              <w:t>9%</w:t>
            </w:r>
          </w:p>
        </w:tc>
        <w:tc>
          <w:tcPr>
            <w:tcW w:w="918" w:type="pct"/>
            <w:tcBorders>
              <w:top w:val="single" w:sz="4" w:space="0" w:color="auto"/>
              <w:left w:val="single" w:sz="4" w:space="0" w:color="auto"/>
              <w:bottom w:val="single" w:sz="4" w:space="0" w:color="auto"/>
              <w:right w:val="single" w:sz="4" w:space="0" w:color="auto"/>
            </w:tcBorders>
            <w:vAlign w:val="center"/>
          </w:tcPr>
          <w:p w14:paraId="460E7384"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14:paraId="4F53A4B5" w14:textId="3C3F18CF"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 treatment</w:t>
            </w:r>
          </w:p>
        </w:tc>
        <w:tc>
          <w:tcPr>
            <w:tcW w:w="306" w:type="pct"/>
            <w:tcBorders>
              <w:top w:val="single" w:sz="4" w:space="0" w:color="auto"/>
              <w:left w:val="single" w:sz="4" w:space="0" w:color="auto"/>
              <w:bottom w:val="single" w:sz="4" w:space="0" w:color="auto"/>
              <w:right w:val="single" w:sz="4" w:space="0" w:color="auto"/>
            </w:tcBorders>
            <w:vAlign w:val="center"/>
          </w:tcPr>
          <w:p w14:paraId="56E29F80" w14:textId="6B5A5D8F" w:rsidR="00281A03" w:rsidRDefault="00281A03" w:rsidP="00281A03">
            <w:pPr>
              <w:keepNext/>
              <w:keepLines/>
              <w:tabs>
                <w:tab w:val="left" w:pos="1440"/>
                <w:tab w:val="decimal" w:pos="4320"/>
              </w:tabs>
              <w:jc w:val="center"/>
              <w:outlineLvl w:val="0"/>
              <w:rPr>
                <w:rFonts w:ascii="Calibri" w:hAnsi="Calibri"/>
                <w:sz w:val="20"/>
                <w:szCs w:val="20"/>
              </w:rPr>
            </w:pPr>
            <w:r>
              <w:rPr>
                <w:rFonts w:ascii="Calibri" w:hAnsi="Calibri"/>
                <w:sz w:val="20"/>
                <w:szCs w:val="20"/>
              </w:rPr>
              <w:t>12%</w:t>
            </w:r>
          </w:p>
          <w:p w14:paraId="4F0DD2FB" w14:textId="77777777" w:rsidR="00281A03" w:rsidRDefault="00281A03" w:rsidP="00281A03">
            <w:pPr>
              <w:keepNext/>
              <w:keepLines/>
              <w:tabs>
                <w:tab w:val="left" w:pos="1440"/>
                <w:tab w:val="decimal" w:pos="4320"/>
              </w:tabs>
              <w:jc w:val="center"/>
              <w:outlineLvl w:val="0"/>
              <w:rPr>
                <w:rFonts w:ascii="Calibri" w:hAnsi="Calibri"/>
                <w:sz w:val="20"/>
                <w:szCs w:val="20"/>
              </w:rPr>
            </w:pPr>
          </w:p>
        </w:tc>
        <w:tc>
          <w:tcPr>
            <w:tcW w:w="944" w:type="pct"/>
            <w:tcBorders>
              <w:top w:val="single" w:sz="4" w:space="0" w:color="auto"/>
              <w:left w:val="single" w:sz="4" w:space="0" w:color="auto"/>
              <w:bottom w:val="single" w:sz="4" w:space="0" w:color="auto"/>
              <w:right w:val="single" w:sz="4" w:space="0" w:color="auto"/>
            </w:tcBorders>
            <w:vAlign w:val="center"/>
          </w:tcPr>
          <w:p w14:paraId="53849BC5"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14:paraId="2158BA79"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w:t>
            </w:r>
          </w:p>
          <w:p w14:paraId="63F668A1"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examination/</w:t>
            </w:r>
          </w:p>
          <w:p w14:paraId="6063CD16" w14:textId="7F18DCEC"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assessment</w:t>
            </w:r>
          </w:p>
        </w:tc>
        <w:tc>
          <w:tcPr>
            <w:tcW w:w="385" w:type="pct"/>
            <w:tcBorders>
              <w:top w:val="single" w:sz="4" w:space="0" w:color="auto"/>
              <w:left w:val="single" w:sz="4" w:space="0" w:color="auto"/>
              <w:bottom w:val="single" w:sz="4" w:space="0" w:color="auto"/>
              <w:right w:val="single" w:sz="4" w:space="0" w:color="auto"/>
            </w:tcBorders>
            <w:vAlign w:val="center"/>
          </w:tcPr>
          <w:p w14:paraId="6FBFA007" w14:textId="4D8EB31B" w:rsidR="00281A03" w:rsidRDefault="00281A03" w:rsidP="00281A03">
            <w:pPr>
              <w:keepNext/>
              <w:keepLines/>
              <w:tabs>
                <w:tab w:val="left" w:pos="1440"/>
                <w:tab w:val="decimal" w:pos="4320"/>
              </w:tabs>
              <w:jc w:val="center"/>
              <w:outlineLvl w:val="0"/>
              <w:rPr>
                <w:rFonts w:ascii="Calibri" w:hAnsi="Calibri"/>
                <w:sz w:val="20"/>
                <w:szCs w:val="20"/>
              </w:rPr>
            </w:pPr>
            <w:r>
              <w:rPr>
                <w:rFonts w:ascii="Calibri" w:hAnsi="Calibri"/>
                <w:sz w:val="20"/>
                <w:szCs w:val="20"/>
              </w:rPr>
              <w:t>7%</w:t>
            </w:r>
          </w:p>
        </w:tc>
      </w:tr>
    </w:tbl>
    <w:p w14:paraId="4572B58E" w14:textId="77777777" w:rsidR="00841E1C" w:rsidRDefault="00841E1C" w:rsidP="0080255D">
      <w:pPr>
        <w:keepNext/>
        <w:keepLines/>
        <w:spacing w:after="480"/>
        <w:rPr>
          <w:szCs w:val="22"/>
        </w:rPr>
      </w:pPr>
    </w:p>
    <w:p w14:paraId="2D3C541A" w14:textId="77777777" w:rsidR="00841E1C" w:rsidRDefault="00841E1C" w:rsidP="00841E1C"/>
    <w:p w14:paraId="7E732E00" w14:textId="77777777" w:rsidR="00841E1C" w:rsidRDefault="00841E1C" w:rsidP="00841E1C"/>
    <w:p w14:paraId="23B8BDEC" w14:textId="77777777" w:rsidR="00841E1C" w:rsidRDefault="00841E1C" w:rsidP="00841E1C">
      <w:pPr>
        <w:pStyle w:val="Heading2"/>
        <w:spacing w:before="360"/>
      </w:pPr>
      <w:r>
        <w:br w:type="page"/>
      </w:r>
    </w:p>
    <w:p w14:paraId="015ACD65" w14:textId="77777777" w:rsidR="00841E1C" w:rsidRPr="000760A3" w:rsidRDefault="00841E1C" w:rsidP="00841E1C">
      <w:pPr>
        <w:pStyle w:val="Heading2"/>
      </w:pPr>
      <w:bookmarkStart w:id="99" w:name="_Toc443992231"/>
      <w:bookmarkStart w:id="100" w:name="_Toc493684132"/>
      <w:bookmarkStart w:id="101" w:name="_Toc39138052"/>
      <w:r w:rsidRPr="000760A3">
        <w:t>4.0</w:t>
      </w:r>
      <w:r w:rsidRPr="000760A3">
        <w:tab/>
        <w:t>Complaints closed</w:t>
      </w:r>
      <w:bookmarkEnd w:id="99"/>
      <w:bookmarkEnd w:id="100"/>
      <w:bookmarkEnd w:id="101"/>
      <w:r w:rsidRPr="000760A3">
        <w:t xml:space="preserve"> </w:t>
      </w:r>
    </w:p>
    <w:p w14:paraId="13865A2F" w14:textId="77777777" w:rsidR="00841E1C" w:rsidRPr="003607E1" w:rsidRDefault="00841E1C" w:rsidP="00841E1C">
      <w:pPr>
        <w:pStyle w:val="Heading3"/>
      </w:pPr>
      <w:bookmarkStart w:id="102" w:name="_Toc426462637"/>
      <w:bookmarkStart w:id="103" w:name="_Toc443992232"/>
      <w:bookmarkStart w:id="104" w:name="_Toc493684133"/>
      <w:bookmarkStart w:id="105" w:name="_Toc39138053"/>
      <w:r w:rsidRPr="003607E1">
        <w:t>4.1</w:t>
      </w:r>
      <w:r w:rsidRPr="003607E1">
        <w:tab/>
        <w:t>Number of complaints closed</w:t>
      </w:r>
      <w:bookmarkEnd w:id="102"/>
      <w:bookmarkEnd w:id="103"/>
      <w:bookmarkEnd w:id="104"/>
      <w:bookmarkEnd w:id="105"/>
    </w:p>
    <w:p w14:paraId="243E8349" w14:textId="77777777" w:rsidR="00841E1C" w:rsidRPr="00605F09" w:rsidRDefault="00841E1C" w:rsidP="00841E1C">
      <w:pPr>
        <w:spacing w:after="480"/>
      </w:pPr>
      <w:r w:rsidRPr="00605F09">
        <w:t xml:space="preserve">HDC closed </w:t>
      </w:r>
      <w:r w:rsidRPr="00605F09">
        <w:rPr>
          <w:b/>
        </w:rPr>
        <w:t>4</w:t>
      </w:r>
      <w:r>
        <w:rPr>
          <w:b/>
        </w:rPr>
        <w:t>23</w:t>
      </w:r>
      <w:r w:rsidRPr="003E5338">
        <w:rPr>
          <w:rStyle w:val="FootnoteReference"/>
        </w:rPr>
        <w:footnoteReference w:id="4"/>
      </w:r>
      <w:r w:rsidRPr="00605F09">
        <w:rPr>
          <w:b/>
        </w:rPr>
        <w:t xml:space="preserve"> </w:t>
      </w:r>
      <w:r w:rsidRPr="00605F09">
        <w:t>complaints involving DHBs in the period Jul-Dec 2019. Table 10 shows the number of complaints closed in previous six-month periods.</w:t>
      </w:r>
    </w:p>
    <w:p w14:paraId="0D3F4E11" w14:textId="77777777" w:rsidR="00841E1C" w:rsidRDefault="00841E1C" w:rsidP="00841E1C">
      <w:pPr>
        <w:spacing w:after="120"/>
      </w:pPr>
      <w:r w:rsidRPr="00605F09">
        <w:rPr>
          <w:b/>
        </w:rPr>
        <w:t>Table 10.</w:t>
      </w:r>
      <w:r w:rsidRPr="00605F09">
        <w:t xml:space="preserve"> Number of complaints about DHBs closed in the last five years</w:t>
      </w:r>
    </w:p>
    <w:tbl>
      <w:tblPr>
        <w:tblStyle w:val="TableGrid"/>
        <w:tblpPr w:leftFromText="180" w:rightFromText="180" w:vertAnchor="text" w:horzAnchor="margin" w:tblpX="114" w:tblpY="105"/>
        <w:tblW w:w="4899" w:type="pct"/>
        <w:tblLook w:val="04A0" w:firstRow="1" w:lastRow="0" w:firstColumn="1" w:lastColumn="0" w:noHBand="0" w:noVBand="1"/>
      </w:tblPr>
      <w:tblGrid>
        <w:gridCol w:w="1187"/>
        <w:gridCol w:w="680"/>
        <w:gridCol w:w="571"/>
        <w:gridCol w:w="677"/>
        <w:gridCol w:w="682"/>
        <w:gridCol w:w="682"/>
        <w:gridCol w:w="682"/>
        <w:gridCol w:w="682"/>
        <w:gridCol w:w="682"/>
        <w:gridCol w:w="682"/>
        <w:gridCol w:w="966"/>
        <w:gridCol w:w="661"/>
      </w:tblGrid>
      <w:tr w:rsidR="00841E1C" w14:paraId="6D146279" w14:textId="77777777" w:rsidTr="00841E1C">
        <w:tc>
          <w:tcPr>
            <w:tcW w:w="672" w:type="pct"/>
            <w:tcBorders>
              <w:top w:val="single" w:sz="4" w:space="0" w:color="auto"/>
              <w:left w:val="single" w:sz="4" w:space="0" w:color="auto"/>
              <w:bottom w:val="single" w:sz="4" w:space="0" w:color="auto"/>
              <w:right w:val="single" w:sz="4" w:space="0" w:color="auto"/>
            </w:tcBorders>
            <w:vAlign w:val="center"/>
          </w:tcPr>
          <w:p w14:paraId="50A2A965" w14:textId="77777777" w:rsidR="00841E1C" w:rsidRDefault="00841E1C" w:rsidP="00841E1C">
            <w:pPr>
              <w:keepNext/>
              <w:keepLines/>
              <w:jc w:val="left"/>
              <w:rPr>
                <w:rFonts w:ascii="Calibri" w:hAnsi="Calibri"/>
                <w:b/>
                <w:szCs w:val="20"/>
              </w:rPr>
            </w:pPr>
          </w:p>
          <w:p w14:paraId="0B496744" w14:textId="77777777" w:rsidR="00841E1C" w:rsidRDefault="00841E1C" w:rsidP="00841E1C">
            <w:pPr>
              <w:keepNext/>
              <w:keepLines/>
              <w:jc w:val="left"/>
              <w:rPr>
                <w:rFonts w:ascii="Calibri" w:hAnsi="Calibri"/>
                <w:b/>
                <w:szCs w:val="20"/>
              </w:rPr>
            </w:pPr>
          </w:p>
        </w:tc>
        <w:tc>
          <w:tcPr>
            <w:tcW w:w="385" w:type="pct"/>
            <w:tcBorders>
              <w:top w:val="single" w:sz="4" w:space="0" w:color="auto"/>
              <w:left w:val="single" w:sz="4" w:space="0" w:color="auto"/>
              <w:bottom w:val="single" w:sz="4" w:space="0" w:color="auto"/>
              <w:right w:val="single" w:sz="4" w:space="0" w:color="auto"/>
            </w:tcBorders>
            <w:vAlign w:val="center"/>
          </w:tcPr>
          <w:p w14:paraId="1A0B5626" w14:textId="77777777" w:rsidR="00841E1C" w:rsidRDefault="00841E1C" w:rsidP="00841E1C">
            <w:pPr>
              <w:keepNext/>
              <w:keepLines/>
              <w:jc w:val="center"/>
              <w:rPr>
                <w:rFonts w:ascii="Calibri" w:hAnsi="Calibri"/>
                <w:b/>
                <w:szCs w:val="20"/>
              </w:rPr>
            </w:pPr>
            <w:r>
              <w:rPr>
                <w:rFonts w:ascii="Calibri" w:hAnsi="Calibri"/>
                <w:b/>
                <w:szCs w:val="20"/>
              </w:rPr>
              <w:t>Jan–Jun</w:t>
            </w:r>
            <w:r>
              <w:rPr>
                <w:rFonts w:ascii="Calibri" w:hAnsi="Calibri"/>
                <w:b/>
                <w:szCs w:val="20"/>
              </w:rPr>
              <w:br/>
              <w:t>15</w:t>
            </w:r>
          </w:p>
        </w:tc>
        <w:tc>
          <w:tcPr>
            <w:tcW w:w="323" w:type="pct"/>
            <w:tcBorders>
              <w:top w:val="single" w:sz="4" w:space="0" w:color="auto"/>
              <w:left w:val="single" w:sz="4" w:space="0" w:color="auto"/>
              <w:bottom w:val="single" w:sz="4" w:space="0" w:color="auto"/>
              <w:right w:val="single" w:sz="4" w:space="0" w:color="auto"/>
            </w:tcBorders>
            <w:hideMark/>
          </w:tcPr>
          <w:p w14:paraId="3FF4BD5B" w14:textId="77777777" w:rsidR="00841E1C" w:rsidRDefault="00841E1C" w:rsidP="00841E1C">
            <w:pPr>
              <w:keepNext/>
              <w:keepLines/>
              <w:spacing w:before="180"/>
              <w:jc w:val="center"/>
              <w:rPr>
                <w:rFonts w:ascii="Calibri" w:hAnsi="Calibri"/>
                <w:b/>
                <w:szCs w:val="20"/>
              </w:rPr>
            </w:pPr>
            <w:r>
              <w:rPr>
                <w:rFonts w:ascii="Calibri" w:hAnsi="Calibri"/>
                <w:b/>
                <w:szCs w:val="20"/>
              </w:rPr>
              <w:t>Jul–Dec</w:t>
            </w:r>
            <w:r>
              <w:rPr>
                <w:rFonts w:ascii="Calibri" w:hAnsi="Calibri"/>
                <w:b/>
                <w:szCs w:val="20"/>
              </w:rPr>
              <w:br/>
              <w:t>15</w:t>
            </w:r>
          </w:p>
        </w:tc>
        <w:tc>
          <w:tcPr>
            <w:tcW w:w="383" w:type="pct"/>
            <w:tcBorders>
              <w:top w:val="single" w:sz="4" w:space="0" w:color="auto"/>
              <w:left w:val="single" w:sz="4" w:space="0" w:color="auto"/>
              <w:bottom w:val="single" w:sz="4" w:space="0" w:color="auto"/>
              <w:right w:val="single" w:sz="4" w:space="0" w:color="auto"/>
            </w:tcBorders>
            <w:hideMark/>
          </w:tcPr>
          <w:p w14:paraId="2B1125D3" w14:textId="77777777" w:rsidR="00841E1C" w:rsidRDefault="00841E1C" w:rsidP="00841E1C">
            <w:pPr>
              <w:keepNext/>
              <w:keepLines/>
              <w:spacing w:before="180"/>
              <w:jc w:val="center"/>
              <w:rPr>
                <w:rFonts w:ascii="Calibri" w:hAnsi="Calibri"/>
                <w:b/>
                <w:szCs w:val="20"/>
              </w:rPr>
            </w:pPr>
            <w:r>
              <w:rPr>
                <w:rFonts w:ascii="Calibri" w:hAnsi="Calibri"/>
                <w:b/>
                <w:szCs w:val="20"/>
              </w:rPr>
              <w:t>Jan–Jun</w:t>
            </w:r>
            <w:r>
              <w:rPr>
                <w:rFonts w:ascii="Calibri" w:hAnsi="Calibri"/>
                <w:b/>
                <w:szCs w:val="20"/>
              </w:rPr>
              <w:br/>
              <w:t>16</w:t>
            </w:r>
          </w:p>
        </w:tc>
        <w:tc>
          <w:tcPr>
            <w:tcW w:w="386" w:type="pct"/>
            <w:tcBorders>
              <w:top w:val="single" w:sz="4" w:space="0" w:color="auto"/>
              <w:left w:val="single" w:sz="4" w:space="0" w:color="auto"/>
              <w:bottom w:val="single" w:sz="4" w:space="0" w:color="auto"/>
              <w:right w:val="single" w:sz="4" w:space="0" w:color="auto"/>
            </w:tcBorders>
            <w:hideMark/>
          </w:tcPr>
          <w:p w14:paraId="4BE4DA5B" w14:textId="77777777" w:rsidR="00841E1C" w:rsidRDefault="00841E1C" w:rsidP="00841E1C">
            <w:pPr>
              <w:keepNext/>
              <w:keepLines/>
              <w:spacing w:before="180"/>
              <w:jc w:val="center"/>
              <w:rPr>
                <w:rFonts w:ascii="Calibri" w:hAnsi="Calibri"/>
                <w:b/>
                <w:szCs w:val="20"/>
              </w:rPr>
            </w:pPr>
            <w:r>
              <w:rPr>
                <w:rFonts w:ascii="Calibri" w:hAnsi="Calibri"/>
                <w:b/>
                <w:szCs w:val="20"/>
              </w:rPr>
              <w:t>Jul–Dec</w:t>
            </w:r>
            <w:r>
              <w:rPr>
                <w:rFonts w:ascii="Calibri" w:hAnsi="Calibri"/>
                <w:b/>
                <w:szCs w:val="20"/>
              </w:rPr>
              <w:br/>
              <w:t>16</w:t>
            </w:r>
          </w:p>
        </w:tc>
        <w:tc>
          <w:tcPr>
            <w:tcW w:w="386" w:type="pct"/>
            <w:tcBorders>
              <w:top w:val="single" w:sz="4" w:space="0" w:color="auto"/>
              <w:left w:val="single" w:sz="4" w:space="0" w:color="auto"/>
              <w:bottom w:val="single" w:sz="4" w:space="0" w:color="auto"/>
              <w:right w:val="single" w:sz="4" w:space="0" w:color="auto"/>
            </w:tcBorders>
            <w:hideMark/>
          </w:tcPr>
          <w:p w14:paraId="2599B292" w14:textId="77777777" w:rsidR="00841E1C" w:rsidRDefault="00841E1C" w:rsidP="00841E1C">
            <w:pPr>
              <w:keepNext/>
              <w:keepLines/>
              <w:spacing w:before="180"/>
              <w:jc w:val="center"/>
              <w:rPr>
                <w:rFonts w:ascii="Calibri" w:hAnsi="Calibri"/>
                <w:b/>
                <w:szCs w:val="20"/>
              </w:rPr>
            </w:pPr>
            <w:r>
              <w:rPr>
                <w:rFonts w:ascii="Calibri" w:hAnsi="Calibri"/>
                <w:b/>
                <w:szCs w:val="20"/>
              </w:rPr>
              <w:t>Jan–Jun</w:t>
            </w:r>
            <w:r>
              <w:rPr>
                <w:rFonts w:ascii="Calibri" w:hAnsi="Calibri"/>
                <w:b/>
                <w:szCs w:val="20"/>
              </w:rPr>
              <w:br/>
              <w:t>17</w:t>
            </w:r>
          </w:p>
        </w:tc>
        <w:tc>
          <w:tcPr>
            <w:tcW w:w="386" w:type="pct"/>
            <w:tcBorders>
              <w:top w:val="single" w:sz="4" w:space="0" w:color="auto"/>
              <w:left w:val="single" w:sz="4" w:space="0" w:color="auto"/>
              <w:bottom w:val="single" w:sz="4" w:space="0" w:color="auto"/>
              <w:right w:val="single" w:sz="4" w:space="0" w:color="auto"/>
            </w:tcBorders>
            <w:hideMark/>
          </w:tcPr>
          <w:p w14:paraId="146458E4" w14:textId="77777777" w:rsidR="00841E1C" w:rsidRDefault="00841E1C" w:rsidP="00841E1C">
            <w:pPr>
              <w:keepNext/>
              <w:keepLines/>
              <w:spacing w:before="180"/>
              <w:jc w:val="center"/>
              <w:rPr>
                <w:rFonts w:ascii="Calibri" w:hAnsi="Calibri"/>
                <w:b/>
                <w:szCs w:val="20"/>
              </w:rPr>
            </w:pPr>
            <w:r>
              <w:rPr>
                <w:rFonts w:ascii="Calibri" w:hAnsi="Calibri"/>
                <w:b/>
                <w:szCs w:val="20"/>
              </w:rPr>
              <w:t>Jul–Dec</w:t>
            </w:r>
            <w:r>
              <w:rPr>
                <w:rFonts w:ascii="Calibri" w:hAnsi="Calibri"/>
                <w:b/>
                <w:szCs w:val="20"/>
              </w:rPr>
              <w:br/>
              <w:t>17</w:t>
            </w:r>
          </w:p>
        </w:tc>
        <w:tc>
          <w:tcPr>
            <w:tcW w:w="386" w:type="pct"/>
            <w:tcBorders>
              <w:top w:val="single" w:sz="4" w:space="0" w:color="auto"/>
              <w:left w:val="single" w:sz="4" w:space="0" w:color="auto"/>
              <w:bottom w:val="single" w:sz="4" w:space="0" w:color="auto"/>
              <w:right w:val="single" w:sz="4" w:space="0" w:color="auto"/>
            </w:tcBorders>
            <w:hideMark/>
          </w:tcPr>
          <w:p w14:paraId="68B2F21A" w14:textId="77777777" w:rsidR="00841E1C" w:rsidRDefault="00841E1C" w:rsidP="00841E1C">
            <w:pPr>
              <w:keepNext/>
              <w:keepLines/>
              <w:spacing w:before="180"/>
              <w:jc w:val="center"/>
              <w:rPr>
                <w:rFonts w:ascii="Calibri" w:hAnsi="Calibri"/>
                <w:b/>
                <w:szCs w:val="20"/>
              </w:rPr>
            </w:pPr>
            <w:r>
              <w:rPr>
                <w:rFonts w:ascii="Calibri" w:hAnsi="Calibri"/>
                <w:b/>
                <w:szCs w:val="20"/>
              </w:rPr>
              <w:t>Jan–Jun</w:t>
            </w:r>
            <w:r>
              <w:rPr>
                <w:rFonts w:ascii="Calibri" w:hAnsi="Calibri"/>
                <w:b/>
                <w:szCs w:val="20"/>
              </w:rPr>
              <w:br/>
              <w:t>18</w:t>
            </w:r>
          </w:p>
        </w:tc>
        <w:tc>
          <w:tcPr>
            <w:tcW w:w="386" w:type="pct"/>
            <w:tcBorders>
              <w:top w:val="single" w:sz="4" w:space="0" w:color="auto"/>
              <w:left w:val="single" w:sz="4" w:space="0" w:color="auto"/>
              <w:bottom w:val="single" w:sz="4" w:space="0" w:color="auto"/>
              <w:right w:val="single" w:sz="4" w:space="0" w:color="auto"/>
            </w:tcBorders>
            <w:hideMark/>
          </w:tcPr>
          <w:p w14:paraId="33FEB007" w14:textId="77777777" w:rsidR="00841E1C" w:rsidRDefault="00841E1C" w:rsidP="00841E1C">
            <w:pPr>
              <w:keepNext/>
              <w:keepLines/>
              <w:spacing w:before="180"/>
              <w:jc w:val="center"/>
              <w:rPr>
                <w:rFonts w:ascii="Calibri" w:hAnsi="Calibri"/>
                <w:b/>
                <w:szCs w:val="20"/>
              </w:rPr>
            </w:pPr>
            <w:r>
              <w:rPr>
                <w:rFonts w:ascii="Calibri" w:hAnsi="Calibri"/>
                <w:b/>
                <w:szCs w:val="20"/>
              </w:rPr>
              <w:t>Jul–Dec</w:t>
            </w:r>
            <w:r>
              <w:rPr>
                <w:rFonts w:ascii="Calibri" w:hAnsi="Calibri"/>
                <w:b/>
                <w:szCs w:val="20"/>
              </w:rPr>
              <w:br/>
              <w:t>18</w:t>
            </w:r>
          </w:p>
        </w:tc>
        <w:tc>
          <w:tcPr>
            <w:tcW w:w="386" w:type="pct"/>
            <w:tcBorders>
              <w:top w:val="single" w:sz="4" w:space="0" w:color="auto"/>
              <w:left w:val="single" w:sz="4" w:space="0" w:color="auto"/>
              <w:bottom w:val="single" w:sz="4" w:space="0" w:color="auto"/>
              <w:right w:val="single" w:sz="4" w:space="0" w:color="auto"/>
            </w:tcBorders>
          </w:tcPr>
          <w:p w14:paraId="4CB3DB8D" w14:textId="77777777" w:rsidR="00841E1C" w:rsidRDefault="00841E1C" w:rsidP="00841E1C">
            <w:pPr>
              <w:keepNext/>
              <w:keepLines/>
              <w:spacing w:before="180"/>
              <w:jc w:val="center"/>
              <w:rPr>
                <w:rFonts w:ascii="Calibri" w:hAnsi="Calibri"/>
                <w:b/>
                <w:szCs w:val="20"/>
              </w:rPr>
            </w:pPr>
            <w:r>
              <w:rPr>
                <w:rFonts w:ascii="Calibri" w:hAnsi="Calibri"/>
                <w:b/>
                <w:szCs w:val="20"/>
              </w:rPr>
              <w:t>Jan–Jun</w:t>
            </w:r>
          </w:p>
          <w:p w14:paraId="2AFA965A" w14:textId="77777777" w:rsidR="00841E1C" w:rsidRDefault="00841E1C" w:rsidP="00841E1C">
            <w:pPr>
              <w:keepNext/>
              <w:keepLines/>
              <w:jc w:val="center"/>
              <w:rPr>
                <w:rFonts w:ascii="Calibri" w:hAnsi="Calibri"/>
                <w:b/>
                <w:szCs w:val="20"/>
              </w:rPr>
            </w:pPr>
            <w:r>
              <w:rPr>
                <w:rFonts w:ascii="Calibri" w:hAnsi="Calibri"/>
                <w:b/>
                <w:szCs w:val="20"/>
              </w:rPr>
              <w:t>19</w:t>
            </w:r>
          </w:p>
        </w:tc>
        <w:tc>
          <w:tcPr>
            <w:tcW w:w="547" w:type="pct"/>
            <w:tcBorders>
              <w:top w:val="single" w:sz="4" w:space="0" w:color="auto"/>
              <w:left w:val="single" w:sz="4" w:space="0" w:color="auto"/>
              <w:bottom w:val="single" w:sz="4" w:space="0" w:color="auto"/>
              <w:right w:val="single" w:sz="4" w:space="0" w:color="auto"/>
            </w:tcBorders>
            <w:hideMark/>
          </w:tcPr>
          <w:p w14:paraId="6A66C446" w14:textId="77777777" w:rsidR="00841E1C" w:rsidRDefault="00841E1C" w:rsidP="00841E1C">
            <w:pPr>
              <w:keepNext/>
              <w:keepLines/>
              <w:spacing w:before="120"/>
              <w:jc w:val="center"/>
              <w:rPr>
                <w:rFonts w:ascii="Calibri" w:hAnsi="Calibri"/>
                <w:b/>
                <w:szCs w:val="20"/>
              </w:rPr>
            </w:pPr>
            <w:r>
              <w:rPr>
                <w:rFonts w:ascii="Calibri" w:hAnsi="Calibri"/>
                <w:b/>
                <w:szCs w:val="20"/>
              </w:rPr>
              <w:t xml:space="preserve">Average of last 4  </w:t>
            </w:r>
          </w:p>
          <w:p w14:paraId="03849982" w14:textId="77777777" w:rsidR="00841E1C" w:rsidRDefault="00841E1C" w:rsidP="00841E1C">
            <w:pPr>
              <w:keepNext/>
              <w:keepLines/>
              <w:jc w:val="center"/>
              <w:rPr>
                <w:rFonts w:ascii="Calibri" w:hAnsi="Calibri"/>
                <w:b/>
                <w:szCs w:val="20"/>
              </w:rPr>
            </w:pPr>
            <w:r>
              <w:rPr>
                <w:rFonts w:ascii="Calibri" w:hAnsi="Calibri"/>
                <w:b/>
                <w:szCs w:val="20"/>
              </w:rPr>
              <w:t>6-month periods</w:t>
            </w:r>
          </w:p>
        </w:tc>
        <w:tc>
          <w:tcPr>
            <w:tcW w:w="375" w:type="pct"/>
            <w:tcBorders>
              <w:top w:val="single" w:sz="4" w:space="0" w:color="auto"/>
              <w:left w:val="single" w:sz="4" w:space="0" w:color="auto"/>
              <w:bottom w:val="single" w:sz="4" w:space="0" w:color="auto"/>
              <w:right w:val="single" w:sz="4" w:space="0" w:color="auto"/>
            </w:tcBorders>
            <w:hideMark/>
          </w:tcPr>
          <w:p w14:paraId="1101CF2B" w14:textId="77777777" w:rsidR="00841E1C" w:rsidRDefault="00841E1C" w:rsidP="00841E1C">
            <w:pPr>
              <w:keepNext/>
              <w:keepLines/>
              <w:spacing w:before="180"/>
              <w:jc w:val="center"/>
              <w:rPr>
                <w:rFonts w:ascii="Calibri" w:hAnsi="Calibri"/>
                <w:b/>
                <w:szCs w:val="20"/>
              </w:rPr>
            </w:pPr>
            <w:r>
              <w:rPr>
                <w:rFonts w:ascii="Calibri" w:hAnsi="Calibri"/>
                <w:b/>
                <w:szCs w:val="20"/>
              </w:rPr>
              <w:t>Jul-Dec</w:t>
            </w:r>
          </w:p>
          <w:p w14:paraId="0D756E47" w14:textId="77777777" w:rsidR="00841E1C" w:rsidRDefault="00841E1C" w:rsidP="00841E1C">
            <w:pPr>
              <w:keepNext/>
              <w:keepLines/>
              <w:jc w:val="center"/>
              <w:rPr>
                <w:rFonts w:ascii="Calibri" w:hAnsi="Calibri"/>
                <w:b/>
                <w:szCs w:val="20"/>
              </w:rPr>
            </w:pPr>
            <w:r>
              <w:rPr>
                <w:rFonts w:ascii="Calibri" w:hAnsi="Calibri"/>
                <w:b/>
                <w:szCs w:val="20"/>
              </w:rPr>
              <w:t>19</w:t>
            </w:r>
          </w:p>
        </w:tc>
      </w:tr>
      <w:tr w:rsidR="00841E1C" w14:paraId="1394FE71" w14:textId="77777777" w:rsidTr="00841E1C">
        <w:tc>
          <w:tcPr>
            <w:tcW w:w="672" w:type="pct"/>
            <w:tcBorders>
              <w:top w:val="single" w:sz="4" w:space="0" w:color="auto"/>
              <w:left w:val="single" w:sz="4" w:space="0" w:color="auto"/>
              <w:bottom w:val="single" w:sz="4" w:space="0" w:color="auto"/>
              <w:right w:val="single" w:sz="4" w:space="0" w:color="auto"/>
            </w:tcBorders>
            <w:vAlign w:val="center"/>
            <w:hideMark/>
          </w:tcPr>
          <w:p w14:paraId="42129D24" w14:textId="77777777" w:rsidR="00841E1C" w:rsidRDefault="00841E1C" w:rsidP="00841E1C">
            <w:pPr>
              <w:keepNext/>
              <w:keepLines/>
              <w:spacing w:after="40"/>
              <w:jc w:val="left"/>
              <w:rPr>
                <w:rFonts w:ascii="Calibri" w:hAnsi="Calibri"/>
                <w:b/>
                <w:szCs w:val="20"/>
              </w:rPr>
            </w:pPr>
            <w:r>
              <w:rPr>
                <w:rFonts w:ascii="Calibri" w:hAnsi="Calibri"/>
                <w:b/>
                <w:szCs w:val="20"/>
              </w:rPr>
              <w:t>Number of complaints closed</w:t>
            </w:r>
          </w:p>
        </w:tc>
        <w:tc>
          <w:tcPr>
            <w:tcW w:w="385" w:type="pct"/>
            <w:tcBorders>
              <w:top w:val="single" w:sz="4" w:space="0" w:color="auto"/>
              <w:left w:val="single" w:sz="4" w:space="0" w:color="auto"/>
              <w:bottom w:val="single" w:sz="4" w:space="0" w:color="auto"/>
              <w:right w:val="single" w:sz="4" w:space="0" w:color="auto"/>
            </w:tcBorders>
            <w:vAlign w:val="center"/>
          </w:tcPr>
          <w:p w14:paraId="5F23382E" w14:textId="77777777" w:rsidR="00841E1C" w:rsidRDefault="00841E1C" w:rsidP="00841E1C">
            <w:pPr>
              <w:keepNext/>
              <w:keepLines/>
              <w:jc w:val="center"/>
              <w:rPr>
                <w:rFonts w:ascii="Calibri" w:hAnsi="Calibri"/>
                <w:szCs w:val="20"/>
              </w:rPr>
            </w:pPr>
            <w:r>
              <w:rPr>
                <w:rFonts w:ascii="Calibri" w:hAnsi="Calibri"/>
                <w:szCs w:val="20"/>
              </w:rPr>
              <w:t>410</w:t>
            </w:r>
          </w:p>
        </w:tc>
        <w:tc>
          <w:tcPr>
            <w:tcW w:w="323" w:type="pct"/>
            <w:tcBorders>
              <w:top w:val="single" w:sz="4" w:space="0" w:color="auto"/>
              <w:left w:val="single" w:sz="4" w:space="0" w:color="auto"/>
              <w:bottom w:val="single" w:sz="4" w:space="0" w:color="auto"/>
              <w:right w:val="single" w:sz="4" w:space="0" w:color="auto"/>
            </w:tcBorders>
            <w:vAlign w:val="center"/>
            <w:hideMark/>
          </w:tcPr>
          <w:p w14:paraId="652F2F33" w14:textId="77777777" w:rsidR="00841E1C" w:rsidRDefault="00841E1C" w:rsidP="00841E1C">
            <w:pPr>
              <w:keepNext/>
              <w:keepLines/>
              <w:jc w:val="center"/>
              <w:rPr>
                <w:rFonts w:ascii="Calibri" w:hAnsi="Calibri"/>
                <w:szCs w:val="20"/>
              </w:rPr>
            </w:pPr>
            <w:r>
              <w:rPr>
                <w:rFonts w:ascii="Calibri" w:hAnsi="Calibri"/>
                <w:szCs w:val="20"/>
              </w:rPr>
              <w:t>365</w:t>
            </w:r>
          </w:p>
        </w:tc>
        <w:tc>
          <w:tcPr>
            <w:tcW w:w="383" w:type="pct"/>
            <w:tcBorders>
              <w:top w:val="single" w:sz="4" w:space="0" w:color="auto"/>
              <w:left w:val="single" w:sz="4" w:space="0" w:color="auto"/>
              <w:bottom w:val="single" w:sz="4" w:space="0" w:color="auto"/>
              <w:right w:val="single" w:sz="4" w:space="0" w:color="auto"/>
            </w:tcBorders>
            <w:vAlign w:val="center"/>
            <w:hideMark/>
          </w:tcPr>
          <w:p w14:paraId="5E32A658" w14:textId="77777777" w:rsidR="00841E1C" w:rsidRDefault="00841E1C" w:rsidP="00841E1C">
            <w:pPr>
              <w:keepNext/>
              <w:keepLines/>
              <w:jc w:val="center"/>
              <w:rPr>
                <w:rFonts w:ascii="Calibri" w:hAnsi="Calibri"/>
                <w:szCs w:val="20"/>
              </w:rPr>
            </w:pPr>
            <w:r>
              <w:rPr>
                <w:rFonts w:ascii="Calibri" w:hAnsi="Calibri"/>
                <w:szCs w:val="20"/>
              </w:rPr>
              <w:t>482</w:t>
            </w:r>
          </w:p>
        </w:tc>
        <w:tc>
          <w:tcPr>
            <w:tcW w:w="386" w:type="pct"/>
            <w:tcBorders>
              <w:top w:val="single" w:sz="4" w:space="0" w:color="auto"/>
              <w:left w:val="single" w:sz="4" w:space="0" w:color="auto"/>
              <w:bottom w:val="single" w:sz="4" w:space="0" w:color="auto"/>
              <w:right w:val="single" w:sz="4" w:space="0" w:color="auto"/>
            </w:tcBorders>
            <w:vAlign w:val="center"/>
            <w:hideMark/>
          </w:tcPr>
          <w:p w14:paraId="5824709C" w14:textId="77777777" w:rsidR="00841E1C" w:rsidRDefault="00841E1C" w:rsidP="00841E1C">
            <w:pPr>
              <w:keepNext/>
              <w:keepLines/>
              <w:jc w:val="center"/>
              <w:rPr>
                <w:rFonts w:ascii="Calibri" w:hAnsi="Calibri"/>
                <w:szCs w:val="20"/>
              </w:rPr>
            </w:pPr>
            <w:r>
              <w:rPr>
                <w:rFonts w:ascii="Calibri" w:hAnsi="Calibri"/>
                <w:szCs w:val="20"/>
              </w:rPr>
              <w:t>316</w:t>
            </w:r>
          </w:p>
        </w:tc>
        <w:tc>
          <w:tcPr>
            <w:tcW w:w="386" w:type="pct"/>
            <w:tcBorders>
              <w:top w:val="single" w:sz="4" w:space="0" w:color="auto"/>
              <w:left w:val="single" w:sz="4" w:space="0" w:color="auto"/>
              <w:bottom w:val="single" w:sz="4" w:space="0" w:color="auto"/>
              <w:right w:val="single" w:sz="4" w:space="0" w:color="auto"/>
            </w:tcBorders>
            <w:vAlign w:val="center"/>
            <w:hideMark/>
          </w:tcPr>
          <w:p w14:paraId="0900E711" w14:textId="77777777" w:rsidR="00841E1C" w:rsidRDefault="00841E1C" w:rsidP="00841E1C">
            <w:pPr>
              <w:keepNext/>
              <w:keepLines/>
              <w:jc w:val="center"/>
              <w:rPr>
                <w:rFonts w:ascii="Calibri" w:hAnsi="Calibri"/>
                <w:szCs w:val="20"/>
              </w:rPr>
            </w:pPr>
            <w:r>
              <w:rPr>
                <w:rFonts w:ascii="Calibri" w:hAnsi="Calibri"/>
                <w:szCs w:val="20"/>
              </w:rPr>
              <w:t>465</w:t>
            </w:r>
          </w:p>
        </w:tc>
        <w:tc>
          <w:tcPr>
            <w:tcW w:w="386" w:type="pct"/>
            <w:tcBorders>
              <w:top w:val="single" w:sz="4" w:space="0" w:color="auto"/>
              <w:left w:val="single" w:sz="4" w:space="0" w:color="auto"/>
              <w:bottom w:val="single" w:sz="4" w:space="0" w:color="auto"/>
              <w:right w:val="single" w:sz="4" w:space="0" w:color="auto"/>
            </w:tcBorders>
            <w:vAlign w:val="center"/>
            <w:hideMark/>
          </w:tcPr>
          <w:p w14:paraId="02AD3B37" w14:textId="77777777" w:rsidR="00841E1C" w:rsidRDefault="00841E1C" w:rsidP="00841E1C">
            <w:pPr>
              <w:keepNext/>
              <w:keepLines/>
              <w:jc w:val="center"/>
              <w:rPr>
                <w:rFonts w:ascii="Calibri" w:hAnsi="Calibri"/>
                <w:szCs w:val="20"/>
              </w:rPr>
            </w:pPr>
            <w:r>
              <w:rPr>
                <w:rFonts w:ascii="Calibri" w:hAnsi="Calibri"/>
                <w:szCs w:val="20"/>
              </w:rPr>
              <w:t>383</w:t>
            </w:r>
          </w:p>
        </w:tc>
        <w:tc>
          <w:tcPr>
            <w:tcW w:w="386" w:type="pct"/>
            <w:tcBorders>
              <w:top w:val="single" w:sz="4" w:space="0" w:color="auto"/>
              <w:left w:val="single" w:sz="4" w:space="0" w:color="auto"/>
              <w:bottom w:val="single" w:sz="4" w:space="0" w:color="auto"/>
              <w:right w:val="single" w:sz="4" w:space="0" w:color="auto"/>
            </w:tcBorders>
            <w:vAlign w:val="center"/>
            <w:hideMark/>
          </w:tcPr>
          <w:p w14:paraId="4AC55DC2" w14:textId="77777777" w:rsidR="00841E1C" w:rsidRDefault="00841E1C" w:rsidP="00841E1C">
            <w:pPr>
              <w:keepNext/>
              <w:keepLines/>
              <w:jc w:val="center"/>
              <w:rPr>
                <w:rFonts w:ascii="Calibri" w:hAnsi="Calibri"/>
                <w:szCs w:val="20"/>
              </w:rPr>
            </w:pPr>
            <w:r>
              <w:rPr>
                <w:rFonts w:ascii="Calibri" w:hAnsi="Calibri"/>
                <w:szCs w:val="20"/>
              </w:rPr>
              <w:t>476</w:t>
            </w:r>
          </w:p>
        </w:tc>
        <w:tc>
          <w:tcPr>
            <w:tcW w:w="386" w:type="pct"/>
            <w:tcBorders>
              <w:top w:val="single" w:sz="4" w:space="0" w:color="auto"/>
              <w:left w:val="single" w:sz="4" w:space="0" w:color="auto"/>
              <w:bottom w:val="single" w:sz="4" w:space="0" w:color="auto"/>
              <w:right w:val="single" w:sz="4" w:space="0" w:color="auto"/>
            </w:tcBorders>
            <w:vAlign w:val="center"/>
            <w:hideMark/>
          </w:tcPr>
          <w:p w14:paraId="10AABED6" w14:textId="77777777" w:rsidR="00841E1C" w:rsidRDefault="00841E1C" w:rsidP="00841E1C">
            <w:pPr>
              <w:keepNext/>
              <w:keepLines/>
              <w:jc w:val="center"/>
              <w:rPr>
                <w:rFonts w:ascii="Calibri" w:hAnsi="Calibri"/>
                <w:szCs w:val="20"/>
              </w:rPr>
            </w:pPr>
            <w:r>
              <w:rPr>
                <w:rFonts w:ascii="Calibri" w:hAnsi="Calibri"/>
                <w:szCs w:val="20"/>
              </w:rPr>
              <w:t>449</w:t>
            </w:r>
          </w:p>
        </w:tc>
        <w:tc>
          <w:tcPr>
            <w:tcW w:w="386" w:type="pct"/>
            <w:tcBorders>
              <w:top w:val="single" w:sz="4" w:space="0" w:color="auto"/>
              <w:left w:val="single" w:sz="4" w:space="0" w:color="auto"/>
              <w:bottom w:val="single" w:sz="4" w:space="0" w:color="auto"/>
              <w:right w:val="single" w:sz="4" w:space="0" w:color="auto"/>
            </w:tcBorders>
            <w:vAlign w:val="center"/>
          </w:tcPr>
          <w:p w14:paraId="0167DCAE" w14:textId="77777777" w:rsidR="00841E1C" w:rsidRPr="003B4C75" w:rsidRDefault="00841E1C" w:rsidP="00841E1C">
            <w:pPr>
              <w:keepNext/>
              <w:keepLines/>
              <w:jc w:val="center"/>
              <w:rPr>
                <w:rFonts w:ascii="Calibri" w:hAnsi="Calibri"/>
                <w:szCs w:val="20"/>
              </w:rPr>
            </w:pPr>
            <w:r w:rsidRPr="003B4C75">
              <w:rPr>
                <w:rFonts w:ascii="Calibri" w:hAnsi="Calibri"/>
                <w:szCs w:val="20"/>
              </w:rPr>
              <w:t>444</w:t>
            </w:r>
          </w:p>
        </w:tc>
        <w:tc>
          <w:tcPr>
            <w:tcW w:w="547" w:type="pct"/>
            <w:tcBorders>
              <w:top w:val="single" w:sz="4" w:space="0" w:color="auto"/>
              <w:left w:val="single" w:sz="4" w:space="0" w:color="auto"/>
              <w:bottom w:val="single" w:sz="4" w:space="0" w:color="auto"/>
              <w:right w:val="single" w:sz="4" w:space="0" w:color="auto"/>
            </w:tcBorders>
            <w:vAlign w:val="center"/>
            <w:hideMark/>
          </w:tcPr>
          <w:p w14:paraId="0889B6E3" w14:textId="77777777" w:rsidR="00841E1C" w:rsidRDefault="00841E1C" w:rsidP="00841E1C">
            <w:pPr>
              <w:keepNext/>
              <w:keepLines/>
              <w:jc w:val="center"/>
              <w:rPr>
                <w:rFonts w:ascii="Calibri" w:hAnsi="Calibri"/>
                <w:b/>
                <w:szCs w:val="20"/>
              </w:rPr>
            </w:pPr>
            <w:r>
              <w:rPr>
                <w:rFonts w:ascii="Calibri" w:hAnsi="Calibri"/>
                <w:b/>
                <w:szCs w:val="20"/>
              </w:rPr>
              <w:t>438</w:t>
            </w:r>
          </w:p>
        </w:tc>
        <w:tc>
          <w:tcPr>
            <w:tcW w:w="375" w:type="pct"/>
            <w:tcBorders>
              <w:top w:val="single" w:sz="4" w:space="0" w:color="auto"/>
              <w:left w:val="single" w:sz="4" w:space="0" w:color="auto"/>
              <w:bottom w:val="single" w:sz="4" w:space="0" w:color="auto"/>
              <w:right w:val="single" w:sz="4" w:space="0" w:color="auto"/>
            </w:tcBorders>
            <w:vAlign w:val="center"/>
            <w:hideMark/>
          </w:tcPr>
          <w:p w14:paraId="2639D45F" w14:textId="77777777" w:rsidR="00841E1C" w:rsidRDefault="00841E1C" w:rsidP="00841E1C">
            <w:pPr>
              <w:keepNext/>
              <w:keepLines/>
              <w:jc w:val="center"/>
              <w:rPr>
                <w:rFonts w:ascii="Calibri" w:hAnsi="Calibri"/>
                <w:b/>
                <w:szCs w:val="20"/>
              </w:rPr>
            </w:pPr>
            <w:r>
              <w:rPr>
                <w:rFonts w:ascii="Calibri" w:hAnsi="Calibri"/>
                <w:b/>
                <w:szCs w:val="20"/>
              </w:rPr>
              <w:t>423</w:t>
            </w:r>
          </w:p>
        </w:tc>
      </w:tr>
    </w:tbl>
    <w:p w14:paraId="55F2008A" w14:textId="77777777" w:rsidR="00841E1C" w:rsidRDefault="00841E1C" w:rsidP="00841E1C">
      <w:bookmarkStart w:id="106" w:name="_Toc415221219"/>
      <w:bookmarkStart w:id="107" w:name="_Toc415153518"/>
      <w:bookmarkStart w:id="108" w:name="_Toc415147244"/>
      <w:bookmarkStart w:id="109" w:name="_Toc415135530"/>
      <w:bookmarkStart w:id="110" w:name="_Toc415046458"/>
      <w:bookmarkStart w:id="111" w:name="_Toc415039802"/>
      <w:bookmarkStart w:id="112" w:name="_Toc414952831"/>
      <w:bookmarkStart w:id="113" w:name="_Toc414886546"/>
      <w:bookmarkStart w:id="114" w:name="_Toc414875836"/>
      <w:bookmarkStart w:id="115" w:name="_Toc414461838"/>
      <w:bookmarkStart w:id="116" w:name="_Toc414442657"/>
    </w:p>
    <w:p w14:paraId="400B9B44" w14:textId="77777777" w:rsidR="00841E1C" w:rsidRPr="003607E1" w:rsidRDefault="00841E1C" w:rsidP="00841E1C">
      <w:pPr>
        <w:pStyle w:val="Heading3"/>
        <w:spacing w:before="360"/>
      </w:pPr>
      <w:bookmarkStart w:id="117" w:name="_Toc426462638"/>
      <w:bookmarkStart w:id="118" w:name="_Toc443992233"/>
      <w:bookmarkStart w:id="119" w:name="_Toc493684134"/>
      <w:bookmarkStart w:id="120" w:name="_Toc39138054"/>
      <w:r w:rsidRPr="003607E1">
        <w:t>4.2</w:t>
      </w:r>
      <w:r w:rsidRPr="003607E1">
        <w:tab/>
        <w:t>Outcomes of complaints closed</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8505BDE" w14:textId="77777777" w:rsidR="00841E1C" w:rsidRDefault="00841E1C" w:rsidP="00841E1C">
      <w:pPr>
        <w:rPr>
          <w:lang w:eastAsia="en-NZ" w:bidi="ar-SA"/>
        </w:rPr>
      </w:pPr>
      <w:r>
        <w:t xml:space="preserve">Complaints that are within HDC’s jurisdiction are classified into two groups according to the manner of resolution </w:t>
      </w:r>
      <w:r>
        <w:rPr>
          <w:rFonts w:ascii="Calibri" w:hAnsi="Calibri"/>
        </w:rPr>
        <w:t>—</w:t>
      </w:r>
      <w:r>
        <w:t xml:space="preserve"> whether investigation or other resolution. Within each classification, there is a variety of possible outcomes. Notification of investigation generally indicates more serious </w:t>
      </w:r>
      <w:r>
        <w:rPr>
          <w:lang w:eastAsia="en-NZ" w:bidi="ar-SA"/>
        </w:rPr>
        <w:t xml:space="preserve">issues. </w:t>
      </w:r>
    </w:p>
    <w:p w14:paraId="5DE11728" w14:textId="77777777" w:rsidR="00841E1C" w:rsidRDefault="00841E1C" w:rsidP="00841E1C">
      <w:pPr>
        <w:rPr>
          <w:lang w:eastAsia="en-NZ" w:bidi="ar-SA"/>
        </w:rPr>
      </w:pPr>
    </w:p>
    <w:p w14:paraId="1F424CA0" w14:textId="77777777" w:rsidR="00841E1C" w:rsidRPr="008565E0" w:rsidRDefault="00841E1C" w:rsidP="00841E1C">
      <w:pPr>
        <w:rPr>
          <w:lang w:eastAsia="en-NZ"/>
        </w:rPr>
      </w:pPr>
      <w:r w:rsidRPr="0029389C">
        <w:rPr>
          <w:lang w:eastAsia="en-NZ"/>
        </w:rPr>
        <w:t xml:space="preserve">In the </w:t>
      </w:r>
      <w:r>
        <w:t>Jul-Dec</w:t>
      </w:r>
      <w:r w:rsidRPr="0029389C">
        <w:t xml:space="preserve"> 2019 </w:t>
      </w:r>
      <w:r w:rsidRPr="0029389C">
        <w:rPr>
          <w:lang w:eastAsia="en-NZ"/>
        </w:rPr>
        <w:t>period, 4 DHBs had no investigations closed, 8 DHBs had one investigation closed, 2 DHBs had two investigations closed, 4 DHB</w:t>
      </w:r>
      <w:r>
        <w:rPr>
          <w:lang w:eastAsia="en-NZ"/>
        </w:rPr>
        <w:t>s</w:t>
      </w:r>
      <w:r w:rsidRPr="0029389C">
        <w:rPr>
          <w:lang w:eastAsia="en-NZ"/>
        </w:rPr>
        <w:t xml:space="preserve"> had three investigations closed, 1 DHB had four investigations closed and 1 DHB had five investigations closed.</w:t>
      </w:r>
    </w:p>
    <w:p w14:paraId="4D82499A" w14:textId="77777777" w:rsidR="00841E1C" w:rsidRDefault="00841E1C" w:rsidP="00841E1C">
      <w:pPr>
        <w:rPr>
          <w:rFonts w:ascii="Calibri" w:hAnsi="Calibri"/>
        </w:rPr>
      </w:pPr>
      <w:r>
        <w:rPr>
          <w:rFonts w:ascii="Calibri" w:hAnsi="Calibri"/>
          <w:lang w:eastAsia="en-NZ"/>
        </w:rPr>
        <w:br/>
      </w:r>
      <w:r>
        <w:rPr>
          <w:rFonts w:ascii="Calibri" w:hAnsi="Calibri"/>
        </w:rPr>
        <w:t xml:space="preserve">The manner of resolution </w:t>
      </w:r>
      <w:r>
        <w:rPr>
          <w:rFonts w:ascii="Calibri" w:hAnsi="Calibri" w:cs="Calibri"/>
        </w:rPr>
        <w:t>and</w:t>
      </w:r>
      <w:r>
        <w:rPr>
          <w:rFonts w:ascii="Calibri" w:hAnsi="Calibri"/>
        </w:rPr>
        <w:t xml:space="preserve"> outcomes of all complaints about DHBs closed in </w:t>
      </w:r>
      <w:r>
        <w:t xml:space="preserve">Jul-Dec 2019 </w:t>
      </w:r>
      <w:r>
        <w:rPr>
          <w:rFonts w:ascii="Calibri" w:hAnsi="Calibri"/>
        </w:rPr>
        <w:t xml:space="preserve">is shown in Table 11. </w:t>
      </w:r>
    </w:p>
    <w:p w14:paraId="1A4E6A9F" w14:textId="77777777" w:rsidR="00841E1C" w:rsidRDefault="00841E1C" w:rsidP="00841E1C">
      <w:pPr>
        <w:rPr>
          <w:rFonts w:ascii="Calibri" w:hAnsi="Calibri"/>
        </w:rPr>
      </w:pPr>
    </w:p>
    <w:p w14:paraId="4D5D08CA" w14:textId="77777777" w:rsidR="00841E1C" w:rsidRDefault="00841E1C" w:rsidP="00841E1C">
      <w:pPr>
        <w:rPr>
          <w:rFonts w:ascii="Calibri" w:hAnsi="Calibri"/>
          <w:b/>
          <w:szCs w:val="22"/>
        </w:rPr>
      </w:pPr>
      <w:r>
        <w:rPr>
          <w:rFonts w:ascii="Calibri" w:hAnsi="Calibri"/>
          <w:b/>
          <w:szCs w:val="22"/>
        </w:rPr>
        <w:br w:type="page"/>
      </w:r>
    </w:p>
    <w:p w14:paraId="0526FB9D" w14:textId="77777777" w:rsidR="00841E1C" w:rsidRDefault="00841E1C" w:rsidP="00841E1C">
      <w:pPr>
        <w:spacing w:after="120"/>
        <w:rPr>
          <w:rFonts w:ascii="Calibri" w:hAnsi="Calibri"/>
          <w:b/>
          <w:szCs w:val="22"/>
        </w:rPr>
      </w:pPr>
    </w:p>
    <w:p w14:paraId="438F5B6D" w14:textId="77777777" w:rsidR="00841E1C" w:rsidRDefault="00841E1C" w:rsidP="00841E1C">
      <w:pPr>
        <w:keepNext/>
        <w:keepLines/>
        <w:spacing w:after="120"/>
        <w:rPr>
          <w:lang w:eastAsia="en-NZ"/>
        </w:rPr>
      </w:pPr>
      <w:r>
        <w:rPr>
          <w:rFonts w:ascii="Calibri" w:hAnsi="Calibri"/>
          <w:b/>
          <w:szCs w:val="22"/>
        </w:rPr>
        <w:t xml:space="preserve">Table 11. </w:t>
      </w:r>
      <w:r>
        <w:rPr>
          <w:rFonts w:ascii="Calibri" w:hAnsi="Calibri"/>
          <w:szCs w:val="22"/>
        </w:rPr>
        <w:t>Outcome for DHBs of complaints closed by complaint type</w:t>
      </w:r>
      <w:r w:rsidRPr="003E5338">
        <w:rPr>
          <w:rStyle w:val="FootnoteReference"/>
        </w:rPr>
        <w:footnoteReference w:id="5"/>
      </w:r>
    </w:p>
    <w:tbl>
      <w:tblPr>
        <w:tblStyle w:val="TableGrid"/>
        <w:tblW w:w="9178" w:type="dxa"/>
        <w:tblInd w:w="108" w:type="dxa"/>
        <w:tblLook w:val="04A0" w:firstRow="1" w:lastRow="0" w:firstColumn="1" w:lastColumn="0" w:noHBand="0" w:noVBand="1"/>
      </w:tblPr>
      <w:tblGrid>
        <w:gridCol w:w="7090"/>
        <w:gridCol w:w="2088"/>
      </w:tblGrid>
      <w:tr w:rsidR="00841E1C" w14:paraId="57A1DE25" w14:textId="77777777" w:rsidTr="0080255D">
        <w:trPr>
          <w:trHeight w:val="386"/>
        </w:trPr>
        <w:tc>
          <w:tcPr>
            <w:tcW w:w="7090" w:type="dxa"/>
            <w:tcBorders>
              <w:top w:val="single" w:sz="4" w:space="0" w:color="auto"/>
              <w:left w:val="single" w:sz="4" w:space="0" w:color="auto"/>
              <w:bottom w:val="single" w:sz="4" w:space="0" w:color="auto"/>
              <w:right w:val="single" w:sz="4" w:space="0" w:color="auto"/>
            </w:tcBorders>
            <w:hideMark/>
          </w:tcPr>
          <w:p w14:paraId="6DB33093" w14:textId="77777777" w:rsidR="00841E1C" w:rsidRPr="0080255D" w:rsidRDefault="00841E1C" w:rsidP="00841E1C">
            <w:pPr>
              <w:keepNext/>
              <w:keepLines/>
              <w:tabs>
                <w:tab w:val="left" w:pos="1440"/>
                <w:tab w:val="decimal" w:pos="4320"/>
              </w:tabs>
              <w:spacing w:before="60"/>
              <w:jc w:val="left"/>
              <w:outlineLvl w:val="0"/>
              <w:rPr>
                <w:rFonts w:ascii="Calibri" w:hAnsi="Calibri"/>
                <w:b/>
                <w:sz w:val="22"/>
                <w:szCs w:val="22"/>
              </w:rPr>
            </w:pPr>
            <w:r w:rsidRPr="00091893">
              <w:rPr>
                <w:rFonts w:ascii="Calibri" w:hAnsi="Calibri"/>
                <w:b/>
                <w:szCs w:val="22"/>
              </w:rPr>
              <w:br w:type="page"/>
              <w:t>Outcome for DHBs</w:t>
            </w:r>
          </w:p>
        </w:tc>
        <w:tc>
          <w:tcPr>
            <w:tcW w:w="2088" w:type="dxa"/>
            <w:tcBorders>
              <w:top w:val="single" w:sz="4" w:space="0" w:color="auto"/>
              <w:left w:val="single" w:sz="4" w:space="0" w:color="auto"/>
              <w:bottom w:val="single" w:sz="4" w:space="0" w:color="auto"/>
              <w:right w:val="single" w:sz="4" w:space="0" w:color="auto"/>
            </w:tcBorders>
          </w:tcPr>
          <w:p w14:paraId="6156BD1D" w14:textId="3482B2FB" w:rsidR="00841E1C" w:rsidRPr="0080255D" w:rsidRDefault="00841E1C" w:rsidP="0080255D">
            <w:pPr>
              <w:keepNext/>
              <w:keepLines/>
              <w:tabs>
                <w:tab w:val="left" w:pos="1440"/>
                <w:tab w:val="decimal" w:pos="4320"/>
              </w:tabs>
              <w:spacing w:before="60"/>
              <w:jc w:val="center"/>
              <w:outlineLvl w:val="0"/>
              <w:rPr>
                <w:rFonts w:ascii="Calibri" w:hAnsi="Calibri"/>
                <w:b/>
                <w:sz w:val="22"/>
                <w:szCs w:val="22"/>
              </w:rPr>
            </w:pPr>
            <w:r w:rsidRPr="00091893">
              <w:rPr>
                <w:rFonts w:ascii="Calibri" w:hAnsi="Calibri"/>
                <w:b/>
                <w:szCs w:val="22"/>
              </w:rPr>
              <w:t>Number of complaints closed</w:t>
            </w:r>
          </w:p>
        </w:tc>
      </w:tr>
      <w:tr w:rsidR="00841E1C" w14:paraId="49E11C21" w14:textId="77777777" w:rsidTr="0080255D">
        <w:trPr>
          <w:trHeight w:val="272"/>
        </w:trPr>
        <w:tc>
          <w:tcPr>
            <w:tcW w:w="7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D41EC2" w14:textId="77777777" w:rsidR="00841E1C" w:rsidRPr="0080255D" w:rsidRDefault="00841E1C" w:rsidP="00841E1C">
            <w:pPr>
              <w:keepNext/>
              <w:keepLines/>
              <w:tabs>
                <w:tab w:val="left" w:pos="1440"/>
                <w:tab w:val="decimal" w:pos="4320"/>
              </w:tabs>
              <w:jc w:val="left"/>
              <w:outlineLvl w:val="0"/>
              <w:rPr>
                <w:rFonts w:ascii="Calibri" w:hAnsi="Calibri"/>
                <w:b/>
                <w:i/>
                <w:sz w:val="22"/>
                <w:szCs w:val="22"/>
              </w:rPr>
            </w:pPr>
            <w:r w:rsidRPr="00091893">
              <w:rPr>
                <w:rFonts w:ascii="Calibri" w:hAnsi="Calibri"/>
                <w:b/>
                <w:i/>
                <w:szCs w:val="22"/>
              </w:rPr>
              <w:t>Investigation</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CF935" w14:textId="77777777" w:rsidR="00841E1C" w:rsidRPr="0080255D" w:rsidRDefault="007B4171" w:rsidP="00841E1C">
            <w:pPr>
              <w:keepNext/>
              <w:keepLines/>
              <w:tabs>
                <w:tab w:val="left" w:pos="1440"/>
                <w:tab w:val="decimal" w:pos="4320"/>
              </w:tabs>
              <w:jc w:val="center"/>
              <w:outlineLvl w:val="0"/>
              <w:rPr>
                <w:rFonts w:ascii="Calibri" w:hAnsi="Calibri"/>
                <w:b/>
                <w:i/>
                <w:sz w:val="22"/>
                <w:szCs w:val="22"/>
              </w:rPr>
            </w:pPr>
            <w:r w:rsidRPr="00091893">
              <w:rPr>
                <w:rFonts w:ascii="Calibri" w:hAnsi="Calibri"/>
                <w:b/>
                <w:i/>
                <w:szCs w:val="22"/>
              </w:rPr>
              <w:t>33</w:t>
            </w:r>
          </w:p>
        </w:tc>
      </w:tr>
      <w:tr w:rsidR="00841E1C" w14:paraId="0657DABF" w14:textId="77777777" w:rsidTr="0080255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5C00E877" w14:textId="5F69300D" w:rsidR="00841E1C" w:rsidRPr="0080255D" w:rsidRDefault="00841E1C" w:rsidP="00841E1C">
            <w:pPr>
              <w:keepNext/>
              <w:keepLines/>
              <w:tabs>
                <w:tab w:val="left" w:pos="1440"/>
                <w:tab w:val="decimal" w:pos="4320"/>
              </w:tabs>
              <w:jc w:val="left"/>
              <w:outlineLvl w:val="0"/>
              <w:rPr>
                <w:rFonts w:ascii="Calibri" w:hAnsi="Calibri"/>
                <w:sz w:val="22"/>
                <w:szCs w:val="22"/>
              </w:rPr>
            </w:pPr>
            <w:r w:rsidRPr="00091893">
              <w:rPr>
                <w:rFonts w:ascii="Calibri" w:hAnsi="Calibri"/>
                <w:color w:val="000000"/>
                <w:szCs w:val="22"/>
              </w:rPr>
              <w:t>Breach finding - Referred to D</w:t>
            </w:r>
            <w:r w:rsidR="00A65512" w:rsidRPr="00091893">
              <w:rPr>
                <w:rFonts w:ascii="Calibri" w:hAnsi="Calibri"/>
                <w:color w:val="000000"/>
                <w:szCs w:val="22"/>
              </w:rPr>
              <w:t>irector of Proceedings</w:t>
            </w:r>
          </w:p>
        </w:tc>
        <w:tc>
          <w:tcPr>
            <w:tcW w:w="2088" w:type="dxa"/>
            <w:tcBorders>
              <w:top w:val="single" w:sz="4" w:space="0" w:color="auto"/>
              <w:left w:val="single" w:sz="4" w:space="0" w:color="auto"/>
              <w:bottom w:val="single" w:sz="4" w:space="0" w:color="auto"/>
              <w:right w:val="single" w:sz="4" w:space="0" w:color="auto"/>
            </w:tcBorders>
            <w:vAlign w:val="bottom"/>
          </w:tcPr>
          <w:p w14:paraId="29E30C33" w14:textId="77777777" w:rsidR="00841E1C" w:rsidRPr="0080255D" w:rsidRDefault="00841E1C" w:rsidP="00841E1C">
            <w:pPr>
              <w:keepNext/>
              <w:keepLines/>
              <w:tabs>
                <w:tab w:val="left" w:pos="1440"/>
                <w:tab w:val="decimal" w:pos="4320"/>
              </w:tabs>
              <w:jc w:val="center"/>
              <w:outlineLvl w:val="0"/>
              <w:rPr>
                <w:rFonts w:ascii="Calibri" w:hAnsi="Calibri"/>
                <w:sz w:val="22"/>
                <w:szCs w:val="22"/>
              </w:rPr>
            </w:pPr>
            <w:r w:rsidRPr="00091893">
              <w:rPr>
                <w:rFonts w:ascii="Calibri" w:hAnsi="Calibri"/>
                <w:color w:val="000000"/>
                <w:szCs w:val="22"/>
              </w:rPr>
              <w:t>1</w:t>
            </w:r>
          </w:p>
        </w:tc>
      </w:tr>
      <w:tr w:rsidR="00841E1C" w14:paraId="0C75809A" w14:textId="77777777" w:rsidTr="0080255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736F792C" w14:textId="77777777" w:rsidR="00841E1C" w:rsidRPr="0080255D" w:rsidRDefault="00841E1C" w:rsidP="00841E1C">
            <w:pPr>
              <w:keepNext/>
              <w:keepLines/>
              <w:tabs>
                <w:tab w:val="left" w:pos="1440"/>
                <w:tab w:val="decimal" w:pos="4320"/>
              </w:tabs>
              <w:jc w:val="left"/>
              <w:outlineLvl w:val="0"/>
              <w:rPr>
                <w:rFonts w:ascii="Calibri" w:hAnsi="Calibri"/>
                <w:sz w:val="22"/>
                <w:szCs w:val="22"/>
              </w:rPr>
            </w:pPr>
            <w:r w:rsidRPr="00091893">
              <w:rPr>
                <w:rFonts w:ascii="Calibri" w:hAnsi="Calibri"/>
                <w:color w:val="000000"/>
                <w:szCs w:val="22"/>
              </w:rPr>
              <w:t>Breach finding</w:t>
            </w:r>
          </w:p>
        </w:tc>
        <w:tc>
          <w:tcPr>
            <w:tcW w:w="2088" w:type="dxa"/>
            <w:tcBorders>
              <w:top w:val="single" w:sz="4" w:space="0" w:color="auto"/>
              <w:left w:val="single" w:sz="4" w:space="0" w:color="auto"/>
              <w:bottom w:val="single" w:sz="4" w:space="0" w:color="auto"/>
              <w:right w:val="single" w:sz="4" w:space="0" w:color="auto"/>
            </w:tcBorders>
            <w:vAlign w:val="bottom"/>
          </w:tcPr>
          <w:p w14:paraId="16887822" w14:textId="77777777" w:rsidR="00841E1C" w:rsidRPr="0080255D" w:rsidRDefault="00841E1C" w:rsidP="00841E1C">
            <w:pPr>
              <w:keepNext/>
              <w:keepLines/>
              <w:tabs>
                <w:tab w:val="left" w:pos="1440"/>
                <w:tab w:val="decimal" w:pos="4320"/>
              </w:tabs>
              <w:jc w:val="center"/>
              <w:outlineLvl w:val="0"/>
              <w:rPr>
                <w:rFonts w:ascii="Calibri" w:hAnsi="Calibri"/>
                <w:sz w:val="22"/>
                <w:szCs w:val="22"/>
              </w:rPr>
            </w:pPr>
            <w:r w:rsidRPr="00091893">
              <w:rPr>
                <w:rFonts w:ascii="Calibri" w:hAnsi="Calibri"/>
                <w:color w:val="000000"/>
                <w:szCs w:val="22"/>
              </w:rPr>
              <w:t>22</w:t>
            </w:r>
          </w:p>
        </w:tc>
      </w:tr>
      <w:tr w:rsidR="00841E1C" w14:paraId="74AA1C9A" w14:textId="77777777" w:rsidTr="0080255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12D35C08" w14:textId="716A6794" w:rsidR="00841E1C" w:rsidRPr="0080255D" w:rsidRDefault="00841E1C" w:rsidP="006A440C">
            <w:pPr>
              <w:keepNext/>
              <w:keepLines/>
              <w:tabs>
                <w:tab w:val="left" w:pos="1440"/>
                <w:tab w:val="decimal" w:pos="4320"/>
              </w:tabs>
              <w:jc w:val="left"/>
              <w:outlineLvl w:val="0"/>
              <w:rPr>
                <w:rFonts w:ascii="Calibri" w:hAnsi="Calibri"/>
                <w:sz w:val="22"/>
                <w:szCs w:val="22"/>
              </w:rPr>
            </w:pPr>
            <w:r w:rsidRPr="00091893">
              <w:rPr>
                <w:rFonts w:ascii="Calibri" w:hAnsi="Calibri"/>
                <w:color w:val="000000"/>
                <w:szCs w:val="22"/>
              </w:rPr>
              <w:t xml:space="preserve">No breach finding - with adverse comment </w:t>
            </w:r>
            <w:r w:rsidR="006A440C" w:rsidRPr="00091893">
              <w:rPr>
                <w:rFonts w:ascii="Calibri" w:hAnsi="Calibri"/>
                <w:color w:val="000000"/>
                <w:szCs w:val="22"/>
              </w:rPr>
              <w:t>and</w:t>
            </w:r>
            <w:r w:rsidRPr="00091893">
              <w:rPr>
                <w:rFonts w:ascii="Calibri" w:hAnsi="Calibri"/>
                <w:color w:val="000000"/>
                <w:szCs w:val="22"/>
              </w:rPr>
              <w:t xml:space="preserve"> recommendations</w:t>
            </w:r>
          </w:p>
        </w:tc>
        <w:tc>
          <w:tcPr>
            <w:tcW w:w="2088" w:type="dxa"/>
            <w:tcBorders>
              <w:top w:val="single" w:sz="4" w:space="0" w:color="auto"/>
              <w:left w:val="single" w:sz="4" w:space="0" w:color="auto"/>
              <w:bottom w:val="single" w:sz="4" w:space="0" w:color="auto"/>
              <w:right w:val="single" w:sz="4" w:space="0" w:color="auto"/>
            </w:tcBorders>
            <w:vAlign w:val="bottom"/>
          </w:tcPr>
          <w:p w14:paraId="517E4857" w14:textId="77777777" w:rsidR="00841E1C" w:rsidRPr="0080255D" w:rsidRDefault="00841E1C" w:rsidP="00841E1C">
            <w:pPr>
              <w:keepNext/>
              <w:keepLines/>
              <w:tabs>
                <w:tab w:val="left" w:pos="1440"/>
                <w:tab w:val="decimal" w:pos="4320"/>
              </w:tabs>
              <w:jc w:val="center"/>
              <w:outlineLvl w:val="0"/>
              <w:rPr>
                <w:rFonts w:ascii="Calibri" w:hAnsi="Calibri"/>
                <w:sz w:val="22"/>
                <w:szCs w:val="22"/>
              </w:rPr>
            </w:pPr>
            <w:r w:rsidRPr="00091893">
              <w:rPr>
                <w:rFonts w:ascii="Calibri" w:hAnsi="Calibri"/>
                <w:color w:val="000000"/>
                <w:szCs w:val="22"/>
              </w:rPr>
              <w:t>8</w:t>
            </w:r>
          </w:p>
        </w:tc>
      </w:tr>
      <w:tr w:rsidR="00841E1C" w14:paraId="30AD2322" w14:textId="77777777" w:rsidTr="0080255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3D182879" w14:textId="77777777" w:rsidR="00841E1C" w:rsidRPr="0080255D" w:rsidRDefault="00841E1C" w:rsidP="00841E1C">
            <w:pPr>
              <w:keepNext/>
              <w:keepLines/>
              <w:tabs>
                <w:tab w:val="left" w:pos="1440"/>
                <w:tab w:val="decimal" w:pos="4320"/>
              </w:tabs>
              <w:jc w:val="left"/>
              <w:outlineLvl w:val="0"/>
              <w:rPr>
                <w:rFonts w:ascii="Calibri" w:hAnsi="Calibri"/>
                <w:sz w:val="22"/>
                <w:szCs w:val="22"/>
              </w:rPr>
            </w:pPr>
            <w:r w:rsidRPr="00091893">
              <w:rPr>
                <w:rFonts w:ascii="Calibri" w:hAnsi="Calibri"/>
                <w:color w:val="000000"/>
                <w:szCs w:val="22"/>
              </w:rPr>
              <w:t>No breach finding</w:t>
            </w:r>
          </w:p>
        </w:tc>
        <w:tc>
          <w:tcPr>
            <w:tcW w:w="2088" w:type="dxa"/>
            <w:tcBorders>
              <w:top w:val="single" w:sz="4" w:space="0" w:color="auto"/>
              <w:left w:val="single" w:sz="4" w:space="0" w:color="auto"/>
              <w:bottom w:val="single" w:sz="4" w:space="0" w:color="auto"/>
              <w:right w:val="single" w:sz="4" w:space="0" w:color="auto"/>
            </w:tcBorders>
            <w:vAlign w:val="bottom"/>
          </w:tcPr>
          <w:p w14:paraId="62D56C6B" w14:textId="77777777" w:rsidR="00841E1C" w:rsidRPr="0080255D" w:rsidRDefault="00841E1C" w:rsidP="00841E1C">
            <w:pPr>
              <w:keepNext/>
              <w:keepLines/>
              <w:tabs>
                <w:tab w:val="left" w:pos="1440"/>
                <w:tab w:val="decimal" w:pos="4320"/>
              </w:tabs>
              <w:jc w:val="center"/>
              <w:outlineLvl w:val="0"/>
              <w:rPr>
                <w:rFonts w:ascii="Calibri" w:hAnsi="Calibri"/>
                <w:sz w:val="22"/>
                <w:szCs w:val="22"/>
              </w:rPr>
            </w:pPr>
            <w:r w:rsidRPr="00091893">
              <w:rPr>
                <w:rFonts w:ascii="Calibri" w:hAnsi="Calibri"/>
                <w:color w:val="000000"/>
                <w:szCs w:val="22"/>
              </w:rPr>
              <w:t>2</w:t>
            </w:r>
          </w:p>
        </w:tc>
      </w:tr>
      <w:tr w:rsidR="00841E1C" w14:paraId="2425811F" w14:textId="77777777" w:rsidTr="0080255D">
        <w:trPr>
          <w:trHeight w:val="272"/>
        </w:trPr>
        <w:tc>
          <w:tcPr>
            <w:tcW w:w="7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299628" w14:textId="77777777" w:rsidR="00841E1C" w:rsidRPr="0080255D" w:rsidRDefault="00841E1C" w:rsidP="00841E1C">
            <w:pPr>
              <w:keepNext/>
              <w:keepLines/>
              <w:tabs>
                <w:tab w:val="left" w:pos="1440"/>
                <w:tab w:val="decimal" w:pos="4320"/>
              </w:tabs>
              <w:jc w:val="left"/>
              <w:outlineLvl w:val="0"/>
              <w:rPr>
                <w:rFonts w:ascii="Calibri" w:hAnsi="Calibri"/>
                <w:b/>
                <w:i/>
                <w:sz w:val="22"/>
                <w:szCs w:val="22"/>
              </w:rPr>
            </w:pPr>
            <w:r w:rsidRPr="00091893">
              <w:rPr>
                <w:rFonts w:ascii="Calibri" w:hAnsi="Calibri"/>
                <w:b/>
                <w:i/>
                <w:szCs w:val="22"/>
              </w:rPr>
              <w:t>Other resolution following assessment</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26F52" w14:textId="77777777" w:rsidR="00841E1C" w:rsidRPr="0080255D" w:rsidRDefault="00841E1C" w:rsidP="007B4171">
            <w:pPr>
              <w:keepNext/>
              <w:keepLines/>
              <w:tabs>
                <w:tab w:val="left" w:pos="1440"/>
                <w:tab w:val="decimal" w:pos="4320"/>
              </w:tabs>
              <w:jc w:val="center"/>
              <w:outlineLvl w:val="0"/>
              <w:rPr>
                <w:rFonts w:ascii="Calibri" w:hAnsi="Calibri"/>
                <w:b/>
                <w:i/>
                <w:sz w:val="22"/>
                <w:szCs w:val="22"/>
              </w:rPr>
            </w:pPr>
            <w:r w:rsidRPr="00091893">
              <w:rPr>
                <w:rFonts w:ascii="Calibri" w:hAnsi="Calibri"/>
                <w:b/>
                <w:i/>
                <w:szCs w:val="22"/>
              </w:rPr>
              <w:t>38</w:t>
            </w:r>
            <w:r w:rsidR="007B4171" w:rsidRPr="00091893">
              <w:rPr>
                <w:rFonts w:ascii="Calibri" w:hAnsi="Calibri"/>
                <w:b/>
                <w:i/>
                <w:szCs w:val="22"/>
              </w:rPr>
              <w:t>9</w:t>
            </w:r>
          </w:p>
        </w:tc>
      </w:tr>
      <w:tr w:rsidR="00841E1C" w14:paraId="70053121" w14:textId="77777777" w:rsidTr="0080255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4DD73E0E" w14:textId="116DD14A" w:rsidR="00841E1C" w:rsidRPr="0080255D" w:rsidRDefault="00841E1C" w:rsidP="006D0558">
            <w:pPr>
              <w:keepNext/>
              <w:keepLines/>
              <w:tabs>
                <w:tab w:val="left" w:pos="1440"/>
                <w:tab w:val="decimal" w:pos="4320"/>
              </w:tabs>
              <w:jc w:val="left"/>
              <w:outlineLvl w:val="0"/>
              <w:rPr>
                <w:rFonts w:ascii="Calibri" w:hAnsi="Calibri" w:cs="Arial"/>
                <w:sz w:val="22"/>
                <w:szCs w:val="22"/>
                <w:lang w:bidi="ar-SA"/>
              </w:rPr>
            </w:pPr>
            <w:r w:rsidRPr="00091893">
              <w:rPr>
                <w:rFonts w:ascii="Calibri" w:hAnsi="Calibri"/>
                <w:color w:val="000000"/>
                <w:szCs w:val="22"/>
              </w:rPr>
              <w:t>No further action</w:t>
            </w:r>
            <w:r w:rsidR="006D0558" w:rsidRPr="003E5338">
              <w:rPr>
                <w:rStyle w:val="FootnoteReference"/>
              </w:rPr>
              <w:footnoteReference w:id="6"/>
            </w:r>
            <w:r w:rsidRPr="00091893">
              <w:rPr>
                <w:rFonts w:ascii="Calibri" w:hAnsi="Calibri"/>
                <w:color w:val="000000"/>
                <w:szCs w:val="22"/>
              </w:rPr>
              <w:t>with recommendations or educational comment</w:t>
            </w:r>
          </w:p>
        </w:tc>
        <w:tc>
          <w:tcPr>
            <w:tcW w:w="2088" w:type="dxa"/>
            <w:tcBorders>
              <w:top w:val="single" w:sz="4" w:space="0" w:color="auto"/>
              <w:left w:val="single" w:sz="4" w:space="0" w:color="auto"/>
              <w:bottom w:val="single" w:sz="4" w:space="0" w:color="auto"/>
              <w:right w:val="single" w:sz="4" w:space="0" w:color="auto"/>
            </w:tcBorders>
            <w:vAlign w:val="bottom"/>
          </w:tcPr>
          <w:p w14:paraId="557476FA" w14:textId="77777777" w:rsidR="00841E1C" w:rsidRPr="0080255D" w:rsidDel="00B8523B" w:rsidRDefault="00841E1C" w:rsidP="00841E1C">
            <w:pPr>
              <w:jc w:val="center"/>
              <w:rPr>
                <w:rFonts w:ascii="Calibri" w:hAnsi="Calibri" w:cs="Calibri"/>
                <w:color w:val="000000"/>
                <w:sz w:val="22"/>
                <w:szCs w:val="22"/>
              </w:rPr>
            </w:pPr>
            <w:r w:rsidRPr="00091893">
              <w:rPr>
                <w:rFonts w:ascii="Calibri" w:hAnsi="Calibri"/>
                <w:color w:val="000000"/>
                <w:szCs w:val="22"/>
              </w:rPr>
              <w:t>71</w:t>
            </w:r>
          </w:p>
        </w:tc>
      </w:tr>
      <w:tr w:rsidR="00841E1C" w14:paraId="60DF6376" w14:textId="77777777" w:rsidTr="0080255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123AB6CD" w14:textId="61654E05" w:rsidR="00841E1C" w:rsidRPr="0080255D" w:rsidRDefault="00841E1C" w:rsidP="00A65512">
            <w:pPr>
              <w:rPr>
                <w:rFonts w:ascii="Calibri" w:hAnsi="Calibri" w:cs="Calibri"/>
                <w:color w:val="000000"/>
                <w:sz w:val="22"/>
                <w:szCs w:val="22"/>
              </w:rPr>
            </w:pPr>
            <w:r w:rsidRPr="00091893">
              <w:rPr>
                <w:rFonts w:ascii="Calibri" w:hAnsi="Calibri"/>
                <w:color w:val="000000"/>
                <w:szCs w:val="22"/>
              </w:rPr>
              <w:t>Referred to District Inspector</w:t>
            </w:r>
          </w:p>
        </w:tc>
        <w:tc>
          <w:tcPr>
            <w:tcW w:w="2088" w:type="dxa"/>
            <w:tcBorders>
              <w:top w:val="single" w:sz="4" w:space="0" w:color="auto"/>
              <w:left w:val="single" w:sz="4" w:space="0" w:color="auto"/>
              <w:bottom w:val="single" w:sz="4" w:space="0" w:color="auto"/>
              <w:right w:val="single" w:sz="4" w:space="0" w:color="auto"/>
            </w:tcBorders>
            <w:vAlign w:val="bottom"/>
          </w:tcPr>
          <w:p w14:paraId="71839B08" w14:textId="77777777" w:rsidR="00841E1C" w:rsidRPr="0080255D" w:rsidRDefault="00841E1C" w:rsidP="00841E1C">
            <w:pPr>
              <w:jc w:val="center"/>
              <w:rPr>
                <w:rFonts w:ascii="Calibri" w:hAnsi="Calibri" w:cs="Calibri"/>
                <w:color w:val="000000"/>
                <w:sz w:val="22"/>
                <w:szCs w:val="22"/>
              </w:rPr>
            </w:pPr>
            <w:r w:rsidRPr="00091893">
              <w:rPr>
                <w:rFonts w:ascii="Calibri" w:hAnsi="Calibri"/>
                <w:color w:val="000000"/>
                <w:szCs w:val="22"/>
              </w:rPr>
              <w:t>13</w:t>
            </w:r>
          </w:p>
        </w:tc>
      </w:tr>
      <w:tr w:rsidR="00841E1C" w14:paraId="7CE55725" w14:textId="77777777" w:rsidTr="0080255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74F792E3" w14:textId="77777777" w:rsidR="00841E1C" w:rsidRPr="0080255D" w:rsidRDefault="00841E1C" w:rsidP="007B4171">
            <w:pPr>
              <w:rPr>
                <w:rFonts w:ascii="Calibri" w:hAnsi="Calibri" w:cs="Calibri"/>
                <w:color w:val="000000"/>
                <w:sz w:val="22"/>
                <w:szCs w:val="22"/>
              </w:rPr>
            </w:pPr>
            <w:r w:rsidRPr="00091893">
              <w:rPr>
                <w:rFonts w:ascii="Calibri" w:hAnsi="Calibri"/>
                <w:color w:val="000000"/>
                <w:szCs w:val="22"/>
              </w:rPr>
              <w:t xml:space="preserve">Referred to other agency </w:t>
            </w:r>
          </w:p>
        </w:tc>
        <w:tc>
          <w:tcPr>
            <w:tcW w:w="2088" w:type="dxa"/>
            <w:tcBorders>
              <w:top w:val="single" w:sz="4" w:space="0" w:color="auto"/>
              <w:left w:val="single" w:sz="4" w:space="0" w:color="auto"/>
              <w:bottom w:val="single" w:sz="4" w:space="0" w:color="auto"/>
              <w:right w:val="single" w:sz="4" w:space="0" w:color="auto"/>
            </w:tcBorders>
            <w:vAlign w:val="bottom"/>
          </w:tcPr>
          <w:p w14:paraId="58CAF351" w14:textId="77777777" w:rsidR="00841E1C" w:rsidRPr="0080255D" w:rsidRDefault="007B4171" w:rsidP="00841E1C">
            <w:pPr>
              <w:jc w:val="center"/>
              <w:rPr>
                <w:rFonts w:ascii="Calibri" w:hAnsi="Calibri" w:cs="Calibri"/>
                <w:color w:val="000000"/>
                <w:sz w:val="22"/>
                <w:szCs w:val="22"/>
              </w:rPr>
            </w:pPr>
            <w:r w:rsidRPr="00091893">
              <w:rPr>
                <w:rFonts w:ascii="Calibri" w:hAnsi="Calibri"/>
                <w:color w:val="000000"/>
                <w:szCs w:val="22"/>
              </w:rPr>
              <w:t>7</w:t>
            </w:r>
          </w:p>
        </w:tc>
      </w:tr>
      <w:tr w:rsidR="00841E1C" w14:paraId="172D63C5" w14:textId="77777777" w:rsidTr="0080255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054D15CA" w14:textId="2AE8259D" w:rsidR="00841E1C" w:rsidRPr="0080255D" w:rsidRDefault="007B4171" w:rsidP="006D0558">
            <w:pPr>
              <w:keepNext/>
              <w:keepLines/>
              <w:tabs>
                <w:tab w:val="left" w:pos="1440"/>
                <w:tab w:val="decimal" w:pos="4320"/>
              </w:tabs>
              <w:jc w:val="left"/>
              <w:outlineLvl w:val="0"/>
              <w:rPr>
                <w:rFonts w:ascii="Calibri" w:hAnsi="Calibri" w:cs="Arial"/>
                <w:sz w:val="22"/>
                <w:szCs w:val="22"/>
                <w:lang w:bidi="ar-SA"/>
              </w:rPr>
            </w:pPr>
            <w:r w:rsidRPr="00091893">
              <w:rPr>
                <w:rFonts w:ascii="Calibri" w:hAnsi="Calibri"/>
                <w:color w:val="000000"/>
                <w:szCs w:val="22"/>
              </w:rPr>
              <w:t>Referred to DHB</w:t>
            </w:r>
            <w:r w:rsidR="006D0558" w:rsidRPr="003E5338">
              <w:rPr>
                <w:rStyle w:val="FootnoteReference"/>
              </w:rPr>
              <w:footnoteReference w:id="7"/>
            </w:r>
            <w:r w:rsidRPr="00091893">
              <w:rPr>
                <w:rFonts w:ascii="Calibri" w:hAnsi="Calibri"/>
                <w:color w:val="000000"/>
                <w:szCs w:val="22"/>
              </w:rPr>
              <w:t xml:space="preserve"> </w:t>
            </w:r>
          </w:p>
        </w:tc>
        <w:tc>
          <w:tcPr>
            <w:tcW w:w="2088" w:type="dxa"/>
            <w:tcBorders>
              <w:top w:val="single" w:sz="4" w:space="0" w:color="auto"/>
              <w:left w:val="single" w:sz="4" w:space="0" w:color="auto"/>
              <w:bottom w:val="single" w:sz="4" w:space="0" w:color="auto"/>
              <w:right w:val="single" w:sz="4" w:space="0" w:color="auto"/>
            </w:tcBorders>
            <w:vAlign w:val="bottom"/>
          </w:tcPr>
          <w:p w14:paraId="794996DC" w14:textId="77777777" w:rsidR="00841E1C" w:rsidRPr="0080255D" w:rsidRDefault="00841E1C" w:rsidP="00841E1C">
            <w:pPr>
              <w:keepNext/>
              <w:keepLines/>
              <w:tabs>
                <w:tab w:val="left" w:pos="1440"/>
                <w:tab w:val="decimal" w:pos="4320"/>
              </w:tabs>
              <w:jc w:val="center"/>
              <w:outlineLvl w:val="0"/>
              <w:rPr>
                <w:rFonts w:ascii="Calibri" w:hAnsi="Calibri"/>
                <w:sz w:val="22"/>
                <w:szCs w:val="22"/>
              </w:rPr>
            </w:pPr>
            <w:r w:rsidRPr="00091893">
              <w:rPr>
                <w:rFonts w:ascii="Calibri" w:hAnsi="Calibri"/>
                <w:color w:val="000000"/>
                <w:szCs w:val="22"/>
              </w:rPr>
              <w:t>97</w:t>
            </w:r>
          </w:p>
        </w:tc>
      </w:tr>
      <w:tr w:rsidR="00841E1C" w14:paraId="5F3D9C54" w14:textId="77777777" w:rsidTr="0080255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43593B22" w14:textId="77777777" w:rsidR="00841E1C" w:rsidRPr="0080255D" w:rsidRDefault="00841E1C" w:rsidP="00841E1C">
            <w:pPr>
              <w:keepNext/>
              <w:keepLines/>
              <w:tabs>
                <w:tab w:val="left" w:pos="1440"/>
                <w:tab w:val="decimal" w:pos="4320"/>
              </w:tabs>
              <w:jc w:val="left"/>
              <w:outlineLvl w:val="0"/>
              <w:rPr>
                <w:rFonts w:ascii="Calibri" w:hAnsi="Calibri"/>
                <w:sz w:val="22"/>
                <w:szCs w:val="22"/>
              </w:rPr>
            </w:pPr>
            <w:r w:rsidRPr="00091893">
              <w:rPr>
                <w:rFonts w:ascii="Calibri" w:hAnsi="Calibri"/>
                <w:color w:val="000000"/>
                <w:szCs w:val="22"/>
              </w:rPr>
              <w:t>Referred to Advocacy</w:t>
            </w:r>
          </w:p>
        </w:tc>
        <w:tc>
          <w:tcPr>
            <w:tcW w:w="2088" w:type="dxa"/>
            <w:tcBorders>
              <w:top w:val="single" w:sz="4" w:space="0" w:color="auto"/>
              <w:left w:val="single" w:sz="4" w:space="0" w:color="auto"/>
              <w:bottom w:val="single" w:sz="4" w:space="0" w:color="auto"/>
              <w:right w:val="single" w:sz="4" w:space="0" w:color="auto"/>
            </w:tcBorders>
            <w:vAlign w:val="bottom"/>
          </w:tcPr>
          <w:p w14:paraId="513E5487" w14:textId="77777777" w:rsidR="00841E1C" w:rsidRPr="0080255D" w:rsidRDefault="00841E1C" w:rsidP="00841E1C">
            <w:pPr>
              <w:keepNext/>
              <w:keepLines/>
              <w:tabs>
                <w:tab w:val="left" w:pos="1440"/>
                <w:tab w:val="decimal" w:pos="4320"/>
              </w:tabs>
              <w:jc w:val="center"/>
              <w:outlineLvl w:val="0"/>
              <w:rPr>
                <w:rFonts w:ascii="Calibri" w:hAnsi="Calibri"/>
                <w:sz w:val="22"/>
                <w:szCs w:val="22"/>
              </w:rPr>
            </w:pPr>
            <w:r w:rsidRPr="00091893">
              <w:rPr>
                <w:rFonts w:ascii="Calibri" w:hAnsi="Calibri"/>
                <w:color w:val="000000"/>
                <w:szCs w:val="22"/>
              </w:rPr>
              <w:t>78</w:t>
            </w:r>
          </w:p>
        </w:tc>
      </w:tr>
      <w:tr w:rsidR="00841E1C" w14:paraId="03CE3158" w14:textId="77777777" w:rsidTr="0080255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59A321D3" w14:textId="77777777" w:rsidR="00841E1C" w:rsidRPr="0080255D" w:rsidRDefault="00841E1C" w:rsidP="00841E1C">
            <w:pPr>
              <w:keepNext/>
              <w:keepLines/>
              <w:tabs>
                <w:tab w:val="left" w:pos="1440"/>
                <w:tab w:val="decimal" w:pos="4320"/>
              </w:tabs>
              <w:jc w:val="left"/>
              <w:outlineLvl w:val="0"/>
              <w:rPr>
                <w:rFonts w:ascii="Calibri" w:hAnsi="Calibri" w:cs="Arial"/>
                <w:sz w:val="22"/>
                <w:szCs w:val="22"/>
                <w:lang w:bidi="ar-SA"/>
              </w:rPr>
            </w:pPr>
            <w:r w:rsidRPr="00091893">
              <w:rPr>
                <w:rFonts w:ascii="Calibri" w:hAnsi="Calibri"/>
                <w:color w:val="000000"/>
                <w:szCs w:val="22"/>
              </w:rPr>
              <w:t>No further action</w:t>
            </w:r>
          </w:p>
        </w:tc>
        <w:tc>
          <w:tcPr>
            <w:tcW w:w="2088" w:type="dxa"/>
            <w:tcBorders>
              <w:top w:val="single" w:sz="4" w:space="0" w:color="auto"/>
              <w:left w:val="single" w:sz="4" w:space="0" w:color="auto"/>
              <w:bottom w:val="single" w:sz="4" w:space="0" w:color="auto"/>
              <w:right w:val="single" w:sz="4" w:space="0" w:color="auto"/>
            </w:tcBorders>
            <w:vAlign w:val="bottom"/>
          </w:tcPr>
          <w:p w14:paraId="6255774A" w14:textId="77777777" w:rsidR="00841E1C" w:rsidRPr="0080255D" w:rsidRDefault="00841E1C" w:rsidP="00841E1C">
            <w:pPr>
              <w:jc w:val="center"/>
              <w:rPr>
                <w:rFonts w:ascii="Calibri" w:hAnsi="Calibri" w:cs="Calibri"/>
                <w:color w:val="000000"/>
                <w:sz w:val="22"/>
                <w:szCs w:val="22"/>
              </w:rPr>
            </w:pPr>
            <w:r w:rsidRPr="00091893">
              <w:rPr>
                <w:rFonts w:ascii="Calibri" w:hAnsi="Calibri"/>
                <w:color w:val="000000"/>
                <w:szCs w:val="22"/>
              </w:rPr>
              <w:t>118</w:t>
            </w:r>
          </w:p>
        </w:tc>
      </w:tr>
      <w:tr w:rsidR="00841E1C" w14:paraId="28331D6C" w14:textId="77777777" w:rsidTr="0080255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1847C02F" w14:textId="77777777" w:rsidR="00841E1C" w:rsidRPr="0080255D" w:rsidRDefault="00841E1C" w:rsidP="00841E1C">
            <w:pPr>
              <w:keepNext/>
              <w:keepLines/>
              <w:tabs>
                <w:tab w:val="left" w:pos="1440"/>
                <w:tab w:val="decimal" w:pos="4320"/>
              </w:tabs>
              <w:jc w:val="left"/>
              <w:outlineLvl w:val="0"/>
              <w:rPr>
                <w:rFonts w:ascii="Calibri" w:hAnsi="Calibri"/>
                <w:color w:val="000000"/>
                <w:sz w:val="22"/>
                <w:szCs w:val="22"/>
              </w:rPr>
            </w:pPr>
            <w:r w:rsidRPr="00091893">
              <w:rPr>
                <w:rFonts w:ascii="Calibri" w:hAnsi="Calibri"/>
                <w:color w:val="000000"/>
                <w:szCs w:val="22"/>
              </w:rPr>
              <w:t>Withdrawn</w:t>
            </w:r>
          </w:p>
        </w:tc>
        <w:tc>
          <w:tcPr>
            <w:tcW w:w="2088" w:type="dxa"/>
            <w:tcBorders>
              <w:top w:val="single" w:sz="4" w:space="0" w:color="auto"/>
              <w:left w:val="single" w:sz="4" w:space="0" w:color="auto"/>
              <w:bottom w:val="single" w:sz="4" w:space="0" w:color="auto"/>
              <w:right w:val="single" w:sz="4" w:space="0" w:color="auto"/>
            </w:tcBorders>
            <w:vAlign w:val="bottom"/>
          </w:tcPr>
          <w:p w14:paraId="13A47BEE" w14:textId="77777777" w:rsidR="00841E1C" w:rsidRPr="0080255D" w:rsidRDefault="00841E1C" w:rsidP="00841E1C">
            <w:pPr>
              <w:jc w:val="center"/>
              <w:rPr>
                <w:rFonts w:ascii="Calibri" w:hAnsi="Calibri"/>
                <w:color w:val="000000"/>
                <w:sz w:val="22"/>
                <w:szCs w:val="22"/>
              </w:rPr>
            </w:pPr>
            <w:r w:rsidRPr="00091893">
              <w:rPr>
                <w:rFonts w:ascii="Calibri" w:hAnsi="Calibri"/>
                <w:color w:val="000000"/>
                <w:szCs w:val="22"/>
              </w:rPr>
              <w:t>5</w:t>
            </w:r>
          </w:p>
        </w:tc>
      </w:tr>
      <w:tr w:rsidR="00841E1C" w14:paraId="40ACE8E6" w14:textId="77777777" w:rsidTr="0080255D">
        <w:trPr>
          <w:trHeight w:val="272"/>
        </w:trPr>
        <w:tc>
          <w:tcPr>
            <w:tcW w:w="70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C8868" w14:textId="77777777" w:rsidR="00841E1C" w:rsidRPr="0080255D" w:rsidRDefault="00841E1C" w:rsidP="00841E1C">
            <w:pPr>
              <w:keepNext/>
              <w:keepLines/>
              <w:tabs>
                <w:tab w:val="left" w:pos="1440"/>
                <w:tab w:val="decimal" w:pos="4320"/>
              </w:tabs>
              <w:jc w:val="left"/>
              <w:outlineLvl w:val="0"/>
              <w:rPr>
                <w:rFonts w:ascii="Calibri" w:hAnsi="Calibri"/>
                <w:b/>
                <w:i/>
                <w:sz w:val="22"/>
                <w:szCs w:val="22"/>
              </w:rPr>
            </w:pPr>
            <w:r w:rsidRPr="00091893">
              <w:rPr>
                <w:rFonts w:ascii="Calibri" w:hAnsi="Calibri"/>
                <w:b/>
                <w:i/>
                <w:szCs w:val="22"/>
              </w:rPr>
              <w:t xml:space="preserve">Outside jurisdiction </w:t>
            </w:r>
          </w:p>
        </w:tc>
        <w:tc>
          <w:tcPr>
            <w:tcW w:w="2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09E542" w14:textId="77777777" w:rsidR="00841E1C" w:rsidRPr="0080255D" w:rsidRDefault="00841E1C" w:rsidP="00841E1C">
            <w:pPr>
              <w:keepNext/>
              <w:keepLines/>
              <w:tabs>
                <w:tab w:val="left" w:pos="1440"/>
                <w:tab w:val="decimal" w:pos="4320"/>
              </w:tabs>
              <w:jc w:val="center"/>
              <w:outlineLvl w:val="0"/>
              <w:rPr>
                <w:rFonts w:ascii="Calibri" w:hAnsi="Calibri"/>
                <w:b/>
                <w:i/>
                <w:sz w:val="22"/>
                <w:szCs w:val="22"/>
              </w:rPr>
            </w:pPr>
            <w:r w:rsidRPr="00091893">
              <w:rPr>
                <w:rFonts w:ascii="Calibri" w:hAnsi="Calibri"/>
                <w:b/>
                <w:i/>
                <w:szCs w:val="22"/>
              </w:rPr>
              <w:t>1</w:t>
            </w:r>
          </w:p>
        </w:tc>
      </w:tr>
      <w:tr w:rsidR="00841E1C" w14:paraId="51D76DAA" w14:textId="77777777" w:rsidTr="0080255D">
        <w:trPr>
          <w:trHeight w:val="272"/>
        </w:trPr>
        <w:tc>
          <w:tcPr>
            <w:tcW w:w="7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F83D0" w14:textId="77777777" w:rsidR="00841E1C" w:rsidRPr="0080255D" w:rsidRDefault="00841E1C" w:rsidP="00841E1C">
            <w:pPr>
              <w:keepNext/>
              <w:keepLines/>
              <w:tabs>
                <w:tab w:val="left" w:pos="1440"/>
                <w:tab w:val="decimal" w:pos="4320"/>
              </w:tabs>
              <w:jc w:val="left"/>
              <w:outlineLvl w:val="0"/>
              <w:rPr>
                <w:rFonts w:ascii="Calibri" w:hAnsi="Calibri" w:cs="Arial"/>
                <w:b/>
                <w:sz w:val="22"/>
                <w:szCs w:val="22"/>
                <w:lang w:bidi="ar-SA"/>
              </w:rPr>
            </w:pPr>
            <w:r w:rsidRPr="00091893">
              <w:rPr>
                <w:rFonts w:ascii="Calibri" w:hAnsi="Calibri" w:cs="Arial"/>
                <w:b/>
                <w:szCs w:val="22"/>
                <w:lang w:bidi="ar-SA"/>
              </w:rPr>
              <w:t>TOTAL</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0AE9D" w14:textId="77777777" w:rsidR="00841E1C" w:rsidRPr="0080255D" w:rsidRDefault="00841E1C" w:rsidP="00841E1C">
            <w:pPr>
              <w:jc w:val="center"/>
              <w:rPr>
                <w:rFonts w:ascii="Calibri" w:hAnsi="Calibri" w:cs="Calibri"/>
                <w:b/>
                <w:color w:val="000000"/>
                <w:sz w:val="22"/>
                <w:szCs w:val="22"/>
              </w:rPr>
            </w:pPr>
            <w:r w:rsidRPr="00091893">
              <w:rPr>
                <w:rFonts w:ascii="Calibri" w:hAnsi="Calibri" w:cs="Calibri"/>
                <w:b/>
                <w:color w:val="000000"/>
                <w:szCs w:val="22"/>
              </w:rPr>
              <w:t>423</w:t>
            </w:r>
          </w:p>
        </w:tc>
      </w:tr>
    </w:tbl>
    <w:p w14:paraId="5096E82D" w14:textId="77777777" w:rsidR="00841E1C" w:rsidRDefault="00841E1C" w:rsidP="00841E1C">
      <w:pPr>
        <w:rPr>
          <w:lang w:eastAsia="en-NZ"/>
        </w:rPr>
      </w:pPr>
      <w:bookmarkStart w:id="121" w:name="_Toc415221220"/>
      <w:bookmarkStart w:id="122" w:name="_Toc415153519"/>
      <w:bookmarkStart w:id="123" w:name="_Toc415147245"/>
      <w:bookmarkStart w:id="124" w:name="_Toc415135531"/>
      <w:bookmarkStart w:id="125" w:name="_Toc415046459"/>
      <w:bookmarkStart w:id="126" w:name="_Toc415039803"/>
      <w:bookmarkStart w:id="127" w:name="_Toc414952832"/>
      <w:bookmarkStart w:id="128" w:name="_Toc414886547"/>
      <w:bookmarkStart w:id="129" w:name="_Toc414875837"/>
      <w:bookmarkStart w:id="130" w:name="_Toc414461839"/>
      <w:bookmarkStart w:id="131" w:name="_Toc414442658"/>
    </w:p>
    <w:p w14:paraId="4855E2E2" w14:textId="77777777" w:rsidR="00841E1C" w:rsidRDefault="00841E1C" w:rsidP="00841E1C">
      <w:pPr>
        <w:rPr>
          <w:lang w:eastAsia="en-NZ"/>
        </w:rPr>
      </w:pPr>
      <w:r>
        <w:rPr>
          <w:lang w:eastAsia="en-NZ"/>
        </w:rPr>
        <w:br w:type="page"/>
      </w:r>
    </w:p>
    <w:p w14:paraId="21EDDE75" w14:textId="77777777" w:rsidR="00841E1C" w:rsidRPr="000760A3" w:rsidRDefault="00841E1C" w:rsidP="00841E1C">
      <w:pPr>
        <w:pStyle w:val="Heading3"/>
      </w:pPr>
      <w:bookmarkStart w:id="132" w:name="_Toc426462639"/>
      <w:bookmarkStart w:id="133" w:name="_Toc443992234"/>
      <w:bookmarkStart w:id="134" w:name="_Toc493684135"/>
      <w:bookmarkStart w:id="135" w:name="_Toc39138055"/>
      <w:r w:rsidRPr="000760A3">
        <w:t xml:space="preserve">4.3 </w:t>
      </w:r>
      <w:r w:rsidRPr="000760A3">
        <w:tab/>
        <w:t>Recommendations made to DHBs following a complaint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D7BE6A0" w14:textId="77777777" w:rsidR="00841E1C" w:rsidRDefault="00841E1C" w:rsidP="00841E1C">
      <w:pPr>
        <w:pStyle w:val="NoSpacing"/>
        <w:spacing w:after="360"/>
        <w:rPr>
          <w:lang w:val="en-NZ" w:eastAsia="en-NZ"/>
        </w:rPr>
      </w:pPr>
      <w:r>
        <w:rPr>
          <w:lang w:val="en-NZ" w:eastAsia="en-NZ"/>
        </w:rPr>
        <w:t xml:space="preserve">Regardless of whether or not a complaint has been investigated, the Commissioner may make recommendations to a DHB. HDC then follows up with the DHB to ensure that these recommendations have been acted upon. </w:t>
      </w:r>
    </w:p>
    <w:p w14:paraId="554B63D6" w14:textId="77777777" w:rsidR="00841E1C" w:rsidRDefault="00841E1C" w:rsidP="00841E1C">
      <w:pPr>
        <w:pStyle w:val="NoSpacing"/>
        <w:spacing w:after="360"/>
        <w:rPr>
          <w:lang w:val="en-NZ" w:eastAsia="en-NZ"/>
        </w:rPr>
      </w:pPr>
      <w:r>
        <w:rPr>
          <w:lang w:val="en-NZ" w:eastAsia="en-NZ"/>
        </w:rPr>
        <w:t xml:space="preserve">Table 12 shows the recommendations made to DHBs in complaints closed in Jul-Dec 2019. Please note that more than one recommendation may be made in relation to a single complaint. </w:t>
      </w:r>
    </w:p>
    <w:p w14:paraId="4841EF2B" w14:textId="77777777" w:rsidR="00841E1C" w:rsidRDefault="00841E1C" w:rsidP="00841E1C">
      <w:pPr>
        <w:pStyle w:val="NoSpacing"/>
        <w:keepNext/>
        <w:keepLines/>
        <w:spacing w:after="120"/>
        <w:rPr>
          <w:b/>
          <w:lang w:val="en-NZ" w:eastAsia="en-NZ"/>
        </w:rPr>
      </w:pPr>
      <w:r>
        <w:rPr>
          <w:b/>
          <w:lang w:val="en-NZ" w:eastAsia="en-NZ"/>
        </w:rPr>
        <w:t xml:space="preserve">Table 12. </w:t>
      </w:r>
      <w:r>
        <w:rPr>
          <w:lang w:val="en-NZ" w:eastAsia="en-NZ"/>
        </w:rPr>
        <w:t>Recommendations made to DHBs following a complaint</w:t>
      </w:r>
    </w:p>
    <w:tbl>
      <w:tblPr>
        <w:tblStyle w:val="TableGrid"/>
        <w:tblW w:w="0" w:type="auto"/>
        <w:tblInd w:w="108" w:type="dxa"/>
        <w:tblLayout w:type="fixed"/>
        <w:tblLook w:val="04A0" w:firstRow="1" w:lastRow="0" w:firstColumn="1" w:lastColumn="0" w:noHBand="0" w:noVBand="1"/>
      </w:tblPr>
      <w:tblGrid>
        <w:gridCol w:w="6069"/>
        <w:gridCol w:w="3267"/>
      </w:tblGrid>
      <w:tr w:rsidR="00841E1C" w:rsidRPr="007B09E9" w14:paraId="1F5EB294" w14:textId="77777777" w:rsidTr="0080255D">
        <w:trPr>
          <w:trHeight w:val="386"/>
        </w:trPr>
        <w:tc>
          <w:tcPr>
            <w:tcW w:w="6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812A13" w14:textId="77777777" w:rsidR="00841E1C" w:rsidRPr="007B09E9" w:rsidRDefault="00841E1C" w:rsidP="00841E1C">
            <w:pPr>
              <w:pStyle w:val="NoSpacing"/>
              <w:keepNext/>
              <w:keepLines/>
              <w:jc w:val="center"/>
              <w:rPr>
                <w:rFonts w:asciiTheme="minorHAnsi" w:hAnsiTheme="minorHAnsi"/>
                <w:b/>
                <w:sz w:val="22"/>
                <w:szCs w:val="22"/>
                <w:lang w:val="en-NZ"/>
              </w:rPr>
            </w:pPr>
            <w:r w:rsidRPr="007B09E9">
              <w:rPr>
                <w:rFonts w:asciiTheme="minorHAnsi" w:hAnsiTheme="minorHAnsi"/>
                <w:b/>
                <w:sz w:val="22"/>
                <w:szCs w:val="22"/>
                <w:lang w:val="en-NZ"/>
              </w:rPr>
              <w:t>Recommendation</w:t>
            </w:r>
          </w:p>
        </w:tc>
        <w:tc>
          <w:tcPr>
            <w:tcW w:w="3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37F27F" w14:textId="77777777" w:rsidR="00841E1C" w:rsidRPr="007B09E9" w:rsidRDefault="00841E1C" w:rsidP="00841E1C">
            <w:pPr>
              <w:pStyle w:val="NoSpacing"/>
              <w:keepNext/>
              <w:keepLines/>
              <w:jc w:val="center"/>
              <w:rPr>
                <w:rFonts w:asciiTheme="minorHAnsi" w:hAnsiTheme="minorHAnsi"/>
                <w:b/>
                <w:sz w:val="22"/>
                <w:szCs w:val="22"/>
                <w:lang w:val="en-NZ"/>
              </w:rPr>
            </w:pPr>
            <w:r w:rsidRPr="007B09E9">
              <w:rPr>
                <w:rFonts w:asciiTheme="minorHAnsi" w:hAnsiTheme="minorHAnsi"/>
                <w:b/>
                <w:sz w:val="22"/>
                <w:szCs w:val="22"/>
                <w:lang w:val="en-NZ"/>
              </w:rPr>
              <w:t>Number of recommendations made</w:t>
            </w:r>
          </w:p>
        </w:tc>
      </w:tr>
      <w:tr w:rsidR="00841E1C" w:rsidRPr="007B09E9" w14:paraId="060D39CA" w14:textId="77777777" w:rsidTr="0080255D">
        <w:trPr>
          <w:trHeight w:val="272"/>
        </w:trPr>
        <w:tc>
          <w:tcPr>
            <w:tcW w:w="6069" w:type="dxa"/>
            <w:tcBorders>
              <w:top w:val="single" w:sz="4" w:space="0" w:color="auto"/>
              <w:left w:val="single" w:sz="4" w:space="0" w:color="auto"/>
              <w:bottom w:val="single" w:sz="4" w:space="0" w:color="auto"/>
              <w:right w:val="single" w:sz="4" w:space="0" w:color="auto"/>
            </w:tcBorders>
            <w:hideMark/>
          </w:tcPr>
          <w:p w14:paraId="7E220D3A" w14:textId="15190DFE" w:rsidR="00841E1C" w:rsidRPr="007B09E9" w:rsidRDefault="00841E1C" w:rsidP="00841E1C">
            <w:pPr>
              <w:pStyle w:val="NoSpacing"/>
              <w:keepNext/>
              <w:keepLines/>
              <w:jc w:val="left"/>
              <w:rPr>
                <w:rFonts w:asciiTheme="minorHAnsi" w:hAnsiTheme="minorHAnsi"/>
                <w:sz w:val="22"/>
                <w:szCs w:val="22"/>
                <w:lang w:val="en-NZ"/>
              </w:rPr>
            </w:pPr>
            <w:r w:rsidRPr="007B09E9">
              <w:rPr>
                <w:rFonts w:asciiTheme="minorHAnsi" w:hAnsiTheme="minorHAnsi"/>
                <w:sz w:val="22"/>
                <w:szCs w:val="22"/>
                <w:lang w:val="en-NZ"/>
              </w:rPr>
              <w:t>Apology</w:t>
            </w:r>
          </w:p>
        </w:tc>
        <w:tc>
          <w:tcPr>
            <w:tcW w:w="3267" w:type="dxa"/>
            <w:tcBorders>
              <w:top w:val="single" w:sz="4" w:space="0" w:color="auto"/>
              <w:left w:val="single" w:sz="4" w:space="0" w:color="auto"/>
              <w:bottom w:val="single" w:sz="4" w:space="0" w:color="auto"/>
              <w:right w:val="single" w:sz="4" w:space="0" w:color="auto"/>
            </w:tcBorders>
          </w:tcPr>
          <w:p w14:paraId="7B6252BE" w14:textId="77777777" w:rsidR="00841E1C" w:rsidRPr="007B09E9" w:rsidRDefault="00841E1C" w:rsidP="00841E1C">
            <w:pPr>
              <w:pStyle w:val="NoSpacing"/>
              <w:keepNext/>
              <w:keepLines/>
              <w:jc w:val="center"/>
              <w:rPr>
                <w:rFonts w:asciiTheme="minorHAnsi" w:hAnsiTheme="minorHAnsi"/>
                <w:sz w:val="22"/>
                <w:szCs w:val="22"/>
                <w:lang w:val="en-NZ"/>
              </w:rPr>
            </w:pPr>
            <w:r w:rsidRPr="007B09E9">
              <w:rPr>
                <w:rFonts w:asciiTheme="minorHAnsi" w:hAnsiTheme="minorHAnsi"/>
                <w:sz w:val="22"/>
                <w:szCs w:val="22"/>
                <w:lang w:val="en-NZ"/>
              </w:rPr>
              <w:t>25</w:t>
            </w:r>
          </w:p>
        </w:tc>
      </w:tr>
      <w:tr w:rsidR="00841E1C" w:rsidRPr="007B09E9" w14:paraId="1B96D6C3" w14:textId="77777777" w:rsidTr="0080255D">
        <w:trPr>
          <w:trHeight w:val="272"/>
        </w:trPr>
        <w:tc>
          <w:tcPr>
            <w:tcW w:w="6069" w:type="dxa"/>
            <w:tcBorders>
              <w:top w:val="single" w:sz="4" w:space="0" w:color="auto"/>
              <w:left w:val="single" w:sz="4" w:space="0" w:color="auto"/>
              <w:bottom w:val="single" w:sz="4" w:space="0" w:color="auto"/>
              <w:right w:val="single" w:sz="4" w:space="0" w:color="auto"/>
            </w:tcBorders>
            <w:hideMark/>
          </w:tcPr>
          <w:p w14:paraId="6480E90F" w14:textId="7D3A95B2" w:rsidR="00841E1C" w:rsidRPr="007B09E9" w:rsidRDefault="00841E1C" w:rsidP="00841E1C">
            <w:pPr>
              <w:pStyle w:val="NoSpacing"/>
              <w:keepNext/>
              <w:keepLines/>
              <w:jc w:val="left"/>
              <w:rPr>
                <w:rFonts w:asciiTheme="minorHAnsi" w:hAnsiTheme="minorHAnsi"/>
                <w:sz w:val="22"/>
                <w:szCs w:val="22"/>
                <w:lang w:val="en-NZ"/>
              </w:rPr>
            </w:pPr>
            <w:r w:rsidRPr="007B09E9">
              <w:rPr>
                <w:rFonts w:asciiTheme="minorHAnsi" w:hAnsiTheme="minorHAnsi"/>
                <w:sz w:val="22"/>
                <w:szCs w:val="22"/>
                <w:lang w:val="en-NZ"/>
              </w:rPr>
              <w:t>Audit</w:t>
            </w:r>
          </w:p>
        </w:tc>
        <w:tc>
          <w:tcPr>
            <w:tcW w:w="3267" w:type="dxa"/>
            <w:tcBorders>
              <w:top w:val="single" w:sz="4" w:space="0" w:color="auto"/>
              <w:left w:val="single" w:sz="4" w:space="0" w:color="auto"/>
              <w:bottom w:val="single" w:sz="4" w:space="0" w:color="auto"/>
              <w:right w:val="single" w:sz="4" w:space="0" w:color="auto"/>
            </w:tcBorders>
          </w:tcPr>
          <w:p w14:paraId="4079CC13" w14:textId="77777777" w:rsidR="00841E1C" w:rsidRPr="007B09E9" w:rsidRDefault="00841E1C" w:rsidP="00841E1C">
            <w:pPr>
              <w:pStyle w:val="NoSpacing"/>
              <w:keepNext/>
              <w:keepLines/>
              <w:jc w:val="center"/>
              <w:rPr>
                <w:rFonts w:asciiTheme="minorHAnsi" w:hAnsiTheme="minorHAnsi"/>
                <w:sz w:val="22"/>
                <w:szCs w:val="22"/>
                <w:lang w:val="en-NZ"/>
              </w:rPr>
            </w:pPr>
            <w:r w:rsidRPr="007B09E9">
              <w:rPr>
                <w:rFonts w:asciiTheme="minorHAnsi" w:hAnsiTheme="minorHAnsi"/>
                <w:sz w:val="22"/>
                <w:szCs w:val="22"/>
                <w:lang w:val="en-NZ"/>
              </w:rPr>
              <w:t>20</w:t>
            </w:r>
          </w:p>
        </w:tc>
      </w:tr>
      <w:tr w:rsidR="00841E1C" w:rsidRPr="007B09E9" w14:paraId="1F9B8E4D" w14:textId="77777777" w:rsidTr="0080255D">
        <w:trPr>
          <w:trHeight w:val="272"/>
        </w:trPr>
        <w:tc>
          <w:tcPr>
            <w:tcW w:w="6069" w:type="dxa"/>
            <w:tcBorders>
              <w:top w:val="single" w:sz="4" w:space="0" w:color="auto"/>
              <w:left w:val="single" w:sz="4" w:space="0" w:color="auto"/>
              <w:bottom w:val="single" w:sz="4" w:space="0" w:color="auto"/>
              <w:right w:val="single" w:sz="4" w:space="0" w:color="auto"/>
            </w:tcBorders>
          </w:tcPr>
          <w:p w14:paraId="630F685A" w14:textId="4B8DD85B" w:rsidR="00841E1C" w:rsidRPr="007B09E9" w:rsidRDefault="00841E1C" w:rsidP="00841E1C">
            <w:pPr>
              <w:pStyle w:val="NoSpacing"/>
              <w:keepNext/>
              <w:keepLines/>
              <w:jc w:val="left"/>
              <w:rPr>
                <w:rFonts w:asciiTheme="minorHAnsi" w:hAnsiTheme="minorHAnsi"/>
                <w:sz w:val="22"/>
                <w:szCs w:val="22"/>
                <w:lang w:val="en-NZ"/>
              </w:rPr>
            </w:pPr>
            <w:r w:rsidRPr="007B09E9">
              <w:rPr>
                <w:rFonts w:asciiTheme="minorHAnsi" w:hAnsiTheme="minorHAnsi"/>
                <w:sz w:val="22"/>
                <w:szCs w:val="22"/>
                <w:lang w:val="en-NZ"/>
              </w:rPr>
              <w:t>Meeting with consumer</w:t>
            </w:r>
          </w:p>
        </w:tc>
        <w:tc>
          <w:tcPr>
            <w:tcW w:w="3267" w:type="dxa"/>
            <w:tcBorders>
              <w:top w:val="single" w:sz="4" w:space="0" w:color="auto"/>
              <w:left w:val="single" w:sz="4" w:space="0" w:color="auto"/>
              <w:bottom w:val="single" w:sz="4" w:space="0" w:color="auto"/>
              <w:right w:val="single" w:sz="4" w:space="0" w:color="auto"/>
            </w:tcBorders>
            <w:vAlign w:val="center"/>
          </w:tcPr>
          <w:p w14:paraId="61233B01" w14:textId="77777777" w:rsidR="00841E1C" w:rsidRPr="007B09E9" w:rsidRDefault="00841E1C" w:rsidP="00841E1C">
            <w:pPr>
              <w:pStyle w:val="NoSpacing"/>
              <w:keepNext/>
              <w:keepLines/>
              <w:jc w:val="center"/>
              <w:rPr>
                <w:rFonts w:asciiTheme="minorHAnsi" w:hAnsiTheme="minorHAnsi"/>
                <w:sz w:val="22"/>
                <w:szCs w:val="22"/>
                <w:lang w:val="en-NZ"/>
              </w:rPr>
            </w:pPr>
            <w:r w:rsidRPr="007B09E9">
              <w:rPr>
                <w:rFonts w:asciiTheme="minorHAnsi" w:hAnsiTheme="minorHAnsi"/>
                <w:sz w:val="22"/>
                <w:szCs w:val="22"/>
                <w:lang w:val="en-NZ"/>
              </w:rPr>
              <w:t>4</w:t>
            </w:r>
          </w:p>
        </w:tc>
      </w:tr>
      <w:tr w:rsidR="00841E1C" w:rsidRPr="007B09E9" w14:paraId="53A90BC3" w14:textId="77777777" w:rsidTr="0080255D">
        <w:trPr>
          <w:trHeight w:val="272"/>
        </w:trPr>
        <w:tc>
          <w:tcPr>
            <w:tcW w:w="6069" w:type="dxa"/>
            <w:tcBorders>
              <w:top w:val="single" w:sz="4" w:space="0" w:color="auto"/>
              <w:left w:val="single" w:sz="4" w:space="0" w:color="auto"/>
              <w:bottom w:val="single" w:sz="4" w:space="0" w:color="auto"/>
              <w:right w:val="single" w:sz="4" w:space="0" w:color="auto"/>
            </w:tcBorders>
            <w:hideMark/>
          </w:tcPr>
          <w:p w14:paraId="2DAED9E5" w14:textId="77777777" w:rsidR="00841E1C" w:rsidRPr="007B09E9" w:rsidRDefault="00841E1C" w:rsidP="00841E1C">
            <w:pPr>
              <w:pStyle w:val="NoSpacing"/>
              <w:keepNext/>
              <w:keepLines/>
              <w:jc w:val="left"/>
              <w:rPr>
                <w:rFonts w:asciiTheme="minorHAnsi" w:hAnsiTheme="minorHAnsi"/>
                <w:sz w:val="22"/>
                <w:szCs w:val="22"/>
                <w:lang w:val="en-NZ"/>
              </w:rPr>
            </w:pPr>
            <w:r w:rsidRPr="007B09E9">
              <w:rPr>
                <w:rFonts w:asciiTheme="minorHAnsi" w:hAnsiTheme="minorHAnsi"/>
                <w:sz w:val="22"/>
                <w:szCs w:val="22"/>
                <w:lang w:val="en-NZ"/>
              </w:rPr>
              <w:t>Presentation/discussion of complaint with others</w:t>
            </w:r>
          </w:p>
        </w:tc>
        <w:tc>
          <w:tcPr>
            <w:tcW w:w="3267" w:type="dxa"/>
            <w:tcBorders>
              <w:top w:val="single" w:sz="4" w:space="0" w:color="auto"/>
              <w:left w:val="single" w:sz="4" w:space="0" w:color="auto"/>
              <w:bottom w:val="single" w:sz="4" w:space="0" w:color="auto"/>
              <w:right w:val="single" w:sz="4" w:space="0" w:color="auto"/>
            </w:tcBorders>
            <w:vAlign w:val="center"/>
          </w:tcPr>
          <w:p w14:paraId="27E9E954" w14:textId="77777777" w:rsidR="00841E1C" w:rsidRPr="007B09E9" w:rsidRDefault="00841E1C" w:rsidP="00841E1C">
            <w:pPr>
              <w:pStyle w:val="NoSpacing"/>
              <w:keepNext/>
              <w:keepLines/>
              <w:jc w:val="center"/>
              <w:rPr>
                <w:rFonts w:asciiTheme="minorHAnsi" w:hAnsiTheme="minorHAnsi"/>
                <w:sz w:val="22"/>
                <w:szCs w:val="22"/>
                <w:lang w:val="en-NZ"/>
              </w:rPr>
            </w:pPr>
            <w:r w:rsidRPr="007B09E9">
              <w:rPr>
                <w:rFonts w:asciiTheme="minorHAnsi" w:hAnsiTheme="minorHAnsi"/>
                <w:sz w:val="22"/>
                <w:szCs w:val="22"/>
                <w:lang w:val="en-NZ"/>
              </w:rPr>
              <w:t>14</w:t>
            </w:r>
          </w:p>
        </w:tc>
      </w:tr>
      <w:tr w:rsidR="00841E1C" w:rsidRPr="007B09E9" w14:paraId="4902A46C" w14:textId="77777777" w:rsidTr="0080255D">
        <w:trPr>
          <w:trHeight w:val="272"/>
        </w:trPr>
        <w:tc>
          <w:tcPr>
            <w:tcW w:w="6069" w:type="dxa"/>
            <w:tcBorders>
              <w:top w:val="single" w:sz="4" w:space="0" w:color="auto"/>
              <w:left w:val="single" w:sz="4" w:space="0" w:color="auto"/>
              <w:bottom w:val="single" w:sz="4" w:space="0" w:color="auto"/>
              <w:right w:val="single" w:sz="4" w:space="0" w:color="auto"/>
            </w:tcBorders>
            <w:hideMark/>
          </w:tcPr>
          <w:p w14:paraId="17352649" w14:textId="77777777" w:rsidR="00841E1C" w:rsidRPr="007B09E9" w:rsidRDefault="00841E1C" w:rsidP="00841E1C">
            <w:pPr>
              <w:pStyle w:val="NoSpacing"/>
              <w:keepNext/>
              <w:keepLines/>
              <w:jc w:val="left"/>
              <w:rPr>
                <w:rFonts w:asciiTheme="minorHAnsi" w:hAnsiTheme="minorHAnsi"/>
                <w:sz w:val="22"/>
                <w:szCs w:val="22"/>
                <w:lang w:val="en-NZ"/>
              </w:rPr>
            </w:pPr>
            <w:r w:rsidRPr="007B09E9">
              <w:rPr>
                <w:rFonts w:asciiTheme="minorHAnsi" w:hAnsiTheme="minorHAnsi"/>
                <w:sz w:val="22"/>
                <w:szCs w:val="22"/>
                <w:lang w:val="en-NZ"/>
              </w:rPr>
              <w:t>Provision of evidence of change to HDC</w:t>
            </w:r>
          </w:p>
        </w:tc>
        <w:tc>
          <w:tcPr>
            <w:tcW w:w="3267" w:type="dxa"/>
            <w:tcBorders>
              <w:top w:val="single" w:sz="4" w:space="0" w:color="auto"/>
              <w:left w:val="single" w:sz="4" w:space="0" w:color="auto"/>
              <w:bottom w:val="single" w:sz="4" w:space="0" w:color="auto"/>
              <w:right w:val="single" w:sz="4" w:space="0" w:color="auto"/>
            </w:tcBorders>
            <w:vAlign w:val="center"/>
          </w:tcPr>
          <w:p w14:paraId="6D0A8E51" w14:textId="77777777" w:rsidR="00841E1C" w:rsidRPr="007B09E9" w:rsidRDefault="00841E1C" w:rsidP="00841E1C">
            <w:pPr>
              <w:pStyle w:val="NoSpacing"/>
              <w:keepNext/>
              <w:keepLines/>
              <w:jc w:val="center"/>
              <w:rPr>
                <w:rFonts w:asciiTheme="minorHAnsi" w:hAnsiTheme="minorHAnsi"/>
                <w:sz w:val="22"/>
                <w:szCs w:val="22"/>
                <w:lang w:val="en-NZ"/>
              </w:rPr>
            </w:pPr>
            <w:r w:rsidRPr="007B09E9">
              <w:rPr>
                <w:rFonts w:asciiTheme="minorHAnsi" w:hAnsiTheme="minorHAnsi"/>
                <w:sz w:val="22"/>
                <w:szCs w:val="22"/>
                <w:lang w:val="en-NZ"/>
              </w:rPr>
              <w:t>37</w:t>
            </w:r>
          </w:p>
        </w:tc>
      </w:tr>
      <w:tr w:rsidR="00841E1C" w:rsidRPr="007B09E9" w14:paraId="4A96FA5D" w14:textId="77777777" w:rsidTr="0080255D">
        <w:trPr>
          <w:trHeight w:val="272"/>
        </w:trPr>
        <w:tc>
          <w:tcPr>
            <w:tcW w:w="6069" w:type="dxa"/>
            <w:tcBorders>
              <w:top w:val="single" w:sz="4" w:space="0" w:color="auto"/>
              <w:left w:val="single" w:sz="4" w:space="0" w:color="auto"/>
              <w:bottom w:val="single" w:sz="4" w:space="0" w:color="auto"/>
              <w:right w:val="single" w:sz="4" w:space="0" w:color="auto"/>
            </w:tcBorders>
            <w:hideMark/>
          </w:tcPr>
          <w:p w14:paraId="056AABC3" w14:textId="77777777" w:rsidR="00841E1C" w:rsidRPr="007B09E9" w:rsidRDefault="00841E1C" w:rsidP="00841E1C">
            <w:pPr>
              <w:pStyle w:val="NoSpacing"/>
              <w:jc w:val="left"/>
              <w:rPr>
                <w:rFonts w:asciiTheme="minorHAnsi" w:hAnsiTheme="minorHAnsi"/>
                <w:sz w:val="22"/>
                <w:szCs w:val="22"/>
                <w:lang w:val="en-NZ"/>
              </w:rPr>
            </w:pPr>
            <w:r w:rsidRPr="007B09E9">
              <w:rPr>
                <w:rFonts w:asciiTheme="minorHAnsi" w:hAnsiTheme="minorHAnsi"/>
                <w:sz w:val="22"/>
                <w:szCs w:val="22"/>
                <w:lang w:val="en-NZ"/>
              </w:rPr>
              <w:t>Review/implementation of policies/procedures</w:t>
            </w:r>
          </w:p>
        </w:tc>
        <w:tc>
          <w:tcPr>
            <w:tcW w:w="3267" w:type="dxa"/>
            <w:tcBorders>
              <w:top w:val="single" w:sz="4" w:space="0" w:color="auto"/>
              <w:left w:val="single" w:sz="4" w:space="0" w:color="auto"/>
              <w:bottom w:val="single" w:sz="4" w:space="0" w:color="auto"/>
              <w:right w:val="single" w:sz="4" w:space="0" w:color="auto"/>
            </w:tcBorders>
            <w:vAlign w:val="center"/>
          </w:tcPr>
          <w:p w14:paraId="684C1A39" w14:textId="77777777" w:rsidR="00841E1C" w:rsidRPr="007B09E9" w:rsidRDefault="00841E1C" w:rsidP="00841E1C">
            <w:pPr>
              <w:pStyle w:val="NoSpacing"/>
              <w:jc w:val="center"/>
              <w:rPr>
                <w:rFonts w:asciiTheme="minorHAnsi" w:hAnsiTheme="minorHAnsi"/>
                <w:sz w:val="22"/>
                <w:szCs w:val="22"/>
                <w:lang w:val="en-NZ"/>
              </w:rPr>
            </w:pPr>
            <w:r w:rsidRPr="007B09E9">
              <w:rPr>
                <w:rFonts w:asciiTheme="minorHAnsi" w:hAnsiTheme="minorHAnsi"/>
                <w:sz w:val="22"/>
                <w:szCs w:val="22"/>
                <w:lang w:val="en-NZ"/>
              </w:rPr>
              <w:t>37</w:t>
            </w:r>
          </w:p>
        </w:tc>
      </w:tr>
      <w:tr w:rsidR="00841E1C" w:rsidRPr="007B09E9" w14:paraId="4D9DED86" w14:textId="77777777" w:rsidTr="0080255D">
        <w:trPr>
          <w:trHeight w:val="272"/>
        </w:trPr>
        <w:tc>
          <w:tcPr>
            <w:tcW w:w="6069" w:type="dxa"/>
            <w:tcBorders>
              <w:top w:val="single" w:sz="4" w:space="0" w:color="auto"/>
              <w:left w:val="single" w:sz="4" w:space="0" w:color="auto"/>
              <w:bottom w:val="single" w:sz="4" w:space="0" w:color="auto"/>
              <w:right w:val="single" w:sz="4" w:space="0" w:color="auto"/>
            </w:tcBorders>
            <w:hideMark/>
          </w:tcPr>
          <w:p w14:paraId="78961488" w14:textId="1BB1FD4B" w:rsidR="00841E1C" w:rsidRPr="007B09E9" w:rsidRDefault="00841E1C" w:rsidP="00841E1C">
            <w:pPr>
              <w:pStyle w:val="NoSpacing"/>
              <w:jc w:val="left"/>
              <w:rPr>
                <w:rFonts w:asciiTheme="minorHAnsi" w:hAnsiTheme="minorHAnsi"/>
                <w:sz w:val="22"/>
                <w:szCs w:val="22"/>
                <w:lang w:val="en-NZ"/>
              </w:rPr>
            </w:pPr>
            <w:r w:rsidRPr="007B09E9">
              <w:rPr>
                <w:rFonts w:asciiTheme="minorHAnsi" w:hAnsiTheme="minorHAnsi"/>
                <w:sz w:val="22"/>
                <w:szCs w:val="22"/>
                <w:lang w:val="en-NZ"/>
              </w:rPr>
              <w:t>Training/professional development</w:t>
            </w:r>
          </w:p>
        </w:tc>
        <w:tc>
          <w:tcPr>
            <w:tcW w:w="3267" w:type="dxa"/>
            <w:tcBorders>
              <w:top w:val="single" w:sz="4" w:space="0" w:color="auto"/>
              <w:left w:val="single" w:sz="4" w:space="0" w:color="auto"/>
              <w:bottom w:val="single" w:sz="4" w:space="0" w:color="auto"/>
              <w:right w:val="single" w:sz="4" w:space="0" w:color="auto"/>
            </w:tcBorders>
          </w:tcPr>
          <w:p w14:paraId="309E8D42" w14:textId="77777777" w:rsidR="00841E1C" w:rsidRPr="007B09E9" w:rsidRDefault="00841E1C" w:rsidP="00841E1C">
            <w:pPr>
              <w:pStyle w:val="NoSpacing"/>
              <w:jc w:val="center"/>
              <w:rPr>
                <w:rFonts w:asciiTheme="minorHAnsi" w:hAnsiTheme="minorHAnsi"/>
                <w:sz w:val="22"/>
                <w:szCs w:val="22"/>
                <w:lang w:val="en-NZ"/>
              </w:rPr>
            </w:pPr>
            <w:r w:rsidRPr="007B09E9">
              <w:rPr>
                <w:rFonts w:asciiTheme="minorHAnsi" w:hAnsiTheme="minorHAnsi"/>
                <w:sz w:val="22"/>
                <w:szCs w:val="22"/>
                <w:lang w:val="en-NZ"/>
              </w:rPr>
              <w:t>24</w:t>
            </w:r>
          </w:p>
        </w:tc>
      </w:tr>
      <w:tr w:rsidR="00841E1C" w:rsidRPr="007B09E9" w14:paraId="64627C8A" w14:textId="77777777" w:rsidTr="0080255D">
        <w:trPr>
          <w:trHeight w:val="272"/>
        </w:trPr>
        <w:tc>
          <w:tcPr>
            <w:tcW w:w="6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AE11A2" w14:textId="164EDEBF" w:rsidR="00841E1C" w:rsidRPr="007B09E9" w:rsidRDefault="00841E1C" w:rsidP="00841E1C">
            <w:pPr>
              <w:pStyle w:val="NoSpacing"/>
              <w:rPr>
                <w:rFonts w:asciiTheme="minorHAnsi" w:hAnsiTheme="minorHAnsi"/>
                <w:b/>
                <w:sz w:val="22"/>
                <w:szCs w:val="22"/>
                <w:lang w:val="en-NZ"/>
              </w:rPr>
            </w:pPr>
            <w:r w:rsidRPr="007B09E9">
              <w:rPr>
                <w:rFonts w:asciiTheme="minorHAnsi" w:hAnsiTheme="minorHAnsi"/>
                <w:b/>
                <w:sz w:val="22"/>
                <w:szCs w:val="22"/>
                <w:lang w:val="en-NZ"/>
              </w:rPr>
              <w:t>T</w:t>
            </w:r>
            <w:r w:rsidR="00091893">
              <w:rPr>
                <w:rFonts w:asciiTheme="minorHAnsi" w:hAnsiTheme="minorHAnsi"/>
                <w:b/>
                <w:sz w:val="22"/>
                <w:szCs w:val="22"/>
                <w:lang w:val="en-NZ"/>
              </w:rPr>
              <w:t>OTAL</w:t>
            </w:r>
          </w:p>
        </w:tc>
        <w:tc>
          <w:tcPr>
            <w:tcW w:w="3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75988" w14:textId="77777777" w:rsidR="00841E1C" w:rsidRPr="007B09E9" w:rsidRDefault="00841E1C" w:rsidP="00841E1C">
            <w:pPr>
              <w:pStyle w:val="NoSpacing"/>
              <w:jc w:val="center"/>
              <w:rPr>
                <w:rFonts w:asciiTheme="minorHAnsi" w:hAnsiTheme="minorHAnsi"/>
                <w:b/>
                <w:sz w:val="22"/>
                <w:szCs w:val="22"/>
                <w:lang w:val="en-NZ"/>
              </w:rPr>
            </w:pPr>
            <w:r w:rsidRPr="007B09E9">
              <w:rPr>
                <w:rFonts w:asciiTheme="minorHAnsi" w:hAnsiTheme="minorHAnsi"/>
                <w:b/>
                <w:sz w:val="22"/>
                <w:szCs w:val="22"/>
                <w:lang w:val="en-NZ"/>
              </w:rPr>
              <w:t>161</w:t>
            </w:r>
          </w:p>
        </w:tc>
      </w:tr>
    </w:tbl>
    <w:p w14:paraId="31509493" w14:textId="77777777" w:rsidR="00841E1C" w:rsidRDefault="00841E1C" w:rsidP="00841E1C">
      <w:pPr>
        <w:spacing w:before="480"/>
        <w:rPr>
          <w:b/>
        </w:rPr>
      </w:pPr>
      <w:r>
        <w:t>T</w:t>
      </w:r>
      <w:r>
        <w:rPr>
          <w:lang w:eastAsia="en-NZ"/>
        </w:rPr>
        <w:t>he most common recommendations made to DHBs was that they review or implement new policies and procedures (37 recommendations) and that they provide evidence to HDC of the changes they had made in response to the issues raised in the complaint (37 recommendations). 24 recommendations were made in relation to staff training – this was most often in regards to clinical issues identified in the complaint followed by training on policies and procedures, communication and documentation requirements.</w:t>
      </w:r>
    </w:p>
    <w:p w14:paraId="7B608817" w14:textId="77777777" w:rsidR="00841E1C" w:rsidRDefault="00841E1C" w:rsidP="00841E1C"/>
    <w:p w14:paraId="4151DF81" w14:textId="77777777" w:rsidR="00841E1C" w:rsidRDefault="00841E1C" w:rsidP="00841E1C"/>
    <w:p w14:paraId="7CF82928" w14:textId="77777777" w:rsidR="00841E1C" w:rsidRDefault="00841E1C" w:rsidP="00841E1C">
      <w:pPr>
        <w:rPr>
          <w:lang w:bidi="ar-SA"/>
        </w:rPr>
      </w:pPr>
    </w:p>
    <w:p w14:paraId="574FE6CE" w14:textId="77777777" w:rsidR="00841E1C" w:rsidRDefault="00841E1C" w:rsidP="00841E1C">
      <w:pPr>
        <w:rPr>
          <w:lang w:bidi="ar-SA"/>
        </w:rPr>
      </w:pPr>
    </w:p>
    <w:p w14:paraId="2F564FAB" w14:textId="77777777" w:rsidR="00841E1C" w:rsidRDefault="00841E1C" w:rsidP="00841E1C">
      <w:pPr>
        <w:rPr>
          <w:lang w:bidi="ar-SA"/>
        </w:rPr>
      </w:pPr>
    </w:p>
    <w:p w14:paraId="1D3B1D01" w14:textId="77777777" w:rsidR="00841E1C" w:rsidRDefault="00841E1C" w:rsidP="00841E1C">
      <w:pPr>
        <w:rPr>
          <w:lang w:bidi="ar-SA"/>
        </w:rPr>
      </w:pPr>
    </w:p>
    <w:p w14:paraId="7FD46695" w14:textId="77777777" w:rsidR="00841E1C" w:rsidRDefault="00841E1C" w:rsidP="00841E1C">
      <w:pPr>
        <w:rPr>
          <w:lang w:bidi="ar-SA"/>
        </w:rPr>
      </w:pPr>
    </w:p>
    <w:p w14:paraId="12705D50" w14:textId="77777777" w:rsidR="00841E1C" w:rsidRDefault="00841E1C" w:rsidP="00841E1C">
      <w:pPr>
        <w:rPr>
          <w:lang w:bidi="ar-SA"/>
        </w:rPr>
      </w:pPr>
      <w:r>
        <w:rPr>
          <w:lang w:bidi="ar-SA"/>
        </w:rPr>
        <w:br w:type="page"/>
      </w:r>
    </w:p>
    <w:p w14:paraId="7BB89136" w14:textId="77777777" w:rsidR="00841E1C" w:rsidRPr="00CB5675" w:rsidRDefault="00841E1C" w:rsidP="00841E1C">
      <w:pPr>
        <w:pStyle w:val="Heading1"/>
      </w:pPr>
      <w:bookmarkStart w:id="136" w:name="_Toc39138056"/>
      <w:r w:rsidRPr="00CB5675">
        <w:t>5.0</w:t>
      </w:r>
      <w:r w:rsidRPr="00CB5675">
        <w:tab/>
        <w:t>Learning from complaints — HDC case reports</w:t>
      </w:r>
      <w:bookmarkEnd w:id="136"/>
    </w:p>
    <w:p w14:paraId="72A7CBEF" w14:textId="77777777" w:rsidR="00841E1C" w:rsidRPr="00CB5675" w:rsidRDefault="00841E1C" w:rsidP="00841E1C">
      <w:pPr>
        <w:spacing w:after="120"/>
        <w:rPr>
          <w:b/>
          <w:szCs w:val="22"/>
        </w:rPr>
      </w:pPr>
      <w:r w:rsidRPr="00CB5675">
        <w:rPr>
          <w:b/>
          <w:szCs w:val="22"/>
        </w:rPr>
        <w:t>1)  Cardiac anomaly not accounted for during surgery</w:t>
      </w:r>
      <w:r>
        <w:rPr>
          <w:b/>
          <w:szCs w:val="22"/>
        </w:rPr>
        <w:t xml:space="preserve"> </w:t>
      </w:r>
      <w:r>
        <w:t>(17HDC00159)</w:t>
      </w:r>
      <w:r w:rsidRPr="00CB5675">
        <w:rPr>
          <w:b/>
          <w:szCs w:val="22"/>
        </w:rPr>
        <w:t xml:space="preserve"> </w:t>
      </w:r>
    </w:p>
    <w:p w14:paraId="2A4791D4" w14:textId="77777777" w:rsidR="00841E1C" w:rsidRPr="00CB5675" w:rsidRDefault="00841E1C" w:rsidP="00841E1C">
      <w:pPr>
        <w:spacing w:after="120"/>
        <w:rPr>
          <w:i/>
          <w:szCs w:val="22"/>
        </w:rPr>
      </w:pPr>
      <w:r w:rsidRPr="00CB5675">
        <w:rPr>
          <w:i/>
          <w:szCs w:val="22"/>
        </w:rPr>
        <w:t>Background</w:t>
      </w:r>
    </w:p>
    <w:p w14:paraId="16B22B30" w14:textId="5C4401CC" w:rsidR="00841E1C" w:rsidRPr="00CB5675" w:rsidRDefault="00841E1C" w:rsidP="00841E1C">
      <w:pPr>
        <w:pStyle w:val="abclist"/>
        <w:numPr>
          <w:ilvl w:val="0"/>
          <w:numId w:val="0"/>
        </w:numPr>
        <w:rPr>
          <w:sz w:val="22"/>
        </w:rPr>
      </w:pPr>
      <w:r>
        <w:rPr>
          <w:sz w:val="22"/>
        </w:rPr>
        <w:t>A 76 year old man</w:t>
      </w:r>
      <w:r w:rsidRPr="00CB5675">
        <w:rPr>
          <w:sz w:val="22"/>
        </w:rPr>
        <w:t xml:space="preserve"> had a cardiac anomaly whereby his right coronary artery (RCA) did not originate from the usual place in the heart, and it followed a different course to that of most people. </w:t>
      </w:r>
      <w:r w:rsidR="00DA1A29">
        <w:rPr>
          <w:sz w:val="22"/>
        </w:rPr>
        <w:t>A</w:t>
      </w:r>
      <w:r>
        <w:rPr>
          <w:sz w:val="22"/>
        </w:rPr>
        <w:t xml:space="preserve"> </w:t>
      </w:r>
      <w:r w:rsidRPr="00CB5675">
        <w:rPr>
          <w:sz w:val="22"/>
        </w:rPr>
        <w:t xml:space="preserve">cardiothoracic surgeon performed surgery to replace </w:t>
      </w:r>
      <w:r>
        <w:rPr>
          <w:sz w:val="22"/>
        </w:rPr>
        <w:t xml:space="preserve">the man’s </w:t>
      </w:r>
      <w:r w:rsidRPr="00CB5675">
        <w:rPr>
          <w:sz w:val="22"/>
        </w:rPr>
        <w:t xml:space="preserve">heart valve, but was unaware of the anomaly. During surgery, </w:t>
      </w:r>
      <w:r>
        <w:rPr>
          <w:sz w:val="22"/>
        </w:rPr>
        <w:t>the surgeon</w:t>
      </w:r>
      <w:r w:rsidRPr="00CB5675">
        <w:rPr>
          <w:sz w:val="22"/>
        </w:rPr>
        <w:t xml:space="preserve"> placed a suture (stitch) through</w:t>
      </w:r>
      <w:r>
        <w:rPr>
          <w:sz w:val="22"/>
        </w:rPr>
        <w:t xml:space="preserve"> the man’s</w:t>
      </w:r>
      <w:r w:rsidRPr="00CB5675">
        <w:rPr>
          <w:sz w:val="22"/>
        </w:rPr>
        <w:t xml:space="preserve"> RCA, and this caused poor right cardiac function. </w:t>
      </w:r>
      <w:r>
        <w:rPr>
          <w:sz w:val="22"/>
        </w:rPr>
        <w:t xml:space="preserve">The </w:t>
      </w:r>
      <w:r w:rsidR="00091893">
        <w:rPr>
          <w:sz w:val="22"/>
        </w:rPr>
        <w:t>man</w:t>
      </w:r>
      <w:r w:rsidRPr="00CB5675">
        <w:rPr>
          <w:sz w:val="22"/>
        </w:rPr>
        <w:t xml:space="preserve"> died following the surgery, and the surgical error was identified at autopsy.</w:t>
      </w:r>
    </w:p>
    <w:p w14:paraId="23D9E80C" w14:textId="53C3C3E0" w:rsidR="007E3238" w:rsidRDefault="00841E1C" w:rsidP="00841E1C">
      <w:pPr>
        <w:pStyle w:val="abclist"/>
        <w:numPr>
          <w:ilvl w:val="0"/>
          <w:numId w:val="0"/>
        </w:numPr>
        <w:rPr>
          <w:sz w:val="22"/>
        </w:rPr>
      </w:pPr>
      <w:r w:rsidRPr="00CB5675">
        <w:rPr>
          <w:sz w:val="22"/>
        </w:rPr>
        <w:t xml:space="preserve">Two weeks prior to the surgery, </w:t>
      </w:r>
      <w:r>
        <w:rPr>
          <w:sz w:val="22"/>
        </w:rPr>
        <w:t xml:space="preserve">the </w:t>
      </w:r>
      <w:r w:rsidR="00091893">
        <w:rPr>
          <w:sz w:val="22"/>
        </w:rPr>
        <w:t>man</w:t>
      </w:r>
      <w:r w:rsidRPr="00CB5675">
        <w:rPr>
          <w:sz w:val="22"/>
        </w:rPr>
        <w:t xml:space="preserve"> had an angiogram</w:t>
      </w:r>
      <w:r w:rsidRPr="003E5338">
        <w:rPr>
          <w:rStyle w:val="FootnoteReference"/>
        </w:rPr>
        <w:footnoteReference w:id="8"/>
      </w:r>
      <w:r w:rsidRPr="00CB5675">
        <w:rPr>
          <w:sz w:val="22"/>
        </w:rPr>
        <w:t xml:space="preserve"> performed by a cardiologist. The cardiologist documented the anomaly in the conclusion section of their report. The cardiologist did not complete a coronary diagram, as this was not a mandatory requirement at the </w:t>
      </w:r>
      <w:r>
        <w:rPr>
          <w:sz w:val="22"/>
        </w:rPr>
        <w:t>DHB</w:t>
      </w:r>
      <w:r w:rsidRPr="00CB5675">
        <w:rPr>
          <w:sz w:val="22"/>
        </w:rPr>
        <w:t xml:space="preserve">. The cardiologist handed over </w:t>
      </w:r>
      <w:r>
        <w:rPr>
          <w:sz w:val="22"/>
        </w:rPr>
        <w:t>the</w:t>
      </w:r>
      <w:r w:rsidRPr="00CB5675">
        <w:rPr>
          <w:sz w:val="22"/>
        </w:rPr>
        <w:t xml:space="preserve"> case to another</w:t>
      </w:r>
      <w:r>
        <w:rPr>
          <w:sz w:val="22"/>
        </w:rPr>
        <w:t xml:space="preserve"> c</w:t>
      </w:r>
      <w:r w:rsidR="007E3238">
        <w:rPr>
          <w:sz w:val="22"/>
        </w:rPr>
        <w:t>ardiologist to present for discussion at a combined cardiac meeting (CCM)</w:t>
      </w:r>
      <w:r>
        <w:rPr>
          <w:sz w:val="22"/>
        </w:rPr>
        <w:t>.</w:t>
      </w:r>
      <w:r w:rsidRPr="00CB5675">
        <w:rPr>
          <w:sz w:val="22"/>
        </w:rPr>
        <w:t xml:space="preserve"> </w:t>
      </w:r>
    </w:p>
    <w:p w14:paraId="4C2F9A9E" w14:textId="177CA530" w:rsidR="00841E1C" w:rsidRPr="00CB5675" w:rsidRDefault="00841E1C" w:rsidP="00841E1C">
      <w:pPr>
        <w:pStyle w:val="abclist"/>
        <w:numPr>
          <w:ilvl w:val="0"/>
          <w:numId w:val="0"/>
        </w:numPr>
        <w:rPr>
          <w:sz w:val="22"/>
        </w:rPr>
      </w:pPr>
      <w:r>
        <w:rPr>
          <w:sz w:val="22"/>
        </w:rPr>
        <w:t>The</w:t>
      </w:r>
      <w:r w:rsidRPr="00CB5675">
        <w:rPr>
          <w:sz w:val="22"/>
        </w:rPr>
        <w:t xml:space="preserve"> case was discussed at the CCM of 10–20 clinicians, including </w:t>
      </w:r>
      <w:r>
        <w:rPr>
          <w:sz w:val="22"/>
        </w:rPr>
        <w:t>the surgeon involved</w:t>
      </w:r>
      <w:r w:rsidRPr="00CB5675">
        <w:rPr>
          <w:sz w:val="22"/>
        </w:rPr>
        <w:t xml:space="preserve">, to confirm the surgical plan. While two clinical documents referencing the anomaly were circulated to the attendees, and the angiogram images were viewed at the meeting, the anomaly was not discussed at the CCM. Following the CCM but ahead of surgery, three further clinical documents were prepared by clinicians other than </w:t>
      </w:r>
      <w:r>
        <w:rPr>
          <w:sz w:val="22"/>
        </w:rPr>
        <w:t xml:space="preserve">the surgeon involved </w:t>
      </w:r>
      <w:r w:rsidRPr="00CB5675">
        <w:rPr>
          <w:sz w:val="22"/>
        </w:rPr>
        <w:t xml:space="preserve">that referenced the anomalous RCA. </w:t>
      </w:r>
    </w:p>
    <w:p w14:paraId="594B727E" w14:textId="77777777" w:rsidR="00841E1C" w:rsidRPr="00CB5675" w:rsidRDefault="00841E1C" w:rsidP="00841E1C">
      <w:pPr>
        <w:pStyle w:val="abclist"/>
        <w:numPr>
          <w:ilvl w:val="0"/>
          <w:numId w:val="0"/>
        </w:numPr>
        <w:rPr>
          <w:sz w:val="22"/>
        </w:rPr>
      </w:pPr>
      <w:r>
        <w:rPr>
          <w:sz w:val="22"/>
        </w:rPr>
        <w:t xml:space="preserve">The surgeon </w:t>
      </w:r>
      <w:r w:rsidRPr="00CB5675">
        <w:rPr>
          <w:sz w:val="22"/>
        </w:rPr>
        <w:t>confirmed that he reviewed the angiogram images and at least three of the clinical documents ahead of surgery, noting that his focus was on confirming the surgical plan from the CCM rather than making a rare diagnosis. Two anaesthetists subsequently confirmed that they were aware of the anomalous RCA during the surgery, but assumed that the surgical team were already aware of it, so did not discuss it during surgery.</w:t>
      </w:r>
    </w:p>
    <w:p w14:paraId="3E743679" w14:textId="77777777" w:rsidR="00841E1C" w:rsidRPr="00CB5675" w:rsidRDefault="00841E1C" w:rsidP="00841E1C">
      <w:pPr>
        <w:pStyle w:val="Heading2"/>
        <w:rPr>
          <w:b w:val="0"/>
          <w:i/>
          <w:sz w:val="22"/>
          <w:szCs w:val="22"/>
        </w:rPr>
      </w:pPr>
      <w:bookmarkStart w:id="137" w:name="_Toc37055997"/>
      <w:bookmarkStart w:id="138" w:name="_Toc37315222"/>
      <w:bookmarkStart w:id="139" w:name="_Toc39138057"/>
      <w:r w:rsidRPr="00CB5675">
        <w:rPr>
          <w:b w:val="0"/>
          <w:i/>
          <w:sz w:val="22"/>
          <w:szCs w:val="22"/>
        </w:rPr>
        <w:t>Findings</w:t>
      </w:r>
      <w:bookmarkEnd w:id="137"/>
      <w:bookmarkEnd w:id="138"/>
      <w:bookmarkEnd w:id="139"/>
    </w:p>
    <w:p w14:paraId="0B5A8C9D" w14:textId="183E4F8E" w:rsidR="00841E1C" w:rsidRPr="00CB5675" w:rsidRDefault="00841E1C" w:rsidP="00841E1C">
      <w:pPr>
        <w:pStyle w:val="abclist"/>
        <w:numPr>
          <w:ilvl w:val="0"/>
          <w:numId w:val="0"/>
        </w:numPr>
        <w:rPr>
          <w:sz w:val="22"/>
        </w:rPr>
      </w:pPr>
      <w:r>
        <w:rPr>
          <w:sz w:val="22"/>
          <w:lang w:val="en-US"/>
        </w:rPr>
        <w:t>The</w:t>
      </w:r>
      <w:r w:rsidRPr="00CB5675">
        <w:rPr>
          <w:sz w:val="22"/>
          <w:lang w:val="en-US"/>
        </w:rPr>
        <w:t xml:space="preserve"> </w:t>
      </w:r>
      <w:r w:rsidR="007E3238">
        <w:rPr>
          <w:sz w:val="22"/>
          <w:lang w:val="en-US"/>
        </w:rPr>
        <w:t xml:space="preserve">man’s </w:t>
      </w:r>
      <w:r w:rsidRPr="00CB5675">
        <w:rPr>
          <w:sz w:val="22"/>
          <w:lang w:val="en-US"/>
        </w:rPr>
        <w:t xml:space="preserve">cardiac anomaly was known by multiple people and recorded in multiple places in </w:t>
      </w:r>
      <w:r>
        <w:rPr>
          <w:sz w:val="22"/>
          <w:lang w:val="en-US"/>
        </w:rPr>
        <w:t xml:space="preserve">the </w:t>
      </w:r>
      <w:r w:rsidRPr="00CB5675">
        <w:rPr>
          <w:sz w:val="22"/>
          <w:lang w:val="en-US"/>
        </w:rPr>
        <w:t xml:space="preserve">DHB’s system. There were numerous missed opportunities for the information to be communicated to </w:t>
      </w:r>
      <w:r>
        <w:rPr>
          <w:sz w:val="22"/>
          <w:lang w:val="en-US"/>
        </w:rPr>
        <w:t>the surgeon</w:t>
      </w:r>
      <w:r w:rsidRPr="00CB5675">
        <w:rPr>
          <w:sz w:val="22"/>
          <w:lang w:val="en-US"/>
        </w:rPr>
        <w:t xml:space="preserve">, and these were contributed to by the fact that the DHB did not require completion of a coronary diagram ahead of surgery, and that the purpose of the CCM was not clear to its participants. Notwithstanding </w:t>
      </w:r>
      <w:r>
        <w:rPr>
          <w:sz w:val="22"/>
          <w:lang w:val="en-US"/>
        </w:rPr>
        <w:t xml:space="preserve">the surgeon’s </w:t>
      </w:r>
      <w:r w:rsidRPr="00CB5675">
        <w:rPr>
          <w:sz w:val="22"/>
          <w:lang w:val="en-US"/>
        </w:rPr>
        <w:t xml:space="preserve">personal responsibility in this case, the DHB system failed to alert </w:t>
      </w:r>
      <w:r>
        <w:rPr>
          <w:sz w:val="22"/>
          <w:lang w:val="en-US"/>
        </w:rPr>
        <w:t>him</w:t>
      </w:r>
      <w:r w:rsidRPr="00CB5675">
        <w:rPr>
          <w:sz w:val="22"/>
          <w:lang w:val="en-US"/>
        </w:rPr>
        <w:t xml:space="preserve"> to relevant and significant information about </w:t>
      </w:r>
      <w:r>
        <w:rPr>
          <w:sz w:val="22"/>
          <w:lang w:val="en-US"/>
        </w:rPr>
        <w:t xml:space="preserve">the </w:t>
      </w:r>
      <w:r w:rsidR="007E3238">
        <w:rPr>
          <w:sz w:val="22"/>
          <w:lang w:val="en-US"/>
        </w:rPr>
        <w:t>man</w:t>
      </w:r>
      <w:r w:rsidRPr="00CB5675">
        <w:rPr>
          <w:sz w:val="22"/>
          <w:lang w:val="en-US"/>
        </w:rPr>
        <w:t xml:space="preserve">. Accordingly, </w:t>
      </w:r>
      <w:r>
        <w:rPr>
          <w:sz w:val="22"/>
          <w:lang w:val="en-US"/>
        </w:rPr>
        <w:t>the Commissioner</w:t>
      </w:r>
      <w:r w:rsidRPr="00CB5675">
        <w:rPr>
          <w:sz w:val="22"/>
          <w:lang w:val="en-US"/>
        </w:rPr>
        <w:t xml:space="preserve"> found that the DHB did not provide services</w:t>
      </w:r>
      <w:r w:rsidR="007E3238">
        <w:rPr>
          <w:sz w:val="22"/>
          <w:lang w:val="en-US"/>
        </w:rPr>
        <w:t xml:space="preserve"> to the man</w:t>
      </w:r>
      <w:r w:rsidRPr="00CB5675">
        <w:rPr>
          <w:sz w:val="22"/>
          <w:lang w:val="en-US"/>
        </w:rPr>
        <w:t xml:space="preserve"> with reasonable care and skill, </w:t>
      </w:r>
      <w:r>
        <w:rPr>
          <w:sz w:val="22"/>
          <w:lang w:val="en-US"/>
        </w:rPr>
        <w:t xml:space="preserve">in breach of </w:t>
      </w:r>
      <w:r w:rsidRPr="00CB5675">
        <w:rPr>
          <w:sz w:val="22"/>
          <w:lang w:val="en-US"/>
        </w:rPr>
        <w:t xml:space="preserve">Right 4(1) of the Code </w:t>
      </w:r>
    </w:p>
    <w:p w14:paraId="2BD10F8B" w14:textId="297EB2A2" w:rsidR="00841E1C" w:rsidRPr="00CB5675" w:rsidRDefault="00841E1C" w:rsidP="00841E1C">
      <w:pPr>
        <w:pStyle w:val="abclist"/>
        <w:numPr>
          <w:ilvl w:val="0"/>
          <w:numId w:val="0"/>
        </w:numPr>
        <w:rPr>
          <w:rFonts w:eastAsia="Arial"/>
          <w:sz w:val="22"/>
        </w:rPr>
      </w:pPr>
      <w:r w:rsidRPr="00CB5675">
        <w:rPr>
          <w:rFonts w:eastAsia="Arial"/>
          <w:sz w:val="22"/>
        </w:rPr>
        <w:t>The Commissioner considered there to have been significant failures in the care</w:t>
      </w:r>
      <w:r>
        <w:rPr>
          <w:rFonts w:eastAsia="Arial"/>
          <w:sz w:val="22"/>
        </w:rPr>
        <w:t xml:space="preserve"> the cardiothoracic surgeon</w:t>
      </w:r>
      <w:r w:rsidRPr="00CB5675">
        <w:rPr>
          <w:rFonts w:eastAsia="Arial"/>
          <w:sz w:val="22"/>
        </w:rPr>
        <w:t xml:space="preserve"> provided to </w:t>
      </w:r>
      <w:r>
        <w:rPr>
          <w:rFonts w:eastAsia="Arial"/>
          <w:sz w:val="22"/>
        </w:rPr>
        <w:t>the man</w:t>
      </w:r>
      <w:r w:rsidRPr="00CB5675">
        <w:rPr>
          <w:rFonts w:eastAsia="Arial"/>
          <w:sz w:val="22"/>
        </w:rPr>
        <w:t xml:space="preserve">. </w:t>
      </w:r>
      <w:r>
        <w:rPr>
          <w:rFonts w:eastAsia="Arial"/>
          <w:sz w:val="22"/>
        </w:rPr>
        <w:t xml:space="preserve">The surgeon </w:t>
      </w:r>
      <w:r w:rsidRPr="00CB5675">
        <w:rPr>
          <w:rFonts w:eastAsia="Arial"/>
          <w:sz w:val="22"/>
        </w:rPr>
        <w:t>did not</w:t>
      </w:r>
      <w:r w:rsidR="007E3238">
        <w:rPr>
          <w:rFonts w:eastAsia="Arial"/>
          <w:sz w:val="22"/>
        </w:rPr>
        <w:t>:</w:t>
      </w:r>
      <w:r w:rsidRPr="00CB5675">
        <w:rPr>
          <w:rFonts w:eastAsia="Arial"/>
          <w:sz w:val="22"/>
        </w:rPr>
        <w:t xml:space="preserve"> review the preoperative documentation comprehensively; interpret the angiogram images adequately; identify the RCA ostium during surgery or recognise that it was unusually large; administer antegrade cardioplegia; or document his operation findings adequately. Accordingly, </w:t>
      </w:r>
      <w:r>
        <w:rPr>
          <w:rFonts w:eastAsia="Arial"/>
          <w:sz w:val="22"/>
        </w:rPr>
        <w:t xml:space="preserve">the </w:t>
      </w:r>
      <w:r w:rsidR="007E3238">
        <w:rPr>
          <w:rFonts w:eastAsia="Arial"/>
          <w:sz w:val="22"/>
        </w:rPr>
        <w:t>C</w:t>
      </w:r>
      <w:r>
        <w:rPr>
          <w:rFonts w:eastAsia="Arial"/>
          <w:sz w:val="22"/>
        </w:rPr>
        <w:t>ommissioner</w:t>
      </w:r>
      <w:r w:rsidRPr="00CB5675">
        <w:rPr>
          <w:rFonts w:eastAsia="Arial"/>
          <w:sz w:val="22"/>
        </w:rPr>
        <w:t xml:space="preserve"> found that </w:t>
      </w:r>
      <w:r>
        <w:rPr>
          <w:rFonts w:eastAsia="Arial"/>
          <w:sz w:val="22"/>
        </w:rPr>
        <w:t>the surgeon</w:t>
      </w:r>
      <w:r w:rsidRPr="00CB5675">
        <w:rPr>
          <w:rFonts w:eastAsia="Arial"/>
          <w:sz w:val="22"/>
        </w:rPr>
        <w:t xml:space="preserve"> breached Right 4(1) of the Code.</w:t>
      </w:r>
    </w:p>
    <w:p w14:paraId="0E4E1D4B" w14:textId="77777777" w:rsidR="00841E1C" w:rsidRPr="00CB5675" w:rsidRDefault="00841E1C" w:rsidP="00841E1C">
      <w:pPr>
        <w:pStyle w:val="Heading2"/>
        <w:rPr>
          <w:b w:val="0"/>
          <w:i/>
          <w:sz w:val="22"/>
          <w:szCs w:val="22"/>
        </w:rPr>
      </w:pPr>
      <w:bookmarkStart w:id="140" w:name="_Toc37055998"/>
      <w:bookmarkStart w:id="141" w:name="_Toc37315223"/>
      <w:bookmarkStart w:id="142" w:name="_Toc39138058"/>
      <w:r w:rsidRPr="00CB5675">
        <w:rPr>
          <w:b w:val="0"/>
          <w:i/>
          <w:sz w:val="22"/>
          <w:szCs w:val="22"/>
        </w:rPr>
        <w:t>Recommendations</w:t>
      </w:r>
      <w:bookmarkEnd w:id="140"/>
      <w:bookmarkEnd w:id="141"/>
      <w:bookmarkEnd w:id="142"/>
    </w:p>
    <w:p w14:paraId="65C678E5" w14:textId="77777777" w:rsidR="00841E1C" w:rsidRDefault="00841E1C" w:rsidP="00841E1C">
      <w:pPr>
        <w:pStyle w:val="abclist"/>
        <w:numPr>
          <w:ilvl w:val="0"/>
          <w:numId w:val="0"/>
        </w:numPr>
        <w:rPr>
          <w:sz w:val="22"/>
          <w:lang w:val="en-US"/>
        </w:rPr>
      </w:pPr>
      <w:r w:rsidRPr="00CB5675">
        <w:rPr>
          <w:sz w:val="22"/>
          <w:lang w:val="en-US"/>
        </w:rPr>
        <w:t>The Commissioner</w:t>
      </w:r>
      <w:r>
        <w:rPr>
          <w:sz w:val="22"/>
          <w:lang w:val="en-US"/>
        </w:rPr>
        <w:t xml:space="preserve"> made a number of recommendations to the DHB, including that it:</w:t>
      </w:r>
      <w:r w:rsidRPr="00CB5675">
        <w:rPr>
          <w:sz w:val="22"/>
          <w:lang w:val="en-US"/>
        </w:rPr>
        <w:t xml:space="preserve"> </w:t>
      </w:r>
    </w:p>
    <w:p w14:paraId="0A18E14E" w14:textId="6A24A2CF" w:rsidR="00841E1C" w:rsidRDefault="007B09E9" w:rsidP="00841E1C">
      <w:pPr>
        <w:pStyle w:val="abclist"/>
        <w:numPr>
          <w:ilvl w:val="0"/>
          <w:numId w:val="28"/>
        </w:numPr>
        <w:spacing w:after="0"/>
        <w:ind w:left="714" w:hanging="357"/>
        <w:rPr>
          <w:sz w:val="22"/>
        </w:rPr>
      </w:pPr>
      <w:r w:rsidRPr="00CB5675">
        <w:rPr>
          <w:sz w:val="22"/>
        </w:rPr>
        <w:t>create</w:t>
      </w:r>
      <w:r w:rsidR="00841E1C" w:rsidRPr="00CB5675">
        <w:rPr>
          <w:sz w:val="22"/>
        </w:rPr>
        <w:t xml:space="preserve"> terms of reference for the purpose and effect of the CCM;</w:t>
      </w:r>
    </w:p>
    <w:p w14:paraId="77882754" w14:textId="77777777" w:rsidR="00841E1C" w:rsidRDefault="00841E1C" w:rsidP="00841E1C">
      <w:pPr>
        <w:pStyle w:val="abclist"/>
        <w:numPr>
          <w:ilvl w:val="0"/>
          <w:numId w:val="28"/>
        </w:numPr>
        <w:spacing w:after="0"/>
        <w:ind w:left="714" w:hanging="357"/>
        <w:rPr>
          <w:sz w:val="22"/>
        </w:rPr>
      </w:pPr>
      <w:r w:rsidRPr="00CB5675">
        <w:rPr>
          <w:sz w:val="22"/>
        </w:rPr>
        <w:t>align a policy, regarding the completion of coronary diagrams ahead of cardiac surgery, with national practice;</w:t>
      </w:r>
    </w:p>
    <w:p w14:paraId="3D59B1FC" w14:textId="77777777" w:rsidR="00841E1C" w:rsidRDefault="00841E1C" w:rsidP="00841E1C">
      <w:pPr>
        <w:pStyle w:val="abclist"/>
        <w:numPr>
          <w:ilvl w:val="0"/>
          <w:numId w:val="28"/>
        </w:numPr>
        <w:spacing w:after="0"/>
        <w:ind w:left="714" w:hanging="357"/>
        <w:rPr>
          <w:sz w:val="22"/>
        </w:rPr>
      </w:pPr>
      <w:r w:rsidRPr="00CB5675">
        <w:rPr>
          <w:sz w:val="22"/>
        </w:rPr>
        <w:t xml:space="preserve">implement a system to ensure that letters or clinical reports finalised after the CCM but ahead of surgery are forwarded to a central repository to be inserted into the cardiothoracic surgery folder; </w:t>
      </w:r>
    </w:p>
    <w:p w14:paraId="350DDCC0" w14:textId="77777777" w:rsidR="00841E1C" w:rsidRDefault="00841E1C" w:rsidP="00841E1C">
      <w:pPr>
        <w:pStyle w:val="abclist"/>
        <w:numPr>
          <w:ilvl w:val="0"/>
          <w:numId w:val="28"/>
        </w:numPr>
        <w:spacing w:after="0"/>
        <w:ind w:left="714" w:hanging="357"/>
        <w:rPr>
          <w:sz w:val="22"/>
        </w:rPr>
      </w:pPr>
      <w:r w:rsidRPr="00CB5675">
        <w:rPr>
          <w:sz w:val="22"/>
        </w:rPr>
        <w:t>provide in-house training regarding interpretation of angiogram images; ensure that it is clear to all surgery departments that it is expected that the operating surgeon will read all pertinent documentation ahead of surgery;</w:t>
      </w:r>
    </w:p>
    <w:p w14:paraId="6FDA812C" w14:textId="7C97C598" w:rsidR="00841E1C" w:rsidRPr="007B09E9" w:rsidRDefault="00841E1C" w:rsidP="00841E1C">
      <w:pPr>
        <w:pStyle w:val="abclist"/>
        <w:numPr>
          <w:ilvl w:val="0"/>
          <w:numId w:val="28"/>
        </w:numPr>
        <w:spacing w:after="0"/>
        <w:ind w:left="714" w:hanging="357"/>
        <w:rPr>
          <w:sz w:val="22"/>
          <w:lang w:val="en-US"/>
        </w:rPr>
      </w:pPr>
      <w:r w:rsidRPr="00CB5675">
        <w:rPr>
          <w:sz w:val="22"/>
        </w:rPr>
        <w:t>provide a written apology to the</w:t>
      </w:r>
      <w:r>
        <w:rPr>
          <w:sz w:val="22"/>
        </w:rPr>
        <w:t xml:space="preserve"> </w:t>
      </w:r>
      <w:r w:rsidR="007E3238">
        <w:rPr>
          <w:sz w:val="22"/>
        </w:rPr>
        <w:t>man</w:t>
      </w:r>
      <w:r>
        <w:rPr>
          <w:sz w:val="22"/>
        </w:rPr>
        <w:t>’s</w:t>
      </w:r>
      <w:r w:rsidRPr="00CB5675">
        <w:rPr>
          <w:sz w:val="22"/>
        </w:rPr>
        <w:t xml:space="preserve"> family</w:t>
      </w:r>
      <w:r>
        <w:rPr>
          <w:sz w:val="22"/>
        </w:rPr>
        <w:t xml:space="preserve">. </w:t>
      </w:r>
      <w:r w:rsidRPr="00CB5675">
        <w:rPr>
          <w:sz w:val="22"/>
        </w:rPr>
        <w:t xml:space="preserve"> </w:t>
      </w:r>
    </w:p>
    <w:p w14:paraId="3E61472A" w14:textId="77777777" w:rsidR="007B09E9" w:rsidRPr="00CB5675" w:rsidRDefault="007B09E9" w:rsidP="007B09E9">
      <w:pPr>
        <w:pStyle w:val="abclist"/>
        <w:numPr>
          <w:ilvl w:val="0"/>
          <w:numId w:val="0"/>
        </w:numPr>
        <w:spacing w:after="0"/>
        <w:ind w:left="714"/>
        <w:rPr>
          <w:sz w:val="22"/>
          <w:lang w:val="en-US"/>
        </w:rPr>
      </w:pPr>
    </w:p>
    <w:p w14:paraId="39E822B5" w14:textId="5721EB02" w:rsidR="00841E1C" w:rsidRDefault="00841E1C" w:rsidP="00841E1C">
      <w:pPr>
        <w:pStyle w:val="abclist"/>
        <w:numPr>
          <w:ilvl w:val="0"/>
          <w:numId w:val="0"/>
        </w:numPr>
        <w:rPr>
          <w:b/>
          <w:sz w:val="22"/>
          <w:lang w:val="en-US"/>
        </w:rPr>
      </w:pPr>
      <w:r w:rsidRPr="00895C8F">
        <w:rPr>
          <w:noProof/>
          <w:lang w:eastAsia="en-NZ" w:bidi="ar-SA"/>
        </w:rPr>
        <mc:AlternateContent>
          <mc:Choice Requires="wps">
            <w:drawing>
              <wp:anchor distT="45720" distB="45720" distL="114300" distR="114300" simplePos="0" relativeHeight="251656704" behindDoc="0" locked="0" layoutInCell="1" allowOverlap="1" wp14:anchorId="623D18AE" wp14:editId="5CE8AA25">
                <wp:simplePos x="0" y="0"/>
                <wp:positionH relativeFrom="margin">
                  <wp:posOffset>-125095</wp:posOffset>
                </wp:positionH>
                <wp:positionV relativeFrom="paragraph">
                  <wp:posOffset>1102360</wp:posOffset>
                </wp:positionV>
                <wp:extent cx="5867400" cy="140462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9525">
                          <a:solidFill>
                            <a:srgbClr val="000000"/>
                          </a:solidFill>
                          <a:miter lim="800000"/>
                          <a:headEnd/>
                          <a:tailEnd/>
                        </a:ln>
                      </wps:spPr>
                      <wps:txbx>
                        <w:txbxContent>
                          <w:p w14:paraId="4834BB40" w14:textId="77777777" w:rsidR="003E5338" w:rsidRDefault="003E5338" w:rsidP="00841E1C">
                            <w:pPr>
                              <w:shd w:val="clear" w:color="auto" w:fill="F2F2F2" w:themeFill="background1" w:themeFillShade="F2"/>
                              <w:rPr>
                                <w:rFonts w:ascii="Source Sans Pro" w:hAnsi="Source Sans Pro"/>
                                <w:color w:val="000000"/>
                                <w:shd w:val="clear" w:color="auto" w:fill="F7F7F6"/>
                              </w:rPr>
                            </w:pPr>
                          </w:p>
                          <w:p w14:paraId="2A005BF8" w14:textId="77777777" w:rsidR="003E5338" w:rsidRDefault="003E5338" w:rsidP="00841E1C">
                            <w:pPr>
                              <w:shd w:val="clear" w:color="auto" w:fill="F2F2F2" w:themeFill="background1" w:themeFillShade="F2"/>
                              <w:rPr>
                                <w:rFonts w:ascii="Source Sans Pro" w:hAnsi="Source Sans Pro"/>
                                <w:color w:val="000000"/>
                                <w:shd w:val="clear" w:color="auto" w:fill="F7F7F6"/>
                              </w:rPr>
                            </w:pPr>
                            <w:r w:rsidRPr="004E1966">
                              <w:rPr>
                                <w:rFonts w:ascii="Source Sans Pro" w:hAnsi="Source Sans Pro"/>
                                <w:b/>
                                <w:color w:val="000000"/>
                                <w:shd w:val="clear" w:color="auto" w:fill="F7F7F6"/>
                              </w:rPr>
                              <w:t>In summary,</w:t>
                            </w:r>
                            <w:r>
                              <w:rPr>
                                <w:rFonts w:ascii="Source Sans Pro" w:hAnsi="Source Sans Pro"/>
                                <w:color w:val="000000"/>
                                <w:shd w:val="clear" w:color="auto" w:fill="F7F7F6"/>
                              </w:rPr>
                              <w:t xml:space="preserve"> </w:t>
                            </w:r>
                          </w:p>
                          <w:p w14:paraId="6AD50B23" w14:textId="77777777" w:rsidR="003E5338" w:rsidRDefault="003E5338" w:rsidP="00841E1C">
                            <w:pPr>
                              <w:shd w:val="clear" w:color="auto" w:fill="F2F2F2" w:themeFill="background1" w:themeFillShade="F2"/>
                              <w:rPr>
                                <w:rFonts w:ascii="Source Sans Pro" w:hAnsi="Source Sans Pro"/>
                                <w:color w:val="000000"/>
                                <w:shd w:val="clear" w:color="auto" w:fill="F7F7F6"/>
                              </w:rPr>
                            </w:pPr>
                          </w:p>
                          <w:p w14:paraId="0A1939F3" w14:textId="77777777" w:rsidR="003E5338" w:rsidRDefault="003E5338" w:rsidP="00841E1C">
                            <w:pPr>
                              <w:shd w:val="clear" w:color="auto" w:fill="F2F2F2" w:themeFill="background1" w:themeFillShade="F2"/>
                            </w:pPr>
                            <w:r>
                              <w:rPr>
                                <w:rFonts w:ascii="Source Sans Pro" w:hAnsi="Source Sans Pro"/>
                                <w:color w:val="000000"/>
                                <w:shd w:val="clear" w:color="auto" w:fill="F7F7F6"/>
                              </w:rPr>
                              <w:t>The Commissioner commented; “</w:t>
                            </w:r>
                            <w:r w:rsidRPr="00B23A37">
                              <w:rPr>
                                <w:rFonts w:ascii="Source Sans Pro" w:hAnsi="Source Sans Pro"/>
                                <w:i/>
                                <w:color w:val="000000"/>
                                <w:shd w:val="clear" w:color="auto" w:fill="F7F7F6"/>
                              </w:rPr>
                              <w:t>The whole team has a responsibility to ensure that relevant and significant information is shared amongst everyone in the operating theatre, and as this case has demonstrated, it is dangerous to make assumptions about what people already know. I encourage any surgical team member to speak up if there is any doubt in their mind about whether the surgeon knows about a key piece of information”.</w:t>
                            </w:r>
                          </w:p>
                          <w:p w14:paraId="04D0D90D" w14:textId="77777777" w:rsidR="003E5338" w:rsidRDefault="003E5338" w:rsidP="00841E1C">
                            <w:pPr>
                              <w:shd w:val="clear" w:color="auto" w:fill="F2F2F2" w:themeFill="background1" w:themeFillShade="F2"/>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3D18AE" id="_x0000_t202" coordsize="21600,21600" o:spt="202" path="m,l,21600r21600,l21600,xe">
                <v:stroke joinstyle="miter"/>
                <v:path gradientshapeok="t" o:connecttype="rect"/>
              </v:shapetype>
              <v:shape id="Text Box 2" o:spid="_x0000_s1026" type="#_x0000_t202" style="position:absolute;left:0;text-align:left;margin-left:-9.85pt;margin-top:86.8pt;width:462pt;height:110.6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">
                <v:textbox style="mso-fit-shape-to-text:t">
                  <w:txbxContent>
                    <w:p w14:paraId="4834BB40" w14:textId="77777777" w:rsidR="003E5338" w:rsidRDefault="003E5338" w:rsidP="00841E1C">
                      <w:pPr>
                        <w:shd w:val="clear" w:color="auto" w:fill="F2F2F2" w:themeFill="background1" w:themeFillShade="F2"/>
                        <w:rPr>
                          <w:rFonts w:ascii="Source Sans Pro" w:hAnsi="Source Sans Pro"/>
                          <w:color w:val="000000"/>
                          <w:shd w:val="clear" w:color="auto" w:fill="F7F7F6"/>
                        </w:rPr>
                      </w:pPr>
                    </w:p>
                    <w:p w14:paraId="2A005BF8" w14:textId="77777777" w:rsidR="003E5338" w:rsidRDefault="003E5338" w:rsidP="00841E1C">
                      <w:pPr>
                        <w:shd w:val="clear" w:color="auto" w:fill="F2F2F2" w:themeFill="background1" w:themeFillShade="F2"/>
                        <w:rPr>
                          <w:rFonts w:ascii="Source Sans Pro" w:hAnsi="Source Sans Pro"/>
                          <w:color w:val="000000"/>
                          <w:shd w:val="clear" w:color="auto" w:fill="F7F7F6"/>
                        </w:rPr>
                      </w:pPr>
                      <w:r w:rsidRPr="004E1966">
                        <w:rPr>
                          <w:rFonts w:ascii="Source Sans Pro" w:hAnsi="Source Sans Pro"/>
                          <w:b/>
                          <w:color w:val="000000"/>
                          <w:shd w:val="clear" w:color="auto" w:fill="F7F7F6"/>
                        </w:rPr>
                        <w:t>In summary,</w:t>
                      </w:r>
                      <w:r>
                        <w:rPr>
                          <w:rFonts w:ascii="Source Sans Pro" w:hAnsi="Source Sans Pro"/>
                          <w:color w:val="000000"/>
                          <w:shd w:val="clear" w:color="auto" w:fill="F7F7F6"/>
                        </w:rPr>
                        <w:t xml:space="preserve"> </w:t>
                      </w:r>
                    </w:p>
                    <w:p w14:paraId="6AD50B23" w14:textId="77777777" w:rsidR="003E5338" w:rsidRDefault="003E5338" w:rsidP="00841E1C">
                      <w:pPr>
                        <w:shd w:val="clear" w:color="auto" w:fill="F2F2F2" w:themeFill="background1" w:themeFillShade="F2"/>
                        <w:rPr>
                          <w:rFonts w:ascii="Source Sans Pro" w:hAnsi="Source Sans Pro"/>
                          <w:color w:val="000000"/>
                          <w:shd w:val="clear" w:color="auto" w:fill="F7F7F6"/>
                        </w:rPr>
                      </w:pPr>
                    </w:p>
                    <w:p w14:paraId="0A1939F3" w14:textId="77777777" w:rsidR="003E5338" w:rsidRDefault="003E5338" w:rsidP="00841E1C">
                      <w:pPr>
                        <w:shd w:val="clear" w:color="auto" w:fill="F2F2F2" w:themeFill="background1" w:themeFillShade="F2"/>
                      </w:pPr>
                      <w:r>
                        <w:rPr>
                          <w:rFonts w:ascii="Source Sans Pro" w:hAnsi="Source Sans Pro"/>
                          <w:color w:val="000000"/>
                          <w:shd w:val="clear" w:color="auto" w:fill="F7F7F6"/>
                        </w:rPr>
                        <w:t>The Commissioner commented; “</w:t>
                      </w:r>
                      <w:r w:rsidRPr="00B23A37">
                        <w:rPr>
                          <w:rFonts w:ascii="Source Sans Pro" w:hAnsi="Source Sans Pro"/>
                          <w:i/>
                          <w:color w:val="000000"/>
                          <w:shd w:val="clear" w:color="auto" w:fill="F7F7F6"/>
                        </w:rPr>
                        <w:t>The whole team has a responsibility to ensure that relevant and significant information is shared amongst everyone in the operating theatre, and as this case has demonstrated, it is dangerous to make assumptions about what people already know. I encourage any surgical team member to speak up if there is any doubt in their mind about whether the surgeon knows about a key piece of information”.</w:t>
                      </w:r>
                    </w:p>
                    <w:p w14:paraId="04D0D90D" w14:textId="77777777" w:rsidR="003E5338" w:rsidRDefault="003E5338" w:rsidP="00841E1C">
                      <w:pPr>
                        <w:shd w:val="clear" w:color="auto" w:fill="F2F2F2" w:themeFill="background1" w:themeFillShade="F2"/>
                      </w:pPr>
                    </w:p>
                  </w:txbxContent>
                </v:textbox>
                <w10:wrap type="square" anchorx="margin"/>
              </v:shape>
            </w:pict>
          </mc:Fallback>
        </mc:AlternateContent>
      </w:r>
      <w:r w:rsidRPr="00CB5675">
        <w:rPr>
          <w:sz w:val="22"/>
          <w:lang w:val="en-US"/>
        </w:rPr>
        <w:t xml:space="preserve">The Commissioner recommended that </w:t>
      </w:r>
      <w:r>
        <w:rPr>
          <w:sz w:val="22"/>
          <w:lang w:val="en-US"/>
        </w:rPr>
        <w:t xml:space="preserve">the surgeon </w:t>
      </w:r>
      <w:r w:rsidRPr="00CB5675">
        <w:rPr>
          <w:sz w:val="22"/>
          <w:lang w:val="en-US"/>
        </w:rPr>
        <w:t>undertake training on angiogram interpretation, and provide a written apology to the</w:t>
      </w:r>
      <w:r>
        <w:rPr>
          <w:sz w:val="22"/>
          <w:lang w:val="en-US"/>
        </w:rPr>
        <w:t xml:space="preserve"> </w:t>
      </w:r>
      <w:r w:rsidR="007E3238">
        <w:rPr>
          <w:sz w:val="22"/>
          <w:lang w:val="en-US"/>
        </w:rPr>
        <w:t>man</w:t>
      </w:r>
      <w:r>
        <w:rPr>
          <w:sz w:val="22"/>
          <w:lang w:val="en-US"/>
        </w:rPr>
        <w:t>’s</w:t>
      </w:r>
      <w:r w:rsidRPr="00CB5675">
        <w:rPr>
          <w:sz w:val="22"/>
          <w:lang w:val="en-US"/>
        </w:rPr>
        <w:t xml:space="preserve"> family. The Commissioner also recommended that the Medical Council of New Zealand consider whether a review of </w:t>
      </w:r>
      <w:r>
        <w:rPr>
          <w:sz w:val="22"/>
          <w:lang w:val="en-US"/>
        </w:rPr>
        <w:t>the surgeon’s</w:t>
      </w:r>
      <w:r w:rsidRPr="00CB5675">
        <w:rPr>
          <w:sz w:val="22"/>
          <w:lang w:val="en-US"/>
        </w:rPr>
        <w:t xml:space="preserve"> competence is warranted.</w:t>
      </w:r>
    </w:p>
    <w:p w14:paraId="1988413D" w14:textId="77777777" w:rsidR="00841E1C" w:rsidRDefault="00841E1C" w:rsidP="00841E1C">
      <w:pPr>
        <w:rPr>
          <w:rFonts w:eastAsiaTheme="minorHAnsi" w:cstheme="minorBidi"/>
          <w:b/>
          <w:szCs w:val="22"/>
          <w:lang w:val="en-US"/>
        </w:rPr>
      </w:pPr>
      <w:r>
        <w:rPr>
          <w:b/>
          <w:lang w:val="en-US"/>
        </w:rPr>
        <w:br w:type="page"/>
      </w:r>
    </w:p>
    <w:p w14:paraId="3564DBE4" w14:textId="610947C4" w:rsidR="00841E1C" w:rsidRPr="00CB5675" w:rsidRDefault="00841E1C" w:rsidP="00841E1C">
      <w:pPr>
        <w:spacing w:after="240"/>
        <w:rPr>
          <w:szCs w:val="22"/>
        </w:rPr>
      </w:pPr>
      <w:r w:rsidRPr="00CB5675">
        <w:rPr>
          <w:b/>
          <w:szCs w:val="22"/>
        </w:rPr>
        <w:t>2) Standard of urology services</w:t>
      </w:r>
      <w:r w:rsidR="005A62C7">
        <w:t xml:space="preserve"> </w:t>
      </w:r>
      <w:r>
        <w:t xml:space="preserve">17HDC02066, </w:t>
      </w:r>
    </w:p>
    <w:p w14:paraId="79549862" w14:textId="271E3DBD" w:rsidR="00841E1C" w:rsidRPr="005A62C7" w:rsidRDefault="00841E1C" w:rsidP="00841E1C">
      <w:pPr>
        <w:spacing w:before="240"/>
        <w:rPr>
          <w:i/>
          <w:szCs w:val="22"/>
        </w:rPr>
      </w:pPr>
      <w:r w:rsidRPr="005A62C7">
        <w:rPr>
          <w:i/>
          <w:szCs w:val="22"/>
        </w:rPr>
        <w:t>Background</w:t>
      </w:r>
    </w:p>
    <w:p w14:paraId="1E700EB2" w14:textId="3165356C" w:rsidR="00417404" w:rsidRPr="0080255D" w:rsidRDefault="00417404" w:rsidP="00417404">
      <w:pPr>
        <w:spacing w:after="240"/>
        <w:rPr>
          <w:szCs w:val="22"/>
        </w:rPr>
      </w:pPr>
      <w:r w:rsidRPr="0080255D">
        <w:rPr>
          <w:szCs w:val="22"/>
        </w:rPr>
        <w:t xml:space="preserve">The Commissioner initiated an investigation of a DHB’s urology service after it became apparent that there were lengthy delays in the assessment and treatment of patients, and consequently a substantial clinical risk. In the investigation the Commissioner addressed four individual cases. In each case he found the DHB to have breached the Code.  </w:t>
      </w:r>
    </w:p>
    <w:p w14:paraId="4BF094DC" w14:textId="77777777" w:rsidR="00417404" w:rsidRPr="0080255D" w:rsidRDefault="00417404" w:rsidP="00417404">
      <w:pPr>
        <w:spacing w:after="240"/>
        <w:rPr>
          <w:szCs w:val="22"/>
        </w:rPr>
      </w:pPr>
      <w:r w:rsidRPr="0080255D">
        <w:rPr>
          <w:szCs w:val="22"/>
        </w:rPr>
        <w:t xml:space="preserve">For one man, the time taken for him to receive treatment was almost double the target timeframe, which was compounded by a failure to keep him informed about a likely date for his surgery. </w:t>
      </w:r>
    </w:p>
    <w:p w14:paraId="678B9FB9" w14:textId="77777777" w:rsidR="00417404" w:rsidRPr="0080255D" w:rsidRDefault="00417404" w:rsidP="00417404">
      <w:pPr>
        <w:spacing w:after="240"/>
        <w:rPr>
          <w:szCs w:val="22"/>
        </w:rPr>
      </w:pPr>
      <w:r w:rsidRPr="0080255D">
        <w:rPr>
          <w:szCs w:val="22"/>
        </w:rPr>
        <w:t xml:space="preserve">Another man had an unacceptable delay in receiving treatment. He was graded as priority 3 (expected to be seen within six weeks), but he was not seen until over five months after his initial referral. It was then a further seven weeks until his biopsy was performed, even though the booking form was marked urgent, with multiple circles and a star to emphasise the urgency. </w:t>
      </w:r>
    </w:p>
    <w:p w14:paraId="727B7A4F" w14:textId="77777777" w:rsidR="00417404" w:rsidRPr="0080255D" w:rsidRDefault="00417404" w:rsidP="00417404">
      <w:pPr>
        <w:spacing w:after="240"/>
        <w:rPr>
          <w:szCs w:val="22"/>
        </w:rPr>
      </w:pPr>
      <w:r w:rsidRPr="0080255D">
        <w:rPr>
          <w:szCs w:val="22"/>
        </w:rPr>
        <w:t xml:space="preserve">A third patient, who was triaged “to be seen within 6 weeks”, was offered a first specialist appointment more than four months after he was referred by a GP. Subsequently, the appointment was brought forward after his GP made a further referral noting the “high suspicion of cancer”. In this case the Commissioner was also concerned about the DHB’s communication with the man, in particular regarding information about managing his anticoagulation medication. </w:t>
      </w:r>
    </w:p>
    <w:p w14:paraId="06101D71" w14:textId="5B9D1179" w:rsidR="00417404" w:rsidRPr="0080255D" w:rsidRDefault="00417404" w:rsidP="00417404">
      <w:pPr>
        <w:spacing w:after="240"/>
        <w:rPr>
          <w:szCs w:val="22"/>
        </w:rPr>
      </w:pPr>
      <w:r w:rsidRPr="0080255D">
        <w:rPr>
          <w:szCs w:val="22"/>
        </w:rPr>
        <w:t xml:space="preserve">The fourth patient was booked for a flexible cystoscopy, an examination of the bladder using a fibre-optic tube. This was not performed until after a gynaecologist made an “urgent referral” six months later. In this case, the DHB was also found in breach of the Code for failures relating to its response when the woman complained. </w:t>
      </w:r>
    </w:p>
    <w:p w14:paraId="33B42547" w14:textId="2106D1DD" w:rsidR="00417404" w:rsidRPr="0080255D" w:rsidRDefault="00417404" w:rsidP="00417404">
      <w:pPr>
        <w:spacing w:after="240"/>
        <w:rPr>
          <w:szCs w:val="22"/>
        </w:rPr>
      </w:pPr>
      <w:r w:rsidRPr="005A62C7">
        <w:rPr>
          <w:rFonts w:cs="Calibri,Bold"/>
          <w:bCs/>
          <w:i/>
          <w:szCs w:val="22"/>
          <w:lang w:eastAsia="en-NZ" w:bidi="ar-SA"/>
        </w:rPr>
        <w:t>Findings</w:t>
      </w:r>
    </w:p>
    <w:p w14:paraId="20EFD1B7" w14:textId="77777777" w:rsidR="00417404" w:rsidRPr="0080255D" w:rsidRDefault="00417404" w:rsidP="00417404">
      <w:pPr>
        <w:spacing w:after="240"/>
        <w:rPr>
          <w:szCs w:val="22"/>
        </w:rPr>
      </w:pPr>
      <w:r w:rsidRPr="0080255D">
        <w:rPr>
          <w:szCs w:val="22"/>
        </w:rPr>
        <w:t xml:space="preserve">Looking across the four cases, the Commissioner found there had been little planning for urology services in light of changing demographics, and referrals exceeded the DHB’s capacity. The DHB did not have an effective system for managing patients who were waiting for urology services, and clinicians and the public came to expect delays, which became normalised. </w:t>
      </w:r>
      <w:r w:rsidRPr="0080255D">
        <w:rPr>
          <w:szCs w:val="22"/>
          <w:lang w:val="en-US"/>
        </w:rPr>
        <w:t>Many patients waited with no treatment and no information about when they would be treated.</w:t>
      </w:r>
      <w:r w:rsidRPr="0080255D">
        <w:rPr>
          <w:szCs w:val="22"/>
        </w:rPr>
        <w:t xml:space="preserve"> </w:t>
      </w:r>
    </w:p>
    <w:p w14:paraId="148128EB" w14:textId="4F4777C2" w:rsidR="00417404" w:rsidRPr="0080255D" w:rsidRDefault="00417404" w:rsidP="00417404">
      <w:pPr>
        <w:spacing w:after="240"/>
        <w:rPr>
          <w:szCs w:val="22"/>
        </w:rPr>
      </w:pPr>
      <w:r w:rsidRPr="0080255D">
        <w:rPr>
          <w:szCs w:val="22"/>
        </w:rPr>
        <w:t>In response to this case,</w:t>
      </w:r>
      <w:r w:rsidR="005A62C7" w:rsidRPr="0080255D">
        <w:rPr>
          <w:szCs w:val="22"/>
        </w:rPr>
        <w:t xml:space="preserve"> </w:t>
      </w:r>
      <w:r w:rsidRPr="0080255D">
        <w:rPr>
          <w:szCs w:val="22"/>
        </w:rPr>
        <w:t xml:space="preserve">the Commissioner stated that “It is essential that providers assess, plan, adapt, and respond effectively to the foreseeable effects that changing demographics in their population will have on systems and demand </w:t>
      </w:r>
      <w:r w:rsidR="005A62C7" w:rsidRPr="0080255D">
        <w:rPr>
          <w:szCs w:val="22"/>
        </w:rPr>
        <w:t>…</w:t>
      </w:r>
      <w:r w:rsidRPr="0080255D">
        <w:rPr>
          <w:szCs w:val="22"/>
        </w:rPr>
        <w:t xml:space="preserve"> In the context of constrained resources, appropriate waiting list and appointment management systems are vital to managing risk. Having mechanisms to monitor wait times and make these transparent to both the public and to referrers is essential. Organisations also need to consider initiatives such as different models of care to reduce the gap between capacity and demand.”</w:t>
      </w:r>
    </w:p>
    <w:p w14:paraId="086D4B94" w14:textId="3C1303F8" w:rsidR="005A62C7" w:rsidRPr="0080255D" w:rsidRDefault="00417404" w:rsidP="0080255D">
      <w:pPr>
        <w:spacing w:before="240" w:after="240"/>
        <w:rPr>
          <w:szCs w:val="22"/>
        </w:rPr>
      </w:pPr>
      <w:r w:rsidRPr="0080255D">
        <w:rPr>
          <w:szCs w:val="22"/>
        </w:rPr>
        <w:t>The investigation also found that relationships within the DHB had become strained, and there was a lack of willingness to work together</w:t>
      </w:r>
      <w:r w:rsidR="005A62C7" w:rsidRPr="0080255D">
        <w:rPr>
          <w:szCs w:val="22"/>
        </w:rPr>
        <w:t xml:space="preserve"> to find solutions.  The Commissioner noted that t</w:t>
      </w:r>
      <w:r w:rsidRPr="0080255D">
        <w:rPr>
          <w:szCs w:val="22"/>
        </w:rPr>
        <w:t>he report highlighted the importance of collaborative and mutually accountable relationships betw</w:t>
      </w:r>
      <w:r w:rsidR="005A62C7" w:rsidRPr="0080255D">
        <w:rPr>
          <w:szCs w:val="22"/>
        </w:rPr>
        <w:t xml:space="preserve">een management and clinicians. </w:t>
      </w:r>
    </w:p>
    <w:p w14:paraId="1CF6AE63" w14:textId="6DC70AE6" w:rsidR="00841E1C" w:rsidRPr="005A62C7" w:rsidRDefault="00841E1C" w:rsidP="00841E1C">
      <w:pPr>
        <w:rPr>
          <w:i/>
          <w:szCs w:val="22"/>
        </w:rPr>
      </w:pPr>
      <w:r w:rsidRPr="005A62C7">
        <w:rPr>
          <w:i/>
          <w:szCs w:val="22"/>
        </w:rPr>
        <w:t>Recommendations</w:t>
      </w:r>
    </w:p>
    <w:p w14:paraId="07FA1830" w14:textId="0B0CBB1A" w:rsidR="005A62C7" w:rsidRPr="0080255D" w:rsidRDefault="005A62C7" w:rsidP="00841E1C">
      <w:pPr>
        <w:rPr>
          <w:szCs w:val="22"/>
        </w:rPr>
      </w:pPr>
      <w:r w:rsidRPr="0080255D">
        <w:rPr>
          <w:szCs w:val="22"/>
        </w:rPr>
        <w:t>The Commissioner acknowledged the work undertaken by the DHB in the last two years to address the challenges faced by its urology service and noted that HDC would continue to monitor progress.</w:t>
      </w:r>
    </w:p>
    <w:p w14:paraId="02728740" w14:textId="7EBB5B91" w:rsidR="005A62C7" w:rsidRPr="0080255D" w:rsidRDefault="005A62C7" w:rsidP="00841E1C">
      <w:pPr>
        <w:rPr>
          <w:szCs w:val="22"/>
        </w:rPr>
      </w:pPr>
    </w:p>
    <w:p w14:paraId="566F8876" w14:textId="0FCBD0BD" w:rsidR="005A62C7" w:rsidRPr="0080255D" w:rsidRDefault="005A62C7" w:rsidP="005A62C7">
      <w:pPr>
        <w:spacing w:after="240"/>
        <w:rPr>
          <w:szCs w:val="22"/>
        </w:rPr>
      </w:pPr>
      <w:r w:rsidRPr="0080255D">
        <w:rPr>
          <w:szCs w:val="22"/>
        </w:rPr>
        <w:t xml:space="preserve">The Commissioner made a number of recommendations to the DHB, including: </w:t>
      </w:r>
    </w:p>
    <w:p w14:paraId="0FD3004B" w14:textId="77777777" w:rsidR="005A62C7" w:rsidRPr="0080255D" w:rsidRDefault="005A62C7" w:rsidP="005A62C7">
      <w:pPr>
        <w:numPr>
          <w:ilvl w:val="0"/>
          <w:numId w:val="29"/>
        </w:numPr>
        <w:ind w:left="714" w:hanging="357"/>
        <w:rPr>
          <w:szCs w:val="22"/>
        </w:rPr>
      </w:pPr>
      <w:r w:rsidRPr="0080255D">
        <w:rPr>
          <w:szCs w:val="22"/>
        </w:rPr>
        <w:t>An independent evaluation of the systems currently in place to prioritise urology patients</w:t>
      </w:r>
    </w:p>
    <w:p w14:paraId="2CBF0687" w14:textId="77777777" w:rsidR="005A62C7" w:rsidRPr="0080255D" w:rsidRDefault="005A62C7" w:rsidP="005A62C7">
      <w:pPr>
        <w:numPr>
          <w:ilvl w:val="0"/>
          <w:numId w:val="29"/>
        </w:numPr>
        <w:ind w:left="714" w:hanging="357"/>
        <w:rPr>
          <w:szCs w:val="22"/>
        </w:rPr>
      </w:pPr>
      <w:r w:rsidRPr="0080255D">
        <w:rPr>
          <w:szCs w:val="22"/>
        </w:rPr>
        <w:t>Audits of the management of urology service referrals</w:t>
      </w:r>
    </w:p>
    <w:p w14:paraId="376A353F" w14:textId="77777777" w:rsidR="005A62C7" w:rsidRPr="0080255D" w:rsidRDefault="005A62C7" w:rsidP="005A62C7">
      <w:pPr>
        <w:numPr>
          <w:ilvl w:val="0"/>
          <w:numId w:val="29"/>
        </w:numPr>
        <w:ind w:left="714" w:hanging="357"/>
        <w:rPr>
          <w:szCs w:val="22"/>
        </w:rPr>
      </w:pPr>
      <w:r w:rsidRPr="0080255D">
        <w:rPr>
          <w:szCs w:val="22"/>
        </w:rPr>
        <w:t>A review of mechanisms for monitoring wait times and making this information transparent</w:t>
      </w:r>
    </w:p>
    <w:p w14:paraId="00898151" w14:textId="77777777" w:rsidR="005A62C7" w:rsidRPr="0080255D" w:rsidRDefault="005A62C7" w:rsidP="005A62C7">
      <w:pPr>
        <w:numPr>
          <w:ilvl w:val="0"/>
          <w:numId w:val="29"/>
        </w:numPr>
        <w:ind w:left="714" w:hanging="357"/>
        <w:rPr>
          <w:szCs w:val="22"/>
        </w:rPr>
      </w:pPr>
      <w:r w:rsidRPr="0080255D">
        <w:rPr>
          <w:szCs w:val="22"/>
        </w:rPr>
        <w:t>A report to HDC on steps to build capacity of the department</w:t>
      </w:r>
    </w:p>
    <w:p w14:paraId="3632A238" w14:textId="77777777" w:rsidR="005A62C7" w:rsidRPr="0080255D" w:rsidRDefault="005A62C7" w:rsidP="005A62C7">
      <w:pPr>
        <w:numPr>
          <w:ilvl w:val="0"/>
          <w:numId w:val="29"/>
        </w:numPr>
        <w:ind w:left="714" w:hanging="357"/>
        <w:rPr>
          <w:szCs w:val="22"/>
        </w:rPr>
      </w:pPr>
      <w:r w:rsidRPr="0080255D">
        <w:rPr>
          <w:szCs w:val="22"/>
        </w:rPr>
        <w:t xml:space="preserve">Making clinical staff routinely available to urology patients by telephone </w:t>
      </w:r>
    </w:p>
    <w:p w14:paraId="4F86151C" w14:textId="77777777" w:rsidR="005A62C7" w:rsidRPr="0080255D" w:rsidRDefault="005A62C7" w:rsidP="005A62C7">
      <w:pPr>
        <w:numPr>
          <w:ilvl w:val="0"/>
          <w:numId w:val="29"/>
        </w:numPr>
        <w:ind w:left="714" w:hanging="357"/>
        <w:rPr>
          <w:szCs w:val="22"/>
        </w:rPr>
      </w:pPr>
      <w:r w:rsidRPr="0080255D">
        <w:rPr>
          <w:szCs w:val="22"/>
        </w:rPr>
        <w:t>Arranging ongoing shared learning, including with other DHBs, in response to this case</w:t>
      </w:r>
    </w:p>
    <w:p w14:paraId="65E4C583" w14:textId="77777777" w:rsidR="005A62C7" w:rsidRPr="0080255D" w:rsidRDefault="005A62C7" w:rsidP="005A62C7">
      <w:pPr>
        <w:numPr>
          <w:ilvl w:val="0"/>
          <w:numId w:val="29"/>
        </w:numPr>
        <w:ind w:left="714" w:hanging="357"/>
        <w:rPr>
          <w:szCs w:val="22"/>
        </w:rPr>
      </w:pPr>
      <w:r w:rsidRPr="0080255D">
        <w:rPr>
          <w:szCs w:val="22"/>
        </w:rPr>
        <w:t>Regular credentialing for the urology service and its facilities</w:t>
      </w:r>
    </w:p>
    <w:p w14:paraId="147A137A" w14:textId="77777777" w:rsidR="005A62C7" w:rsidRPr="0080255D" w:rsidRDefault="005A62C7" w:rsidP="005A62C7">
      <w:pPr>
        <w:numPr>
          <w:ilvl w:val="0"/>
          <w:numId w:val="29"/>
        </w:numPr>
        <w:ind w:left="714" w:hanging="357"/>
        <w:rPr>
          <w:szCs w:val="22"/>
        </w:rPr>
      </w:pPr>
      <w:r w:rsidRPr="0080255D">
        <w:rPr>
          <w:szCs w:val="22"/>
        </w:rPr>
        <w:t>Regular updates to HDC on implementation of recommendations from a separate external review</w:t>
      </w:r>
    </w:p>
    <w:p w14:paraId="2A49DD7A" w14:textId="77777777" w:rsidR="005A62C7" w:rsidRPr="0080255D" w:rsidRDefault="005A62C7" w:rsidP="005A62C7">
      <w:pPr>
        <w:numPr>
          <w:ilvl w:val="0"/>
          <w:numId w:val="29"/>
        </w:numPr>
        <w:ind w:left="714" w:hanging="357"/>
        <w:rPr>
          <w:szCs w:val="22"/>
        </w:rPr>
      </w:pPr>
      <w:r w:rsidRPr="0080255D">
        <w:rPr>
          <w:szCs w:val="22"/>
        </w:rPr>
        <w:t>A review of the DHB’s complaints management processes</w:t>
      </w:r>
    </w:p>
    <w:p w14:paraId="6EC266F6" w14:textId="77777777" w:rsidR="005A62C7" w:rsidRPr="0080255D" w:rsidRDefault="005A62C7" w:rsidP="005A62C7">
      <w:pPr>
        <w:rPr>
          <w:szCs w:val="22"/>
        </w:rPr>
      </w:pPr>
    </w:p>
    <w:p w14:paraId="2C234DD0" w14:textId="6FE93874" w:rsidR="00841E1C" w:rsidRPr="005A62C7" w:rsidRDefault="005A62C7" w:rsidP="0080255D">
      <w:pPr>
        <w:spacing w:after="240"/>
        <w:rPr>
          <w:szCs w:val="22"/>
          <w:lang w:val="en-AU" w:bidi="ar-SA"/>
        </w:rPr>
      </w:pPr>
      <w:r w:rsidRPr="0080255D">
        <w:rPr>
          <w:szCs w:val="22"/>
        </w:rPr>
        <w:t xml:space="preserve">The Commissioner also recommended that the Ministry of Health consider a national discussion of urology service priorities and reporting of overdue urology appointment statistics. </w:t>
      </w:r>
    </w:p>
    <w:p w14:paraId="616CF662" w14:textId="77777777" w:rsidR="00841E1C" w:rsidRPr="00617C24" w:rsidRDefault="00841E1C" w:rsidP="00841E1C">
      <w:pPr>
        <w:rPr>
          <w:b/>
          <w:szCs w:val="22"/>
          <w:lang w:val="en-AU" w:bidi="ar-SA"/>
        </w:rPr>
      </w:pPr>
      <w:r w:rsidRPr="00617C24">
        <w:rPr>
          <w:b/>
          <w:noProof/>
          <w:lang w:eastAsia="en-NZ" w:bidi="ar-SA"/>
        </w:rPr>
        <mc:AlternateContent>
          <mc:Choice Requires="wps">
            <w:drawing>
              <wp:anchor distT="45720" distB="45720" distL="114300" distR="114300" simplePos="0" relativeHeight="251654656" behindDoc="0" locked="0" layoutInCell="1" allowOverlap="1" wp14:anchorId="64D42C99" wp14:editId="3ABFDDA6">
                <wp:simplePos x="0" y="0"/>
                <wp:positionH relativeFrom="margin">
                  <wp:posOffset>141605</wp:posOffset>
                </wp:positionH>
                <wp:positionV relativeFrom="paragraph">
                  <wp:posOffset>300355</wp:posOffset>
                </wp:positionV>
                <wp:extent cx="5762625" cy="1404620"/>
                <wp:effectExtent l="0" t="0" r="28575"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14:paraId="7B7C4239" w14:textId="77777777" w:rsidR="003E5338" w:rsidRPr="00CB5675" w:rsidRDefault="003E5338" w:rsidP="00841E1C">
                            <w:pPr>
                              <w:shd w:val="clear" w:color="auto" w:fill="F2F2F2" w:themeFill="background1" w:themeFillShade="F2"/>
                              <w:autoSpaceDE w:val="0"/>
                              <w:autoSpaceDN w:val="0"/>
                              <w:adjustRightInd w:val="0"/>
                              <w:jc w:val="left"/>
                              <w:rPr>
                                <w:rFonts w:cs="Calibri"/>
                                <w:szCs w:val="22"/>
                                <w:lang w:eastAsia="en-NZ" w:bidi="ar-SA"/>
                              </w:rPr>
                            </w:pPr>
                            <w:r w:rsidRPr="006A0CAF">
                              <w:rPr>
                                <w:rFonts w:cs="Calibri"/>
                                <w:b/>
                                <w:szCs w:val="22"/>
                                <w:lang w:eastAsia="en-NZ" w:bidi="ar-SA"/>
                              </w:rPr>
                              <w:t xml:space="preserve">In summary, </w:t>
                            </w:r>
                            <w:r>
                              <w:rPr>
                                <w:rFonts w:cs="Calibri"/>
                                <w:szCs w:val="22"/>
                                <w:lang w:eastAsia="en-NZ" w:bidi="ar-SA"/>
                              </w:rPr>
                              <w:t>The Commissioner noted</w:t>
                            </w:r>
                            <w:r w:rsidRPr="00CB5675">
                              <w:rPr>
                                <w:rFonts w:cs="Calibri"/>
                                <w:szCs w:val="22"/>
                                <w:lang w:eastAsia="en-NZ" w:bidi="ar-SA"/>
                              </w:rPr>
                              <w:t xml:space="preserve"> that </w:t>
                            </w:r>
                            <w:r>
                              <w:rPr>
                                <w:rFonts w:cs="Calibri"/>
                                <w:szCs w:val="22"/>
                                <w:lang w:eastAsia="en-NZ" w:bidi="ar-SA"/>
                              </w:rPr>
                              <w:t>“</w:t>
                            </w:r>
                            <w:r w:rsidRPr="00895C8F">
                              <w:rPr>
                                <w:rFonts w:cs="Calibri"/>
                                <w:i/>
                                <w:szCs w:val="22"/>
                                <w:lang w:eastAsia="en-NZ" w:bidi="ar-SA"/>
                              </w:rPr>
                              <w:t>it is essential that providers assess, plan, adapt, and respond effectively to the foreseeable effects that changing demographics in their population will have on systems and demand. In the context of resource constraint, appropriate waiting list and appointment management systems are vital to managing risk. With increasing demand, capacity needs to be monitored. Having mechanisms to monitor wait times and make these transparent to both the public and to referrers is essential. Organisations also need to consider initiatives such as different models of care to reduce the gap between capacity and demand”.</w:t>
                            </w:r>
                          </w:p>
                          <w:p w14:paraId="69057266" w14:textId="77777777" w:rsidR="003E5338" w:rsidRDefault="003E5338" w:rsidP="00841E1C">
                            <w:pPr>
                              <w:shd w:val="clear" w:color="auto" w:fill="F2F2F2" w:themeFill="background1" w:themeFillShade="F2"/>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D42C99" id="_x0000_s1027" type="#_x0000_t202" style="position:absolute;left:0;text-align:left;margin-left:11.15pt;margin-top:23.65pt;width:453.75pt;height:110.6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">
                <v:textbox style="mso-fit-shape-to-text:t">
                  <w:txbxContent>
                    <w:p w14:paraId="7B7C4239" w14:textId="77777777" w:rsidR="003E5338" w:rsidRPr="00CB5675" w:rsidRDefault="003E5338" w:rsidP="00841E1C">
                      <w:pPr>
                        <w:shd w:val="clear" w:color="auto" w:fill="F2F2F2" w:themeFill="background1" w:themeFillShade="F2"/>
                        <w:autoSpaceDE w:val="0"/>
                        <w:autoSpaceDN w:val="0"/>
                        <w:adjustRightInd w:val="0"/>
                        <w:jc w:val="left"/>
                        <w:rPr>
                          <w:rFonts w:cs="Calibri"/>
                          <w:szCs w:val="22"/>
                          <w:lang w:eastAsia="en-NZ" w:bidi="ar-SA"/>
                        </w:rPr>
                      </w:pPr>
                      <w:r w:rsidRPr="006A0CAF">
                        <w:rPr>
                          <w:rFonts w:cs="Calibri"/>
                          <w:b/>
                          <w:szCs w:val="22"/>
                          <w:lang w:eastAsia="en-NZ" w:bidi="ar-SA"/>
                        </w:rPr>
                        <w:t xml:space="preserve">In summary, </w:t>
                      </w:r>
                      <w:r>
                        <w:rPr>
                          <w:rFonts w:cs="Calibri"/>
                          <w:szCs w:val="22"/>
                          <w:lang w:eastAsia="en-NZ" w:bidi="ar-SA"/>
                        </w:rPr>
                        <w:t>The Commissioner noted</w:t>
                      </w:r>
                      <w:r w:rsidRPr="00CB5675">
                        <w:rPr>
                          <w:rFonts w:cs="Calibri"/>
                          <w:szCs w:val="22"/>
                          <w:lang w:eastAsia="en-NZ" w:bidi="ar-SA"/>
                        </w:rPr>
                        <w:t xml:space="preserve"> that </w:t>
                      </w:r>
                      <w:r>
                        <w:rPr>
                          <w:rFonts w:cs="Calibri"/>
                          <w:szCs w:val="22"/>
                          <w:lang w:eastAsia="en-NZ" w:bidi="ar-SA"/>
                        </w:rPr>
                        <w:t>“</w:t>
                      </w:r>
                      <w:r w:rsidRPr="00895C8F">
                        <w:rPr>
                          <w:rFonts w:cs="Calibri"/>
                          <w:i/>
                          <w:szCs w:val="22"/>
                          <w:lang w:eastAsia="en-NZ" w:bidi="ar-SA"/>
                        </w:rPr>
                        <w:t>it is essential that providers assess, plan, adapt, and respond effectively to the foreseeable effects that changing demographics in their population will have on systems and demand. In the context of resource constraint, appropriate waiting list and appointment management systems are vital to managing risk. With increasing demand, capacity needs to be monitored. Having mechanisms to monitor wait times and make these transparent to both the public and to referrers is essential. Organisations also need to consider initiatives such as different models of care to reduce the gap between capacity and demand”.</w:t>
                      </w:r>
                    </w:p>
                    <w:p w14:paraId="69057266" w14:textId="77777777" w:rsidR="003E5338" w:rsidRDefault="003E5338" w:rsidP="00841E1C">
                      <w:pPr>
                        <w:shd w:val="clear" w:color="auto" w:fill="F2F2F2" w:themeFill="background1" w:themeFillShade="F2"/>
                      </w:pPr>
                    </w:p>
                  </w:txbxContent>
                </v:textbox>
                <w10:wrap type="square" anchorx="margin"/>
              </v:shape>
            </w:pict>
          </mc:Fallback>
        </mc:AlternateContent>
      </w:r>
      <w:r w:rsidRPr="00617C24">
        <w:rPr>
          <w:b/>
          <w:szCs w:val="22"/>
          <w:lang w:val="en-AU" w:bidi="ar-SA"/>
        </w:rPr>
        <w:t>Summary</w:t>
      </w:r>
    </w:p>
    <w:p w14:paraId="2C34F4EE" w14:textId="77777777" w:rsidR="00841E1C" w:rsidRDefault="00841E1C" w:rsidP="00841E1C">
      <w:pPr>
        <w:spacing w:after="240"/>
        <w:rPr>
          <w:b/>
          <w:szCs w:val="22"/>
        </w:rPr>
      </w:pPr>
    </w:p>
    <w:p w14:paraId="06A51473" w14:textId="77777777" w:rsidR="00841E1C" w:rsidRDefault="00841E1C" w:rsidP="00841E1C">
      <w:pPr>
        <w:spacing w:after="240"/>
        <w:rPr>
          <w:b/>
          <w:szCs w:val="22"/>
        </w:rPr>
      </w:pPr>
    </w:p>
    <w:p w14:paraId="060E25EB" w14:textId="77777777" w:rsidR="00841E1C" w:rsidRDefault="00841E1C" w:rsidP="00841E1C">
      <w:pPr>
        <w:spacing w:after="240"/>
        <w:rPr>
          <w:b/>
          <w:szCs w:val="22"/>
        </w:rPr>
      </w:pPr>
    </w:p>
    <w:p w14:paraId="67D16D4E" w14:textId="77777777" w:rsidR="00841E1C" w:rsidRDefault="00841E1C" w:rsidP="00841E1C">
      <w:pPr>
        <w:spacing w:after="240"/>
        <w:rPr>
          <w:b/>
          <w:szCs w:val="22"/>
        </w:rPr>
      </w:pPr>
    </w:p>
    <w:p w14:paraId="685B275E" w14:textId="0D23A2B2" w:rsidR="00841E1C" w:rsidRDefault="00841E1C" w:rsidP="00841E1C">
      <w:pPr>
        <w:spacing w:after="240"/>
        <w:rPr>
          <w:b/>
          <w:szCs w:val="22"/>
        </w:rPr>
      </w:pPr>
    </w:p>
    <w:p w14:paraId="2B255125" w14:textId="77777777" w:rsidR="007B09E9" w:rsidRDefault="007B09E9" w:rsidP="00841E1C">
      <w:pPr>
        <w:spacing w:after="240"/>
        <w:rPr>
          <w:b/>
          <w:szCs w:val="22"/>
        </w:rPr>
      </w:pPr>
    </w:p>
    <w:p w14:paraId="0C023FC8" w14:textId="308E1448" w:rsidR="00841E1C" w:rsidRDefault="00841E1C" w:rsidP="00841E1C">
      <w:pPr>
        <w:spacing w:after="240"/>
        <w:rPr>
          <w:b/>
          <w:szCs w:val="22"/>
        </w:rPr>
      </w:pPr>
    </w:p>
    <w:p w14:paraId="55ACC8F9" w14:textId="60A6E8D9" w:rsidR="006D0558" w:rsidRDefault="006D0558" w:rsidP="00841E1C">
      <w:pPr>
        <w:spacing w:after="240"/>
        <w:rPr>
          <w:b/>
          <w:szCs w:val="22"/>
        </w:rPr>
      </w:pPr>
    </w:p>
    <w:p w14:paraId="7E3FB85A" w14:textId="77777777" w:rsidR="006D0558" w:rsidRDefault="006D0558" w:rsidP="00841E1C">
      <w:pPr>
        <w:spacing w:after="240"/>
        <w:rPr>
          <w:b/>
          <w:szCs w:val="22"/>
        </w:rPr>
      </w:pPr>
    </w:p>
    <w:p w14:paraId="4D558E15" w14:textId="6125FC27" w:rsidR="00841E1C" w:rsidRDefault="00841E1C" w:rsidP="00841E1C">
      <w:pPr>
        <w:spacing w:after="240"/>
        <w:rPr>
          <w:b/>
          <w:szCs w:val="22"/>
        </w:rPr>
      </w:pPr>
    </w:p>
    <w:p w14:paraId="094758AF" w14:textId="1121F65D" w:rsidR="005A62C7" w:rsidRDefault="005A62C7" w:rsidP="00841E1C">
      <w:pPr>
        <w:spacing w:after="240"/>
        <w:rPr>
          <w:b/>
          <w:szCs w:val="22"/>
        </w:rPr>
      </w:pPr>
    </w:p>
    <w:p w14:paraId="5EF4F785" w14:textId="76C889D2" w:rsidR="005A62C7" w:rsidRDefault="005A62C7" w:rsidP="00841E1C">
      <w:pPr>
        <w:spacing w:after="240"/>
        <w:rPr>
          <w:b/>
          <w:szCs w:val="22"/>
        </w:rPr>
      </w:pPr>
    </w:p>
    <w:p w14:paraId="065C3BB2" w14:textId="1B6ADFA0" w:rsidR="005A62C7" w:rsidRDefault="005A62C7" w:rsidP="00841E1C">
      <w:pPr>
        <w:spacing w:after="240"/>
        <w:rPr>
          <w:b/>
          <w:szCs w:val="22"/>
        </w:rPr>
      </w:pPr>
    </w:p>
    <w:p w14:paraId="6E11CD4C" w14:textId="3BFDC416" w:rsidR="005A62C7" w:rsidRDefault="005A62C7" w:rsidP="00841E1C">
      <w:pPr>
        <w:spacing w:after="240"/>
        <w:rPr>
          <w:b/>
          <w:szCs w:val="22"/>
        </w:rPr>
      </w:pPr>
    </w:p>
    <w:p w14:paraId="115853FD" w14:textId="77777777" w:rsidR="005A62C7" w:rsidRDefault="005A62C7" w:rsidP="00841E1C">
      <w:pPr>
        <w:spacing w:after="240"/>
        <w:rPr>
          <w:b/>
          <w:szCs w:val="22"/>
        </w:rPr>
      </w:pPr>
    </w:p>
    <w:p w14:paraId="66389ED5" w14:textId="77777777" w:rsidR="00841E1C" w:rsidRPr="00CB5675" w:rsidRDefault="00841E1C" w:rsidP="00841E1C">
      <w:pPr>
        <w:spacing w:after="240"/>
        <w:rPr>
          <w:b/>
          <w:szCs w:val="22"/>
        </w:rPr>
      </w:pPr>
      <w:r w:rsidRPr="00CB5675">
        <w:rPr>
          <w:b/>
          <w:szCs w:val="22"/>
        </w:rPr>
        <w:t xml:space="preserve">3) Monitoring of man with cardiac issues </w:t>
      </w:r>
      <w:r w:rsidRPr="0080255D">
        <w:rPr>
          <w:rFonts w:cs="Arial"/>
          <w:color w:val="3C4043"/>
          <w:szCs w:val="22"/>
          <w:shd w:val="clear" w:color="auto" w:fill="FFFFFF"/>
        </w:rPr>
        <w:t>16HDC01028</w:t>
      </w:r>
    </w:p>
    <w:p w14:paraId="25323E1A" w14:textId="77777777" w:rsidR="00841E1C" w:rsidRPr="00CB5675" w:rsidRDefault="00841E1C" w:rsidP="00841E1C">
      <w:pPr>
        <w:spacing w:after="240"/>
        <w:rPr>
          <w:szCs w:val="22"/>
        </w:rPr>
      </w:pPr>
      <w:r>
        <w:rPr>
          <w:szCs w:val="22"/>
        </w:rPr>
        <w:t xml:space="preserve">A 68 year old man </w:t>
      </w:r>
      <w:r w:rsidRPr="00CB5675">
        <w:rPr>
          <w:szCs w:val="22"/>
        </w:rPr>
        <w:t xml:space="preserve">was admitted to the emergency department (ED) of a public hospital with chest discomfort. </w:t>
      </w:r>
    </w:p>
    <w:p w14:paraId="1385346E" w14:textId="4875BE22" w:rsidR="00841E1C" w:rsidRDefault="00841E1C" w:rsidP="00841E1C">
      <w:pPr>
        <w:spacing w:after="240"/>
        <w:rPr>
          <w:szCs w:val="22"/>
        </w:rPr>
      </w:pPr>
      <w:r w:rsidRPr="00CB5675">
        <w:rPr>
          <w:szCs w:val="22"/>
        </w:rPr>
        <w:t xml:space="preserve">Blood tests and an electrocardiogram (ECG) showed that he had suffered a non-ST elevation myocardial infarction (NSTEMI) (a heart attack). </w:t>
      </w:r>
      <w:r>
        <w:rPr>
          <w:szCs w:val="22"/>
        </w:rPr>
        <w:t>The next day,</w:t>
      </w:r>
      <w:r w:rsidRPr="00CB5675">
        <w:rPr>
          <w:szCs w:val="22"/>
        </w:rPr>
        <w:t xml:space="preserve"> </w:t>
      </w:r>
      <w:r>
        <w:rPr>
          <w:szCs w:val="22"/>
        </w:rPr>
        <w:t xml:space="preserve">the man </w:t>
      </w:r>
      <w:r w:rsidRPr="00CB5675">
        <w:rPr>
          <w:szCs w:val="22"/>
        </w:rPr>
        <w:t>was admitted to a general medical ward, where he was monitored via remote cardiac monitoring, and commenced on anticoagulation and antiplatelet (blood-thinning) medications.</w:t>
      </w:r>
      <w:r>
        <w:rPr>
          <w:szCs w:val="22"/>
        </w:rPr>
        <w:t xml:space="preserve"> The man suffered a fall during his time on the ward. </w:t>
      </w:r>
    </w:p>
    <w:p w14:paraId="78391049" w14:textId="680C07B3" w:rsidR="00841E1C" w:rsidRPr="00CB5675" w:rsidRDefault="00841E1C" w:rsidP="00841E1C">
      <w:pPr>
        <w:spacing w:after="240"/>
        <w:rPr>
          <w:szCs w:val="22"/>
        </w:rPr>
      </w:pPr>
      <w:r>
        <w:rPr>
          <w:szCs w:val="22"/>
        </w:rPr>
        <w:t>A number of issues were identified in the man’s care in regards to</w:t>
      </w:r>
      <w:r w:rsidR="005A62C7">
        <w:rPr>
          <w:szCs w:val="22"/>
        </w:rPr>
        <w:t xml:space="preserve"> communication between providers, medication administration, escalation of concerns and fall management, including:</w:t>
      </w:r>
      <w:r>
        <w:rPr>
          <w:szCs w:val="22"/>
        </w:rPr>
        <w:t xml:space="preserve"> </w:t>
      </w:r>
    </w:p>
    <w:p w14:paraId="4032C6CB" w14:textId="77777777" w:rsidR="00841E1C" w:rsidRPr="005A62C7" w:rsidRDefault="00841E1C" w:rsidP="00841E1C">
      <w:pPr>
        <w:pStyle w:val="Bulletlist"/>
        <w:spacing w:after="0"/>
        <w:ind w:left="425" w:hanging="425"/>
        <w:rPr>
          <w:sz w:val="22"/>
          <w:lang w:val="en-NZ"/>
        </w:rPr>
      </w:pPr>
      <w:r w:rsidRPr="0080255D">
        <w:rPr>
          <w:rStyle w:val="ListParagraphChar"/>
          <w:rFonts w:eastAsiaTheme="minorHAnsi"/>
          <w:sz w:val="22"/>
          <w:szCs w:val="22"/>
        </w:rPr>
        <w:t xml:space="preserve">The </w:t>
      </w:r>
      <w:r w:rsidRPr="005A62C7">
        <w:rPr>
          <w:sz w:val="22"/>
          <w:lang w:val="en-NZ"/>
        </w:rPr>
        <w:t>medication administered was recorded inaccurately in MedChart; software issues contributed to this.</w:t>
      </w:r>
    </w:p>
    <w:p w14:paraId="77012067" w14:textId="77777777" w:rsidR="00841E1C" w:rsidRPr="005A62C7" w:rsidRDefault="00841E1C" w:rsidP="00841E1C">
      <w:pPr>
        <w:pStyle w:val="Bulletlist"/>
        <w:spacing w:after="0"/>
        <w:ind w:left="425" w:hanging="425"/>
        <w:rPr>
          <w:sz w:val="22"/>
          <w:lang w:val="en-NZ"/>
        </w:rPr>
      </w:pPr>
      <w:r w:rsidRPr="005A62C7">
        <w:rPr>
          <w:sz w:val="22"/>
          <w:lang w:val="en-NZ"/>
        </w:rPr>
        <w:t>The patient was left alone in the bathroom despite having recently been administered GTN sprays.</w:t>
      </w:r>
    </w:p>
    <w:p w14:paraId="0144F447" w14:textId="29F537B7" w:rsidR="00841E1C" w:rsidRPr="005A62C7" w:rsidRDefault="00841E1C" w:rsidP="00841E1C">
      <w:pPr>
        <w:pStyle w:val="Bulletlist"/>
        <w:spacing w:after="0"/>
        <w:ind w:left="425" w:hanging="425"/>
        <w:rPr>
          <w:sz w:val="22"/>
          <w:lang w:val="en-NZ"/>
        </w:rPr>
      </w:pPr>
      <w:r w:rsidRPr="005A62C7">
        <w:rPr>
          <w:sz w:val="22"/>
          <w:lang w:val="en-NZ"/>
        </w:rPr>
        <w:t>Task Manager</w:t>
      </w:r>
      <w:r w:rsidR="005A62C7">
        <w:rPr>
          <w:sz w:val="22"/>
          <w:lang w:val="en-NZ"/>
        </w:rPr>
        <w:t xml:space="preserve"> </w:t>
      </w:r>
      <w:r w:rsidRPr="005A62C7">
        <w:rPr>
          <w:sz w:val="22"/>
          <w:lang w:val="en-NZ"/>
        </w:rPr>
        <w:t>was used inappropriately to notify medical staff of clinical issues.</w:t>
      </w:r>
    </w:p>
    <w:p w14:paraId="4D5BE7C9" w14:textId="77777777" w:rsidR="00841E1C" w:rsidRPr="005A62C7" w:rsidRDefault="00841E1C" w:rsidP="00841E1C">
      <w:pPr>
        <w:pStyle w:val="Bulletlist"/>
        <w:spacing w:after="0"/>
        <w:ind w:left="425" w:hanging="425"/>
        <w:rPr>
          <w:sz w:val="22"/>
          <w:lang w:val="en-NZ"/>
        </w:rPr>
      </w:pPr>
      <w:r w:rsidRPr="005A62C7">
        <w:rPr>
          <w:sz w:val="22"/>
          <w:lang w:val="en-NZ"/>
        </w:rPr>
        <w:t>Nursing staff failed to follow up Task Manager messages with the medical staff.</w:t>
      </w:r>
    </w:p>
    <w:p w14:paraId="59D7F95D" w14:textId="77777777" w:rsidR="00841E1C" w:rsidRPr="005A62C7" w:rsidRDefault="00841E1C" w:rsidP="00841E1C">
      <w:pPr>
        <w:pStyle w:val="Bulletlist"/>
        <w:spacing w:after="0"/>
        <w:ind w:left="425" w:hanging="425"/>
        <w:rPr>
          <w:sz w:val="22"/>
          <w:lang w:val="en-NZ"/>
        </w:rPr>
      </w:pPr>
      <w:r w:rsidRPr="005A62C7">
        <w:rPr>
          <w:sz w:val="22"/>
          <w:lang w:val="en-NZ"/>
        </w:rPr>
        <w:t>There was poor clinical judgement by the overnight house officer, who decided not to review the patient despite his chest tightness and having required GTN sprays, and later having experienced a fall.</w:t>
      </w:r>
    </w:p>
    <w:p w14:paraId="4D8646F1" w14:textId="77777777" w:rsidR="00841E1C" w:rsidRPr="005A62C7" w:rsidRDefault="00841E1C" w:rsidP="00841E1C">
      <w:pPr>
        <w:pStyle w:val="Bulletlist"/>
        <w:spacing w:after="0"/>
        <w:ind w:left="425" w:hanging="425"/>
        <w:rPr>
          <w:sz w:val="22"/>
          <w:lang w:val="en-NZ"/>
        </w:rPr>
      </w:pPr>
      <w:r w:rsidRPr="005A62C7">
        <w:rPr>
          <w:sz w:val="22"/>
          <w:lang w:val="en-NZ"/>
        </w:rPr>
        <w:t>The house officer did not look at the patient notes before deciding not to review him.</w:t>
      </w:r>
    </w:p>
    <w:p w14:paraId="335C6371" w14:textId="77777777" w:rsidR="00841E1C" w:rsidRPr="005A62C7" w:rsidRDefault="00841E1C" w:rsidP="00841E1C">
      <w:pPr>
        <w:pStyle w:val="Bulletlist"/>
        <w:spacing w:after="0"/>
        <w:ind w:left="425" w:hanging="425"/>
        <w:rPr>
          <w:sz w:val="22"/>
          <w:lang w:val="en-NZ"/>
        </w:rPr>
      </w:pPr>
      <w:r w:rsidRPr="005A62C7">
        <w:rPr>
          <w:sz w:val="22"/>
          <w:lang w:val="en-NZ"/>
        </w:rPr>
        <w:t xml:space="preserve">Documentation was poor, including the overnight house officer not recording his decision not to review.  </w:t>
      </w:r>
    </w:p>
    <w:p w14:paraId="7A5FC25C" w14:textId="77777777" w:rsidR="00841E1C" w:rsidRPr="005A62C7" w:rsidRDefault="00841E1C" w:rsidP="00841E1C">
      <w:pPr>
        <w:pStyle w:val="Bulletlist"/>
        <w:spacing w:after="0"/>
        <w:ind w:left="425" w:hanging="425"/>
        <w:rPr>
          <w:sz w:val="22"/>
          <w:lang w:val="en-NZ"/>
        </w:rPr>
      </w:pPr>
      <w:r w:rsidRPr="005A62C7">
        <w:rPr>
          <w:sz w:val="22"/>
          <w:lang w:val="en-NZ"/>
        </w:rPr>
        <w:t xml:space="preserve">There was poor communication between staff about the fall, particularly at the nursing and medical handovers. </w:t>
      </w:r>
    </w:p>
    <w:p w14:paraId="46B03B3B" w14:textId="77777777" w:rsidR="00841E1C" w:rsidRPr="005A62C7" w:rsidRDefault="00841E1C" w:rsidP="00841E1C">
      <w:pPr>
        <w:pStyle w:val="Bulletlist"/>
        <w:spacing w:after="0"/>
        <w:ind w:left="425" w:hanging="425"/>
        <w:rPr>
          <w:sz w:val="22"/>
          <w:lang w:val="en-NZ"/>
        </w:rPr>
      </w:pPr>
      <w:r w:rsidRPr="005A62C7">
        <w:rPr>
          <w:sz w:val="22"/>
          <w:lang w:val="en-NZ"/>
        </w:rPr>
        <w:t>There is evidence that it was not uncommon practice for doctors not to document in the notes when they had attended patients.</w:t>
      </w:r>
    </w:p>
    <w:p w14:paraId="71DD315B" w14:textId="77777777" w:rsidR="00841E1C" w:rsidRPr="005A62C7" w:rsidRDefault="00841E1C" w:rsidP="00841E1C">
      <w:pPr>
        <w:pStyle w:val="Bulletlist"/>
        <w:spacing w:after="0"/>
        <w:ind w:left="426" w:hanging="426"/>
        <w:rPr>
          <w:sz w:val="22"/>
          <w:lang w:val="en-NZ"/>
        </w:rPr>
      </w:pPr>
      <w:r w:rsidRPr="005A62C7">
        <w:rPr>
          <w:sz w:val="22"/>
          <w:lang w:val="en-NZ"/>
        </w:rPr>
        <w:t>Nursing staff did not notify the house officer of the subsequent discovery of a head injury following the fall.</w:t>
      </w:r>
    </w:p>
    <w:p w14:paraId="4DBB519D" w14:textId="77777777" w:rsidR="00841E1C" w:rsidRPr="005A62C7" w:rsidRDefault="00841E1C" w:rsidP="00841E1C">
      <w:pPr>
        <w:pStyle w:val="Bulletlist"/>
        <w:spacing w:after="0"/>
        <w:ind w:left="426" w:hanging="426"/>
        <w:rPr>
          <w:sz w:val="22"/>
          <w:lang w:val="en-NZ"/>
        </w:rPr>
      </w:pPr>
      <w:r w:rsidRPr="005A62C7">
        <w:rPr>
          <w:sz w:val="22"/>
          <w:lang w:val="en-NZ"/>
        </w:rPr>
        <w:t>There was no flag or warning system to identify patients on antiplatelet/ anticoagulation therapy, including in the DHB’s electronic falls form.</w:t>
      </w:r>
    </w:p>
    <w:p w14:paraId="2636E10F" w14:textId="77777777" w:rsidR="00841E1C" w:rsidRPr="005A62C7" w:rsidRDefault="00841E1C" w:rsidP="00841E1C">
      <w:pPr>
        <w:pStyle w:val="Bulletlist"/>
        <w:spacing w:after="0"/>
        <w:ind w:left="426" w:hanging="426"/>
        <w:rPr>
          <w:sz w:val="22"/>
          <w:lang w:val="en-NZ"/>
        </w:rPr>
      </w:pPr>
      <w:r w:rsidRPr="005A62C7">
        <w:rPr>
          <w:sz w:val="22"/>
          <w:lang w:val="en-NZ"/>
        </w:rPr>
        <w:t>There was a lack of critical thinking by nursing staff, who continued to administer blood-thinning medication, and stopped neurological observations despite being told that he might have hit his head.</w:t>
      </w:r>
    </w:p>
    <w:p w14:paraId="2264BAF1" w14:textId="77777777" w:rsidR="00841E1C" w:rsidRPr="005A62C7" w:rsidRDefault="00841E1C" w:rsidP="00841E1C">
      <w:pPr>
        <w:pStyle w:val="Bulletlist"/>
        <w:spacing w:after="0"/>
        <w:ind w:left="426" w:hanging="426"/>
        <w:rPr>
          <w:sz w:val="22"/>
          <w:lang w:val="en-NZ"/>
        </w:rPr>
      </w:pPr>
      <w:r w:rsidRPr="005A62C7">
        <w:rPr>
          <w:sz w:val="22"/>
          <w:lang w:val="en-NZ"/>
        </w:rPr>
        <w:t>There is no evidence that a falls assessment was undertaken following GTN use or after his fall.</w:t>
      </w:r>
    </w:p>
    <w:p w14:paraId="0D6475C3" w14:textId="77777777" w:rsidR="00841E1C" w:rsidRPr="005A62C7" w:rsidRDefault="00841E1C" w:rsidP="00841E1C">
      <w:pPr>
        <w:pStyle w:val="Bulletlist"/>
        <w:spacing w:after="0"/>
        <w:ind w:left="426" w:hanging="426"/>
        <w:rPr>
          <w:sz w:val="22"/>
          <w:lang w:val="en-NZ"/>
        </w:rPr>
      </w:pPr>
      <w:r w:rsidRPr="005A62C7">
        <w:rPr>
          <w:sz w:val="22"/>
          <w:lang w:val="en-NZ"/>
        </w:rPr>
        <w:t xml:space="preserve">There was no face-to-face handover to the medical team from the night house officer. </w:t>
      </w:r>
    </w:p>
    <w:p w14:paraId="620674E2" w14:textId="77777777" w:rsidR="00841E1C" w:rsidRPr="005A62C7" w:rsidRDefault="00841E1C" w:rsidP="00841E1C">
      <w:pPr>
        <w:pStyle w:val="Bulletlist"/>
        <w:spacing w:after="0"/>
        <w:ind w:left="426" w:hanging="426"/>
        <w:rPr>
          <w:sz w:val="22"/>
          <w:lang w:val="en-NZ"/>
        </w:rPr>
      </w:pPr>
      <w:r w:rsidRPr="005A62C7">
        <w:rPr>
          <w:sz w:val="22"/>
          <w:lang w:val="en-NZ"/>
        </w:rPr>
        <w:t>The nursing notes were not reviewed by the medical team during morning rounds.</w:t>
      </w:r>
    </w:p>
    <w:p w14:paraId="2CBEE10A" w14:textId="77777777" w:rsidR="00841E1C" w:rsidRPr="005A62C7" w:rsidRDefault="00841E1C" w:rsidP="00841E1C">
      <w:pPr>
        <w:pStyle w:val="Bulletlist"/>
        <w:spacing w:after="0"/>
        <w:ind w:left="425" w:hanging="425"/>
        <w:rPr>
          <w:sz w:val="22"/>
          <w:lang w:val="en-NZ"/>
        </w:rPr>
      </w:pPr>
      <w:r w:rsidRPr="005A62C7">
        <w:rPr>
          <w:sz w:val="22"/>
          <w:lang w:val="en-NZ"/>
        </w:rPr>
        <w:t>It appears that the knock to the head was not relayed verbally to the afternoon staff during the nursing handover.</w:t>
      </w:r>
    </w:p>
    <w:p w14:paraId="31CBF56E" w14:textId="77777777" w:rsidR="00841E1C" w:rsidRPr="005A62C7" w:rsidRDefault="00841E1C" w:rsidP="00841E1C">
      <w:pPr>
        <w:pStyle w:val="Bulletlist"/>
        <w:spacing w:after="0"/>
        <w:ind w:left="425" w:hanging="425"/>
        <w:rPr>
          <w:sz w:val="22"/>
          <w:lang w:val="en-NZ"/>
        </w:rPr>
      </w:pPr>
      <w:r w:rsidRPr="005A62C7">
        <w:rPr>
          <w:sz w:val="22"/>
          <w:lang w:val="en-NZ"/>
        </w:rPr>
        <w:t>The nursing notes were not always reviewed by the incoming nursing staff.</w:t>
      </w:r>
    </w:p>
    <w:p w14:paraId="78934AA9" w14:textId="77777777" w:rsidR="00841E1C" w:rsidRPr="005A62C7" w:rsidRDefault="00841E1C" w:rsidP="00841E1C">
      <w:pPr>
        <w:pStyle w:val="Bulletlist"/>
        <w:spacing w:after="0"/>
        <w:ind w:left="425" w:hanging="425"/>
        <w:rPr>
          <w:sz w:val="22"/>
          <w:lang w:val="en-NZ"/>
        </w:rPr>
      </w:pPr>
      <w:r w:rsidRPr="005A62C7">
        <w:rPr>
          <w:sz w:val="22"/>
          <w:lang w:val="en-NZ"/>
        </w:rPr>
        <w:t xml:space="preserve">Additional medication would have been available when he was in palliative care, but the nurse was not aware of this. </w:t>
      </w:r>
    </w:p>
    <w:p w14:paraId="45A41D18" w14:textId="77777777" w:rsidR="00841E1C" w:rsidRPr="00CB5675" w:rsidRDefault="00841E1C" w:rsidP="00841E1C">
      <w:pPr>
        <w:pStyle w:val="Heading2"/>
        <w:rPr>
          <w:b w:val="0"/>
          <w:i/>
          <w:sz w:val="22"/>
          <w:szCs w:val="22"/>
        </w:rPr>
      </w:pPr>
      <w:bookmarkStart w:id="143" w:name="_Toc37055999"/>
      <w:bookmarkStart w:id="144" w:name="_Toc37315224"/>
      <w:bookmarkStart w:id="145" w:name="_Toc39138059"/>
      <w:r w:rsidRPr="00CB5675">
        <w:rPr>
          <w:b w:val="0"/>
          <w:i/>
          <w:sz w:val="22"/>
          <w:szCs w:val="22"/>
        </w:rPr>
        <w:t>Findings</w:t>
      </w:r>
      <w:bookmarkEnd w:id="143"/>
      <w:bookmarkEnd w:id="144"/>
      <w:bookmarkEnd w:id="145"/>
    </w:p>
    <w:p w14:paraId="43FD0A8B" w14:textId="75A3CB15" w:rsidR="00841E1C" w:rsidRPr="00CB5675" w:rsidRDefault="00841E1C" w:rsidP="00841E1C">
      <w:pPr>
        <w:spacing w:after="240"/>
        <w:rPr>
          <w:rStyle w:val="ListParagraphChar"/>
          <w:szCs w:val="22"/>
        </w:rPr>
      </w:pPr>
      <w:r w:rsidRPr="00CB5675">
        <w:rPr>
          <w:rStyle w:val="ListParagraphChar"/>
          <w:szCs w:val="22"/>
        </w:rPr>
        <w:t xml:space="preserve">The cumulative effect of these failings was that overall care was of a very poor standard. Consequently, </w:t>
      </w:r>
      <w:r>
        <w:rPr>
          <w:rStyle w:val="ListParagraphChar"/>
          <w:szCs w:val="22"/>
        </w:rPr>
        <w:t>the Commissioner</w:t>
      </w:r>
      <w:r w:rsidRPr="00CB5675">
        <w:rPr>
          <w:rStyle w:val="ListParagraphChar"/>
          <w:szCs w:val="22"/>
        </w:rPr>
        <w:t xml:space="preserve"> found that </w:t>
      </w:r>
      <w:r>
        <w:rPr>
          <w:rStyle w:val="ListParagraphChar"/>
          <w:szCs w:val="22"/>
        </w:rPr>
        <w:t xml:space="preserve">the </w:t>
      </w:r>
      <w:r w:rsidRPr="00CB5675">
        <w:rPr>
          <w:rStyle w:val="ListParagraphChar"/>
          <w:szCs w:val="22"/>
        </w:rPr>
        <w:t>DHB</w:t>
      </w:r>
      <w:r>
        <w:rPr>
          <w:rStyle w:val="ListParagraphChar"/>
          <w:szCs w:val="22"/>
        </w:rPr>
        <w:t xml:space="preserve"> did not provide the man with care with reasonable care and skill in breach</w:t>
      </w:r>
      <w:r w:rsidR="00DA1A29">
        <w:rPr>
          <w:rStyle w:val="ListParagraphChar"/>
          <w:szCs w:val="22"/>
        </w:rPr>
        <w:t xml:space="preserve"> of</w:t>
      </w:r>
      <w:r w:rsidRPr="00CB5675">
        <w:rPr>
          <w:rStyle w:val="ListParagraphChar"/>
          <w:szCs w:val="22"/>
        </w:rPr>
        <w:t xml:space="preserve"> Right 4(1) of the Code </w:t>
      </w:r>
    </w:p>
    <w:p w14:paraId="5D8A54C1" w14:textId="77777777" w:rsidR="00841E1C" w:rsidRPr="00CB5675" w:rsidRDefault="00841E1C" w:rsidP="00841E1C">
      <w:pPr>
        <w:pStyle w:val="Heading2"/>
        <w:rPr>
          <w:b w:val="0"/>
          <w:i/>
          <w:sz w:val="22"/>
          <w:szCs w:val="22"/>
        </w:rPr>
      </w:pPr>
      <w:bookmarkStart w:id="146" w:name="_Toc37056000"/>
      <w:bookmarkStart w:id="147" w:name="_Toc37315225"/>
      <w:bookmarkStart w:id="148" w:name="_Toc39138060"/>
      <w:r w:rsidRPr="00CB5675">
        <w:rPr>
          <w:b w:val="0"/>
          <w:i/>
          <w:sz w:val="22"/>
          <w:szCs w:val="22"/>
        </w:rPr>
        <w:t>Recommendations</w:t>
      </w:r>
      <w:bookmarkEnd w:id="146"/>
      <w:bookmarkEnd w:id="147"/>
      <w:bookmarkEnd w:id="148"/>
      <w:r w:rsidRPr="00CB5675">
        <w:rPr>
          <w:b w:val="0"/>
          <w:i/>
          <w:sz w:val="22"/>
          <w:szCs w:val="22"/>
        </w:rPr>
        <w:t xml:space="preserve"> </w:t>
      </w:r>
    </w:p>
    <w:p w14:paraId="1EE25D49" w14:textId="77777777" w:rsidR="00841E1C" w:rsidRPr="00CB5675" w:rsidRDefault="00841E1C" w:rsidP="00841E1C">
      <w:pPr>
        <w:spacing w:after="240"/>
        <w:rPr>
          <w:szCs w:val="22"/>
        </w:rPr>
      </w:pPr>
      <w:r>
        <w:rPr>
          <w:rStyle w:val="ListParagraphChar"/>
          <w:szCs w:val="22"/>
        </w:rPr>
        <w:t>The Commissioner</w:t>
      </w:r>
      <w:r w:rsidRPr="00CB5675">
        <w:rPr>
          <w:rStyle w:val="ListParagraphChar"/>
          <w:szCs w:val="22"/>
        </w:rPr>
        <w:t xml:space="preserve"> recommended </w:t>
      </w:r>
      <w:r w:rsidRPr="00CB5675">
        <w:rPr>
          <w:szCs w:val="22"/>
        </w:rPr>
        <w:t>that</w:t>
      </w:r>
      <w:r w:rsidRPr="00CB5675">
        <w:rPr>
          <w:rStyle w:val="ListParagraphChar"/>
          <w:szCs w:val="22"/>
        </w:rPr>
        <w:t xml:space="preserve"> the DHB:</w:t>
      </w:r>
    </w:p>
    <w:p w14:paraId="6D2185F2" w14:textId="77777777" w:rsidR="00841E1C" w:rsidRPr="00CB5675" w:rsidRDefault="00841E1C" w:rsidP="00841E1C">
      <w:pPr>
        <w:pStyle w:val="abclist2"/>
        <w:numPr>
          <w:ilvl w:val="0"/>
          <w:numId w:val="24"/>
        </w:numPr>
        <w:spacing w:after="0"/>
        <w:ind w:left="426" w:hanging="284"/>
        <w:jc w:val="left"/>
        <w:rPr>
          <w:rStyle w:val="abclistChar"/>
          <w:sz w:val="22"/>
        </w:rPr>
      </w:pPr>
      <w:r w:rsidRPr="00CB5675">
        <w:rPr>
          <w:sz w:val="22"/>
        </w:rPr>
        <w:t>U</w:t>
      </w:r>
      <w:r w:rsidRPr="00CB5675">
        <w:rPr>
          <w:rStyle w:val="abclistChar"/>
          <w:sz w:val="22"/>
        </w:rPr>
        <w:t xml:space="preserve">ndertake an evaluation of the impact of the interventions put in place following its Serious and Sentinel Event Analysis. </w:t>
      </w:r>
    </w:p>
    <w:p w14:paraId="3A1C793E" w14:textId="77777777" w:rsidR="00841E1C" w:rsidRPr="00CB5675" w:rsidRDefault="00841E1C" w:rsidP="00841E1C">
      <w:pPr>
        <w:pStyle w:val="abclist2"/>
        <w:numPr>
          <w:ilvl w:val="0"/>
          <w:numId w:val="24"/>
        </w:numPr>
        <w:spacing w:after="0"/>
        <w:ind w:left="426" w:hanging="284"/>
        <w:jc w:val="left"/>
        <w:rPr>
          <w:rStyle w:val="abclistChar"/>
          <w:sz w:val="22"/>
        </w:rPr>
      </w:pPr>
      <w:r w:rsidRPr="00CB5675">
        <w:rPr>
          <w:sz w:val="22"/>
        </w:rPr>
        <w:t xml:space="preserve">Provide an update in relation to the remainder of the recommendations made in the </w:t>
      </w:r>
      <w:r w:rsidRPr="00CB5675">
        <w:rPr>
          <w:rStyle w:val="abclistChar"/>
          <w:sz w:val="22"/>
        </w:rPr>
        <w:t xml:space="preserve">Serious and Sentinel Event Analysis </w:t>
      </w:r>
      <w:r w:rsidRPr="00CB5675">
        <w:rPr>
          <w:sz w:val="22"/>
        </w:rPr>
        <w:t>regarding what has yet to be implemented, and when this will take place</w:t>
      </w:r>
      <w:r w:rsidRPr="00CB5675">
        <w:rPr>
          <w:rStyle w:val="abclistChar"/>
          <w:sz w:val="22"/>
        </w:rPr>
        <w:t xml:space="preserve"> — including, but not limited to, the recommendations in relation to the review of patient notes and the documentation of clinical decision-making to ensure appropriate communication. </w:t>
      </w:r>
    </w:p>
    <w:p w14:paraId="716421C0" w14:textId="77777777" w:rsidR="00841E1C" w:rsidRPr="00CB5675" w:rsidRDefault="00841E1C" w:rsidP="00841E1C">
      <w:pPr>
        <w:pStyle w:val="abclist2"/>
        <w:numPr>
          <w:ilvl w:val="0"/>
          <w:numId w:val="24"/>
        </w:numPr>
        <w:spacing w:after="0"/>
        <w:ind w:left="426" w:hanging="284"/>
        <w:jc w:val="left"/>
        <w:rPr>
          <w:rStyle w:val="abclistChar"/>
          <w:sz w:val="22"/>
        </w:rPr>
      </w:pPr>
      <w:r w:rsidRPr="00CB5675">
        <w:rPr>
          <w:sz w:val="22"/>
        </w:rPr>
        <w:t>Undertake an audit for the last six months from the date of this report, to assess whether patients who were diagnosed with a non-ST elevation myocardial infarction were admitted to the CCU in line with recommended practice.</w:t>
      </w:r>
      <w:r w:rsidRPr="00CB5675">
        <w:rPr>
          <w:rStyle w:val="abclistChar"/>
          <w:sz w:val="22"/>
        </w:rPr>
        <w:t xml:space="preserve"> </w:t>
      </w:r>
    </w:p>
    <w:p w14:paraId="296FC7F9" w14:textId="77777777" w:rsidR="00841E1C" w:rsidRDefault="00841E1C" w:rsidP="00841E1C">
      <w:pPr>
        <w:pStyle w:val="abclist2"/>
        <w:numPr>
          <w:ilvl w:val="0"/>
          <w:numId w:val="24"/>
        </w:numPr>
        <w:spacing w:after="0"/>
        <w:ind w:left="426" w:hanging="284"/>
        <w:jc w:val="left"/>
        <w:rPr>
          <w:rStyle w:val="abclistChar"/>
          <w:sz w:val="22"/>
        </w:rPr>
      </w:pPr>
      <w:r w:rsidRPr="00CB5675">
        <w:rPr>
          <w:rStyle w:val="abclistChar"/>
          <w:sz w:val="22"/>
        </w:rPr>
        <w:t xml:space="preserve">Undertake an audit to assess the appropriateness or otherwise of the use of the electronic notification tool. </w:t>
      </w:r>
    </w:p>
    <w:p w14:paraId="405773CC" w14:textId="77777777" w:rsidR="00841E1C" w:rsidRPr="00CB5675" w:rsidRDefault="00841E1C" w:rsidP="00841E1C">
      <w:pPr>
        <w:pStyle w:val="abclist2"/>
        <w:numPr>
          <w:ilvl w:val="0"/>
          <w:numId w:val="24"/>
        </w:numPr>
        <w:spacing w:after="0"/>
        <w:ind w:left="426" w:hanging="284"/>
        <w:jc w:val="left"/>
        <w:rPr>
          <w:rStyle w:val="abclistChar"/>
          <w:sz w:val="22"/>
        </w:rPr>
      </w:pPr>
      <w:r>
        <w:rPr>
          <w:rStyle w:val="abclistChar"/>
          <w:sz w:val="22"/>
        </w:rPr>
        <w:t>Provide a report to HDC identifying</w:t>
      </w:r>
      <w:r w:rsidRPr="00CB5675">
        <w:rPr>
          <w:rStyle w:val="abclistChar"/>
          <w:sz w:val="22"/>
        </w:rPr>
        <w:t xml:space="preserve"> whether clinical matters that normally require face-to-face discussion or a telephone conversation are being actioned adequately in this way, as opposed to via the electronic notification tool. </w:t>
      </w:r>
    </w:p>
    <w:p w14:paraId="760238DD" w14:textId="77777777" w:rsidR="00841E1C" w:rsidRPr="00CB5675" w:rsidRDefault="00841E1C" w:rsidP="00841E1C">
      <w:pPr>
        <w:pStyle w:val="abclist2"/>
        <w:numPr>
          <w:ilvl w:val="0"/>
          <w:numId w:val="24"/>
        </w:numPr>
        <w:spacing w:after="0"/>
        <w:ind w:left="426" w:hanging="284"/>
        <w:jc w:val="left"/>
        <w:rPr>
          <w:rStyle w:val="abclistChar"/>
          <w:sz w:val="22"/>
        </w:rPr>
      </w:pPr>
      <w:r w:rsidRPr="00CB5675">
        <w:rPr>
          <w:sz w:val="22"/>
        </w:rPr>
        <w:t xml:space="preserve">Undertake a review of its communication tools to ensure accurate handover between shifts. As part of this review, the DHB is to consider whether it should introduce a system such as the ISBAR sticker format, in line with expert advice. </w:t>
      </w:r>
    </w:p>
    <w:p w14:paraId="4E4C7BBB" w14:textId="77777777" w:rsidR="00841E1C" w:rsidRPr="00CB5675" w:rsidRDefault="00841E1C" w:rsidP="00841E1C">
      <w:pPr>
        <w:pStyle w:val="abclist2"/>
        <w:numPr>
          <w:ilvl w:val="0"/>
          <w:numId w:val="24"/>
        </w:numPr>
        <w:spacing w:after="0"/>
        <w:ind w:left="426" w:hanging="284"/>
        <w:jc w:val="left"/>
        <w:rPr>
          <w:sz w:val="22"/>
        </w:rPr>
      </w:pPr>
      <w:r w:rsidRPr="00CB5675">
        <w:rPr>
          <w:sz w:val="22"/>
        </w:rPr>
        <w:t xml:space="preserve">Provide evidence of its new alert system(s) flagging patients who are receiving antiplatelet and anticoagulation medications. </w:t>
      </w:r>
    </w:p>
    <w:p w14:paraId="6733A21A" w14:textId="77777777" w:rsidR="00841E1C" w:rsidRDefault="00841E1C" w:rsidP="00841E1C">
      <w:pPr>
        <w:pStyle w:val="abclist2"/>
        <w:numPr>
          <w:ilvl w:val="0"/>
          <w:numId w:val="24"/>
        </w:numPr>
        <w:spacing w:after="0"/>
        <w:ind w:left="426" w:hanging="284"/>
        <w:jc w:val="left"/>
        <w:rPr>
          <w:sz w:val="22"/>
        </w:rPr>
      </w:pPr>
      <w:r w:rsidRPr="00CB5675">
        <w:rPr>
          <w:sz w:val="22"/>
        </w:rPr>
        <w:t>Develop training for new doctors on how to prioritise their tasks when on cal</w:t>
      </w:r>
      <w:r>
        <w:rPr>
          <w:sz w:val="22"/>
        </w:rPr>
        <w:t>l</w:t>
      </w:r>
    </w:p>
    <w:p w14:paraId="42DEB23C" w14:textId="77777777" w:rsidR="00841E1C" w:rsidRDefault="00841E1C" w:rsidP="00841E1C">
      <w:pPr>
        <w:pStyle w:val="abclist2"/>
        <w:spacing w:after="0"/>
        <w:rPr>
          <w:sz w:val="22"/>
        </w:rPr>
      </w:pPr>
    </w:p>
    <w:p w14:paraId="74688C1F" w14:textId="77777777" w:rsidR="00841E1C" w:rsidRDefault="00841E1C" w:rsidP="00841E1C">
      <w:pPr>
        <w:pStyle w:val="abclist2"/>
        <w:spacing w:after="0"/>
        <w:rPr>
          <w:sz w:val="22"/>
        </w:rPr>
      </w:pPr>
    </w:p>
    <w:p w14:paraId="69D489C7" w14:textId="77777777" w:rsidR="00841E1C" w:rsidRPr="00F06F38" w:rsidRDefault="00841E1C" w:rsidP="00841E1C">
      <w:pPr>
        <w:pStyle w:val="abclist2"/>
        <w:spacing w:after="0"/>
        <w:rPr>
          <w:b/>
          <w:i/>
          <w:sz w:val="22"/>
        </w:rPr>
      </w:pPr>
      <w:r w:rsidRPr="00F06F38">
        <w:rPr>
          <w:b/>
          <w:i/>
          <w:noProof/>
          <w:sz w:val="22"/>
          <w:lang w:eastAsia="en-NZ" w:bidi="ar-SA"/>
        </w:rPr>
        <mc:AlternateContent>
          <mc:Choice Requires="wps">
            <w:drawing>
              <wp:anchor distT="45720" distB="45720" distL="114300" distR="114300" simplePos="0" relativeHeight="251659776" behindDoc="0" locked="0" layoutInCell="1" allowOverlap="1" wp14:anchorId="6DA6EAA4" wp14:editId="37847E67">
                <wp:simplePos x="0" y="0"/>
                <wp:positionH relativeFrom="margin">
                  <wp:posOffset>-24765</wp:posOffset>
                </wp:positionH>
                <wp:positionV relativeFrom="paragraph">
                  <wp:posOffset>366395</wp:posOffset>
                </wp:positionV>
                <wp:extent cx="5762625" cy="2402840"/>
                <wp:effectExtent l="0" t="0" r="2857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402840"/>
                        </a:xfrm>
                        <a:prstGeom prst="rect">
                          <a:avLst/>
                        </a:prstGeom>
                        <a:solidFill>
                          <a:srgbClr val="FFFFFF"/>
                        </a:solidFill>
                        <a:ln w="9525">
                          <a:solidFill>
                            <a:srgbClr val="000000"/>
                          </a:solidFill>
                          <a:miter lim="800000"/>
                          <a:headEnd/>
                          <a:tailEnd/>
                        </a:ln>
                      </wps:spPr>
                      <wps:txbx>
                        <w:txbxContent>
                          <w:p w14:paraId="2F30C1D3" w14:textId="77777777" w:rsidR="003E5338" w:rsidRDefault="003E5338" w:rsidP="00841E1C">
                            <w:pPr>
                              <w:shd w:val="clear" w:color="auto" w:fill="F2F2F2" w:themeFill="background1" w:themeFillShade="F2"/>
                              <w:rPr>
                                <w:rFonts w:ascii="Source Sans Pro" w:hAnsi="Source Sans Pro"/>
                                <w:color w:val="000000"/>
                                <w:shd w:val="clear" w:color="auto" w:fill="F7F7F6"/>
                              </w:rPr>
                            </w:pPr>
                          </w:p>
                          <w:p w14:paraId="7C887A10" w14:textId="77777777" w:rsidR="003E5338" w:rsidRPr="004E1966" w:rsidRDefault="003E5338" w:rsidP="00841E1C">
                            <w:pPr>
                              <w:shd w:val="clear" w:color="auto" w:fill="F2F2F2" w:themeFill="background1" w:themeFillShade="F2"/>
                              <w:rPr>
                                <w:b/>
                                <w:color w:val="000000"/>
                                <w:shd w:val="clear" w:color="auto" w:fill="F7F7F6"/>
                              </w:rPr>
                            </w:pPr>
                            <w:r w:rsidRPr="004E1966">
                              <w:rPr>
                                <w:b/>
                                <w:color w:val="000000"/>
                                <w:shd w:val="clear" w:color="auto" w:fill="F7F7F6"/>
                              </w:rPr>
                              <w:t xml:space="preserve">In summary, </w:t>
                            </w:r>
                          </w:p>
                          <w:p w14:paraId="1ABFC3C8" w14:textId="77777777" w:rsidR="003E5338" w:rsidRDefault="003E5338" w:rsidP="00841E1C">
                            <w:pPr>
                              <w:shd w:val="clear" w:color="auto" w:fill="F2F2F2" w:themeFill="background1" w:themeFillShade="F2"/>
                              <w:rPr>
                                <w:color w:val="000000"/>
                                <w:shd w:val="clear" w:color="auto" w:fill="F7F7F6"/>
                              </w:rPr>
                            </w:pPr>
                          </w:p>
                          <w:p w14:paraId="49C68ED2" w14:textId="77777777" w:rsidR="003E5338" w:rsidRPr="00F06F38" w:rsidRDefault="003E5338" w:rsidP="00841E1C">
                            <w:pPr>
                              <w:shd w:val="clear" w:color="auto" w:fill="F2F2F2" w:themeFill="background1" w:themeFillShade="F2"/>
                            </w:pPr>
                            <w:r>
                              <w:rPr>
                                <w:color w:val="000000"/>
                                <w:shd w:val="clear" w:color="auto" w:fill="F7F7F6"/>
                              </w:rPr>
                              <w:t>The Commissioner noted: “</w:t>
                            </w:r>
                            <w:r w:rsidRPr="00F06F38">
                              <w:rPr>
                                <w:i/>
                                <w:color w:val="000000"/>
                                <w:shd w:val="clear" w:color="auto" w:fill="F7F7F6"/>
                              </w:rPr>
                              <w:t>The system lost sight of the patient through this process. Attention to the most basic aspects of monitoring, assessment, communication, and critical thinking were noticeably absent. This is well below the standard expected of hospital-level care in New Zealand. While staff may have been busy, they had the opportunity to consider the care of this patient, and simply failed to do so adequately — this was a collective failure of the system and the people operating in it, not the fault of any one individual. Nonetheless, the patient’s experience resulted from a pattern of poor care, which reflects a sobering collection of suboptimal features.”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6EAA4" id="_x0000_s1028" type="#_x0000_t202" style="position:absolute;left:0;text-align:left;margin-left:-1.95pt;margin-top:28.85pt;width:453.75pt;height:189.2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">
                <v:textbox>
                  <w:txbxContent>
                    <w:p w14:paraId="2F30C1D3" w14:textId="77777777" w:rsidR="003E5338" w:rsidRDefault="003E5338" w:rsidP="00841E1C">
                      <w:pPr>
                        <w:shd w:val="clear" w:color="auto" w:fill="F2F2F2" w:themeFill="background1" w:themeFillShade="F2"/>
                        <w:rPr>
                          <w:rFonts w:ascii="Source Sans Pro" w:hAnsi="Source Sans Pro"/>
                          <w:color w:val="000000"/>
                          <w:shd w:val="clear" w:color="auto" w:fill="F7F7F6"/>
                        </w:rPr>
                      </w:pPr>
                    </w:p>
                    <w:p w14:paraId="7C887A10" w14:textId="77777777" w:rsidR="003E5338" w:rsidRPr="004E1966" w:rsidRDefault="003E5338" w:rsidP="00841E1C">
                      <w:pPr>
                        <w:shd w:val="clear" w:color="auto" w:fill="F2F2F2" w:themeFill="background1" w:themeFillShade="F2"/>
                        <w:rPr>
                          <w:b/>
                          <w:color w:val="000000"/>
                          <w:shd w:val="clear" w:color="auto" w:fill="F7F7F6"/>
                        </w:rPr>
                      </w:pPr>
                      <w:r w:rsidRPr="004E1966">
                        <w:rPr>
                          <w:b/>
                          <w:color w:val="000000"/>
                          <w:shd w:val="clear" w:color="auto" w:fill="F7F7F6"/>
                        </w:rPr>
                        <w:t xml:space="preserve">In summary, </w:t>
                      </w:r>
                    </w:p>
                    <w:p w14:paraId="1ABFC3C8" w14:textId="77777777" w:rsidR="003E5338" w:rsidRDefault="003E5338" w:rsidP="00841E1C">
                      <w:pPr>
                        <w:shd w:val="clear" w:color="auto" w:fill="F2F2F2" w:themeFill="background1" w:themeFillShade="F2"/>
                        <w:rPr>
                          <w:color w:val="000000"/>
                          <w:shd w:val="clear" w:color="auto" w:fill="F7F7F6"/>
                        </w:rPr>
                      </w:pPr>
                    </w:p>
                    <w:p w14:paraId="49C68ED2" w14:textId="77777777" w:rsidR="003E5338" w:rsidRPr="00F06F38" w:rsidRDefault="003E5338" w:rsidP="00841E1C">
                      <w:pPr>
                        <w:shd w:val="clear" w:color="auto" w:fill="F2F2F2" w:themeFill="background1" w:themeFillShade="F2"/>
                      </w:pPr>
                      <w:r>
                        <w:rPr>
                          <w:color w:val="000000"/>
                          <w:shd w:val="clear" w:color="auto" w:fill="F7F7F6"/>
                        </w:rPr>
                        <w:t>The Commissioner noted: “</w:t>
                      </w:r>
                      <w:r w:rsidRPr="00F06F38">
                        <w:rPr>
                          <w:i/>
                          <w:color w:val="000000"/>
                          <w:shd w:val="clear" w:color="auto" w:fill="F7F7F6"/>
                        </w:rPr>
                        <w:t>The system lost sight of the patient through this process. Attention to the most basic aspects of monitoring, assessment, communication, and critical thinking were noticeably absent. This is well below the standard expected of hospital-level care in New Zealand. While staff may have been busy, they had the opportunity to consider the care of this patient, and simply failed to do so adequately — this was a collective failure of the system and the people operating in it, not the fault of any one individual. Nonetheless, the patient’s experience resulted from a pattern of poor care, which reflects a sobering collection of suboptimal features.”</w:t>
                      </w:r>
                    </w:p>
                  </w:txbxContent>
                </v:textbox>
                <w10:wrap type="square" anchorx="margin"/>
              </v:shape>
            </w:pict>
          </mc:Fallback>
        </mc:AlternateContent>
      </w:r>
    </w:p>
    <w:p w14:paraId="30634249" w14:textId="77777777" w:rsidR="00841E1C" w:rsidRDefault="00841E1C" w:rsidP="00841E1C">
      <w:pPr>
        <w:rPr>
          <w:rFonts w:eastAsiaTheme="minorHAnsi" w:cstheme="minorBidi"/>
          <w:szCs w:val="22"/>
        </w:rPr>
      </w:pPr>
      <w:r>
        <w:br w:type="page"/>
      </w:r>
    </w:p>
    <w:p w14:paraId="7EC86A90" w14:textId="77777777" w:rsidR="00841E1C" w:rsidRPr="00CB5675" w:rsidRDefault="00841E1C" w:rsidP="00841E1C">
      <w:pPr>
        <w:spacing w:after="240"/>
        <w:rPr>
          <w:szCs w:val="22"/>
        </w:rPr>
      </w:pPr>
      <w:r w:rsidRPr="00CB5675">
        <w:rPr>
          <w:b/>
          <w:szCs w:val="22"/>
        </w:rPr>
        <w:t>4) Seclusion of a young wom</w:t>
      </w:r>
      <w:r>
        <w:rPr>
          <w:b/>
          <w:szCs w:val="22"/>
        </w:rPr>
        <w:t>a</w:t>
      </w:r>
      <w:r w:rsidRPr="00CB5675">
        <w:rPr>
          <w:b/>
          <w:szCs w:val="22"/>
        </w:rPr>
        <w:t xml:space="preserve">n </w:t>
      </w:r>
      <w:r>
        <w:t>17HDC00410</w:t>
      </w:r>
    </w:p>
    <w:p w14:paraId="2B6723F2" w14:textId="27B2D001" w:rsidR="005A62C7" w:rsidRDefault="00841E1C" w:rsidP="00841E1C">
      <w:pPr>
        <w:spacing w:after="240"/>
        <w:rPr>
          <w:szCs w:val="22"/>
        </w:rPr>
      </w:pPr>
      <w:r>
        <w:rPr>
          <w:szCs w:val="22"/>
        </w:rPr>
        <w:t>A woman in her late teens</w:t>
      </w:r>
      <w:r w:rsidRPr="00CB5675">
        <w:rPr>
          <w:szCs w:val="22"/>
        </w:rPr>
        <w:t xml:space="preserve"> was transferred from a psychiatric unit at a public hospital to a clinic under a compulsory in-patient treatment order pursuant to section 30 of the Mental Health (Compulsory Treatment and Assessment) Act 1992 (the MHA).</w:t>
      </w:r>
      <w:r w:rsidR="005A62C7">
        <w:rPr>
          <w:szCs w:val="22"/>
        </w:rPr>
        <w:t xml:space="preserve"> </w:t>
      </w:r>
      <w:r w:rsidRPr="00CB5675">
        <w:rPr>
          <w:szCs w:val="22"/>
        </w:rPr>
        <w:t xml:space="preserve">Over the previous year, </w:t>
      </w:r>
      <w:r>
        <w:rPr>
          <w:szCs w:val="22"/>
        </w:rPr>
        <w:t>she</w:t>
      </w:r>
      <w:r w:rsidRPr="00CB5675">
        <w:rPr>
          <w:szCs w:val="22"/>
        </w:rPr>
        <w:t xml:space="preserve"> had presented with a significantly depressed and anxious mood associated with repeated self-harm behaviours, suicidal thoughts, and suicide attempts.</w:t>
      </w:r>
      <w:r>
        <w:rPr>
          <w:szCs w:val="22"/>
        </w:rPr>
        <w:t xml:space="preserve"> </w:t>
      </w:r>
    </w:p>
    <w:p w14:paraId="00D22B9D" w14:textId="4FC9A569" w:rsidR="00DA1A29" w:rsidRDefault="00841E1C" w:rsidP="00841E1C">
      <w:pPr>
        <w:spacing w:after="240"/>
        <w:rPr>
          <w:szCs w:val="22"/>
        </w:rPr>
      </w:pPr>
      <w:r>
        <w:rPr>
          <w:szCs w:val="22"/>
        </w:rPr>
        <w:t>At a later date,</w:t>
      </w:r>
      <w:r w:rsidRPr="00CB5675">
        <w:rPr>
          <w:szCs w:val="22"/>
        </w:rPr>
        <w:t xml:space="preserve"> </w:t>
      </w:r>
      <w:r w:rsidR="00DA1A29">
        <w:rPr>
          <w:szCs w:val="22"/>
        </w:rPr>
        <w:t>the woman</w:t>
      </w:r>
      <w:r w:rsidRPr="00CB5675">
        <w:rPr>
          <w:szCs w:val="22"/>
        </w:rPr>
        <w:t xml:space="preserve"> left the clinic. She was found by the </w:t>
      </w:r>
      <w:r w:rsidR="00DA1A29">
        <w:rPr>
          <w:szCs w:val="22"/>
        </w:rPr>
        <w:t>p</w:t>
      </w:r>
      <w:r w:rsidRPr="00CB5675">
        <w:rPr>
          <w:szCs w:val="22"/>
        </w:rPr>
        <w:t>olice and taken to a locked unit at a psychiatric hospital</w:t>
      </w:r>
      <w:r w:rsidR="00DA1A29">
        <w:rPr>
          <w:szCs w:val="22"/>
        </w:rPr>
        <w:t>, where she was assessed by a psychiatrist.</w:t>
      </w:r>
      <w:r w:rsidRPr="00CB5675">
        <w:rPr>
          <w:szCs w:val="22"/>
        </w:rPr>
        <w:t xml:space="preserve"> There was no bed available on the locked unit, so </w:t>
      </w:r>
      <w:r>
        <w:rPr>
          <w:szCs w:val="22"/>
        </w:rPr>
        <w:t>she</w:t>
      </w:r>
      <w:r w:rsidRPr="00CB5675">
        <w:rPr>
          <w:szCs w:val="22"/>
        </w:rPr>
        <w:t xml:space="preserve"> was transferred to a secure unit under Police restraint, as she continued to struggle.</w:t>
      </w:r>
      <w:r>
        <w:rPr>
          <w:szCs w:val="22"/>
        </w:rPr>
        <w:t xml:space="preserve"> </w:t>
      </w:r>
    </w:p>
    <w:p w14:paraId="7447B09E" w14:textId="1DB5EFF2" w:rsidR="00DA1A29" w:rsidRDefault="00841E1C" w:rsidP="00841E1C">
      <w:pPr>
        <w:spacing w:after="240"/>
        <w:rPr>
          <w:szCs w:val="22"/>
        </w:rPr>
      </w:pPr>
      <w:r w:rsidRPr="00CB5675">
        <w:rPr>
          <w:szCs w:val="22"/>
        </w:rPr>
        <w:t xml:space="preserve">When </w:t>
      </w:r>
      <w:r w:rsidR="00DA1A29">
        <w:rPr>
          <w:szCs w:val="22"/>
        </w:rPr>
        <w:t>the woman</w:t>
      </w:r>
      <w:r w:rsidRPr="00CB5675">
        <w:rPr>
          <w:szCs w:val="22"/>
        </w:rPr>
        <w:t xml:space="preserve"> arrived at the secure unit her clothing was removed</w:t>
      </w:r>
      <w:r w:rsidR="00DA1A29">
        <w:rPr>
          <w:szCs w:val="22"/>
        </w:rPr>
        <w:t xml:space="preserve"> and</w:t>
      </w:r>
      <w:r w:rsidRPr="00CB5675">
        <w:rPr>
          <w:szCs w:val="22"/>
        </w:rPr>
        <w:t xml:space="preserve"> </w:t>
      </w:r>
      <w:r w:rsidR="00DA1A29">
        <w:rPr>
          <w:szCs w:val="22"/>
        </w:rPr>
        <w:t>s</w:t>
      </w:r>
      <w:r w:rsidRPr="00CB5675">
        <w:rPr>
          <w:szCs w:val="22"/>
        </w:rPr>
        <w:t>he was not given a tear-resistant gown to wear.</w:t>
      </w:r>
      <w:r w:rsidR="00DA1A29">
        <w:rPr>
          <w:szCs w:val="22"/>
        </w:rPr>
        <w:t xml:space="preserve"> The woman was placed in a seclusion room. Overnight, the lights were left on.</w:t>
      </w:r>
      <w:r w:rsidRPr="00CB5675">
        <w:rPr>
          <w:szCs w:val="22"/>
        </w:rPr>
        <w:t xml:space="preserve"> She was also not provided with a mattress or a pillow</w:t>
      </w:r>
      <w:r w:rsidR="00DA1A29">
        <w:rPr>
          <w:szCs w:val="22"/>
        </w:rPr>
        <w:t>, and</w:t>
      </w:r>
      <w:r w:rsidRPr="00CB5675">
        <w:rPr>
          <w:szCs w:val="22"/>
        </w:rPr>
        <w:t xml:space="preserve"> was left with only a tear-resistant blanket and a cardboard bedpan.</w:t>
      </w:r>
    </w:p>
    <w:p w14:paraId="205BF9F2" w14:textId="7325917E" w:rsidR="00DA1A29" w:rsidRDefault="00841E1C" w:rsidP="00841E1C">
      <w:pPr>
        <w:spacing w:after="240"/>
        <w:rPr>
          <w:szCs w:val="22"/>
        </w:rPr>
      </w:pPr>
      <w:r>
        <w:rPr>
          <w:szCs w:val="22"/>
        </w:rPr>
        <w:t xml:space="preserve"> </w:t>
      </w:r>
      <w:r w:rsidRPr="00CB5675">
        <w:rPr>
          <w:szCs w:val="22"/>
        </w:rPr>
        <w:t>A “seclusion recording form” details that two-hourly assessments and 10-minute observations occurred. At 4.30am two nurses recorded an 8-hourly assessment.</w:t>
      </w:r>
      <w:r>
        <w:rPr>
          <w:szCs w:val="22"/>
        </w:rPr>
        <w:t xml:space="preserve"> </w:t>
      </w:r>
      <w:r w:rsidRPr="00CB5675">
        <w:rPr>
          <w:szCs w:val="22"/>
        </w:rPr>
        <w:t>The room was entered at 8.00am</w:t>
      </w:r>
      <w:r>
        <w:rPr>
          <w:szCs w:val="22"/>
        </w:rPr>
        <w:t xml:space="preserve"> </w:t>
      </w:r>
      <w:r w:rsidRPr="00CB5675">
        <w:rPr>
          <w:szCs w:val="22"/>
        </w:rPr>
        <w:t xml:space="preserve">to provide food and fluids and to assess </w:t>
      </w:r>
      <w:r>
        <w:rPr>
          <w:szCs w:val="22"/>
        </w:rPr>
        <w:t xml:space="preserve">the </w:t>
      </w:r>
      <w:r w:rsidR="00DA1A29">
        <w:rPr>
          <w:szCs w:val="22"/>
        </w:rPr>
        <w:t>woman</w:t>
      </w:r>
      <w:r w:rsidRPr="00CB5675">
        <w:rPr>
          <w:szCs w:val="22"/>
        </w:rPr>
        <w:t>, and again at 9.35am to provide fluids.</w:t>
      </w:r>
      <w:r>
        <w:rPr>
          <w:szCs w:val="22"/>
        </w:rPr>
        <w:t xml:space="preserve"> </w:t>
      </w:r>
      <w:r w:rsidRPr="00CB5675">
        <w:rPr>
          <w:szCs w:val="22"/>
        </w:rPr>
        <w:t xml:space="preserve">At 11.05am, the room was entered again, and </w:t>
      </w:r>
      <w:r w:rsidR="00DA1A29">
        <w:rPr>
          <w:szCs w:val="22"/>
        </w:rPr>
        <w:t>the woman</w:t>
      </w:r>
      <w:r w:rsidRPr="00CB5675">
        <w:rPr>
          <w:szCs w:val="22"/>
        </w:rPr>
        <w:t xml:space="preserve"> was provided with a gown. A mattress was placed in the room, and </w:t>
      </w:r>
      <w:r w:rsidR="00DA1A29">
        <w:rPr>
          <w:szCs w:val="22"/>
        </w:rPr>
        <w:t>the woman</w:t>
      </w:r>
      <w:r w:rsidRPr="00CB5675">
        <w:rPr>
          <w:szCs w:val="22"/>
        </w:rPr>
        <w:t xml:space="preserve"> was told that they were working towards moving her to the locked unit. </w:t>
      </w:r>
    </w:p>
    <w:p w14:paraId="3198C871" w14:textId="00DC0B0F" w:rsidR="00841E1C" w:rsidRPr="00CB5675" w:rsidRDefault="00841E1C" w:rsidP="00841E1C">
      <w:pPr>
        <w:spacing w:after="240"/>
        <w:rPr>
          <w:szCs w:val="22"/>
        </w:rPr>
      </w:pPr>
      <w:r w:rsidRPr="00CB5675">
        <w:rPr>
          <w:szCs w:val="22"/>
        </w:rPr>
        <w:t xml:space="preserve">At 1pm, the room was entered to allow the clinic staff to assess </w:t>
      </w:r>
      <w:r>
        <w:rPr>
          <w:szCs w:val="22"/>
        </w:rPr>
        <w:t xml:space="preserve">the </w:t>
      </w:r>
      <w:r w:rsidR="00DA1A29">
        <w:rPr>
          <w:szCs w:val="22"/>
        </w:rPr>
        <w:t>woman</w:t>
      </w:r>
      <w:r>
        <w:rPr>
          <w:szCs w:val="22"/>
        </w:rPr>
        <w:t>’s</w:t>
      </w:r>
      <w:r w:rsidRPr="00CB5675">
        <w:rPr>
          <w:szCs w:val="22"/>
        </w:rPr>
        <w:t xml:space="preserve"> mood and mental state. At 1.10pm, the seclusion was suspended, and at 2.00pm it was terminated and </w:t>
      </w:r>
      <w:r w:rsidR="00DA1A29">
        <w:rPr>
          <w:szCs w:val="22"/>
        </w:rPr>
        <w:t>the woman</w:t>
      </w:r>
      <w:r w:rsidRPr="00CB5675">
        <w:rPr>
          <w:szCs w:val="22"/>
        </w:rPr>
        <w:t xml:space="preserve"> was returned to the clinic.</w:t>
      </w:r>
    </w:p>
    <w:p w14:paraId="4D4E5D7C" w14:textId="77777777" w:rsidR="00841E1C" w:rsidRPr="006211A5" w:rsidRDefault="00841E1C" w:rsidP="00841E1C">
      <w:pPr>
        <w:pStyle w:val="Heading2"/>
        <w:rPr>
          <w:b w:val="0"/>
          <w:i/>
          <w:sz w:val="22"/>
          <w:szCs w:val="22"/>
        </w:rPr>
      </w:pPr>
      <w:bookmarkStart w:id="149" w:name="_Toc37056001"/>
      <w:bookmarkStart w:id="150" w:name="_Toc37315226"/>
      <w:bookmarkStart w:id="151" w:name="_Toc39138061"/>
      <w:r w:rsidRPr="006211A5">
        <w:rPr>
          <w:b w:val="0"/>
          <w:i/>
          <w:sz w:val="22"/>
          <w:szCs w:val="22"/>
        </w:rPr>
        <w:t>Findings</w:t>
      </w:r>
      <w:bookmarkEnd w:id="149"/>
      <w:bookmarkEnd w:id="150"/>
      <w:bookmarkEnd w:id="151"/>
    </w:p>
    <w:p w14:paraId="17BA19E5" w14:textId="77777777" w:rsidR="00DA1A29" w:rsidRDefault="00841E1C" w:rsidP="00841E1C">
      <w:pPr>
        <w:spacing w:after="240"/>
        <w:rPr>
          <w:rFonts w:cs="Arial"/>
          <w:szCs w:val="22"/>
          <w:lang w:val="en"/>
        </w:rPr>
      </w:pPr>
      <w:r w:rsidRPr="00CB5675">
        <w:rPr>
          <w:szCs w:val="22"/>
        </w:rPr>
        <w:t>A number of staff failed to comply with the DHB seclusion guideline and the Ministry of Health seclusion requirements, and with the accepted standard of care for nursing staff.</w:t>
      </w:r>
      <w:r w:rsidRPr="00CB5675">
        <w:rPr>
          <w:rFonts w:cs="Arial"/>
          <w:szCs w:val="22"/>
          <w:lang w:val="en"/>
        </w:rPr>
        <w:t xml:space="preserve"> </w:t>
      </w:r>
      <w:r>
        <w:rPr>
          <w:rFonts w:cs="Arial"/>
          <w:szCs w:val="22"/>
          <w:lang w:val="en"/>
        </w:rPr>
        <w:t xml:space="preserve"> The mental health commissioner noted that </w:t>
      </w:r>
      <w:r w:rsidRPr="00CB5675">
        <w:rPr>
          <w:rFonts w:cs="Arial"/>
          <w:szCs w:val="22"/>
          <w:lang w:val="en"/>
        </w:rPr>
        <w:t xml:space="preserve">DHBs are responsible for ensuring that staff comply with </w:t>
      </w:r>
      <w:r>
        <w:rPr>
          <w:rFonts w:cs="Arial"/>
          <w:szCs w:val="22"/>
          <w:lang w:val="en"/>
        </w:rPr>
        <w:t>their</w:t>
      </w:r>
      <w:r w:rsidRPr="00CB5675">
        <w:rPr>
          <w:rFonts w:cs="Arial"/>
          <w:szCs w:val="22"/>
          <w:lang w:val="en"/>
        </w:rPr>
        <w:t xml:space="preserve"> policies and provide care of an acceptable standard</w:t>
      </w:r>
      <w:r>
        <w:rPr>
          <w:rFonts w:cs="Arial"/>
          <w:szCs w:val="22"/>
          <w:lang w:val="en"/>
        </w:rPr>
        <w:t xml:space="preserve">, and the DHB failed to do so in this case. </w:t>
      </w:r>
    </w:p>
    <w:p w14:paraId="23375D5B" w14:textId="77777777" w:rsidR="00DA1A29" w:rsidRDefault="00841E1C" w:rsidP="00841E1C">
      <w:pPr>
        <w:spacing w:after="240"/>
        <w:rPr>
          <w:szCs w:val="22"/>
        </w:rPr>
      </w:pPr>
      <w:r w:rsidRPr="00CB5675">
        <w:rPr>
          <w:szCs w:val="22"/>
        </w:rPr>
        <w:t>The</w:t>
      </w:r>
      <w:r>
        <w:rPr>
          <w:szCs w:val="22"/>
        </w:rPr>
        <w:t xml:space="preserve"> Mental Health</w:t>
      </w:r>
      <w:r w:rsidRPr="00CB5675">
        <w:rPr>
          <w:szCs w:val="22"/>
        </w:rPr>
        <w:t xml:space="preserve"> Commissioner was not able to make a finding that the denial of clothing and bedding was a punitive action or intended to humiliate </w:t>
      </w:r>
      <w:r>
        <w:rPr>
          <w:szCs w:val="22"/>
        </w:rPr>
        <w:t>the patient</w:t>
      </w:r>
      <w:r w:rsidRPr="00CB5675">
        <w:rPr>
          <w:szCs w:val="22"/>
        </w:rPr>
        <w:t xml:space="preserve">; however, these actions </w:t>
      </w:r>
      <w:r>
        <w:rPr>
          <w:szCs w:val="22"/>
        </w:rPr>
        <w:t>we</w:t>
      </w:r>
      <w:r w:rsidRPr="00CB5675">
        <w:rPr>
          <w:szCs w:val="22"/>
        </w:rPr>
        <w:t xml:space="preserve">re considered unacceptable and unkind. </w:t>
      </w:r>
    </w:p>
    <w:p w14:paraId="52652DFF" w14:textId="7E23119E" w:rsidR="00841E1C" w:rsidRPr="00CB5675" w:rsidRDefault="00841E1C" w:rsidP="00841E1C">
      <w:pPr>
        <w:spacing w:after="240"/>
        <w:rPr>
          <w:szCs w:val="22"/>
        </w:rPr>
      </w:pPr>
      <w:r>
        <w:rPr>
          <w:szCs w:val="22"/>
        </w:rPr>
        <w:t>The Mental Health Commissioner found that t</w:t>
      </w:r>
      <w:r w:rsidRPr="00CB5675">
        <w:rPr>
          <w:szCs w:val="22"/>
        </w:rPr>
        <w:t xml:space="preserve">he manner of seclusion, over a period of approximately 18 hours, including removing </w:t>
      </w:r>
      <w:r>
        <w:rPr>
          <w:szCs w:val="22"/>
        </w:rPr>
        <w:t>of the patient’s</w:t>
      </w:r>
      <w:r w:rsidRPr="00CB5675" w:rsidDel="00041567">
        <w:rPr>
          <w:szCs w:val="22"/>
        </w:rPr>
        <w:t xml:space="preserve"> </w:t>
      </w:r>
      <w:r w:rsidRPr="00CB5675">
        <w:rPr>
          <w:szCs w:val="22"/>
        </w:rPr>
        <w:t>clothes, not providing her with a mattress, pillow or gown, and not dimming the lights overnight, meant that the DHB failed to respect</w:t>
      </w:r>
      <w:r w:rsidR="00DA1A29">
        <w:rPr>
          <w:szCs w:val="22"/>
        </w:rPr>
        <w:t xml:space="preserve"> the woman’s</w:t>
      </w:r>
      <w:r w:rsidRPr="00CB5675">
        <w:rPr>
          <w:szCs w:val="22"/>
        </w:rPr>
        <w:t xml:space="preserve"> dignity and independence </w:t>
      </w:r>
      <w:r w:rsidR="00DA1A29">
        <w:rPr>
          <w:szCs w:val="22"/>
        </w:rPr>
        <w:t>in breach of</w:t>
      </w:r>
      <w:r w:rsidRPr="00CB5675">
        <w:rPr>
          <w:szCs w:val="22"/>
        </w:rPr>
        <w:t xml:space="preserve"> Right 3 of the Code.</w:t>
      </w:r>
    </w:p>
    <w:p w14:paraId="0EA26236" w14:textId="77777777" w:rsidR="00841E1C" w:rsidRPr="006211A5" w:rsidRDefault="00841E1C" w:rsidP="00841E1C">
      <w:pPr>
        <w:pStyle w:val="Heading2"/>
        <w:rPr>
          <w:b w:val="0"/>
          <w:i/>
          <w:sz w:val="22"/>
          <w:szCs w:val="22"/>
        </w:rPr>
      </w:pPr>
      <w:bookmarkStart w:id="152" w:name="_Toc37056002"/>
      <w:bookmarkStart w:id="153" w:name="_Toc37315227"/>
      <w:bookmarkStart w:id="154" w:name="_Toc39138062"/>
      <w:r w:rsidRPr="006211A5">
        <w:rPr>
          <w:b w:val="0"/>
          <w:i/>
          <w:sz w:val="22"/>
          <w:szCs w:val="22"/>
        </w:rPr>
        <w:t>Recommendations</w:t>
      </w:r>
      <w:bookmarkEnd w:id="152"/>
      <w:bookmarkEnd w:id="153"/>
      <w:bookmarkEnd w:id="154"/>
    </w:p>
    <w:p w14:paraId="069E6B8A" w14:textId="5824A087" w:rsidR="00841E1C" w:rsidRPr="00CB5675" w:rsidRDefault="00841E1C" w:rsidP="00841E1C">
      <w:pPr>
        <w:spacing w:line="360" w:lineRule="auto"/>
        <w:rPr>
          <w:szCs w:val="22"/>
        </w:rPr>
      </w:pPr>
      <w:r w:rsidRPr="00CB5675">
        <w:rPr>
          <w:szCs w:val="22"/>
        </w:rPr>
        <w:t>The DHB agreed to provide a written apology</w:t>
      </w:r>
      <w:r w:rsidR="00DA1A29">
        <w:rPr>
          <w:szCs w:val="22"/>
        </w:rPr>
        <w:t xml:space="preserve"> to the woman</w:t>
      </w:r>
      <w:r w:rsidRPr="00CB5675">
        <w:rPr>
          <w:szCs w:val="22"/>
        </w:rPr>
        <w:t xml:space="preserve">. </w:t>
      </w:r>
    </w:p>
    <w:p w14:paraId="06905046" w14:textId="77777777" w:rsidR="00841E1C" w:rsidRPr="00CB5675" w:rsidRDefault="00841E1C" w:rsidP="00841E1C">
      <w:pPr>
        <w:spacing w:line="360" w:lineRule="auto"/>
        <w:rPr>
          <w:szCs w:val="22"/>
        </w:rPr>
      </w:pPr>
      <w:r w:rsidRPr="00CB5675">
        <w:rPr>
          <w:szCs w:val="22"/>
        </w:rPr>
        <w:t>The DHB also agreed to undertake the following steps, with input from a consumer advisor:</w:t>
      </w:r>
    </w:p>
    <w:p w14:paraId="69643750" w14:textId="77777777" w:rsidR="00841E1C" w:rsidRPr="00CB5675" w:rsidRDefault="00841E1C" w:rsidP="00841E1C">
      <w:pPr>
        <w:pStyle w:val="ListParagraph"/>
        <w:numPr>
          <w:ilvl w:val="0"/>
          <w:numId w:val="25"/>
        </w:numPr>
        <w:ind w:left="284" w:hanging="284"/>
        <w:rPr>
          <w:rStyle w:val="ListParagraphChar"/>
          <w:rFonts w:cstheme="majorBidi"/>
          <w:bCs/>
          <w:color w:val="000000" w:themeColor="text1"/>
          <w:szCs w:val="22"/>
        </w:rPr>
      </w:pPr>
      <w:r w:rsidRPr="00CB5675">
        <w:rPr>
          <w:rStyle w:val="ListParagraphChar"/>
          <w:szCs w:val="22"/>
        </w:rPr>
        <w:t>Provide training to the psychiatric hospital’s mental health staff on restraint, seclusion, and the Code of Rights.</w:t>
      </w:r>
    </w:p>
    <w:p w14:paraId="44AAE682" w14:textId="77777777" w:rsidR="00841E1C" w:rsidRPr="00CB5675" w:rsidRDefault="00841E1C" w:rsidP="00841E1C">
      <w:pPr>
        <w:pStyle w:val="ListParagraph"/>
        <w:numPr>
          <w:ilvl w:val="0"/>
          <w:numId w:val="25"/>
        </w:numPr>
        <w:ind w:left="284" w:hanging="284"/>
        <w:rPr>
          <w:rStyle w:val="ListParagraphChar"/>
          <w:rFonts w:cstheme="majorBidi"/>
          <w:bCs/>
          <w:color w:val="000000" w:themeColor="text1"/>
          <w:szCs w:val="22"/>
        </w:rPr>
      </w:pPr>
      <w:r w:rsidRPr="00CB5675">
        <w:rPr>
          <w:rStyle w:val="ListParagraphChar"/>
          <w:szCs w:val="22"/>
        </w:rPr>
        <w:t>Review its restraint minimisation and seclusion guidelines to ensure that they provide sufficient guidance on seclusion practices in line with the current Ministry of Health guidelines and any guidance from the Health Quality &amp; Safety Commission.</w:t>
      </w:r>
    </w:p>
    <w:p w14:paraId="6B59D906" w14:textId="77777777" w:rsidR="00841E1C" w:rsidRPr="00CB5675" w:rsidRDefault="00841E1C" w:rsidP="00841E1C">
      <w:pPr>
        <w:pStyle w:val="ListParagraph"/>
        <w:numPr>
          <w:ilvl w:val="0"/>
          <w:numId w:val="25"/>
        </w:numPr>
        <w:ind w:left="284" w:hanging="284"/>
        <w:rPr>
          <w:rFonts w:cstheme="majorBidi"/>
          <w:bCs/>
          <w:color w:val="000000" w:themeColor="text1"/>
          <w:szCs w:val="22"/>
        </w:rPr>
      </w:pPr>
      <w:r w:rsidRPr="00EE2033">
        <w:rPr>
          <w:b/>
          <w:noProof/>
          <w:szCs w:val="22"/>
          <w:lang w:eastAsia="en-NZ" w:bidi="ar-SA"/>
        </w:rPr>
        <mc:AlternateContent>
          <mc:Choice Requires="wps">
            <w:drawing>
              <wp:anchor distT="45720" distB="45720" distL="114300" distR="114300" simplePos="0" relativeHeight="251661824" behindDoc="0" locked="0" layoutInCell="1" allowOverlap="1" wp14:anchorId="70F213C0" wp14:editId="11ECA0E4">
                <wp:simplePos x="0" y="0"/>
                <wp:positionH relativeFrom="margin">
                  <wp:posOffset>-1270</wp:posOffset>
                </wp:positionH>
                <wp:positionV relativeFrom="paragraph">
                  <wp:posOffset>644525</wp:posOffset>
                </wp:positionV>
                <wp:extent cx="5915025" cy="1404620"/>
                <wp:effectExtent l="0" t="0" r="28575"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04C82384" w14:textId="191355F7" w:rsidR="003E5338" w:rsidRDefault="003E5338" w:rsidP="00841E1C">
                            <w:pPr>
                              <w:shd w:val="clear" w:color="auto" w:fill="F7F7F6"/>
                              <w:spacing w:line="360" w:lineRule="atLeast"/>
                              <w:jc w:val="left"/>
                              <w:rPr>
                                <w:color w:val="000000"/>
                                <w:szCs w:val="22"/>
                                <w:lang w:eastAsia="en-NZ" w:bidi="ar-SA"/>
                              </w:rPr>
                            </w:pPr>
                            <w:r>
                              <w:rPr>
                                <w:color w:val="000000"/>
                                <w:szCs w:val="22"/>
                                <w:lang w:eastAsia="en-NZ" w:bidi="ar-SA"/>
                              </w:rPr>
                              <w:t>HDC’s clinical advisor commented: “</w:t>
                            </w:r>
                            <w:r w:rsidRPr="00F06F38">
                              <w:rPr>
                                <w:i/>
                                <w:color w:val="000000"/>
                                <w:szCs w:val="22"/>
                                <w:lang w:eastAsia="en-NZ" w:bidi="ar-SA"/>
                              </w:rPr>
                              <w:t>Sometimes mental health nurses are faced with the need to use restrictive practices such as committal, forced use of medication, restraint, and seclusion. However, even in such adverse circumstances care can be provided with sensitivity, respect, and dignity. Even under conditions of coercion consumers will appreciate attempts to provide care respectfully. Of all the learning that can be taken from this incident, the point that would make the most immediate impact on patients’ experience of care is the simple provision of every day comforts.”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213C0" id="_x0000_s1029" type="#_x0000_t202" style="position:absolute;left:0;text-align:left;margin-left:-.1pt;margin-top:50.75pt;width:465.75pt;height:110.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">
                <v:textbox style="mso-fit-shape-to-text:t">
                  <w:txbxContent>
                    <w:p w14:paraId="04C82384" w14:textId="191355F7" w:rsidR="003E5338" w:rsidRDefault="003E5338" w:rsidP="00841E1C">
                      <w:pPr>
                        <w:shd w:val="clear" w:color="auto" w:fill="F7F7F6"/>
                        <w:spacing w:line="360" w:lineRule="atLeast"/>
                        <w:jc w:val="left"/>
                        <w:rPr>
                          <w:color w:val="000000"/>
                          <w:szCs w:val="22"/>
                          <w:lang w:eastAsia="en-NZ" w:bidi="ar-SA"/>
                        </w:rPr>
                      </w:pPr>
                      <w:r>
                        <w:rPr>
                          <w:color w:val="000000"/>
                          <w:szCs w:val="22"/>
                          <w:lang w:eastAsia="en-NZ" w:bidi="ar-SA"/>
                        </w:rPr>
                        <w:t>HDC’s clinical advisor commented: “</w:t>
                      </w:r>
                      <w:r w:rsidRPr="00F06F38">
                        <w:rPr>
                          <w:i/>
                          <w:color w:val="000000"/>
                          <w:szCs w:val="22"/>
                          <w:lang w:eastAsia="en-NZ" w:bidi="ar-SA"/>
                        </w:rPr>
                        <w:t>Sometimes mental health nurses are faced with the need to use restrictive practices such as committal, forced use of medication, restraint, and seclusion. However, even in such adverse circumstances care can be provided with sensitivity, respect, and dignity. Even under conditions of coercion consumers will appreciate attempts to provide care respectfully. Of all the learning that can be taken from this incident, the point that would make the most immediate impact on patients’ experience of care is the simple provision of every day comforts.”</w:t>
                      </w:r>
                    </w:p>
                  </w:txbxContent>
                </v:textbox>
                <w10:wrap type="square" anchorx="margin"/>
              </v:shape>
            </w:pict>
          </mc:Fallback>
        </mc:AlternateContent>
      </w:r>
      <w:r w:rsidRPr="00CB5675">
        <w:rPr>
          <w:szCs w:val="22"/>
        </w:rPr>
        <w:t xml:space="preserve">Review the seclusion policy to provide specific guidance on </w:t>
      </w:r>
      <w:r>
        <w:rPr>
          <w:szCs w:val="22"/>
        </w:rPr>
        <w:t>what</w:t>
      </w:r>
      <w:r w:rsidRPr="00CB5675">
        <w:rPr>
          <w:szCs w:val="22"/>
        </w:rPr>
        <w:t xml:space="preserve"> consumers should be provided with when placed in seclusion, including clothing and bedding.</w:t>
      </w:r>
    </w:p>
    <w:p w14:paraId="70E7A62D" w14:textId="77777777" w:rsidR="00841E1C" w:rsidRDefault="00841E1C" w:rsidP="00841E1C">
      <w:pPr>
        <w:pStyle w:val="Heading1"/>
        <w:spacing w:before="0" w:after="240"/>
      </w:pPr>
    </w:p>
    <w:p w14:paraId="01DEF4E0" w14:textId="77777777" w:rsidR="00841E1C" w:rsidRDefault="00841E1C" w:rsidP="00841E1C">
      <w:pPr>
        <w:rPr>
          <w:lang w:bidi="ar-SA"/>
        </w:rPr>
      </w:pPr>
    </w:p>
    <w:p w14:paraId="6164F7D6" w14:textId="77777777" w:rsidR="00841E1C" w:rsidRDefault="00841E1C" w:rsidP="00841E1C">
      <w:pPr>
        <w:rPr>
          <w:lang w:bidi="ar-SA"/>
        </w:rPr>
      </w:pPr>
    </w:p>
    <w:p w14:paraId="7984AB00" w14:textId="77777777" w:rsidR="00841E1C" w:rsidRDefault="00841E1C" w:rsidP="00841E1C">
      <w:pPr>
        <w:rPr>
          <w:lang w:bidi="ar-SA"/>
        </w:rPr>
      </w:pPr>
    </w:p>
    <w:p w14:paraId="71A1232C" w14:textId="77777777" w:rsidR="00841E1C" w:rsidRDefault="00841E1C" w:rsidP="00841E1C">
      <w:pPr>
        <w:rPr>
          <w:lang w:bidi="ar-SA"/>
        </w:rPr>
      </w:pPr>
    </w:p>
    <w:p w14:paraId="4DCF38B5" w14:textId="77777777" w:rsidR="00841E1C" w:rsidRDefault="00841E1C" w:rsidP="00841E1C">
      <w:pPr>
        <w:rPr>
          <w:lang w:bidi="ar-SA"/>
        </w:rPr>
      </w:pPr>
    </w:p>
    <w:p w14:paraId="21BF5CFC" w14:textId="77777777" w:rsidR="00841E1C" w:rsidRDefault="00841E1C" w:rsidP="00841E1C">
      <w:pPr>
        <w:rPr>
          <w:lang w:bidi="ar-SA"/>
        </w:rPr>
      </w:pPr>
    </w:p>
    <w:p w14:paraId="455EF23C" w14:textId="77777777" w:rsidR="00841E1C" w:rsidRDefault="00841E1C" w:rsidP="00841E1C">
      <w:pPr>
        <w:rPr>
          <w:lang w:bidi="ar-SA"/>
        </w:rPr>
      </w:pPr>
    </w:p>
    <w:p w14:paraId="667FB499" w14:textId="77777777" w:rsidR="00841E1C" w:rsidRDefault="00841E1C" w:rsidP="00841E1C">
      <w:pPr>
        <w:rPr>
          <w:lang w:bidi="ar-SA"/>
        </w:rPr>
      </w:pPr>
    </w:p>
    <w:p w14:paraId="4C403264" w14:textId="77777777" w:rsidR="00E02E02" w:rsidRDefault="00E02E02"/>
    <w:sectPr w:rsidR="00E02E02" w:rsidSect="00B0153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83E46" w14:textId="77777777" w:rsidR="003E5338" w:rsidRDefault="003E5338" w:rsidP="00841E1C">
      <w:r>
        <w:separator/>
      </w:r>
    </w:p>
  </w:endnote>
  <w:endnote w:type="continuationSeparator" w:id="0">
    <w:p w14:paraId="1C2E75E1" w14:textId="77777777" w:rsidR="003E5338" w:rsidRDefault="003E5338" w:rsidP="0084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pitch w:val="variable"/>
    <w:sig w:usb0="00000003" w:usb1="00000000" w:usb2="00000000" w:usb3="00000000" w:csb0="00000001" w:csb1="00000000"/>
  </w:font>
  <w:font w:name="Source Sans Pro">
    <w:altName w:val="Cambria Math"/>
    <w:charset w:val="00"/>
    <w:family w:val="swiss"/>
    <w:pitch w:val="variable"/>
    <w:sig w:usb0="600002F7" w:usb1="02000001"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6F76" w14:textId="77777777" w:rsidR="003E5338" w:rsidRDefault="003E5338" w:rsidP="00841E1C">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Pr>
        <w:noProof/>
        <w:szCs w:val="22"/>
      </w:rPr>
      <w:t>xxii</w:t>
    </w:r>
    <w:r w:rsidRPr="0073317F">
      <w:rP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2CD1E" w14:textId="77777777" w:rsidR="00576D3F" w:rsidRDefault="00576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A1CE1" w14:textId="77777777" w:rsidR="003E5338" w:rsidRDefault="003E5338" w:rsidP="00841E1C">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4DBE6" w14:textId="77777777" w:rsidR="003E5338" w:rsidRDefault="003E5338" w:rsidP="00841E1C">
      <w:r>
        <w:separator/>
      </w:r>
    </w:p>
  </w:footnote>
  <w:footnote w:type="continuationSeparator" w:id="0">
    <w:p w14:paraId="2BF9D905" w14:textId="77777777" w:rsidR="003E5338" w:rsidRDefault="003E5338" w:rsidP="00841E1C">
      <w:r>
        <w:continuationSeparator/>
      </w:r>
    </w:p>
  </w:footnote>
  <w:footnote w:id="1">
    <w:p w14:paraId="07A16B4B" w14:textId="77777777" w:rsidR="003E5338" w:rsidRDefault="003E5338" w:rsidP="00841E1C">
      <w:pPr>
        <w:pStyle w:val="FootnoteText"/>
        <w:rPr>
          <w:lang w:val="en-US"/>
        </w:rPr>
      </w:pPr>
      <w:r w:rsidRPr="003E5338">
        <w:rPr>
          <w:rStyle w:val="FootnoteReference"/>
        </w:rPr>
        <w:footnoteRef/>
      </w:r>
      <w:r>
        <w:t xml:space="preserve"> </w:t>
      </w:r>
      <w:r>
        <w:rPr>
          <w:lang w:val="en-US"/>
        </w:rPr>
        <w:t>Provisional as of date of extraction (6 January 2020).</w:t>
      </w:r>
    </w:p>
  </w:footnote>
  <w:footnote w:id="2">
    <w:p w14:paraId="510229DA" w14:textId="29375714" w:rsidR="003E5338" w:rsidRDefault="003E5338">
      <w:pPr>
        <w:pStyle w:val="FootnoteText"/>
      </w:pPr>
      <w:r w:rsidRPr="003E5338">
        <w:rPr>
          <w:rStyle w:val="FootnoteReference"/>
        </w:rPr>
        <w:footnoteRef/>
      </w:r>
      <w:r>
        <w:t xml:space="preserve"> </w:t>
      </w:r>
      <w:r>
        <w:rPr>
          <w:lang w:eastAsia="en-NZ" w:bidi="ar-SA"/>
        </w:rPr>
        <w:t xml:space="preserve">The rate for </w:t>
      </w:r>
      <w:r>
        <w:rPr>
          <w:rFonts w:ascii="Calibri" w:hAnsi="Calibri"/>
          <w:lang w:eastAsia="en-NZ" w:bidi="ar-SA"/>
        </w:rPr>
        <w:t xml:space="preserve">Jan-Jun </w:t>
      </w:r>
      <w:r>
        <w:rPr>
          <w:lang w:eastAsia="en-NZ" w:bidi="ar-SA"/>
        </w:rPr>
        <w:t>2019 has been recalculated based on the most recent discharge data.</w:t>
      </w:r>
    </w:p>
  </w:footnote>
  <w:footnote w:id="3">
    <w:p w14:paraId="569DC827" w14:textId="77777777" w:rsidR="003E5338" w:rsidRDefault="003E5338" w:rsidP="00841E1C">
      <w:pPr>
        <w:pStyle w:val="FootnoteText"/>
        <w:rPr>
          <w:lang w:val="en-US"/>
        </w:rPr>
      </w:pPr>
      <w:r w:rsidRPr="003E5338">
        <w:rPr>
          <w:rStyle w:val="FootnoteReference"/>
        </w:rPr>
        <w:footnoteRef/>
      </w:r>
      <w:r>
        <w:t xml:space="preserve"> </w:t>
      </w:r>
      <w:r>
        <w:rPr>
          <w:lang w:val="en-US"/>
        </w:rPr>
        <w:t>Please note that some complaints will involve more than one DHB, and therefore the total number of complaints received for each DHB will be larger than the number of complaints received about care provided by DHBs.</w:t>
      </w:r>
    </w:p>
  </w:footnote>
  <w:footnote w:id="4">
    <w:p w14:paraId="7E146AF0" w14:textId="77777777" w:rsidR="003E5338" w:rsidRDefault="003E5338" w:rsidP="00841E1C">
      <w:pPr>
        <w:pStyle w:val="FootnoteText"/>
        <w:spacing w:after="240"/>
      </w:pPr>
      <w:r w:rsidRPr="003E5338">
        <w:rPr>
          <w:rStyle w:val="FootnoteReference"/>
        </w:rPr>
        <w:footnoteRef/>
      </w:r>
      <w:r>
        <w:t xml:space="preserve"> Note that complaints may be received in one six-month period and closed in another six-month period </w:t>
      </w:r>
      <w:r>
        <w:rPr>
          <w:rFonts w:ascii="Calibri" w:hAnsi="Calibri"/>
        </w:rPr>
        <w:t>—</w:t>
      </w:r>
      <w:r>
        <w:t xml:space="preserve"> therefore, the number of complaints received will not correlate with the number of complaints closed. </w:t>
      </w:r>
    </w:p>
  </w:footnote>
  <w:footnote w:id="5">
    <w:p w14:paraId="7057732B" w14:textId="77777777" w:rsidR="003E5338" w:rsidRDefault="003E5338" w:rsidP="00841E1C">
      <w:pPr>
        <w:pStyle w:val="FootnoteText"/>
      </w:pPr>
      <w:r w:rsidRPr="003E5338">
        <w:rPr>
          <w:rStyle w:val="FootnoteReference"/>
        </w:rPr>
        <w:footnoteRef/>
      </w:r>
      <w:r>
        <w:t xml:space="preserve"> Note that outcomes are displayed in descending order. If there is more than one outcome for a DHB upon resolution of a complaint, then only the outcome that is listed highest in the table is included.</w:t>
      </w:r>
    </w:p>
    <w:p w14:paraId="63E95B8A" w14:textId="3F796E6D" w:rsidR="003E5338" w:rsidRDefault="003E5338" w:rsidP="007B4171">
      <w:pPr>
        <w:pStyle w:val="FootnoteText"/>
      </w:pPr>
      <w:r>
        <w:rPr>
          <w:vertAlign w:val="superscript"/>
        </w:rPr>
        <w:t>6</w:t>
      </w:r>
      <w:r>
        <w:rPr>
          <w:lang w:val="en-US"/>
        </w:rPr>
        <w:t xml:space="preserve">The Commissioner has a wide discretion to take no further action on a complaint. For example, the Commissioner may take no further action because careful assessment indicates that a provider’s actions were reasonable in the circumstances, or that the matters that are the subject of the complaint have been, or are being, or will be, appropriately addressed by other means. This may happen, for example, where a DHB has carefully reviewed the case itself and no further value would be added by HDC investigating, or where another agency is reviewing, or has carefully reviewed the matter (for example, the Coroner, the Director-General of Health, or a District Inspector). Assessment of a complaint prior to a decision to take no further action will usually involve obtaining and reviewing a response from the provider, </w:t>
      </w:r>
      <w:r w:rsidRPr="00900CC1">
        <w:rPr>
          <w:szCs w:val="22"/>
        </w:rPr>
        <w:t xml:space="preserve">seeking </w:t>
      </w:r>
      <w:r>
        <w:rPr>
          <w:szCs w:val="22"/>
        </w:rPr>
        <w:t xml:space="preserve">clinical </w:t>
      </w:r>
      <w:r w:rsidRPr="00900CC1">
        <w:rPr>
          <w:szCs w:val="22"/>
        </w:rPr>
        <w:t>advice</w:t>
      </w:r>
      <w:r>
        <w:rPr>
          <w:szCs w:val="22"/>
        </w:rPr>
        <w:t>,</w:t>
      </w:r>
      <w:r w:rsidRPr="00900CC1">
        <w:rPr>
          <w:szCs w:val="22"/>
        </w:rPr>
        <w:t xml:space="preserve"> and asking for input/information from the consumer or other </w:t>
      </w:r>
      <w:r>
        <w:rPr>
          <w:szCs w:val="22"/>
        </w:rPr>
        <w:t>people.</w:t>
      </w:r>
    </w:p>
  </w:footnote>
  <w:footnote w:id="6">
    <w:p w14:paraId="54628508" w14:textId="6567B377" w:rsidR="003E5338" w:rsidRDefault="003E5338">
      <w:pPr>
        <w:pStyle w:val="FootnoteText"/>
      </w:pPr>
      <w:r w:rsidRPr="003E5338">
        <w:rPr>
          <w:rStyle w:val="FootnoteReference"/>
        </w:rPr>
        <w:t>7</w:t>
      </w:r>
      <w:r>
        <w:t xml:space="preserve"> </w:t>
      </w:r>
      <w:r>
        <w:rPr>
          <w:lang w:val="en-US"/>
        </w:rPr>
        <w:t>In line with their responsibilities under the Code, DHBs have developed systems to address complaints in a timely and appropriate way. It is often appropriate for HDC to refer a complaint to the DHB to resolve, with a requirement that the DHB report back to HDC on the outcome of its handling of the complaint.</w:t>
      </w:r>
    </w:p>
  </w:footnote>
  <w:footnote w:id="7">
    <w:p w14:paraId="26F7CD3B" w14:textId="565CC188" w:rsidR="003E5338" w:rsidRPr="003E5338" w:rsidRDefault="003E5338">
      <w:pPr>
        <w:pStyle w:val="FootnoteText"/>
        <w:rPr>
          <w:rStyle w:val="FootnoteReference"/>
        </w:rPr>
      </w:pPr>
    </w:p>
  </w:footnote>
  <w:footnote w:id="8">
    <w:p w14:paraId="0A699999" w14:textId="77777777" w:rsidR="003E5338" w:rsidRDefault="003E5338" w:rsidP="00841E1C">
      <w:pPr>
        <w:pStyle w:val="FootnoteText"/>
      </w:pPr>
      <w:r w:rsidRPr="003E5338">
        <w:rPr>
          <w:rStyle w:val="FootnoteReference"/>
        </w:rPr>
        <w:footnoteRef/>
      </w:r>
      <w:r>
        <w:t xml:space="preserve"> A procedure using X-ray imaging to visualise the heart’s blood vessels.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3C866" w14:textId="77777777" w:rsidR="00576D3F" w:rsidRDefault="00576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A2EC" w14:textId="77777777" w:rsidR="00576D3F" w:rsidRDefault="00576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AE29B" w14:textId="77777777" w:rsidR="00576D3F" w:rsidRDefault="00576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15D"/>
    <w:multiLevelType w:val="hybridMultilevel"/>
    <w:tmpl w:val="AB206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F8104F"/>
    <w:multiLevelType w:val="hybridMultilevel"/>
    <w:tmpl w:val="C1A8F0D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D873577"/>
    <w:multiLevelType w:val="hybridMultilevel"/>
    <w:tmpl w:val="8DF43D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C80E2E"/>
    <w:multiLevelType w:val="hybridMultilevel"/>
    <w:tmpl w:val="3AA8BD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873AF9"/>
    <w:multiLevelType w:val="hybridMultilevel"/>
    <w:tmpl w:val="1452DC7E"/>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4B8152E"/>
    <w:multiLevelType w:val="hybridMultilevel"/>
    <w:tmpl w:val="40847702"/>
    <w:lvl w:ilvl="0" w:tplc="174C0F20">
      <w:start w:val="1"/>
      <w:numFmt w:val="bullet"/>
      <w:pStyle w:val="Bulletlist"/>
      <w:lvlText w:val=""/>
      <w:lvlJc w:val="left"/>
      <w:pPr>
        <w:ind w:left="720" w:hanging="360"/>
      </w:pPr>
      <w:rPr>
        <w:rFonts w:ascii="Symbol" w:hAnsi="Symbol" w:hint="default"/>
        <w:sz w:val="24"/>
        <w:szCs w:val="24"/>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14E12B8A"/>
    <w:multiLevelType w:val="hybridMultilevel"/>
    <w:tmpl w:val="2640D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931DEB"/>
    <w:multiLevelType w:val="hybridMultilevel"/>
    <w:tmpl w:val="EB5EF2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66038E"/>
    <w:multiLevelType w:val="hybridMultilevel"/>
    <w:tmpl w:val="2714A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420157C"/>
    <w:multiLevelType w:val="hybridMultilevel"/>
    <w:tmpl w:val="CBE0F3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287D05C1"/>
    <w:multiLevelType w:val="hybridMultilevel"/>
    <w:tmpl w:val="C344A9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2B8F39F4"/>
    <w:multiLevelType w:val="hybridMultilevel"/>
    <w:tmpl w:val="F92491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E81E14"/>
    <w:multiLevelType w:val="hybridMultilevel"/>
    <w:tmpl w:val="F8742488"/>
    <w:lvl w:ilvl="0" w:tplc="14090001">
      <w:start w:val="1"/>
      <w:numFmt w:val="bullet"/>
      <w:pStyle w:val="abclis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3" w15:restartNumberingAfterBreak="0">
    <w:nsid w:val="310F4724"/>
    <w:multiLevelType w:val="hybridMultilevel"/>
    <w:tmpl w:val="01486556"/>
    <w:lvl w:ilvl="0" w:tplc="33FE280E">
      <w:start w:val="1"/>
      <w:numFmt w:val="lowerLetter"/>
      <w:pStyle w:val="Recommendationfinalpoint"/>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8AC6FFF"/>
    <w:multiLevelType w:val="hybridMultilevel"/>
    <w:tmpl w:val="AE6AA5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F2C306B"/>
    <w:multiLevelType w:val="hybridMultilevel"/>
    <w:tmpl w:val="12F0E210"/>
    <w:lvl w:ilvl="0" w:tplc="2B7208C8">
      <w:start w:val="1"/>
      <w:numFmt w:val="bullet"/>
      <w:pStyle w:val="Bulletitalfinal"/>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21B5975"/>
    <w:multiLevelType w:val="hybridMultilevel"/>
    <w:tmpl w:val="6BFE6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2AA4248"/>
    <w:multiLevelType w:val="hybridMultilevel"/>
    <w:tmpl w:val="EAFA25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4464542"/>
    <w:multiLevelType w:val="hybridMultilevel"/>
    <w:tmpl w:val="8084B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4615289"/>
    <w:multiLevelType w:val="hybridMultilevel"/>
    <w:tmpl w:val="190E7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5A0003E4"/>
    <w:multiLevelType w:val="hybridMultilevel"/>
    <w:tmpl w:val="C980C0B4"/>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5C01536D"/>
    <w:multiLevelType w:val="hybridMultilevel"/>
    <w:tmpl w:val="BEBCC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2C901F3"/>
    <w:multiLevelType w:val="hybridMultilevel"/>
    <w:tmpl w:val="0D168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E8252DF"/>
    <w:multiLevelType w:val="hybridMultilevel"/>
    <w:tmpl w:val="E9945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3EE45F9"/>
    <w:multiLevelType w:val="hybridMultilevel"/>
    <w:tmpl w:val="E79E1568"/>
    <w:lvl w:ilvl="0" w:tplc="A656DF28">
      <w:start w:val="1"/>
      <w:numFmt w:val="decimal"/>
      <w:lvlText w:val="%1."/>
      <w:lvlJc w:val="left"/>
      <w:pPr>
        <w:ind w:left="360" w:hanging="360"/>
      </w:pPr>
      <w:rPr>
        <w:i w:val="0"/>
        <w:sz w:val="16"/>
        <w:szCs w:val="16"/>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5" w15:restartNumberingAfterBreak="0">
    <w:nsid w:val="7F66433D"/>
    <w:multiLevelType w:val="hybridMultilevel"/>
    <w:tmpl w:val="5FA472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6"/>
  </w:num>
  <w:num w:numId="4">
    <w:abstractNumId w:val="21"/>
  </w:num>
  <w:num w:numId="5">
    <w:abstractNumId w:val="22"/>
  </w:num>
  <w:num w:numId="6">
    <w:abstractNumId w:val="18"/>
  </w:num>
  <w:num w:numId="7">
    <w:abstractNumId w:val="7"/>
  </w:num>
  <w:num w:numId="8">
    <w:abstractNumId w:val="11"/>
  </w:num>
  <w:num w:numId="9">
    <w:abstractNumId w:val="15"/>
  </w:num>
  <w:num w:numId="10">
    <w:abstractNumId w:val="3"/>
  </w:num>
  <w:num w:numId="11">
    <w:abstractNumId w:val="8"/>
  </w:num>
  <w:num w:numId="12">
    <w:abstractNumId w:val="17"/>
  </w:num>
  <w:num w:numId="13">
    <w:abstractNumId w:val="2"/>
  </w:num>
  <w:num w:numId="14">
    <w:abstractNumId w:val="0"/>
  </w:num>
  <w:num w:numId="15">
    <w:abstractNumId w:val="25"/>
  </w:num>
  <w:num w:numId="16">
    <w:abstractNumId w:val="16"/>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0"/>
  </w:num>
  <w:num w:numId="23">
    <w:abstractNumId w:val="1"/>
  </w:num>
  <w:num w:numId="24">
    <w:abstractNumId w:val="9"/>
  </w:num>
  <w:num w:numId="25">
    <w:abstractNumId w:val="19"/>
  </w:num>
  <w:num w:numId="26">
    <w:abstractNumId w:val="4"/>
  </w:num>
  <w:num w:numId="27">
    <w:abstractNumId w:val="20"/>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1C"/>
    <w:rsid w:val="00005B1C"/>
    <w:rsid w:val="000153C6"/>
    <w:rsid w:val="00020C01"/>
    <w:rsid w:val="00091893"/>
    <w:rsid w:val="00091B1A"/>
    <w:rsid w:val="000C2A30"/>
    <w:rsid w:val="00122583"/>
    <w:rsid w:val="001423D2"/>
    <w:rsid w:val="00144EF1"/>
    <w:rsid w:val="00165F89"/>
    <w:rsid w:val="001918F5"/>
    <w:rsid w:val="001A7A8B"/>
    <w:rsid w:val="0024163A"/>
    <w:rsid w:val="00241D4D"/>
    <w:rsid w:val="002538E2"/>
    <w:rsid w:val="00281A03"/>
    <w:rsid w:val="002D7A73"/>
    <w:rsid w:val="00337477"/>
    <w:rsid w:val="003A6FD3"/>
    <w:rsid w:val="003E5338"/>
    <w:rsid w:val="00417404"/>
    <w:rsid w:val="00470EF6"/>
    <w:rsid w:val="00492E7E"/>
    <w:rsid w:val="0050633F"/>
    <w:rsid w:val="00552AE7"/>
    <w:rsid w:val="00576D3F"/>
    <w:rsid w:val="00591D29"/>
    <w:rsid w:val="005A4245"/>
    <w:rsid w:val="005A62C7"/>
    <w:rsid w:val="00601B37"/>
    <w:rsid w:val="00670245"/>
    <w:rsid w:val="00681BC2"/>
    <w:rsid w:val="006A440C"/>
    <w:rsid w:val="006D0558"/>
    <w:rsid w:val="006D765D"/>
    <w:rsid w:val="00730FE5"/>
    <w:rsid w:val="00744152"/>
    <w:rsid w:val="007B09E9"/>
    <w:rsid w:val="007B4171"/>
    <w:rsid w:val="007E3238"/>
    <w:rsid w:val="0080255D"/>
    <w:rsid w:val="00833240"/>
    <w:rsid w:val="00841E1C"/>
    <w:rsid w:val="00901F8B"/>
    <w:rsid w:val="00934DBE"/>
    <w:rsid w:val="00A16504"/>
    <w:rsid w:val="00A6153A"/>
    <w:rsid w:val="00A65512"/>
    <w:rsid w:val="00A836D6"/>
    <w:rsid w:val="00A9576A"/>
    <w:rsid w:val="00A96DAD"/>
    <w:rsid w:val="00AC196B"/>
    <w:rsid w:val="00AC554E"/>
    <w:rsid w:val="00B01533"/>
    <w:rsid w:val="00BA0E01"/>
    <w:rsid w:val="00C14A6A"/>
    <w:rsid w:val="00C30F89"/>
    <w:rsid w:val="00CF0053"/>
    <w:rsid w:val="00D01CE1"/>
    <w:rsid w:val="00DA1A29"/>
    <w:rsid w:val="00DE03A0"/>
    <w:rsid w:val="00E02E02"/>
    <w:rsid w:val="00E217F6"/>
    <w:rsid w:val="00E463C2"/>
    <w:rsid w:val="00E966CD"/>
    <w:rsid w:val="00ED7A15"/>
    <w:rsid w:val="00F6375D"/>
    <w:rsid w:val="00F726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B18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1C"/>
    <w:pPr>
      <w:spacing w:after="0" w:line="240" w:lineRule="auto"/>
      <w:jc w:val="both"/>
    </w:pPr>
    <w:rPr>
      <w:rFonts w:eastAsia="Times New Roman" w:cs="Times New Roman"/>
      <w:szCs w:val="24"/>
      <w:lang w:bidi="he-IL"/>
    </w:rPr>
  </w:style>
  <w:style w:type="paragraph" w:styleId="Heading1">
    <w:name w:val="heading 1"/>
    <w:basedOn w:val="Normal"/>
    <w:next w:val="Normal"/>
    <w:link w:val="Heading1Char"/>
    <w:qFormat/>
    <w:rsid w:val="00841E1C"/>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841E1C"/>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841E1C"/>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E1C"/>
    <w:rPr>
      <w:rFonts w:eastAsia="Times New Roman" w:cs="Times New Roman"/>
      <w:b/>
      <w:bCs/>
      <w:sz w:val="32"/>
      <w:szCs w:val="24"/>
      <w:lang w:val="en-AU"/>
    </w:rPr>
  </w:style>
  <w:style w:type="character" w:customStyle="1" w:styleId="Heading2Char">
    <w:name w:val="Heading 2 Char"/>
    <w:basedOn w:val="DefaultParagraphFont"/>
    <w:link w:val="Heading2"/>
    <w:rsid w:val="00841E1C"/>
    <w:rPr>
      <w:rFonts w:eastAsia="Times New Roman" w:cs="Times New Roman"/>
      <w:b/>
      <w:iCs/>
      <w:sz w:val="24"/>
      <w:szCs w:val="24"/>
      <w:lang w:val="en-AU"/>
    </w:rPr>
  </w:style>
  <w:style w:type="character" w:customStyle="1" w:styleId="Heading3Char">
    <w:name w:val="Heading 3 Char"/>
    <w:basedOn w:val="DefaultParagraphFont"/>
    <w:link w:val="Heading3"/>
    <w:rsid w:val="00841E1C"/>
    <w:rPr>
      <w:rFonts w:eastAsia="Times New Roman" w:cs="Arial"/>
      <w:bCs/>
      <w:i/>
      <w:szCs w:val="26"/>
      <w:lang w:bidi="he-IL"/>
    </w:rPr>
  </w:style>
  <w:style w:type="table" w:styleId="TableGrid">
    <w:name w:val="Table Grid"/>
    <w:basedOn w:val="TableNormal"/>
    <w:uiPriority w:val="59"/>
    <w:rsid w:val="00841E1C"/>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41E1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41E1C"/>
    <w:rPr>
      <w:rFonts w:ascii="Tahoma" w:eastAsia="Times New Roman" w:hAnsi="Tahoma" w:cs="Tahoma"/>
      <w:szCs w:val="24"/>
      <w:shd w:val="clear" w:color="auto" w:fill="000080"/>
      <w:lang w:bidi="he-IL"/>
    </w:rPr>
  </w:style>
  <w:style w:type="paragraph" w:styleId="BalloonText">
    <w:name w:val="Balloon Text"/>
    <w:basedOn w:val="Normal"/>
    <w:link w:val="BalloonTextChar"/>
    <w:uiPriority w:val="99"/>
    <w:semiHidden/>
    <w:rsid w:val="00841E1C"/>
    <w:rPr>
      <w:rFonts w:ascii="Tahoma" w:hAnsi="Tahoma" w:cs="Tahoma"/>
      <w:sz w:val="16"/>
      <w:szCs w:val="16"/>
    </w:rPr>
  </w:style>
  <w:style w:type="character" w:customStyle="1" w:styleId="BalloonTextChar">
    <w:name w:val="Balloon Text Char"/>
    <w:basedOn w:val="DefaultParagraphFont"/>
    <w:link w:val="BalloonText"/>
    <w:uiPriority w:val="99"/>
    <w:semiHidden/>
    <w:rsid w:val="00841E1C"/>
    <w:rPr>
      <w:rFonts w:ascii="Tahoma" w:eastAsia="Times New Roman" w:hAnsi="Tahoma" w:cs="Tahoma"/>
      <w:sz w:val="16"/>
      <w:szCs w:val="16"/>
      <w:lang w:bidi="he-IL"/>
    </w:rPr>
  </w:style>
  <w:style w:type="paragraph" w:styleId="Header">
    <w:name w:val="header"/>
    <w:basedOn w:val="Normal"/>
    <w:link w:val="HeaderChar"/>
    <w:uiPriority w:val="99"/>
    <w:rsid w:val="00841E1C"/>
    <w:pPr>
      <w:tabs>
        <w:tab w:val="center" w:pos="4153"/>
        <w:tab w:val="right" w:pos="8306"/>
      </w:tabs>
    </w:pPr>
  </w:style>
  <w:style w:type="character" w:customStyle="1" w:styleId="HeaderChar">
    <w:name w:val="Header Char"/>
    <w:basedOn w:val="DefaultParagraphFont"/>
    <w:link w:val="Header"/>
    <w:uiPriority w:val="99"/>
    <w:rsid w:val="00841E1C"/>
    <w:rPr>
      <w:rFonts w:eastAsia="Times New Roman" w:cs="Times New Roman"/>
      <w:szCs w:val="24"/>
      <w:lang w:bidi="he-IL"/>
    </w:rPr>
  </w:style>
  <w:style w:type="paragraph" w:styleId="Footer">
    <w:name w:val="footer"/>
    <w:basedOn w:val="Normal"/>
    <w:link w:val="FooterChar"/>
    <w:uiPriority w:val="99"/>
    <w:rsid w:val="00841E1C"/>
    <w:pPr>
      <w:tabs>
        <w:tab w:val="center" w:pos="4153"/>
        <w:tab w:val="right" w:pos="8306"/>
      </w:tabs>
      <w:jc w:val="right"/>
    </w:pPr>
  </w:style>
  <w:style w:type="character" w:customStyle="1" w:styleId="FooterChar">
    <w:name w:val="Footer Char"/>
    <w:basedOn w:val="DefaultParagraphFont"/>
    <w:link w:val="Footer"/>
    <w:uiPriority w:val="99"/>
    <w:rsid w:val="00841E1C"/>
    <w:rPr>
      <w:rFonts w:eastAsia="Times New Roman" w:cs="Times New Roman"/>
      <w:szCs w:val="24"/>
      <w:lang w:bidi="he-IL"/>
    </w:rPr>
  </w:style>
  <w:style w:type="paragraph" w:styleId="FootnoteText">
    <w:name w:val="footnote text"/>
    <w:basedOn w:val="Normal"/>
    <w:link w:val="FootnoteTextChar"/>
    <w:uiPriority w:val="99"/>
    <w:semiHidden/>
    <w:rsid w:val="00841E1C"/>
    <w:rPr>
      <w:sz w:val="20"/>
      <w:szCs w:val="20"/>
    </w:rPr>
  </w:style>
  <w:style w:type="character" w:customStyle="1" w:styleId="FootnoteTextChar">
    <w:name w:val="Footnote Text Char"/>
    <w:basedOn w:val="DefaultParagraphFont"/>
    <w:link w:val="FootnoteText"/>
    <w:uiPriority w:val="99"/>
    <w:semiHidden/>
    <w:rsid w:val="00841E1C"/>
    <w:rPr>
      <w:rFonts w:eastAsia="Times New Roman" w:cs="Times New Roman"/>
      <w:sz w:val="20"/>
      <w:szCs w:val="20"/>
      <w:lang w:bidi="he-IL"/>
    </w:rPr>
  </w:style>
  <w:style w:type="character" w:styleId="FootnoteReference">
    <w:name w:val="footnote reference"/>
    <w:basedOn w:val="DefaultParagraphFont"/>
    <w:uiPriority w:val="99"/>
    <w:semiHidden/>
    <w:rsid w:val="00841E1C"/>
    <w:rPr>
      <w:vertAlign w:val="superscript"/>
    </w:rPr>
  </w:style>
  <w:style w:type="character" w:styleId="EndnoteReference">
    <w:name w:val="endnote reference"/>
    <w:basedOn w:val="DefaultParagraphFont"/>
    <w:semiHidden/>
    <w:rsid w:val="00841E1C"/>
    <w:rPr>
      <w:vertAlign w:val="superscript"/>
    </w:rPr>
  </w:style>
  <w:style w:type="character" w:styleId="CommentReference">
    <w:name w:val="annotation reference"/>
    <w:basedOn w:val="DefaultParagraphFont"/>
    <w:uiPriority w:val="99"/>
    <w:semiHidden/>
    <w:rsid w:val="00841E1C"/>
    <w:rPr>
      <w:sz w:val="16"/>
      <w:szCs w:val="16"/>
    </w:rPr>
  </w:style>
  <w:style w:type="paragraph" w:styleId="CommentText">
    <w:name w:val="annotation text"/>
    <w:basedOn w:val="Normal"/>
    <w:link w:val="CommentTextChar"/>
    <w:uiPriority w:val="99"/>
    <w:semiHidden/>
    <w:rsid w:val="00841E1C"/>
    <w:rPr>
      <w:sz w:val="20"/>
      <w:szCs w:val="20"/>
    </w:rPr>
  </w:style>
  <w:style w:type="character" w:customStyle="1" w:styleId="CommentTextChar">
    <w:name w:val="Comment Text Char"/>
    <w:basedOn w:val="DefaultParagraphFont"/>
    <w:link w:val="CommentText"/>
    <w:uiPriority w:val="99"/>
    <w:semiHidden/>
    <w:rsid w:val="00841E1C"/>
    <w:rPr>
      <w:rFonts w:eastAsia="Times New Roman" w:cs="Times New Roman"/>
      <w:sz w:val="20"/>
      <w:szCs w:val="20"/>
      <w:lang w:bidi="he-IL"/>
    </w:rPr>
  </w:style>
  <w:style w:type="paragraph" w:styleId="CommentSubject">
    <w:name w:val="annotation subject"/>
    <w:basedOn w:val="CommentText"/>
    <w:next w:val="CommentText"/>
    <w:link w:val="CommentSubjectChar"/>
    <w:uiPriority w:val="99"/>
    <w:semiHidden/>
    <w:rsid w:val="00841E1C"/>
    <w:rPr>
      <w:b/>
      <w:bCs/>
    </w:rPr>
  </w:style>
  <w:style w:type="character" w:customStyle="1" w:styleId="CommentSubjectChar">
    <w:name w:val="Comment Subject Char"/>
    <w:basedOn w:val="CommentTextChar"/>
    <w:link w:val="CommentSubject"/>
    <w:uiPriority w:val="99"/>
    <w:semiHidden/>
    <w:rsid w:val="00841E1C"/>
    <w:rPr>
      <w:rFonts w:eastAsia="Times New Roman" w:cs="Times New Roman"/>
      <w:b/>
      <w:bCs/>
      <w:sz w:val="20"/>
      <w:szCs w:val="20"/>
      <w:lang w:bidi="he-IL"/>
    </w:rPr>
  </w:style>
  <w:style w:type="character" w:styleId="Hyperlink">
    <w:name w:val="Hyperlink"/>
    <w:basedOn w:val="DefaultParagraphFont"/>
    <w:uiPriority w:val="99"/>
    <w:rsid w:val="00841E1C"/>
    <w:rPr>
      <w:color w:val="0000FF"/>
      <w:u w:val="single"/>
    </w:rPr>
  </w:style>
  <w:style w:type="character" w:styleId="PageNumber">
    <w:name w:val="page number"/>
    <w:basedOn w:val="DefaultParagraphFont"/>
    <w:rsid w:val="00841E1C"/>
  </w:style>
  <w:style w:type="paragraph" w:customStyle="1" w:styleId="Default">
    <w:name w:val="Default"/>
    <w:uiPriority w:val="99"/>
    <w:rsid w:val="00841E1C"/>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NZ"/>
    </w:rPr>
  </w:style>
  <w:style w:type="paragraph" w:customStyle="1" w:styleId="Bulletindent">
    <w:name w:val="Bullet indent"/>
    <w:basedOn w:val="Normal"/>
    <w:rsid w:val="00841E1C"/>
    <w:pPr>
      <w:tabs>
        <w:tab w:val="left" w:pos="1134"/>
      </w:tabs>
      <w:ind w:left="340" w:hanging="340"/>
    </w:pPr>
    <w:rPr>
      <w:lang w:bidi="ar-SA"/>
    </w:rPr>
  </w:style>
  <w:style w:type="paragraph" w:customStyle="1" w:styleId="Paragraph">
    <w:name w:val="Paragraph"/>
    <w:uiPriority w:val="99"/>
    <w:rsid w:val="00841E1C"/>
    <w:pPr>
      <w:spacing w:line="240" w:lineRule="auto"/>
      <w:jc w:val="both"/>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rsid w:val="00841E1C"/>
    <w:rPr>
      <w:szCs w:val="20"/>
      <w:lang w:val="en-US" w:bidi="ar-SA"/>
    </w:rPr>
  </w:style>
  <w:style w:type="character" w:customStyle="1" w:styleId="BodyTextChar">
    <w:name w:val="Body Text Char"/>
    <w:basedOn w:val="DefaultParagraphFont"/>
    <w:link w:val="BodyText"/>
    <w:uiPriority w:val="99"/>
    <w:rsid w:val="00841E1C"/>
    <w:rPr>
      <w:rFonts w:eastAsia="Times New Roman" w:cs="Times New Roman"/>
      <w:szCs w:val="20"/>
      <w:lang w:val="en-US"/>
    </w:rPr>
  </w:style>
  <w:style w:type="paragraph" w:styleId="ListParagraph">
    <w:name w:val="List Paragraph"/>
    <w:basedOn w:val="Normal"/>
    <w:link w:val="ListParagraphChar"/>
    <w:uiPriority w:val="34"/>
    <w:qFormat/>
    <w:rsid w:val="00841E1C"/>
    <w:pPr>
      <w:ind w:left="720"/>
    </w:pPr>
  </w:style>
  <w:style w:type="character" w:customStyle="1" w:styleId="ListParagraphChar">
    <w:name w:val="List Paragraph Char"/>
    <w:basedOn w:val="DefaultParagraphFont"/>
    <w:link w:val="ListParagraph"/>
    <w:uiPriority w:val="34"/>
    <w:rsid w:val="00841E1C"/>
    <w:rPr>
      <w:rFonts w:eastAsia="Times New Roman" w:cs="Times New Roman"/>
      <w:szCs w:val="24"/>
      <w:lang w:bidi="he-IL"/>
    </w:rPr>
  </w:style>
  <w:style w:type="paragraph" w:styleId="NoSpacing">
    <w:name w:val="No Spacing"/>
    <w:link w:val="NoSpacingChar"/>
    <w:uiPriority w:val="1"/>
    <w:qFormat/>
    <w:rsid w:val="00841E1C"/>
    <w:pPr>
      <w:spacing w:after="0" w:line="240" w:lineRule="auto"/>
      <w:jc w:val="both"/>
    </w:pPr>
    <w:rPr>
      <w:rFonts w:eastAsiaTheme="minorEastAsia"/>
      <w:lang w:val="en-US"/>
    </w:rPr>
  </w:style>
  <w:style w:type="character" w:customStyle="1" w:styleId="NoSpacingChar">
    <w:name w:val="No Spacing Char"/>
    <w:basedOn w:val="DefaultParagraphFont"/>
    <w:link w:val="NoSpacing"/>
    <w:uiPriority w:val="1"/>
    <w:rsid w:val="00841E1C"/>
    <w:rPr>
      <w:rFonts w:eastAsiaTheme="minorEastAsia"/>
      <w:lang w:val="en-US"/>
    </w:rPr>
  </w:style>
  <w:style w:type="paragraph" w:styleId="Caption">
    <w:name w:val="caption"/>
    <w:basedOn w:val="Normal"/>
    <w:next w:val="Normal"/>
    <w:uiPriority w:val="35"/>
    <w:unhideWhenUsed/>
    <w:qFormat/>
    <w:rsid w:val="00841E1C"/>
    <w:pPr>
      <w:tabs>
        <w:tab w:val="left" w:pos="1440"/>
        <w:tab w:val="decimal" w:pos="4320"/>
      </w:tabs>
      <w:outlineLvl w:val="0"/>
    </w:pPr>
    <w:rPr>
      <w:rFonts w:ascii="Calibri" w:hAnsi="Calibri"/>
      <w:b/>
      <w:szCs w:val="22"/>
      <w:lang w:eastAsia="en-NZ" w:bidi="ar-SA"/>
    </w:rPr>
  </w:style>
  <w:style w:type="paragraph" w:styleId="NormalWeb">
    <w:name w:val="Normal (Web)"/>
    <w:basedOn w:val="Normal"/>
    <w:uiPriority w:val="99"/>
    <w:semiHidden/>
    <w:unhideWhenUsed/>
    <w:rsid w:val="00841E1C"/>
    <w:pPr>
      <w:spacing w:before="100" w:beforeAutospacing="1" w:after="100" w:afterAutospacing="1"/>
      <w:jc w:val="left"/>
    </w:pPr>
    <w:rPr>
      <w:lang w:eastAsia="en-NZ" w:bidi="ar-SA"/>
    </w:rPr>
  </w:style>
  <w:style w:type="character" w:customStyle="1" w:styleId="st1">
    <w:name w:val="st1"/>
    <w:basedOn w:val="DefaultParagraphFont"/>
    <w:rsid w:val="00841E1C"/>
  </w:style>
  <w:style w:type="paragraph" w:styleId="TOCHeading">
    <w:name w:val="TOC Heading"/>
    <w:basedOn w:val="Heading1"/>
    <w:next w:val="Normal"/>
    <w:uiPriority w:val="39"/>
    <w:unhideWhenUsed/>
    <w:qFormat/>
    <w:rsid w:val="00841E1C"/>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841E1C"/>
    <w:pPr>
      <w:spacing w:before="120"/>
      <w:jc w:val="left"/>
    </w:pPr>
    <w:rPr>
      <w:b/>
      <w:sz w:val="24"/>
    </w:rPr>
  </w:style>
  <w:style w:type="paragraph" w:styleId="TOC2">
    <w:name w:val="toc 2"/>
    <w:basedOn w:val="Normal"/>
    <w:next w:val="Normal"/>
    <w:autoRedefine/>
    <w:uiPriority w:val="39"/>
    <w:unhideWhenUsed/>
    <w:rsid w:val="00841E1C"/>
    <w:pPr>
      <w:ind w:left="220"/>
      <w:jc w:val="left"/>
    </w:pPr>
    <w:rPr>
      <w:b/>
      <w:szCs w:val="22"/>
    </w:rPr>
  </w:style>
  <w:style w:type="paragraph" w:styleId="TOC3">
    <w:name w:val="toc 3"/>
    <w:basedOn w:val="Normal"/>
    <w:next w:val="Normal"/>
    <w:autoRedefine/>
    <w:uiPriority w:val="39"/>
    <w:unhideWhenUsed/>
    <w:rsid w:val="00AC196B"/>
    <w:pPr>
      <w:tabs>
        <w:tab w:val="left" w:pos="1100"/>
        <w:tab w:val="right" w:leader="dot" w:pos="9072"/>
      </w:tabs>
      <w:spacing w:line="480" w:lineRule="auto"/>
      <w:ind w:left="442"/>
      <w:jc w:val="left"/>
    </w:pPr>
    <w:rPr>
      <w:szCs w:val="22"/>
    </w:rPr>
  </w:style>
  <w:style w:type="paragraph" w:styleId="TOC4">
    <w:name w:val="toc 4"/>
    <w:basedOn w:val="Normal"/>
    <w:next w:val="Normal"/>
    <w:autoRedefine/>
    <w:uiPriority w:val="39"/>
    <w:unhideWhenUsed/>
    <w:rsid w:val="00841E1C"/>
    <w:pPr>
      <w:ind w:left="660"/>
      <w:jc w:val="left"/>
    </w:pPr>
    <w:rPr>
      <w:sz w:val="20"/>
      <w:szCs w:val="20"/>
    </w:rPr>
  </w:style>
  <w:style w:type="paragraph" w:styleId="TOC5">
    <w:name w:val="toc 5"/>
    <w:basedOn w:val="Normal"/>
    <w:next w:val="Normal"/>
    <w:autoRedefine/>
    <w:uiPriority w:val="39"/>
    <w:unhideWhenUsed/>
    <w:rsid w:val="00841E1C"/>
    <w:pPr>
      <w:ind w:left="880"/>
      <w:jc w:val="left"/>
    </w:pPr>
    <w:rPr>
      <w:sz w:val="20"/>
      <w:szCs w:val="20"/>
    </w:rPr>
  </w:style>
  <w:style w:type="paragraph" w:styleId="TOC6">
    <w:name w:val="toc 6"/>
    <w:basedOn w:val="Normal"/>
    <w:next w:val="Normal"/>
    <w:autoRedefine/>
    <w:uiPriority w:val="39"/>
    <w:unhideWhenUsed/>
    <w:rsid w:val="00841E1C"/>
    <w:pPr>
      <w:ind w:left="1100"/>
      <w:jc w:val="left"/>
    </w:pPr>
    <w:rPr>
      <w:sz w:val="20"/>
      <w:szCs w:val="20"/>
    </w:rPr>
  </w:style>
  <w:style w:type="paragraph" w:styleId="TOC7">
    <w:name w:val="toc 7"/>
    <w:basedOn w:val="Normal"/>
    <w:next w:val="Normal"/>
    <w:autoRedefine/>
    <w:uiPriority w:val="39"/>
    <w:unhideWhenUsed/>
    <w:rsid w:val="00841E1C"/>
    <w:pPr>
      <w:ind w:left="1320"/>
      <w:jc w:val="left"/>
    </w:pPr>
    <w:rPr>
      <w:sz w:val="20"/>
      <w:szCs w:val="20"/>
    </w:rPr>
  </w:style>
  <w:style w:type="paragraph" w:styleId="TOC8">
    <w:name w:val="toc 8"/>
    <w:basedOn w:val="Normal"/>
    <w:next w:val="Normal"/>
    <w:autoRedefine/>
    <w:uiPriority w:val="39"/>
    <w:unhideWhenUsed/>
    <w:rsid w:val="00841E1C"/>
    <w:pPr>
      <w:ind w:left="1540"/>
      <w:jc w:val="left"/>
    </w:pPr>
    <w:rPr>
      <w:sz w:val="20"/>
      <w:szCs w:val="20"/>
    </w:rPr>
  </w:style>
  <w:style w:type="paragraph" w:styleId="TOC9">
    <w:name w:val="toc 9"/>
    <w:basedOn w:val="Normal"/>
    <w:next w:val="Normal"/>
    <w:autoRedefine/>
    <w:uiPriority w:val="39"/>
    <w:unhideWhenUsed/>
    <w:rsid w:val="00841E1C"/>
    <w:pPr>
      <w:ind w:left="1760"/>
      <w:jc w:val="left"/>
    </w:pPr>
    <w:rPr>
      <w:sz w:val="20"/>
      <w:szCs w:val="20"/>
    </w:rPr>
  </w:style>
  <w:style w:type="character" w:styleId="FollowedHyperlink">
    <w:name w:val="FollowedHyperlink"/>
    <w:basedOn w:val="DefaultParagraphFont"/>
    <w:uiPriority w:val="99"/>
    <w:semiHidden/>
    <w:unhideWhenUsed/>
    <w:rsid w:val="00841E1C"/>
    <w:rPr>
      <w:color w:val="800080" w:themeColor="followedHyperlink"/>
      <w:u w:val="single"/>
    </w:rPr>
  </w:style>
  <w:style w:type="character" w:styleId="Strong">
    <w:name w:val="Strong"/>
    <w:basedOn w:val="DefaultParagraphFont"/>
    <w:uiPriority w:val="22"/>
    <w:qFormat/>
    <w:rsid w:val="00841E1C"/>
    <w:rPr>
      <w:b/>
      <w:bCs/>
    </w:rPr>
  </w:style>
  <w:style w:type="paragraph" w:styleId="Quote">
    <w:name w:val="Quote"/>
    <w:basedOn w:val="Normal"/>
    <w:link w:val="QuoteChar"/>
    <w:qFormat/>
    <w:rsid w:val="00841E1C"/>
    <w:pPr>
      <w:tabs>
        <w:tab w:val="left" w:pos="1134"/>
        <w:tab w:val="left" w:pos="3686"/>
      </w:tabs>
      <w:spacing w:after="240"/>
      <w:ind w:left="340"/>
    </w:pPr>
    <w:rPr>
      <w:rFonts w:ascii="Times New Roman" w:hAnsi="Times New Roman"/>
      <w:sz w:val="24"/>
      <w:lang w:bidi="ar-SA"/>
    </w:rPr>
  </w:style>
  <w:style w:type="character" w:customStyle="1" w:styleId="QuoteChar">
    <w:name w:val="Quote Char"/>
    <w:basedOn w:val="DefaultParagraphFont"/>
    <w:link w:val="Quote"/>
    <w:rsid w:val="00841E1C"/>
    <w:rPr>
      <w:rFonts w:ascii="Times New Roman" w:eastAsia="Times New Roman" w:hAnsi="Times New Roman" w:cs="Times New Roman"/>
      <w:sz w:val="24"/>
      <w:szCs w:val="24"/>
    </w:rPr>
  </w:style>
  <w:style w:type="paragraph" w:customStyle="1" w:styleId="abclist">
    <w:name w:val="abc list"/>
    <w:basedOn w:val="ListParagraph"/>
    <w:link w:val="abclistChar"/>
    <w:qFormat/>
    <w:rsid w:val="00841E1C"/>
    <w:pPr>
      <w:numPr>
        <w:numId w:val="1"/>
      </w:numPr>
      <w:tabs>
        <w:tab w:val="left" w:pos="284"/>
      </w:tabs>
      <w:spacing w:after="240"/>
    </w:pPr>
    <w:rPr>
      <w:sz w:val="24"/>
    </w:rPr>
  </w:style>
  <w:style w:type="character" w:customStyle="1" w:styleId="abclistChar">
    <w:name w:val="abc list Char"/>
    <w:basedOn w:val="ListParagraphChar"/>
    <w:link w:val="abclist"/>
    <w:rsid w:val="00841E1C"/>
    <w:rPr>
      <w:rFonts w:eastAsia="Times New Roman" w:cs="Times New Roman"/>
      <w:sz w:val="24"/>
      <w:szCs w:val="24"/>
      <w:lang w:bidi="he-IL"/>
    </w:rPr>
  </w:style>
  <w:style w:type="paragraph" w:customStyle="1" w:styleId="abclist2">
    <w:name w:val="abc list2"/>
    <w:basedOn w:val="abclist"/>
    <w:link w:val="abclist2Char"/>
    <w:qFormat/>
    <w:rsid w:val="00841E1C"/>
    <w:pPr>
      <w:numPr>
        <w:numId w:val="0"/>
      </w:numPr>
      <w:tabs>
        <w:tab w:val="clear" w:pos="284"/>
        <w:tab w:val="left" w:pos="426"/>
      </w:tabs>
      <w:ind w:left="426" w:hanging="426"/>
    </w:pPr>
  </w:style>
  <w:style w:type="character" w:customStyle="1" w:styleId="abclist2Char">
    <w:name w:val="abc list2 Char"/>
    <w:basedOn w:val="abclistChar"/>
    <w:link w:val="abclist2"/>
    <w:rsid w:val="00841E1C"/>
    <w:rPr>
      <w:rFonts w:eastAsia="Times New Roman" w:cs="Times New Roman"/>
      <w:sz w:val="24"/>
      <w:szCs w:val="24"/>
      <w:lang w:bidi="he-IL"/>
    </w:rPr>
  </w:style>
  <w:style w:type="paragraph" w:customStyle="1" w:styleId="Paranumbered">
    <w:name w:val="Para numbered"/>
    <w:basedOn w:val="Normal"/>
    <w:rsid w:val="00841E1C"/>
    <w:pPr>
      <w:spacing w:after="240"/>
      <w:ind w:left="360" w:hanging="360"/>
    </w:pPr>
    <w:rPr>
      <w:rFonts w:ascii="Times New Roman" w:hAnsi="Times New Roman"/>
      <w:sz w:val="24"/>
      <w:lang w:bidi="ar-SA"/>
    </w:rPr>
  </w:style>
  <w:style w:type="paragraph" w:customStyle="1" w:styleId="Recommendationfinalpoint">
    <w:name w:val="Recommendation final point"/>
    <w:basedOn w:val="Bulletindent"/>
    <w:next w:val="Paranumbered"/>
    <w:qFormat/>
    <w:rsid w:val="00841E1C"/>
    <w:pPr>
      <w:numPr>
        <w:numId w:val="2"/>
      </w:numPr>
      <w:tabs>
        <w:tab w:val="left" w:pos="425"/>
      </w:tabs>
      <w:spacing w:after="240"/>
      <w:ind w:left="357" w:hanging="357"/>
    </w:pPr>
    <w:rPr>
      <w:rFonts w:ascii="Times New Roman" w:hAnsi="Times New Roman"/>
      <w:sz w:val="24"/>
    </w:rPr>
  </w:style>
  <w:style w:type="paragraph" w:customStyle="1" w:styleId="Bulletitalfinal">
    <w:name w:val="Bullet ital final"/>
    <w:basedOn w:val="Normal"/>
    <w:next w:val="Paranumbered"/>
    <w:qFormat/>
    <w:rsid w:val="00841E1C"/>
    <w:pPr>
      <w:numPr>
        <w:numId w:val="9"/>
      </w:numPr>
      <w:tabs>
        <w:tab w:val="left" w:pos="1134"/>
      </w:tabs>
      <w:spacing w:after="240"/>
      <w:ind w:left="357" w:hanging="357"/>
    </w:pPr>
    <w:rPr>
      <w:rFonts w:ascii="Times New Roman" w:hAnsi="Times New Roman"/>
      <w:i/>
      <w:iCs/>
      <w:sz w:val="24"/>
      <w:lang w:bidi="ar-SA"/>
    </w:rPr>
  </w:style>
  <w:style w:type="character" w:customStyle="1" w:styleId="BulletlistChar">
    <w:name w:val="Bullet list Char"/>
    <w:basedOn w:val="ListParagraphChar"/>
    <w:link w:val="Bulletlist"/>
    <w:locked/>
    <w:rsid w:val="00841E1C"/>
    <w:rPr>
      <w:rFonts w:eastAsia="Times New Roman" w:cs="Times New Roman"/>
      <w:sz w:val="24"/>
      <w:szCs w:val="24"/>
      <w:lang w:val="en-US" w:bidi="he-IL"/>
    </w:rPr>
  </w:style>
  <w:style w:type="paragraph" w:customStyle="1" w:styleId="Bulletlist">
    <w:name w:val="Bullet list"/>
    <w:basedOn w:val="ListParagraph"/>
    <w:link w:val="BulletlistChar"/>
    <w:qFormat/>
    <w:rsid w:val="00841E1C"/>
    <w:pPr>
      <w:numPr>
        <w:numId w:val="21"/>
      </w:numPr>
      <w:spacing w:after="120"/>
    </w:pPr>
    <w:rPr>
      <w:rFonts w:eastAsiaTheme="minorHAnsi" w:cstheme="minorBidi"/>
      <w:sz w:val="24"/>
      <w:szCs w:val="22"/>
      <w:lang w:val="en-US"/>
    </w:rPr>
  </w:style>
  <w:style w:type="table" w:styleId="TableGridLight">
    <w:name w:val="Grid Table Light"/>
    <w:basedOn w:val="TableNormal"/>
    <w:uiPriority w:val="40"/>
    <w:rsid w:val="00841E1C"/>
    <w:pPr>
      <w:spacing w:after="0" w:line="240" w:lineRule="auto"/>
      <w:jc w:val="both"/>
    </w:pPr>
    <w:rPr>
      <w:rFonts w:ascii="Times New Roman" w:eastAsia="Times New Roman" w:hAnsi="Times New Roman" w:cs="Times New Roman"/>
      <w:sz w:val="20"/>
      <w:szCs w:val="20"/>
      <w:lang w:eastAsia="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hdc.org.nz/media/5466/letter-to-minister-16-4-20.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dc-fps01\data$\Education%20(Current)\DHB%20Reports\2019%20Jul%20to%20Dec\Analysis\denominator%20numb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cat>
            <c:strRef>
              <c:f>'Number over time'!$B$1:$K$1</c:f>
              <c:strCache>
                <c:ptCount val="10"/>
                <c:pt idx="0">
                  <c:v>Jan–Jun 15</c:v>
                </c:pt>
                <c:pt idx="1">
                  <c:v>Jul–Dec 15</c:v>
                </c:pt>
                <c:pt idx="2">
                  <c:v>Jan–Jun 16</c:v>
                </c:pt>
                <c:pt idx="3">
                  <c:v>Jul–Dec 16</c:v>
                </c:pt>
                <c:pt idx="4">
                  <c:v>Jan–Jun 17</c:v>
                </c:pt>
                <c:pt idx="5">
                  <c:v>Jul–Dec 17</c:v>
                </c:pt>
                <c:pt idx="6">
                  <c:v>Jan–Jun 18</c:v>
                </c:pt>
                <c:pt idx="7">
                  <c:v>Jul–Dec 18</c:v>
                </c:pt>
                <c:pt idx="8">
                  <c:v>Jan–Jun 19</c:v>
                </c:pt>
                <c:pt idx="9">
                  <c:v>Jul-Dec 19</c:v>
                </c:pt>
              </c:strCache>
            </c:strRef>
          </c:cat>
          <c:val>
            <c:numRef>
              <c:f>'Number over time'!$B$2:$K$2</c:f>
              <c:numCache>
                <c:formatCode>General</c:formatCode>
                <c:ptCount val="10"/>
              </c:numCache>
            </c:numRef>
          </c:val>
          <c:smooth val="0"/>
          <c:extLst>
            <c:ext xmlns:c16="http://schemas.microsoft.com/office/drawing/2014/chart" uri="{C3380CC4-5D6E-409C-BE32-E72D297353CC}">
              <c16:uniqueId val="{00000000-C0E3-48C5-8570-AB91D3B455FB}"/>
            </c:ext>
          </c:extLst>
        </c:ser>
        <c:ser>
          <c:idx val="0"/>
          <c:order val="1"/>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'Number over time'!$A$1:$K$1</c:f>
              <c:strCache>
                <c:ptCount val="11"/>
                <c:pt idx="1">
                  <c:v>Jan–Jun 15</c:v>
                </c:pt>
                <c:pt idx="2">
                  <c:v>Jul–Dec 15</c:v>
                </c:pt>
                <c:pt idx="3">
                  <c:v>Jan–Jun 16</c:v>
                </c:pt>
                <c:pt idx="4">
                  <c:v>Jul–Dec 16</c:v>
                </c:pt>
                <c:pt idx="5">
                  <c:v>Jan–Jun 17</c:v>
                </c:pt>
                <c:pt idx="6">
                  <c:v>Jul–Dec 17</c:v>
                </c:pt>
                <c:pt idx="7">
                  <c:v>Jan–Jun 18</c:v>
                </c:pt>
                <c:pt idx="8">
                  <c:v>Jul–Dec 18</c:v>
                </c:pt>
                <c:pt idx="9">
                  <c:v>Jan–Jun 19</c:v>
                </c:pt>
                <c:pt idx="10">
                  <c:v>Jul-Dec 19</c:v>
                </c:pt>
              </c:strCache>
            </c:strRef>
          </c:cat>
          <c:val>
            <c:numRef>
              <c:f>'Number over time'!$A$2:$K$2</c:f>
              <c:numCache>
                <c:formatCode>General</c:formatCode>
                <c:ptCount val="11"/>
              </c:numCache>
            </c:numRef>
          </c:val>
          <c:smooth val="0"/>
          <c:extLst>
            <c:ext xmlns:c16="http://schemas.microsoft.com/office/drawing/2014/chart" uri="{C3380CC4-5D6E-409C-BE32-E72D297353CC}">
              <c16:uniqueId val="{00000001-C0E3-48C5-8570-AB91D3B455FB}"/>
            </c:ext>
          </c:extLst>
        </c:ser>
        <c:ser>
          <c:idx val="1"/>
          <c:order val="2"/>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'Number over time'!$A$1:$K$1</c:f>
              <c:strCache>
                <c:ptCount val="11"/>
                <c:pt idx="1">
                  <c:v>Jan–Jun 15</c:v>
                </c:pt>
                <c:pt idx="2">
                  <c:v>Jul–Dec 15</c:v>
                </c:pt>
                <c:pt idx="3">
                  <c:v>Jan–Jun 16</c:v>
                </c:pt>
                <c:pt idx="4">
                  <c:v>Jul–Dec 16</c:v>
                </c:pt>
                <c:pt idx="5">
                  <c:v>Jan–Jun 17</c:v>
                </c:pt>
                <c:pt idx="6">
                  <c:v>Jul–Dec 17</c:v>
                </c:pt>
                <c:pt idx="7">
                  <c:v>Jan–Jun 18</c:v>
                </c:pt>
                <c:pt idx="8">
                  <c:v>Jul–Dec 18</c:v>
                </c:pt>
                <c:pt idx="9">
                  <c:v>Jan–Jun 19</c:v>
                </c:pt>
                <c:pt idx="10">
                  <c:v>Jul-Dec 19</c:v>
                </c:pt>
              </c:strCache>
            </c:strRef>
          </c:cat>
          <c:val>
            <c:numRef>
              <c:f>'Number over time'!$A$3:$K$3</c:f>
              <c:numCache>
                <c:formatCode>General</c:formatCode>
                <c:ptCount val="11"/>
                <c:pt idx="1">
                  <c:v>389</c:v>
                </c:pt>
                <c:pt idx="2">
                  <c:v>422</c:v>
                </c:pt>
                <c:pt idx="3">
                  <c:v>383</c:v>
                </c:pt>
                <c:pt idx="4">
                  <c:v>386</c:v>
                </c:pt>
                <c:pt idx="5">
                  <c:v>477</c:v>
                </c:pt>
                <c:pt idx="6">
                  <c:v>439</c:v>
                </c:pt>
                <c:pt idx="7">
                  <c:v>450</c:v>
                </c:pt>
                <c:pt idx="8">
                  <c:v>442</c:v>
                </c:pt>
                <c:pt idx="9">
                  <c:v>427</c:v>
                </c:pt>
                <c:pt idx="10">
                  <c:v>471</c:v>
                </c:pt>
              </c:numCache>
            </c:numRef>
          </c:val>
          <c:smooth val="0"/>
          <c:extLst>
            <c:ext xmlns:c16="http://schemas.microsoft.com/office/drawing/2014/chart" uri="{C3380CC4-5D6E-409C-BE32-E72D297353CC}">
              <c16:uniqueId val="{00000002-C0E3-48C5-8570-AB91D3B455FB}"/>
            </c:ext>
          </c:extLst>
        </c:ser>
        <c:dLbls>
          <c:showLegendKey val="0"/>
          <c:showVal val="0"/>
          <c:showCatName val="0"/>
          <c:showSerName val="0"/>
          <c:showPercent val="0"/>
          <c:showBubbleSize val="0"/>
        </c:dLbls>
        <c:marker val="1"/>
        <c:smooth val="0"/>
        <c:axId val="1777145951"/>
        <c:axId val="1777146367"/>
      </c:lineChart>
      <c:catAx>
        <c:axId val="1777145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7146367"/>
        <c:crosses val="autoZero"/>
        <c:auto val="1"/>
        <c:lblAlgn val="ctr"/>
        <c:lblOffset val="100"/>
        <c:noMultiLvlLbl val="0"/>
      </c:catAx>
      <c:valAx>
        <c:axId val="177714636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7145951"/>
        <c:crosses val="autoZero"/>
        <c:crossBetween val="between"/>
      </c:valAx>
    </c:plotArea>
    <c:plotVisOnly val="1"/>
    <c:dispBlanksAs val="gap"/>
    <c:showDLblsOverMax val="0"/>
  </c:chart>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6157</Words>
  <Characters>35099</Characters>
  <Application>Microsoft Office Word</Application>
  <DocSecurity>0</DocSecurity>
  <Lines>292</Lines>
  <Paragraphs>82</Paragraphs>
  <ScaleCrop>false</ScaleCrop>
  <Company/>
  <LinksUpToDate>false</LinksUpToDate>
  <CharactersWithSpaces>41174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2020-06-28T20:54:00Z</dcterms:created>
  <dcterms:modified xsi:type="dcterms:W3CDTF">2020-06-28T20:55:00Z</dcterms:modified>
</cp:coreProperties>
</file>