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AED14" w14:textId="325B9F13" w:rsidR="00841E1C" w:rsidRDefault="00841E1C" w:rsidP="00286DED">
      <w:pPr>
        <w:jc w:val="center"/>
        <w:rPr>
          <w:b/>
          <w:color w:val="FF0000"/>
          <w:sz w:val="32"/>
          <w:szCs w:val="32"/>
        </w:rPr>
      </w:pPr>
    </w:p>
    <w:p w14:paraId="7FF26AA6" w14:textId="77777777" w:rsidR="004C0176" w:rsidRPr="009F7E9D" w:rsidRDefault="004C0176" w:rsidP="00286DED">
      <w:pPr>
        <w:jc w:val="center"/>
      </w:pPr>
    </w:p>
    <w:p w14:paraId="4C05E1EB" w14:textId="77777777" w:rsidR="00841E1C" w:rsidRPr="009F7E9D" w:rsidRDefault="00841E1C" w:rsidP="00286DED"/>
    <w:p w14:paraId="18B8E36B" w14:textId="77777777" w:rsidR="00841E1C" w:rsidRPr="009F7E9D" w:rsidRDefault="00841E1C" w:rsidP="00286DED"/>
    <w:p w14:paraId="07F93AB2" w14:textId="77777777" w:rsidR="00841E1C" w:rsidRPr="009F7E9D" w:rsidRDefault="00841E1C" w:rsidP="00286DED"/>
    <w:p w14:paraId="7F4D6254" w14:textId="77777777" w:rsidR="00841E1C" w:rsidRPr="009F7E9D" w:rsidRDefault="00841E1C" w:rsidP="00286DED"/>
    <w:p w14:paraId="56C21C09" w14:textId="77777777" w:rsidR="00841E1C" w:rsidRPr="009F7E9D" w:rsidRDefault="00841E1C" w:rsidP="00286DED"/>
    <w:p w14:paraId="6FBA7848" w14:textId="77777777" w:rsidR="00841E1C" w:rsidRPr="009F7E9D" w:rsidRDefault="00841E1C" w:rsidP="00286DED"/>
    <w:p w14:paraId="5FA55B63" w14:textId="77777777" w:rsidR="00841E1C" w:rsidRPr="009F7E9D" w:rsidRDefault="00841E1C" w:rsidP="00286DED"/>
    <w:p w14:paraId="65AFE145" w14:textId="77777777" w:rsidR="00841E1C" w:rsidRPr="009F7E9D" w:rsidRDefault="00841E1C" w:rsidP="00286DED"/>
    <w:p w14:paraId="2761FB05" w14:textId="77777777" w:rsidR="00841E1C" w:rsidRPr="009F7E9D" w:rsidRDefault="00841E1C" w:rsidP="00286DED"/>
    <w:p w14:paraId="74E7B851" w14:textId="77777777" w:rsidR="00841E1C" w:rsidRPr="009F7E9D" w:rsidRDefault="00841E1C" w:rsidP="00286DED"/>
    <w:p w14:paraId="789702E5" w14:textId="77777777" w:rsidR="00841E1C" w:rsidRDefault="00841E1C" w:rsidP="00286DED"/>
    <w:p w14:paraId="5456F49D" w14:textId="77777777" w:rsidR="00841E1C" w:rsidRPr="009F7E9D" w:rsidRDefault="00841E1C" w:rsidP="00286DED"/>
    <w:p w14:paraId="26F31AC1" w14:textId="77777777" w:rsidR="00841E1C" w:rsidRPr="009F7E9D" w:rsidRDefault="00841E1C" w:rsidP="00286DED"/>
    <w:p w14:paraId="57563148" w14:textId="77777777" w:rsidR="00841E1C" w:rsidRPr="009F7E9D" w:rsidRDefault="00841E1C" w:rsidP="00286DED"/>
    <w:p w14:paraId="20AD88D3" w14:textId="77777777" w:rsidR="00841E1C" w:rsidRPr="009F7E9D" w:rsidRDefault="00841E1C" w:rsidP="00286DED"/>
    <w:p w14:paraId="3C66CF2F" w14:textId="77777777" w:rsidR="00841E1C" w:rsidRPr="006F7F6E" w:rsidRDefault="00841E1C" w:rsidP="00286DED">
      <w:pPr>
        <w:pStyle w:val="NoSpacing"/>
        <w:jc w:val="center"/>
        <w:rPr>
          <w:rFonts w:eastAsiaTheme="majorEastAsia" w:cstheme="majorBidi"/>
          <w:b/>
          <w:sz w:val="70"/>
          <w:szCs w:val="70"/>
          <w:lang w:val="en-NZ"/>
        </w:rPr>
      </w:pPr>
      <w:r w:rsidRPr="006F7F6E">
        <w:rPr>
          <w:rFonts w:eastAsiaTheme="majorEastAsia" w:cstheme="majorBidi"/>
          <w:b/>
          <w:sz w:val="70"/>
          <w:szCs w:val="70"/>
          <w:lang w:val="en-NZ"/>
        </w:rPr>
        <w:t xml:space="preserve">Complaints to HDC involving </w:t>
      </w:r>
    </w:p>
    <w:p w14:paraId="28D04910" w14:textId="45B17A53" w:rsidR="00841E1C" w:rsidRPr="006F7F6E" w:rsidRDefault="00841E1C" w:rsidP="00286DED">
      <w:pPr>
        <w:pStyle w:val="NoSpacing"/>
        <w:jc w:val="center"/>
        <w:rPr>
          <w:rFonts w:eastAsiaTheme="majorEastAsia" w:cstheme="majorBidi"/>
          <w:b/>
          <w:sz w:val="70"/>
          <w:szCs w:val="70"/>
          <w:lang w:val="en-NZ"/>
        </w:rPr>
      </w:pPr>
      <w:r w:rsidRPr="006F7F6E">
        <w:rPr>
          <w:rFonts w:eastAsiaTheme="majorEastAsia" w:cstheme="majorBidi"/>
          <w:b/>
          <w:sz w:val="70"/>
          <w:szCs w:val="70"/>
          <w:lang w:val="en-NZ"/>
        </w:rPr>
        <w:t>District Health Boards</w:t>
      </w:r>
    </w:p>
    <w:p w14:paraId="7841F153" w14:textId="77777777" w:rsidR="00841E1C" w:rsidRPr="009F7E9D" w:rsidRDefault="00841E1C" w:rsidP="00286DED">
      <w:pPr>
        <w:pStyle w:val="NoSpacing"/>
        <w:jc w:val="center"/>
        <w:rPr>
          <w:rFonts w:eastAsiaTheme="majorEastAsia" w:cstheme="majorBidi"/>
          <w:b/>
          <w:sz w:val="36"/>
          <w:szCs w:val="36"/>
          <w:lang w:val="en-NZ"/>
        </w:rPr>
      </w:pPr>
    </w:p>
    <w:p w14:paraId="14D3F245" w14:textId="355AB620" w:rsidR="00841E1C" w:rsidRPr="006F7F6E" w:rsidRDefault="00841E1C" w:rsidP="00286DED">
      <w:pPr>
        <w:pStyle w:val="NoSpacing"/>
        <w:jc w:val="center"/>
        <w:rPr>
          <w:rFonts w:eastAsiaTheme="majorEastAsia" w:cstheme="majorBidi"/>
          <w:b/>
          <w:sz w:val="36"/>
          <w:szCs w:val="36"/>
          <w:lang w:val="en-NZ"/>
        </w:rPr>
      </w:pPr>
      <w:r w:rsidRPr="006F7F6E">
        <w:rPr>
          <w:rFonts w:eastAsiaTheme="majorEastAsia" w:cstheme="majorBidi"/>
          <w:b/>
          <w:sz w:val="36"/>
          <w:szCs w:val="36"/>
          <w:lang w:val="en-NZ"/>
        </w:rPr>
        <w:t>Repor</w:t>
      </w:r>
      <w:r w:rsidR="00E10828" w:rsidRPr="006F7F6E">
        <w:rPr>
          <w:rFonts w:eastAsiaTheme="majorEastAsia" w:cstheme="majorBidi"/>
          <w:b/>
          <w:sz w:val="36"/>
          <w:szCs w:val="36"/>
          <w:lang w:val="en-NZ"/>
        </w:rPr>
        <w:t>t a</w:t>
      </w:r>
      <w:r w:rsidR="000B6642">
        <w:rPr>
          <w:rFonts w:eastAsiaTheme="majorEastAsia" w:cstheme="majorBidi"/>
          <w:b/>
          <w:sz w:val="36"/>
          <w:szCs w:val="36"/>
          <w:lang w:val="en-NZ"/>
        </w:rPr>
        <w:t>nd Analysis for period 1 July to 31 December</w:t>
      </w:r>
      <w:r w:rsidR="00E10828" w:rsidRPr="006F7F6E">
        <w:rPr>
          <w:rFonts w:eastAsiaTheme="majorEastAsia" w:cstheme="majorBidi"/>
          <w:b/>
          <w:sz w:val="36"/>
          <w:szCs w:val="36"/>
          <w:lang w:val="en-NZ"/>
        </w:rPr>
        <w:t xml:space="preserve"> 2020</w:t>
      </w:r>
    </w:p>
    <w:p w14:paraId="2201F0F3" w14:textId="77777777" w:rsidR="00841E1C" w:rsidRPr="009F7E9D" w:rsidRDefault="00841E1C" w:rsidP="00286DED">
      <w:pPr>
        <w:pStyle w:val="NoSpacing"/>
        <w:jc w:val="center"/>
        <w:rPr>
          <w:rFonts w:eastAsiaTheme="majorEastAsia" w:cstheme="majorBidi"/>
          <w:b/>
          <w:sz w:val="32"/>
          <w:szCs w:val="32"/>
          <w:lang w:val="en-NZ"/>
        </w:rPr>
      </w:pPr>
    </w:p>
    <w:p w14:paraId="3F855060" w14:textId="77777777" w:rsidR="00841E1C" w:rsidRPr="009F7E9D" w:rsidRDefault="00841E1C" w:rsidP="00286DED">
      <w:pPr>
        <w:pStyle w:val="NoSpacing"/>
        <w:jc w:val="center"/>
        <w:rPr>
          <w:rFonts w:eastAsiaTheme="majorEastAsia" w:cstheme="majorBidi"/>
          <w:b/>
          <w:sz w:val="32"/>
          <w:szCs w:val="32"/>
          <w:lang w:val="en-NZ"/>
        </w:rPr>
      </w:pPr>
    </w:p>
    <w:p w14:paraId="78695241" w14:textId="77777777" w:rsidR="00841E1C" w:rsidRPr="009F7E9D" w:rsidRDefault="00841E1C" w:rsidP="00286DED">
      <w:pPr>
        <w:pStyle w:val="NoSpacing"/>
        <w:jc w:val="center"/>
        <w:rPr>
          <w:rFonts w:eastAsiaTheme="majorEastAsia" w:cstheme="majorBidi"/>
          <w:b/>
          <w:sz w:val="32"/>
          <w:szCs w:val="32"/>
          <w:lang w:val="en-NZ"/>
        </w:rPr>
      </w:pPr>
    </w:p>
    <w:p w14:paraId="7B859094" w14:textId="77777777" w:rsidR="00841E1C" w:rsidRPr="009F7E9D" w:rsidRDefault="00841E1C" w:rsidP="00286DED">
      <w:pPr>
        <w:pStyle w:val="NoSpacing"/>
        <w:jc w:val="center"/>
        <w:rPr>
          <w:rFonts w:eastAsiaTheme="majorEastAsia" w:cstheme="majorBidi"/>
          <w:b/>
          <w:sz w:val="32"/>
          <w:szCs w:val="32"/>
          <w:lang w:val="en-NZ"/>
        </w:rPr>
      </w:pPr>
    </w:p>
    <w:p w14:paraId="4E087F77" w14:textId="77777777" w:rsidR="00841E1C" w:rsidRPr="009F7E9D" w:rsidRDefault="00841E1C" w:rsidP="00286DED">
      <w:pPr>
        <w:pStyle w:val="NoSpacing"/>
        <w:jc w:val="center"/>
        <w:rPr>
          <w:rFonts w:eastAsiaTheme="majorEastAsia" w:cstheme="majorBidi"/>
          <w:b/>
          <w:sz w:val="32"/>
          <w:szCs w:val="32"/>
          <w:lang w:val="en-NZ"/>
        </w:rPr>
      </w:pPr>
    </w:p>
    <w:p w14:paraId="370EE241" w14:textId="2131B286" w:rsidR="00841E1C" w:rsidRDefault="00841E1C" w:rsidP="00286DED">
      <w:pPr>
        <w:pStyle w:val="NoSpacing"/>
        <w:jc w:val="center"/>
        <w:rPr>
          <w:rFonts w:eastAsiaTheme="majorEastAsia" w:cstheme="majorBidi"/>
          <w:b/>
          <w:sz w:val="32"/>
          <w:szCs w:val="32"/>
          <w:lang w:val="en-NZ"/>
        </w:rPr>
      </w:pPr>
    </w:p>
    <w:p w14:paraId="0A9A7D66" w14:textId="77777777" w:rsidR="006F7F6E" w:rsidRPr="009F7E9D" w:rsidRDefault="006F7F6E" w:rsidP="00286DED">
      <w:pPr>
        <w:pStyle w:val="NoSpacing"/>
        <w:jc w:val="center"/>
        <w:rPr>
          <w:rFonts w:eastAsiaTheme="majorEastAsia" w:cstheme="majorBidi"/>
          <w:b/>
          <w:sz w:val="32"/>
          <w:szCs w:val="32"/>
          <w:lang w:val="en-NZ"/>
        </w:rPr>
      </w:pPr>
    </w:p>
    <w:p w14:paraId="510AB247" w14:textId="77777777" w:rsidR="00841E1C" w:rsidRPr="009F7E9D" w:rsidRDefault="00841E1C" w:rsidP="00286DED">
      <w:pPr>
        <w:pStyle w:val="NoSpacing"/>
        <w:jc w:val="center"/>
        <w:rPr>
          <w:rFonts w:eastAsiaTheme="majorEastAsia" w:cstheme="majorBidi"/>
          <w:b/>
          <w:sz w:val="32"/>
          <w:szCs w:val="32"/>
          <w:lang w:val="en-NZ"/>
        </w:rPr>
      </w:pPr>
    </w:p>
    <w:p w14:paraId="22661F64" w14:textId="77777777" w:rsidR="00841E1C" w:rsidRPr="009F7E9D" w:rsidRDefault="00841E1C" w:rsidP="00286DED">
      <w:pPr>
        <w:pStyle w:val="NoSpacing"/>
        <w:jc w:val="center"/>
        <w:rPr>
          <w:rFonts w:eastAsiaTheme="majorEastAsia" w:cstheme="majorBidi"/>
          <w:b/>
          <w:sz w:val="32"/>
          <w:szCs w:val="32"/>
          <w:lang w:val="en-NZ"/>
        </w:rPr>
      </w:pPr>
    </w:p>
    <w:p w14:paraId="42CF11C0" w14:textId="77777777" w:rsidR="00841E1C" w:rsidRPr="009F7E9D" w:rsidRDefault="00841E1C" w:rsidP="00286DED">
      <w:pPr>
        <w:pStyle w:val="NoSpacing"/>
        <w:jc w:val="center"/>
        <w:rPr>
          <w:rFonts w:eastAsiaTheme="majorEastAsia" w:cstheme="majorBidi"/>
          <w:b/>
          <w:sz w:val="32"/>
          <w:szCs w:val="32"/>
          <w:lang w:val="en-NZ"/>
        </w:rPr>
      </w:pPr>
    </w:p>
    <w:p w14:paraId="1CE8C519" w14:textId="77777777" w:rsidR="00841E1C" w:rsidRPr="009F7E9D" w:rsidRDefault="00841E1C" w:rsidP="00286DED">
      <w:pPr>
        <w:pStyle w:val="NoSpacing"/>
        <w:jc w:val="center"/>
        <w:rPr>
          <w:rFonts w:eastAsiaTheme="majorEastAsia" w:cstheme="majorBidi"/>
          <w:b/>
          <w:sz w:val="32"/>
          <w:szCs w:val="32"/>
          <w:lang w:val="en-NZ"/>
        </w:rPr>
      </w:pPr>
    </w:p>
    <w:p w14:paraId="28DE1B76" w14:textId="77777777" w:rsidR="00841E1C" w:rsidRPr="009F7E9D" w:rsidRDefault="00841E1C" w:rsidP="00286DED">
      <w:pPr>
        <w:pStyle w:val="NoSpacing"/>
        <w:jc w:val="center"/>
        <w:rPr>
          <w:rFonts w:eastAsiaTheme="majorEastAsia" w:cstheme="majorBidi"/>
          <w:b/>
          <w:sz w:val="32"/>
          <w:szCs w:val="32"/>
          <w:lang w:val="en-NZ"/>
        </w:rPr>
      </w:pPr>
    </w:p>
    <w:p w14:paraId="6BD04D5D" w14:textId="16FFBA9C" w:rsidR="00841E1C" w:rsidRPr="009F7E9D" w:rsidRDefault="00841E1C" w:rsidP="00286DED">
      <w:pPr>
        <w:pStyle w:val="NoSpacing"/>
        <w:jc w:val="center"/>
        <w:rPr>
          <w:rFonts w:eastAsiaTheme="majorEastAsia" w:cstheme="majorBidi"/>
          <w:b/>
          <w:sz w:val="32"/>
          <w:szCs w:val="32"/>
          <w:lang w:val="en-NZ"/>
        </w:rPr>
      </w:pPr>
    </w:p>
    <w:p w14:paraId="3134DE46" w14:textId="6BA6A89E" w:rsidR="00841E1C" w:rsidRPr="009F7E9D" w:rsidRDefault="006F7F6E" w:rsidP="00286DED">
      <w:pPr>
        <w:pStyle w:val="NoSpacing"/>
        <w:jc w:val="center"/>
        <w:rPr>
          <w:rFonts w:eastAsiaTheme="majorEastAsia" w:cstheme="majorBidi"/>
          <w:b/>
          <w:sz w:val="32"/>
          <w:szCs w:val="32"/>
          <w:lang w:val="en-NZ"/>
        </w:rPr>
      </w:pPr>
      <w:r w:rsidRPr="00016E58">
        <w:rPr>
          <w:rFonts w:ascii="Tms Rmn" w:hAnsi="Tms Rmn"/>
          <w:noProof/>
          <w:sz w:val="24"/>
          <w:szCs w:val="24"/>
          <w:lang w:val="en-NZ" w:eastAsia="en-NZ"/>
        </w:rPr>
        <w:drawing>
          <wp:anchor distT="0" distB="0" distL="114300" distR="114300" simplePos="0" relativeHeight="251661824" behindDoc="0" locked="0" layoutInCell="1" allowOverlap="1" wp14:anchorId="0C9305A8" wp14:editId="0D55FCB0">
            <wp:simplePos x="0" y="0"/>
            <wp:positionH relativeFrom="column">
              <wp:posOffset>1476375</wp:posOffset>
            </wp:positionH>
            <wp:positionV relativeFrom="paragraph">
              <wp:posOffset>76200</wp:posOffset>
            </wp:positionV>
            <wp:extent cx="2982595" cy="161925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259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FF613" w14:textId="77777777" w:rsidR="00841E1C" w:rsidRDefault="00841E1C" w:rsidP="00286DED">
      <w:pPr>
        <w:jc w:val="center"/>
        <w:sectPr w:rsidR="00841E1C" w:rsidSect="00841E1C">
          <w:footerReference w:type="even" r:id="rId9"/>
          <w:footerReference w:type="default" r:id="rId10"/>
          <w:footerReference w:type="first" r:id="rId11"/>
          <w:pgSz w:w="11906" w:h="16838" w:code="9"/>
          <w:pgMar w:top="1140" w:right="1412" w:bottom="851" w:left="1412" w:header="720" w:footer="590" w:gutter="0"/>
          <w:cols w:space="720"/>
          <w:titlePg/>
          <w:docGrid w:linePitch="360"/>
        </w:sectPr>
      </w:pPr>
    </w:p>
    <w:p w14:paraId="34D01E28" w14:textId="3DBC1E22" w:rsidR="00841E1C" w:rsidRDefault="00841E1C" w:rsidP="00286DED"/>
    <w:p w14:paraId="6C7462A3" w14:textId="77777777" w:rsidR="00ED7A15" w:rsidRDefault="00ED7A15" w:rsidP="00286DED">
      <w:pPr>
        <w:rPr>
          <w:b/>
          <w:szCs w:val="22"/>
        </w:rPr>
      </w:pPr>
    </w:p>
    <w:p w14:paraId="353A213D" w14:textId="77777777" w:rsidR="00ED7A15" w:rsidRDefault="00ED7A15" w:rsidP="00286DED">
      <w:pPr>
        <w:rPr>
          <w:b/>
          <w:szCs w:val="22"/>
        </w:rPr>
      </w:pPr>
    </w:p>
    <w:p w14:paraId="0B151149" w14:textId="77777777" w:rsidR="00ED7A15" w:rsidRDefault="00ED7A15" w:rsidP="00286DED">
      <w:pPr>
        <w:rPr>
          <w:b/>
          <w:szCs w:val="22"/>
        </w:rPr>
      </w:pPr>
    </w:p>
    <w:p w14:paraId="66406ABA" w14:textId="77777777" w:rsidR="00ED7A15" w:rsidRDefault="00ED7A15" w:rsidP="00286DED">
      <w:pPr>
        <w:rPr>
          <w:b/>
          <w:szCs w:val="22"/>
        </w:rPr>
      </w:pPr>
    </w:p>
    <w:p w14:paraId="75466DDE" w14:textId="77777777" w:rsidR="00ED7A15" w:rsidRDefault="00ED7A15" w:rsidP="00286DED">
      <w:pPr>
        <w:rPr>
          <w:b/>
          <w:szCs w:val="22"/>
        </w:rPr>
      </w:pPr>
    </w:p>
    <w:p w14:paraId="3ED02641" w14:textId="77777777" w:rsidR="00ED7A15" w:rsidRDefault="00ED7A15" w:rsidP="00286DED">
      <w:pPr>
        <w:rPr>
          <w:b/>
          <w:szCs w:val="22"/>
        </w:rPr>
      </w:pPr>
    </w:p>
    <w:p w14:paraId="2601F040" w14:textId="77777777" w:rsidR="00ED7A15" w:rsidRDefault="00ED7A15" w:rsidP="00286DED">
      <w:pPr>
        <w:rPr>
          <w:b/>
          <w:szCs w:val="22"/>
        </w:rPr>
      </w:pPr>
    </w:p>
    <w:p w14:paraId="1C2BA71C" w14:textId="77777777" w:rsidR="00ED7A15" w:rsidRDefault="00ED7A15" w:rsidP="00286DED">
      <w:pPr>
        <w:rPr>
          <w:b/>
          <w:szCs w:val="22"/>
        </w:rPr>
      </w:pPr>
    </w:p>
    <w:p w14:paraId="640E9F84" w14:textId="77777777" w:rsidR="00ED7A15" w:rsidRDefault="00ED7A15" w:rsidP="00286DED">
      <w:pPr>
        <w:jc w:val="center"/>
        <w:rPr>
          <w:b/>
          <w:szCs w:val="22"/>
        </w:rPr>
      </w:pPr>
    </w:p>
    <w:p w14:paraId="4F3BB2B2" w14:textId="77777777" w:rsidR="00ED7A15" w:rsidRDefault="00ED7A15" w:rsidP="00286DED">
      <w:pPr>
        <w:rPr>
          <w:b/>
          <w:szCs w:val="22"/>
        </w:rPr>
      </w:pPr>
    </w:p>
    <w:p w14:paraId="6C04BDE8" w14:textId="77777777" w:rsidR="00ED7A15" w:rsidRDefault="00ED7A15" w:rsidP="00286DED">
      <w:pPr>
        <w:rPr>
          <w:b/>
          <w:szCs w:val="22"/>
        </w:rPr>
      </w:pPr>
    </w:p>
    <w:p w14:paraId="5FB71A8F" w14:textId="77777777" w:rsidR="00ED7A15" w:rsidRDefault="00ED7A15" w:rsidP="00286DED">
      <w:pPr>
        <w:rPr>
          <w:b/>
          <w:szCs w:val="22"/>
        </w:rPr>
      </w:pPr>
    </w:p>
    <w:p w14:paraId="4D17B2C3" w14:textId="77777777" w:rsidR="00ED7A15" w:rsidRDefault="00ED7A15" w:rsidP="00286DED">
      <w:pPr>
        <w:rPr>
          <w:b/>
          <w:szCs w:val="22"/>
        </w:rPr>
      </w:pPr>
    </w:p>
    <w:p w14:paraId="0E6D7660" w14:textId="77777777" w:rsidR="00ED7A15" w:rsidRDefault="00ED7A15" w:rsidP="00286DED">
      <w:pPr>
        <w:rPr>
          <w:b/>
          <w:szCs w:val="22"/>
        </w:rPr>
      </w:pPr>
    </w:p>
    <w:p w14:paraId="27141491" w14:textId="77777777" w:rsidR="00ED7A15" w:rsidRDefault="00ED7A15" w:rsidP="00286DED">
      <w:pPr>
        <w:rPr>
          <w:b/>
          <w:szCs w:val="22"/>
        </w:rPr>
      </w:pPr>
    </w:p>
    <w:p w14:paraId="051EFDEA" w14:textId="77777777" w:rsidR="00ED7A15" w:rsidRDefault="00ED7A15" w:rsidP="00286DED">
      <w:pPr>
        <w:rPr>
          <w:b/>
          <w:szCs w:val="22"/>
        </w:rPr>
      </w:pPr>
    </w:p>
    <w:p w14:paraId="3CCBD2EA" w14:textId="77777777" w:rsidR="00ED7A15" w:rsidRDefault="00ED7A15" w:rsidP="00286DED">
      <w:pPr>
        <w:rPr>
          <w:b/>
          <w:szCs w:val="22"/>
        </w:rPr>
      </w:pPr>
    </w:p>
    <w:p w14:paraId="7E6B8318" w14:textId="77777777" w:rsidR="00ED7A15" w:rsidRDefault="00ED7A15" w:rsidP="00286DED">
      <w:pPr>
        <w:rPr>
          <w:b/>
          <w:szCs w:val="22"/>
        </w:rPr>
      </w:pPr>
    </w:p>
    <w:p w14:paraId="434D607C" w14:textId="77777777" w:rsidR="00ED7A15" w:rsidRDefault="00ED7A15" w:rsidP="00286DED">
      <w:pPr>
        <w:rPr>
          <w:b/>
          <w:szCs w:val="22"/>
        </w:rPr>
      </w:pPr>
    </w:p>
    <w:p w14:paraId="381825EE" w14:textId="77777777" w:rsidR="00ED7A15" w:rsidRDefault="00ED7A15" w:rsidP="00286DED">
      <w:pPr>
        <w:rPr>
          <w:b/>
          <w:szCs w:val="22"/>
        </w:rPr>
      </w:pPr>
    </w:p>
    <w:p w14:paraId="279F27C5" w14:textId="77777777" w:rsidR="00ED7A15" w:rsidRDefault="00ED7A15" w:rsidP="00286DED">
      <w:pPr>
        <w:rPr>
          <w:b/>
          <w:szCs w:val="22"/>
        </w:rPr>
      </w:pPr>
    </w:p>
    <w:p w14:paraId="73E93CAA" w14:textId="77777777" w:rsidR="00ED7A15" w:rsidRDefault="00ED7A15" w:rsidP="00286DED">
      <w:pPr>
        <w:rPr>
          <w:b/>
          <w:szCs w:val="22"/>
        </w:rPr>
      </w:pPr>
    </w:p>
    <w:p w14:paraId="22D61F6A" w14:textId="77777777" w:rsidR="00ED7A15" w:rsidRDefault="00ED7A15" w:rsidP="00286DED">
      <w:pPr>
        <w:rPr>
          <w:b/>
          <w:szCs w:val="22"/>
        </w:rPr>
      </w:pPr>
    </w:p>
    <w:p w14:paraId="43A8623A" w14:textId="77777777" w:rsidR="00ED7A15" w:rsidRDefault="00ED7A15" w:rsidP="00286DED">
      <w:pPr>
        <w:rPr>
          <w:b/>
          <w:szCs w:val="22"/>
        </w:rPr>
      </w:pPr>
    </w:p>
    <w:p w14:paraId="313BF9C2" w14:textId="77777777" w:rsidR="00ED7A15" w:rsidRDefault="00ED7A15" w:rsidP="00286DED">
      <w:pPr>
        <w:rPr>
          <w:b/>
          <w:szCs w:val="22"/>
        </w:rPr>
      </w:pPr>
    </w:p>
    <w:p w14:paraId="674D1D59" w14:textId="77777777" w:rsidR="00ED7A15" w:rsidRDefault="00ED7A15" w:rsidP="00286DED">
      <w:pPr>
        <w:rPr>
          <w:b/>
          <w:szCs w:val="22"/>
        </w:rPr>
      </w:pPr>
    </w:p>
    <w:p w14:paraId="0597288C" w14:textId="77777777" w:rsidR="00ED7A15" w:rsidRDefault="00ED7A15" w:rsidP="00286DED">
      <w:pPr>
        <w:rPr>
          <w:b/>
          <w:szCs w:val="22"/>
        </w:rPr>
      </w:pPr>
    </w:p>
    <w:p w14:paraId="482FCC22" w14:textId="77777777" w:rsidR="00ED7A15" w:rsidRDefault="00ED7A15" w:rsidP="00286DED">
      <w:pPr>
        <w:rPr>
          <w:b/>
          <w:szCs w:val="22"/>
        </w:rPr>
      </w:pPr>
    </w:p>
    <w:p w14:paraId="454963BE" w14:textId="77777777" w:rsidR="00ED7A15" w:rsidRDefault="00ED7A15" w:rsidP="00286DED">
      <w:pPr>
        <w:rPr>
          <w:b/>
          <w:szCs w:val="22"/>
        </w:rPr>
      </w:pPr>
    </w:p>
    <w:p w14:paraId="0A6653BD" w14:textId="77777777" w:rsidR="00ED7A15" w:rsidRDefault="00ED7A15" w:rsidP="00286DED">
      <w:pPr>
        <w:rPr>
          <w:b/>
          <w:szCs w:val="22"/>
        </w:rPr>
      </w:pPr>
    </w:p>
    <w:p w14:paraId="35ABC4A9" w14:textId="77777777" w:rsidR="00ED7A15" w:rsidRDefault="00ED7A15" w:rsidP="00286DED">
      <w:pPr>
        <w:rPr>
          <w:b/>
          <w:szCs w:val="22"/>
        </w:rPr>
      </w:pPr>
    </w:p>
    <w:p w14:paraId="4F366EDE" w14:textId="77777777" w:rsidR="00ED7A15" w:rsidRDefault="00ED7A15" w:rsidP="00286DED">
      <w:pPr>
        <w:rPr>
          <w:b/>
          <w:szCs w:val="22"/>
        </w:rPr>
      </w:pPr>
    </w:p>
    <w:p w14:paraId="4982ABD6" w14:textId="77777777" w:rsidR="00ED7A15" w:rsidRDefault="00ED7A15" w:rsidP="00286DED">
      <w:pPr>
        <w:rPr>
          <w:b/>
          <w:szCs w:val="22"/>
        </w:rPr>
      </w:pPr>
    </w:p>
    <w:p w14:paraId="3D93AB9D" w14:textId="76482A10" w:rsidR="00ED7A15" w:rsidRPr="00ED7A15" w:rsidRDefault="00ED7A15" w:rsidP="00286DED">
      <w:pPr>
        <w:rPr>
          <w:b/>
          <w:szCs w:val="22"/>
        </w:rPr>
      </w:pPr>
      <w:r w:rsidRPr="00666BAC">
        <w:rPr>
          <w:b/>
          <w:szCs w:val="22"/>
        </w:rPr>
        <w:t>Feedback</w:t>
      </w:r>
    </w:p>
    <w:p w14:paraId="652B87F7" w14:textId="6EFA8F15" w:rsidR="00ED7A15" w:rsidRPr="00ED7A15" w:rsidRDefault="00ED7A15" w:rsidP="00286DED">
      <w:pPr>
        <w:jc w:val="left"/>
        <w:rPr>
          <w:szCs w:val="22"/>
        </w:rPr>
      </w:pPr>
      <w:r w:rsidRPr="00ED7A15">
        <w:rPr>
          <w:szCs w:val="22"/>
        </w:rPr>
        <w:t xml:space="preserve">We welcome your feedback on this report. Please contact </w:t>
      </w:r>
      <w:r w:rsidR="00E10828" w:rsidRPr="00E10828">
        <w:rPr>
          <w:szCs w:val="22"/>
        </w:rPr>
        <w:t>Natasha Davidson</w:t>
      </w:r>
      <w:r>
        <w:rPr>
          <w:szCs w:val="22"/>
        </w:rPr>
        <w:t xml:space="preserve"> </w:t>
      </w:r>
      <w:r w:rsidRPr="00ED7A15">
        <w:rPr>
          <w:szCs w:val="22"/>
        </w:rPr>
        <w:t>at hdc@hdc.org.nz</w:t>
      </w:r>
    </w:p>
    <w:p w14:paraId="520BF814" w14:textId="77777777" w:rsidR="00ED7A15" w:rsidRPr="00ED7A15" w:rsidRDefault="00ED7A15" w:rsidP="00286DED">
      <w:pPr>
        <w:jc w:val="left"/>
        <w:rPr>
          <w:szCs w:val="22"/>
        </w:rPr>
      </w:pPr>
    </w:p>
    <w:p w14:paraId="3038FFF1" w14:textId="35385D38" w:rsidR="00ED7A15" w:rsidRPr="00ED7A15" w:rsidRDefault="00ED7A15" w:rsidP="00286DED">
      <w:pPr>
        <w:jc w:val="left"/>
        <w:rPr>
          <w:b/>
          <w:szCs w:val="22"/>
        </w:rPr>
      </w:pPr>
      <w:r w:rsidRPr="00ED7A15">
        <w:rPr>
          <w:b/>
          <w:szCs w:val="22"/>
        </w:rPr>
        <w:t>Author</w:t>
      </w:r>
      <w:r>
        <w:rPr>
          <w:b/>
          <w:szCs w:val="22"/>
        </w:rPr>
        <w:t>s</w:t>
      </w:r>
    </w:p>
    <w:p w14:paraId="15BF90E0" w14:textId="00B98660" w:rsidR="00ED7A15" w:rsidRPr="00ED7A15" w:rsidRDefault="00E10828" w:rsidP="00286DED">
      <w:pPr>
        <w:jc w:val="left"/>
        <w:rPr>
          <w:szCs w:val="22"/>
        </w:rPr>
      </w:pPr>
      <w:r>
        <w:rPr>
          <w:szCs w:val="22"/>
        </w:rPr>
        <w:t xml:space="preserve">This report was prepared by </w:t>
      </w:r>
      <w:r w:rsidR="00ED7A15" w:rsidRPr="00ED7A15">
        <w:rPr>
          <w:szCs w:val="22"/>
        </w:rPr>
        <w:t>Natasha Davidson (Principal Advisor — Research and Education).</w:t>
      </w:r>
    </w:p>
    <w:p w14:paraId="7125B06C" w14:textId="77777777" w:rsidR="00ED7A15" w:rsidRPr="00ED7A15" w:rsidRDefault="00ED7A15" w:rsidP="00286DED">
      <w:pPr>
        <w:jc w:val="left"/>
        <w:rPr>
          <w:szCs w:val="22"/>
        </w:rPr>
      </w:pPr>
    </w:p>
    <w:p w14:paraId="4DEE1146" w14:textId="60EB57F6" w:rsidR="00ED7A15" w:rsidRPr="00666BAC" w:rsidRDefault="00ED7A15" w:rsidP="00286DED">
      <w:pPr>
        <w:jc w:val="left"/>
        <w:rPr>
          <w:i/>
          <w:szCs w:val="22"/>
        </w:rPr>
      </w:pPr>
      <w:r w:rsidRPr="00ED7A15">
        <w:rPr>
          <w:szCs w:val="22"/>
        </w:rPr>
        <w:t>Citation: The Health and Disability Commissioner</w:t>
      </w:r>
      <w:r w:rsidR="00DA0D79">
        <w:rPr>
          <w:szCs w:val="22"/>
        </w:rPr>
        <w:t>. 2021</w:t>
      </w:r>
      <w:r w:rsidRPr="00666BAC">
        <w:rPr>
          <w:szCs w:val="22"/>
        </w:rPr>
        <w:t xml:space="preserve">. </w:t>
      </w:r>
      <w:r w:rsidRPr="00666BAC">
        <w:rPr>
          <w:i/>
          <w:szCs w:val="22"/>
        </w:rPr>
        <w:t xml:space="preserve">Complaints to the Health and Disability Commissioner involving District Health Boards: </w:t>
      </w:r>
      <w:r>
        <w:rPr>
          <w:i/>
          <w:szCs w:val="22"/>
        </w:rPr>
        <w:t>Report an</w:t>
      </w:r>
      <w:r w:rsidR="00E10828">
        <w:rPr>
          <w:i/>
          <w:szCs w:val="22"/>
        </w:rPr>
        <w:t>d A</w:t>
      </w:r>
      <w:r w:rsidR="000B6642">
        <w:rPr>
          <w:i/>
          <w:szCs w:val="22"/>
        </w:rPr>
        <w:t>nalysis for the period 1 July</w:t>
      </w:r>
      <w:r>
        <w:rPr>
          <w:i/>
          <w:szCs w:val="22"/>
        </w:rPr>
        <w:t xml:space="preserve"> to </w:t>
      </w:r>
      <w:r w:rsidR="00752BDE">
        <w:rPr>
          <w:i/>
          <w:szCs w:val="22"/>
        </w:rPr>
        <w:br/>
      </w:r>
      <w:r w:rsidR="000B6642">
        <w:rPr>
          <w:i/>
          <w:szCs w:val="22"/>
        </w:rPr>
        <w:t>31 December</w:t>
      </w:r>
      <w:r w:rsidR="00E10828">
        <w:rPr>
          <w:i/>
          <w:szCs w:val="22"/>
        </w:rPr>
        <w:t xml:space="preserve"> 2020</w:t>
      </w:r>
    </w:p>
    <w:p w14:paraId="411995F4" w14:textId="77777777" w:rsidR="00ED7A15" w:rsidRPr="00666BAC" w:rsidRDefault="00ED7A15" w:rsidP="00286DED">
      <w:pPr>
        <w:jc w:val="left"/>
        <w:rPr>
          <w:szCs w:val="22"/>
        </w:rPr>
      </w:pPr>
    </w:p>
    <w:p w14:paraId="0D9A7E39" w14:textId="1ED38E80" w:rsidR="00ED7A15" w:rsidRPr="00666BAC" w:rsidRDefault="00ED7A15" w:rsidP="00286DED">
      <w:pPr>
        <w:jc w:val="left"/>
        <w:rPr>
          <w:szCs w:val="22"/>
        </w:rPr>
      </w:pPr>
      <w:r>
        <w:rPr>
          <w:szCs w:val="22"/>
        </w:rPr>
        <w:t xml:space="preserve">Published in </w:t>
      </w:r>
      <w:r w:rsidR="00DA0D79">
        <w:rPr>
          <w:szCs w:val="22"/>
        </w:rPr>
        <w:t>June</w:t>
      </w:r>
      <w:r w:rsidR="000B6642">
        <w:rPr>
          <w:szCs w:val="22"/>
        </w:rPr>
        <w:t xml:space="preserve"> 2021</w:t>
      </w:r>
    </w:p>
    <w:p w14:paraId="7AE8F63E" w14:textId="77777777" w:rsidR="00ED7A15" w:rsidRPr="00666BAC" w:rsidRDefault="00ED7A15" w:rsidP="00286DED">
      <w:pPr>
        <w:jc w:val="left"/>
        <w:rPr>
          <w:szCs w:val="22"/>
        </w:rPr>
      </w:pPr>
      <w:r w:rsidRPr="00666BAC">
        <w:rPr>
          <w:szCs w:val="22"/>
        </w:rPr>
        <w:t>by the Health and Disability Commissioner</w:t>
      </w:r>
    </w:p>
    <w:p w14:paraId="563BA8CD" w14:textId="77777777" w:rsidR="00ED7A15" w:rsidRPr="00666BAC" w:rsidRDefault="00ED7A15" w:rsidP="00286DED">
      <w:pPr>
        <w:jc w:val="left"/>
        <w:rPr>
          <w:szCs w:val="22"/>
        </w:rPr>
      </w:pPr>
      <w:r w:rsidRPr="00666BAC">
        <w:rPr>
          <w:szCs w:val="22"/>
        </w:rPr>
        <w:t>PO Box 1791, Auckland 1140</w:t>
      </w:r>
    </w:p>
    <w:p w14:paraId="49C7991D" w14:textId="77777777" w:rsidR="00ED7A15" w:rsidRPr="00666BAC" w:rsidRDefault="00ED7A15" w:rsidP="00286DED">
      <w:pPr>
        <w:jc w:val="left"/>
        <w:rPr>
          <w:b/>
          <w:szCs w:val="22"/>
        </w:rPr>
      </w:pPr>
    </w:p>
    <w:p w14:paraId="0949C2CF" w14:textId="18698F9B" w:rsidR="00ED7A15" w:rsidRPr="00666BAC" w:rsidRDefault="000B6642" w:rsidP="00286DED">
      <w:pPr>
        <w:jc w:val="left"/>
        <w:rPr>
          <w:szCs w:val="22"/>
        </w:rPr>
      </w:pPr>
      <w:r>
        <w:rPr>
          <w:szCs w:val="22"/>
        </w:rPr>
        <w:t>©2021</w:t>
      </w:r>
      <w:r w:rsidR="00ED7A15" w:rsidRPr="00666BAC">
        <w:rPr>
          <w:szCs w:val="22"/>
        </w:rPr>
        <w:t xml:space="preserve"> The Health and Disability Commissioner</w:t>
      </w:r>
    </w:p>
    <w:p w14:paraId="6DC3276F" w14:textId="77777777" w:rsidR="00ED7A15" w:rsidRPr="00666BAC" w:rsidRDefault="00ED7A15" w:rsidP="00286DED">
      <w:pPr>
        <w:jc w:val="left"/>
        <w:rPr>
          <w:b/>
          <w:szCs w:val="22"/>
        </w:rPr>
      </w:pPr>
    </w:p>
    <w:p w14:paraId="72CCBBEA" w14:textId="77777777" w:rsidR="00ED7A15" w:rsidRPr="00666BAC" w:rsidRDefault="00ED7A15" w:rsidP="00286DED">
      <w:pPr>
        <w:jc w:val="left"/>
        <w:rPr>
          <w:b/>
          <w:szCs w:val="22"/>
        </w:rPr>
        <w:sectPr w:rsidR="00ED7A15" w:rsidRPr="00666BAC" w:rsidSect="00ED7A15">
          <w:pgSz w:w="11906" w:h="16838" w:code="9"/>
          <w:pgMar w:top="1140" w:right="1412" w:bottom="851" w:left="1412" w:header="720" w:footer="590" w:gutter="0"/>
          <w:pgNumType w:start="0"/>
          <w:cols w:space="720"/>
          <w:titlePg/>
          <w:docGrid w:linePitch="360"/>
        </w:sectPr>
      </w:pPr>
      <w:r w:rsidRPr="00666BAC">
        <w:rPr>
          <w:szCs w:val="22"/>
        </w:rPr>
        <w:t>This report is available on our website at www.hdc.org.nz</w:t>
      </w:r>
    </w:p>
    <w:p w14:paraId="2F21A38C" w14:textId="77777777" w:rsidR="00841E1C" w:rsidRPr="0078382D" w:rsidRDefault="00841E1C" w:rsidP="00286DED">
      <w:pPr>
        <w:spacing w:after="360"/>
        <w:jc w:val="center"/>
        <w:rPr>
          <w:b/>
          <w:color w:val="C00000"/>
          <w:sz w:val="48"/>
          <w:szCs w:val="48"/>
        </w:rPr>
      </w:pPr>
      <w:r w:rsidRPr="0078382D">
        <w:rPr>
          <w:b/>
          <w:color w:val="C00000"/>
          <w:sz w:val="48"/>
          <w:szCs w:val="48"/>
        </w:rPr>
        <w:t>Contents</w:t>
      </w:r>
    </w:p>
    <w:p w14:paraId="2E7B0255" w14:textId="09628FDB" w:rsidR="00BF18CE" w:rsidRDefault="007E6810">
      <w:pPr>
        <w:pStyle w:val="TOC1"/>
        <w:rPr>
          <w:rFonts w:eastAsiaTheme="minorEastAsia" w:cstheme="minorBidi"/>
          <w:bCs w:val="0"/>
          <w:lang w:eastAsia="en-NZ" w:bidi="ar-SA"/>
        </w:rPr>
      </w:pPr>
      <w:r>
        <w:fldChar w:fldCharType="begin"/>
      </w:r>
      <w:r>
        <w:instrText xml:space="preserve"> TOC \o "2-3" \h \z \t "Heading 1,1" </w:instrText>
      </w:r>
      <w:r>
        <w:fldChar w:fldCharType="separate"/>
      </w:r>
      <w:hyperlink w:anchor="_Toc74223403" w:history="1">
        <w:r w:rsidR="00BF18CE" w:rsidRPr="008436F6">
          <w:rPr>
            <w:rStyle w:val="Hyperlink"/>
          </w:rPr>
          <w:t>Commissioner’s Foreword</w:t>
        </w:r>
        <w:r w:rsidR="00BF18CE">
          <w:rPr>
            <w:webHidden/>
          </w:rPr>
          <w:tab/>
        </w:r>
        <w:r w:rsidR="00BF18CE">
          <w:rPr>
            <w:webHidden/>
          </w:rPr>
          <w:fldChar w:fldCharType="begin"/>
        </w:r>
        <w:r w:rsidR="00BF18CE">
          <w:rPr>
            <w:webHidden/>
          </w:rPr>
          <w:instrText xml:space="preserve"> PAGEREF _Toc74223403 \h </w:instrText>
        </w:r>
        <w:r w:rsidR="00BF18CE">
          <w:rPr>
            <w:webHidden/>
          </w:rPr>
        </w:r>
        <w:r w:rsidR="00BF18CE">
          <w:rPr>
            <w:webHidden/>
          </w:rPr>
          <w:fldChar w:fldCharType="separate"/>
        </w:r>
        <w:r w:rsidR="00536724">
          <w:rPr>
            <w:webHidden/>
          </w:rPr>
          <w:t>1</w:t>
        </w:r>
        <w:r w:rsidR="00BF18CE">
          <w:rPr>
            <w:webHidden/>
          </w:rPr>
          <w:fldChar w:fldCharType="end"/>
        </w:r>
      </w:hyperlink>
    </w:p>
    <w:p w14:paraId="401539F1" w14:textId="4177027C" w:rsidR="00BF18CE" w:rsidRDefault="00BF18CE">
      <w:pPr>
        <w:pStyle w:val="TOC1"/>
        <w:rPr>
          <w:rFonts w:eastAsiaTheme="minorEastAsia" w:cstheme="minorBidi"/>
          <w:bCs w:val="0"/>
          <w:lang w:eastAsia="en-NZ" w:bidi="ar-SA"/>
        </w:rPr>
      </w:pPr>
      <w:hyperlink w:anchor="_Toc74223404" w:history="1">
        <w:r w:rsidRPr="008436F6">
          <w:rPr>
            <w:rStyle w:val="Hyperlink"/>
          </w:rPr>
          <w:t>National Data for all District Health Boards</w:t>
        </w:r>
        <w:r>
          <w:rPr>
            <w:webHidden/>
          </w:rPr>
          <w:tab/>
        </w:r>
        <w:r>
          <w:rPr>
            <w:webHidden/>
          </w:rPr>
          <w:fldChar w:fldCharType="begin"/>
        </w:r>
        <w:r>
          <w:rPr>
            <w:webHidden/>
          </w:rPr>
          <w:instrText xml:space="preserve"> PAGEREF _Toc74223404 \h </w:instrText>
        </w:r>
        <w:r>
          <w:rPr>
            <w:webHidden/>
          </w:rPr>
        </w:r>
        <w:r>
          <w:rPr>
            <w:webHidden/>
          </w:rPr>
          <w:fldChar w:fldCharType="separate"/>
        </w:r>
        <w:r w:rsidR="00536724">
          <w:rPr>
            <w:webHidden/>
          </w:rPr>
          <w:t>2</w:t>
        </w:r>
        <w:r>
          <w:rPr>
            <w:webHidden/>
          </w:rPr>
          <w:fldChar w:fldCharType="end"/>
        </w:r>
      </w:hyperlink>
    </w:p>
    <w:p w14:paraId="095C9BD6" w14:textId="5FF82839" w:rsidR="00BF18CE" w:rsidRDefault="00BF18CE">
      <w:pPr>
        <w:pStyle w:val="TOC2"/>
        <w:rPr>
          <w:color w:val="auto"/>
        </w:rPr>
      </w:pPr>
      <w:hyperlink w:anchor="_Toc74223405" w:history="1">
        <w:r w:rsidRPr="008436F6">
          <w:rPr>
            <w:rStyle w:val="Hyperlink"/>
          </w:rPr>
          <w:t>1.</w:t>
        </w:r>
        <w:r>
          <w:rPr>
            <w:color w:val="auto"/>
          </w:rPr>
          <w:tab/>
        </w:r>
        <w:r w:rsidRPr="008436F6">
          <w:rPr>
            <w:rStyle w:val="Hyperlink"/>
          </w:rPr>
          <w:t>How many complaints were received?</w:t>
        </w:r>
        <w:r>
          <w:rPr>
            <w:webHidden/>
          </w:rPr>
          <w:tab/>
        </w:r>
        <w:r>
          <w:rPr>
            <w:webHidden/>
          </w:rPr>
          <w:fldChar w:fldCharType="begin"/>
        </w:r>
        <w:r>
          <w:rPr>
            <w:webHidden/>
          </w:rPr>
          <w:instrText xml:space="preserve"> PAGEREF _Toc74223405 \h </w:instrText>
        </w:r>
        <w:r>
          <w:rPr>
            <w:webHidden/>
          </w:rPr>
        </w:r>
        <w:r>
          <w:rPr>
            <w:webHidden/>
          </w:rPr>
          <w:fldChar w:fldCharType="separate"/>
        </w:r>
        <w:r w:rsidR="00536724">
          <w:rPr>
            <w:webHidden/>
          </w:rPr>
          <w:t>2</w:t>
        </w:r>
        <w:r>
          <w:rPr>
            <w:webHidden/>
          </w:rPr>
          <w:fldChar w:fldCharType="end"/>
        </w:r>
      </w:hyperlink>
    </w:p>
    <w:p w14:paraId="40D30695" w14:textId="083AF039" w:rsidR="00BF18CE" w:rsidRDefault="00BF18CE">
      <w:pPr>
        <w:pStyle w:val="TOC3"/>
        <w:rPr>
          <w:rFonts w:eastAsiaTheme="minorEastAsia" w:cstheme="minorBidi"/>
          <w:iCs w:val="0"/>
          <w:sz w:val="22"/>
          <w:szCs w:val="22"/>
          <w:lang w:eastAsia="en-NZ" w:bidi="ar-SA"/>
        </w:rPr>
      </w:pPr>
      <w:hyperlink w:anchor="_Toc74223406" w:history="1">
        <w:r w:rsidRPr="008436F6">
          <w:rPr>
            <w:rStyle w:val="Hyperlink"/>
          </w:rPr>
          <w:t>1.1</w:t>
        </w:r>
        <w:r>
          <w:rPr>
            <w:rFonts w:eastAsiaTheme="minorEastAsia" w:cstheme="minorBidi"/>
            <w:iCs w:val="0"/>
            <w:sz w:val="22"/>
            <w:szCs w:val="22"/>
            <w:lang w:eastAsia="en-NZ" w:bidi="ar-SA"/>
          </w:rPr>
          <w:tab/>
        </w:r>
        <w:r w:rsidRPr="008436F6">
          <w:rPr>
            <w:rStyle w:val="Hyperlink"/>
          </w:rPr>
          <w:t>Number of complaints received</w:t>
        </w:r>
        <w:r>
          <w:rPr>
            <w:webHidden/>
          </w:rPr>
          <w:tab/>
        </w:r>
        <w:r>
          <w:rPr>
            <w:webHidden/>
          </w:rPr>
          <w:fldChar w:fldCharType="begin"/>
        </w:r>
        <w:r>
          <w:rPr>
            <w:webHidden/>
          </w:rPr>
          <w:instrText xml:space="preserve"> PAGEREF _Toc74223406 \h </w:instrText>
        </w:r>
        <w:r>
          <w:rPr>
            <w:webHidden/>
          </w:rPr>
        </w:r>
        <w:r>
          <w:rPr>
            <w:webHidden/>
          </w:rPr>
          <w:fldChar w:fldCharType="separate"/>
        </w:r>
        <w:r w:rsidR="00536724">
          <w:rPr>
            <w:webHidden/>
          </w:rPr>
          <w:t>2</w:t>
        </w:r>
        <w:r>
          <w:rPr>
            <w:webHidden/>
          </w:rPr>
          <w:fldChar w:fldCharType="end"/>
        </w:r>
      </w:hyperlink>
    </w:p>
    <w:p w14:paraId="7AB0518D" w14:textId="21452075" w:rsidR="00BF18CE" w:rsidRDefault="00BF18CE">
      <w:pPr>
        <w:pStyle w:val="TOC3"/>
        <w:rPr>
          <w:rFonts w:eastAsiaTheme="minorEastAsia" w:cstheme="minorBidi"/>
          <w:iCs w:val="0"/>
          <w:sz w:val="22"/>
          <w:szCs w:val="22"/>
          <w:lang w:eastAsia="en-NZ" w:bidi="ar-SA"/>
        </w:rPr>
      </w:pPr>
      <w:hyperlink w:anchor="_Toc74223407" w:history="1">
        <w:r w:rsidRPr="008436F6">
          <w:rPr>
            <w:rStyle w:val="Hyperlink"/>
          </w:rPr>
          <w:t>1.2</w:t>
        </w:r>
        <w:r>
          <w:rPr>
            <w:rFonts w:eastAsiaTheme="minorEastAsia" w:cstheme="minorBidi"/>
            <w:iCs w:val="0"/>
            <w:sz w:val="22"/>
            <w:szCs w:val="22"/>
            <w:lang w:eastAsia="en-NZ" w:bidi="ar-SA"/>
          </w:rPr>
          <w:tab/>
        </w:r>
        <w:r w:rsidRPr="008436F6">
          <w:rPr>
            <w:rStyle w:val="Hyperlink"/>
          </w:rPr>
          <w:t>Rate of complaints received</w:t>
        </w:r>
        <w:r>
          <w:rPr>
            <w:webHidden/>
          </w:rPr>
          <w:tab/>
        </w:r>
        <w:r>
          <w:rPr>
            <w:webHidden/>
          </w:rPr>
          <w:fldChar w:fldCharType="begin"/>
        </w:r>
        <w:r>
          <w:rPr>
            <w:webHidden/>
          </w:rPr>
          <w:instrText xml:space="preserve"> PAGEREF _Toc74223407 \h </w:instrText>
        </w:r>
        <w:r>
          <w:rPr>
            <w:webHidden/>
          </w:rPr>
        </w:r>
        <w:r>
          <w:rPr>
            <w:webHidden/>
          </w:rPr>
          <w:fldChar w:fldCharType="separate"/>
        </w:r>
        <w:r w:rsidR="00536724">
          <w:rPr>
            <w:webHidden/>
          </w:rPr>
          <w:t>3</w:t>
        </w:r>
        <w:r>
          <w:rPr>
            <w:webHidden/>
          </w:rPr>
          <w:fldChar w:fldCharType="end"/>
        </w:r>
      </w:hyperlink>
    </w:p>
    <w:p w14:paraId="59357CBE" w14:textId="7BFDE506" w:rsidR="00BF18CE" w:rsidRDefault="00BF18CE">
      <w:pPr>
        <w:pStyle w:val="TOC2"/>
        <w:rPr>
          <w:color w:val="auto"/>
        </w:rPr>
      </w:pPr>
      <w:hyperlink w:anchor="_Toc74223408" w:history="1">
        <w:r w:rsidRPr="008436F6">
          <w:rPr>
            <w:rStyle w:val="Hyperlink"/>
          </w:rPr>
          <w:t>2. Who complained?</w:t>
        </w:r>
        <w:r>
          <w:rPr>
            <w:webHidden/>
          </w:rPr>
          <w:tab/>
        </w:r>
        <w:r>
          <w:rPr>
            <w:webHidden/>
          </w:rPr>
          <w:fldChar w:fldCharType="begin"/>
        </w:r>
        <w:r>
          <w:rPr>
            <w:webHidden/>
          </w:rPr>
          <w:instrText xml:space="preserve"> PAGEREF _Toc74223408 \h </w:instrText>
        </w:r>
        <w:r>
          <w:rPr>
            <w:webHidden/>
          </w:rPr>
        </w:r>
        <w:r>
          <w:rPr>
            <w:webHidden/>
          </w:rPr>
          <w:fldChar w:fldCharType="separate"/>
        </w:r>
        <w:r w:rsidR="00536724">
          <w:rPr>
            <w:webHidden/>
          </w:rPr>
          <w:t>5</w:t>
        </w:r>
        <w:r>
          <w:rPr>
            <w:webHidden/>
          </w:rPr>
          <w:fldChar w:fldCharType="end"/>
        </w:r>
      </w:hyperlink>
    </w:p>
    <w:p w14:paraId="73FF5BDD" w14:textId="23128641" w:rsidR="00BF18CE" w:rsidRDefault="00BF18CE">
      <w:pPr>
        <w:pStyle w:val="TOC3"/>
        <w:rPr>
          <w:rFonts w:eastAsiaTheme="minorEastAsia" w:cstheme="minorBidi"/>
          <w:iCs w:val="0"/>
          <w:sz w:val="22"/>
          <w:szCs w:val="22"/>
          <w:lang w:eastAsia="en-NZ" w:bidi="ar-SA"/>
        </w:rPr>
      </w:pPr>
      <w:hyperlink w:anchor="_Toc74223409" w:history="1">
        <w:r w:rsidRPr="008436F6">
          <w:rPr>
            <w:rStyle w:val="Hyperlink"/>
          </w:rPr>
          <w:t>2.1</w:t>
        </w:r>
        <w:r>
          <w:rPr>
            <w:rFonts w:eastAsiaTheme="minorEastAsia" w:cstheme="minorBidi"/>
            <w:iCs w:val="0"/>
            <w:sz w:val="22"/>
            <w:szCs w:val="22"/>
            <w:lang w:eastAsia="en-NZ" w:bidi="ar-SA"/>
          </w:rPr>
          <w:tab/>
        </w:r>
        <w:r w:rsidRPr="008436F6">
          <w:rPr>
            <w:rStyle w:val="Hyperlink"/>
          </w:rPr>
          <w:t xml:space="preserve"> Consumer ethnicity</w:t>
        </w:r>
        <w:r>
          <w:rPr>
            <w:webHidden/>
          </w:rPr>
          <w:tab/>
        </w:r>
        <w:r>
          <w:rPr>
            <w:webHidden/>
          </w:rPr>
          <w:fldChar w:fldCharType="begin"/>
        </w:r>
        <w:r>
          <w:rPr>
            <w:webHidden/>
          </w:rPr>
          <w:instrText xml:space="preserve"> PAGEREF _Toc74223409 \h </w:instrText>
        </w:r>
        <w:r>
          <w:rPr>
            <w:webHidden/>
          </w:rPr>
        </w:r>
        <w:r>
          <w:rPr>
            <w:webHidden/>
          </w:rPr>
          <w:fldChar w:fldCharType="separate"/>
        </w:r>
        <w:r w:rsidR="00536724">
          <w:rPr>
            <w:webHidden/>
          </w:rPr>
          <w:t>5</w:t>
        </w:r>
        <w:r>
          <w:rPr>
            <w:webHidden/>
          </w:rPr>
          <w:fldChar w:fldCharType="end"/>
        </w:r>
      </w:hyperlink>
    </w:p>
    <w:p w14:paraId="26741B22" w14:textId="775128B5" w:rsidR="00BF18CE" w:rsidRDefault="00BF18CE">
      <w:pPr>
        <w:pStyle w:val="TOC2"/>
        <w:rPr>
          <w:color w:val="auto"/>
        </w:rPr>
      </w:pPr>
      <w:hyperlink w:anchor="_Toc74223410" w:history="1">
        <w:r w:rsidRPr="008436F6">
          <w:rPr>
            <w:rStyle w:val="Hyperlink"/>
          </w:rPr>
          <w:t>3.</w:t>
        </w:r>
        <w:r>
          <w:rPr>
            <w:color w:val="auto"/>
          </w:rPr>
          <w:tab/>
        </w:r>
        <w:r w:rsidRPr="008436F6">
          <w:rPr>
            <w:rStyle w:val="Hyperlink"/>
          </w:rPr>
          <w:t>Which DHB services were complained about?</w:t>
        </w:r>
        <w:r>
          <w:rPr>
            <w:webHidden/>
          </w:rPr>
          <w:tab/>
        </w:r>
        <w:r>
          <w:rPr>
            <w:webHidden/>
          </w:rPr>
          <w:fldChar w:fldCharType="begin"/>
        </w:r>
        <w:r>
          <w:rPr>
            <w:webHidden/>
          </w:rPr>
          <w:instrText xml:space="preserve"> PAGEREF _Toc74223410 \h </w:instrText>
        </w:r>
        <w:r>
          <w:rPr>
            <w:webHidden/>
          </w:rPr>
        </w:r>
        <w:r>
          <w:rPr>
            <w:webHidden/>
          </w:rPr>
          <w:fldChar w:fldCharType="separate"/>
        </w:r>
        <w:r w:rsidR="00536724">
          <w:rPr>
            <w:webHidden/>
          </w:rPr>
          <w:t>6</w:t>
        </w:r>
        <w:r>
          <w:rPr>
            <w:webHidden/>
          </w:rPr>
          <w:fldChar w:fldCharType="end"/>
        </w:r>
      </w:hyperlink>
    </w:p>
    <w:p w14:paraId="4F41A5EB" w14:textId="5B15BC69" w:rsidR="00BF18CE" w:rsidRDefault="00BF18CE">
      <w:pPr>
        <w:pStyle w:val="TOC3"/>
        <w:rPr>
          <w:rFonts w:eastAsiaTheme="minorEastAsia" w:cstheme="minorBidi"/>
          <w:iCs w:val="0"/>
          <w:sz w:val="22"/>
          <w:szCs w:val="22"/>
          <w:lang w:eastAsia="en-NZ" w:bidi="ar-SA"/>
        </w:rPr>
      </w:pPr>
      <w:hyperlink w:anchor="_Toc74223411" w:history="1">
        <w:r w:rsidRPr="008436F6">
          <w:rPr>
            <w:rStyle w:val="Hyperlink"/>
          </w:rPr>
          <w:t>3.1</w:t>
        </w:r>
        <w:r>
          <w:rPr>
            <w:rFonts w:eastAsiaTheme="minorEastAsia" w:cstheme="minorBidi"/>
            <w:iCs w:val="0"/>
            <w:sz w:val="22"/>
            <w:szCs w:val="22"/>
            <w:lang w:eastAsia="en-NZ" w:bidi="ar-SA"/>
          </w:rPr>
          <w:tab/>
        </w:r>
        <w:r w:rsidRPr="008436F6">
          <w:rPr>
            <w:rStyle w:val="Hyperlink"/>
          </w:rPr>
          <w:t xml:space="preserve"> DHB service types complained about</w:t>
        </w:r>
        <w:r>
          <w:rPr>
            <w:webHidden/>
          </w:rPr>
          <w:tab/>
        </w:r>
        <w:r>
          <w:rPr>
            <w:webHidden/>
          </w:rPr>
          <w:fldChar w:fldCharType="begin"/>
        </w:r>
        <w:r>
          <w:rPr>
            <w:webHidden/>
          </w:rPr>
          <w:instrText xml:space="preserve"> PAGEREF _Toc74223411 \h </w:instrText>
        </w:r>
        <w:r>
          <w:rPr>
            <w:webHidden/>
          </w:rPr>
        </w:r>
        <w:r>
          <w:rPr>
            <w:webHidden/>
          </w:rPr>
          <w:fldChar w:fldCharType="separate"/>
        </w:r>
        <w:r w:rsidR="00536724">
          <w:rPr>
            <w:webHidden/>
          </w:rPr>
          <w:t>6</w:t>
        </w:r>
        <w:r>
          <w:rPr>
            <w:webHidden/>
          </w:rPr>
          <w:fldChar w:fldCharType="end"/>
        </w:r>
      </w:hyperlink>
    </w:p>
    <w:p w14:paraId="2486F58D" w14:textId="0B521B63" w:rsidR="00BF18CE" w:rsidRDefault="00BF18CE">
      <w:pPr>
        <w:pStyle w:val="TOC2"/>
        <w:rPr>
          <w:color w:val="auto"/>
        </w:rPr>
      </w:pPr>
      <w:hyperlink w:anchor="_Toc74223412" w:history="1">
        <w:r w:rsidRPr="008436F6">
          <w:rPr>
            <w:rStyle w:val="Hyperlink"/>
          </w:rPr>
          <w:t>4.</w:t>
        </w:r>
        <w:r>
          <w:rPr>
            <w:color w:val="auto"/>
          </w:rPr>
          <w:tab/>
        </w:r>
        <w:r w:rsidRPr="008436F6">
          <w:rPr>
            <w:rStyle w:val="Hyperlink"/>
          </w:rPr>
          <w:t>What did people complain about?</w:t>
        </w:r>
        <w:r>
          <w:rPr>
            <w:webHidden/>
          </w:rPr>
          <w:tab/>
        </w:r>
        <w:r>
          <w:rPr>
            <w:webHidden/>
          </w:rPr>
          <w:fldChar w:fldCharType="begin"/>
        </w:r>
        <w:r>
          <w:rPr>
            <w:webHidden/>
          </w:rPr>
          <w:instrText xml:space="preserve"> PAGEREF _Toc74223412 \h </w:instrText>
        </w:r>
        <w:r>
          <w:rPr>
            <w:webHidden/>
          </w:rPr>
        </w:r>
        <w:r>
          <w:rPr>
            <w:webHidden/>
          </w:rPr>
          <w:fldChar w:fldCharType="separate"/>
        </w:r>
        <w:r w:rsidR="00536724">
          <w:rPr>
            <w:webHidden/>
          </w:rPr>
          <w:t>9</w:t>
        </w:r>
        <w:r>
          <w:rPr>
            <w:webHidden/>
          </w:rPr>
          <w:fldChar w:fldCharType="end"/>
        </w:r>
      </w:hyperlink>
    </w:p>
    <w:p w14:paraId="6886D925" w14:textId="336A1B3D" w:rsidR="00BF18CE" w:rsidRDefault="00BF18CE">
      <w:pPr>
        <w:pStyle w:val="TOC3"/>
        <w:rPr>
          <w:rFonts w:eastAsiaTheme="minorEastAsia" w:cstheme="minorBidi"/>
          <w:iCs w:val="0"/>
          <w:sz w:val="22"/>
          <w:szCs w:val="22"/>
          <w:lang w:eastAsia="en-NZ" w:bidi="ar-SA"/>
        </w:rPr>
      </w:pPr>
      <w:hyperlink w:anchor="_Toc74223413" w:history="1">
        <w:r w:rsidRPr="008436F6">
          <w:rPr>
            <w:rStyle w:val="Hyperlink"/>
          </w:rPr>
          <w:t>4.1</w:t>
        </w:r>
        <w:r>
          <w:rPr>
            <w:rFonts w:eastAsiaTheme="minorEastAsia" w:cstheme="minorBidi"/>
            <w:iCs w:val="0"/>
            <w:sz w:val="22"/>
            <w:szCs w:val="22"/>
            <w:lang w:eastAsia="en-NZ" w:bidi="ar-SA"/>
          </w:rPr>
          <w:tab/>
        </w:r>
        <w:r w:rsidRPr="008436F6">
          <w:rPr>
            <w:rStyle w:val="Hyperlink"/>
          </w:rPr>
          <w:t>Primary issues identified in complaints</w:t>
        </w:r>
        <w:r>
          <w:rPr>
            <w:webHidden/>
          </w:rPr>
          <w:tab/>
        </w:r>
        <w:r>
          <w:rPr>
            <w:webHidden/>
          </w:rPr>
          <w:fldChar w:fldCharType="begin"/>
        </w:r>
        <w:r>
          <w:rPr>
            <w:webHidden/>
          </w:rPr>
          <w:instrText xml:space="preserve"> PAGEREF _Toc74223413 \h </w:instrText>
        </w:r>
        <w:r>
          <w:rPr>
            <w:webHidden/>
          </w:rPr>
        </w:r>
        <w:r>
          <w:rPr>
            <w:webHidden/>
          </w:rPr>
          <w:fldChar w:fldCharType="separate"/>
        </w:r>
        <w:r w:rsidR="00536724">
          <w:rPr>
            <w:webHidden/>
          </w:rPr>
          <w:t>9</w:t>
        </w:r>
        <w:r>
          <w:rPr>
            <w:webHidden/>
          </w:rPr>
          <w:fldChar w:fldCharType="end"/>
        </w:r>
      </w:hyperlink>
    </w:p>
    <w:p w14:paraId="18453FC1" w14:textId="0C16AC0B" w:rsidR="00BF18CE" w:rsidRDefault="00BF18CE">
      <w:pPr>
        <w:pStyle w:val="TOC3"/>
        <w:rPr>
          <w:rFonts w:eastAsiaTheme="minorEastAsia" w:cstheme="minorBidi"/>
          <w:iCs w:val="0"/>
          <w:sz w:val="22"/>
          <w:szCs w:val="22"/>
          <w:lang w:eastAsia="en-NZ" w:bidi="ar-SA"/>
        </w:rPr>
      </w:pPr>
      <w:hyperlink w:anchor="_Toc74223414" w:history="1">
        <w:r w:rsidRPr="008436F6">
          <w:rPr>
            <w:rStyle w:val="Hyperlink"/>
          </w:rPr>
          <w:t>4.2</w:t>
        </w:r>
        <w:r>
          <w:rPr>
            <w:rFonts w:eastAsiaTheme="minorEastAsia" w:cstheme="minorBidi"/>
            <w:iCs w:val="0"/>
            <w:sz w:val="22"/>
            <w:szCs w:val="22"/>
            <w:lang w:eastAsia="en-NZ" w:bidi="ar-SA"/>
          </w:rPr>
          <w:tab/>
        </w:r>
        <w:r w:rsidRPr="008436F6">
          <w:rPr>
            <w:rStyle w:val="Hyperlink"/>
          </w:rPr>
          <w:t>All issues identified in complaints</w:t>
        </w:r>
        <w:r>
          <w:rPr>
            <w:webHidden/>
          </w:rPr>
          <w:tab/>
        </w:r>
        <w:r>
          <w:rPr>
            <w:webHidden/>
          </w:rPr>
          <w:fldChar w:fldCharType="begin"/>
        </w:r>
        <w:r>
          <w:rPr>
            <w:webHidden/>
          </w:rPr>
          <w:instrText xml:space="preserve"> PAGEREF _Toc74223414 \h </w:instrText>
        </w:r>
        <w:r>
          <w:rPr>
            <w:webHidden/>
          </w:rPr>
        </w:r>
        <w:r>
          <w:rPr>
            <w:webHidden/>
          </w:rPr>
          <w:fldChar w:fldCharType="separate"/>
        </w:r>
        <w:r w:rsidR="00536724">
          <w:rPr>
            <w:webHidden/>
          </w:rPr>
          <w:t>12</w:t>
        </w:r>
        <w:r>
          <w:rPr>
            <w:webHidden/>
          </w:rPr>
          <w:fldChar w:fldCharType="end"/>
        </w:r>
      </w:hyperlink>
    </w:p>
    <w:p w14:paraId="33AB8463" w14:textId="1D9F684A" w:rsidR="00BF18CE" w:rsidRDefault="00BF18CE">
      <w:pPr>
        <w:pStyle w:val="TOC3"/>
        <w:rPr>
          <w:rFonts w:eastAsiaTheme="minorEastAsia" w:cstheme="minorBidi"/>
          <w:iCs w:val="0"/>
          <w:sz w:val="22"/>
          <w:szCs w:val="22"/>
          <w:lang w:eastAsia="en-NZ" w:bidi="ar-SA"/>
        </w:rPr>
      </w:pPr>
      <w:hyperlink w:anchor="_Toc74223415" w:history="1">
        <w:r w:rsidRPr="008436F6">
          <w:rPr>
            <w:rStyle w:val="Hyperlink"/>
          </w:rPr>
          <w:t>4.3</w:t>
        </w:r>
        <w:r>
          <w:rPr>
            <w:rFonts w:eastAsiaTheme="minorEastAsia" w:cstheme="minorBidi"/>
            <w:iCs w:val="0"/>
            <w:sz w:val="22"/>
            <w:szCs w:val="22"/>
            <w:lang w:eastAsia="en-NZ" w:bidi="ar-SA"/>
          </w:rPr>
          <w:tab/>
        </w:r>
        <w:r w:rsidRPr="008436F6">
          <w:rPr>
            <w:rStyle w:val="Hyperlink"/>
          </w:rPr>
          <w:t>Primary issues by service type</w:t>
        </w:r>
        <w:r>
          <w:rPr>
            <w:webHidden/>
          </w:rPr>
          <w:tab/>
        </w:r>
        <w:r>
          <w:rPr>
            <w:webHidden/>
          </w:rPr>
          <w:fldChar w:fldCharType="begin"/>
        </w:r>
        <w:r>
          <w:rPr>
            <w:webHidden/>
          </w:rPr>
          <w:instrText xml:space="preserve"> PAGEREF _Toc74223415 \h </w:instrText>
        </w:r>
        <w:r>
          <w:rPr>
            <w:webHidden/>
          </w:rPr>
        </w:r>
        <w:r>
          <w:rPr>
            <w:webHidden/>
          </w:rPr>
          <w:fldChar w:fldCharType="separate"/>
        </w:r>
        <w:r w:rsidR="00536724">
          <w:rPr>
            <w:webHidden/>
          </w:rPr>
          <w:t>15</w:t>
        </w:r>
        <w:r>
          <w:rPr>
            <w:webHidden/>
          </w:rPr>
          <w:fldChar w:fldCharType="end"/>
        </w:r>
      </w:hyperlink>
    </w:p>
    <w:p w14:paraId="5602A96C" w14:textId="067D5026" w:rsidR="00BF18CE" w:rsidRDefault="00BF18CE">
      <w:pPr>
        <w:pStyle w:val="TOC2"/>
        <w:rPr>
          <w:color w:val="auto"/>
        </w:rPr>
      </w:pPr>
      <w:hyperlink w:anchor="_Toc74223416" w:history="1">
        <w:r w:rsidRPr="008436F6">
          <w:rPr>
            <w:rStyle w:val="Hyperlink"/>
          </w:rPr>
          <w:t>5. What were the outcomes of the complaints closed?</w:t>
        </w:r>
        <w:r>
          <w:rPr>
            <w:webHidden/>
          </w:rPr>
          <w:tab/>
        </w:r>
        <w:r>
          <w:rPr>
            <w:webHidden/>
          </w:rPr>
          <w:fldChar w:fldCharType="begin"/>
        </w:r>
        <w:r>
          <w:rPr>
            <w:webHidden/>
          </w:rPr>
          <w:instrText xml:space="preserve"> PAGEREF _Toc74223416 \h </w:instrText>
        </w:r>
        <w:r>
          <w:rPr>
            <w:webHidden/>
          </w:rPr>
        </w:r>
        <w:r>
          <w:rPr>
            <w:webHidden/>
          </w:rPr>
          <w:fldChar w:fldCharType="separate"/>
        </w:r>
        <w:r w:rsidR="00536724">
          <w:rPr>
            <w:webHidden/>
          </w:rPr>
          <w:t>16</w:t>
        </w:r>
        <w:r>
          <w:rPr>
            <w:webHidden/>
          </w:rPr>
          <w:fldChar w:fldCharType="end"/>
        </w:r>
      </w:hyperlink>
    </w:p>
    <w:p w14:paraId="3F2A7DCF" w14:textId="75D6B83E" w:rsidR="00BF18CE" w:rsidRDefault="00BF18CE">
      <w:pPr>
        <w:pStyle w:val="TOC3"/>
        <w:rPr>
          <w:rFonts w:eastAsiaTheme="minorEastAsia" w:cstheme="minorBidi"/>
          <w:iCs w:val="0"/>
          <w:sz w:val="22"/>
          <w:szCs w:val="22"/>
          <w:lang w:eastAsia="en-NZ" w:bidi="ar-SA"/>
        </w:rPr>
      </w:pPr>
      <w:hyperlink w:anchor="_Toc74223417" w:history="1">
        <w:r w:rsidRPr="008436F6">
          <w:rPr>
            <w:rStyle w:val="Hyperlink"/>
            <w:lang w:val="en-AU"/>
          </w:rPr>
          <w:t xml:space="preserve">5.1 </w:t>
        </w:r>
        <w:r>
          <w:rPr>
            <w:rFonts w:eastAsiaTheme="minorEastAsia" w:cstheme="minorBidi"/>
            <w:iCs w:val="0"/>
            <w:sz w:val="22"/>
            <w:szCs w:val="22"/>
            <w:lang w:eastAsia="en-NZ" w:bidi="ar-SA"/>
          </w:rPr>
          <w:tab/>
        </w:r>
        <w:r w:rsidRPr="008436F6">
          <w:rPr>
            <w:rStyle w:val="Hyperlink"/>
            <w:lang w:val="en-AU"/>
          </w:rPr>
          <w:t>Number of complaints closed</w:t>
        </w:r>
        <w:r>
          <w:rPr>
            <w:webHidden/>
          </w:rPr>
          <w:tab/>
        </w:r>
        <w:r>
          <w:rPr>
            <w:webHidden/>
          </w:rPr>
          <w:fldChar w:fldCharType="begin"/>
        </w:r>
        <w:r>
          <w:rPr>
            <w:webHidden/>
          </w:rPr>
          <w:instrText xml:space="preserve"> PAGEREF _Toc74223417 \h </w:instrText>
        </w:r>
        <w:r>
          <w:rPr>
            <w:webHidden/>
          </w:rPr>
        </w:r>
        <w:r>
          <w:rPr>
            <w:webHidden/>
          </w:rPr>
          <w:fldChar w:fldCharType="separate"/>
        </w:r>
        <w:r w:rsidR="00536724">
          <w:rPr>
            <w:webHidden/>
          </w:rPr>
          <w:t>16</w:t>
        </w:r>
        <w:r>
          <w:rPr>
            <w:webHidden/>
          </w:rPr>
          <w:fldChar w:fldCharType="end"/>
        </w:r>
      </w:hyperlink>
    </w:p>
    <w:p w14:paraId="5C29456A" w14:textId="134D5B19" w:rsidR="00BF18CE" w:rsidRDefault="00BF18CE">
      <w:pPr>
        <w:pStyle w:val="TOC3"/>
        <w:rPr>
          <w:rFonts w:eastAsiaTheme="minorEastAsia" w:cstheme="minorBidi"/>
          <w:iCs w:val="0"/>
          <w:sz w:val="22"/>
          <w:szCs w:val="22"/>
          <w:lang w:eastAsia="en-NZ" w:bidi="ar-SA"/>
        </w:rPr>
      </w:pPr>
      <w:hyperlink w:anchor="_Toc74223418" w:history="1">
        <w:r w:rsidRPr="008436F6">
          <w:rPr>
            <w:rStyle w:val="Hyperlink"/>
            <w:lang w:val="en-AU"/>
          </w:rPr>
          <w:t xml:space="preserve">5.2 </w:t>
        </w:r>
        <w:r>
          <w:rPr>
            <w:rFonts w:eastAsiaTheme="minorEastAsia" w:cstheme="minorBidi"/>
            <w:iCs w:val="0"/>
            <w:sz w:val="22"/>
            <w:szCs w:val="22"/>
            <w:lang w:eastAsia="en-NZ" w:bidi="ar-SA"/>
          </w:rPr>
          <w:tab/>
        </w:r>
        <w:r w:rsidRPr="008436F6">
          <w:rPr>
            <w:rStyle w:val="Hyperlink"/>
            <w:lang w:val="en-AU"/>
          </w:rPr>
          <w:t>Outcomes of complaints closed</w:t>
        </w:r>
        <w:r>
          <w:rPr>
            <w:webHidden/>
          </w:rPr>
          <w:tab/>
        </w:r>
        <w:r>
          <w:rPr>
            <w:webHidden/>
          </w:rPr>
          <w:fldChar w:fldCharType="begin"/>
        </w:r>
        <w:r>
          <w:rPr>
            <w:webHidden/>
          </w:rPr>
          <w:instrText xml:space="preserve"> PAGEREF _Toc74223418 \h </w:instrText>
        </w:r>
        <w:r>
          <w:rPr>
            <w:webHidden/>
          </w:rPr>
        </w:r>
        <w:r>
          <w:rPr>
            <w:webHidden/>
          </w:rPr>
          <w:fldChar w:fldCharType="separate"/>
        </w:r>
        <w:r w:rsidR="00536724">
          <w:rPr>
            <w:webHidden/>
          </w:rPr>
          <w:t>17</w:t>
        </w:r>
        <w:r>
          <w:rPr>
            <w:webHidden/>
          </w:rPr>
          <w:fldChar w:fldCharType="end"/>
        </w:r>
      </w:hyperlink>
    </w:p>
    <w:p w14:paraId="3658DDD5" w14:textId="0B886A64" w:rsidR="00BF18CE" w:rsidRDefault="00BF18CE">
      <w:pPr>
        <w:pStyle w:val="TOC3"/>
        <w:rPr>
          <w:rFonts w:eastAsiaTheme="minorEastAsia" w:cstheme="minorBidi"/>
          <w:iCs w:val="0"/>
          <w:sz w:val="22"/>
          <w:szCs w:val="22"/>
          <w:lang w:eastAsia="en-NZ" w:bidi="ar-SA"/>
        </w:rPr>
      </w:pPr>
      <w:hyperlink w:anchor="_Toc74223419" w:history="1">
        <w:r w:rsidRPr="008436F6">
          <w:rPr>
            <w:rStyle w:val="Hyperlink"/>
            <w:lang w:val="en-AU"/>
          </w:rPr>
          <w:t xml:space="preserve">5.3 </w:t>
        </w:r>
        <w:r>
          <w:rPr>
            <w:rFonts w:eastAsiaTheme="minorEastAsia" w:cstheme="minorBidi"/>
            <w:iCs w:val="0"/>
            <w:sz w:val="22"/>
            <w:szCs w:val="22"/>
            <w:lang w:eastAsia="en-NZ" w:bidi="ar-SA"/>
          </w:rPr>
          <w:tab/>
        </w:r>
        <w:r w:rsidRPr="008436F6">
          <w:rPr>
            <w:rStyle w:val="Hyperlink"/>
            <w:lang w:val="en-AU"/>
          </w:rPr>
          <w:t>Recommendations made to DHBs by HDC</w:t>
        </w:r>
        <w:r>
          <w:rPr>
            <w:webHidden/>
          </w:rPr>
          <w:tab/>
        </w:r>
        <w:r>
          <w:rPr>
            <w:webHidden/>
          </w:rPr>
          <w:fldChar w:fldCharType="begin"/>
        </w:r>
        <w:r>
          <w:rPr>
            <w:webHidden/>
          </w:rPr>
          <w:instrText xml:space="preserve"> PAGEREF _Toc74223419 \h </w:instrText>
        </w:r>
        <w:r>
          <w:rPr>
            <w:webHidden/>
          </w:rPr>
        </w:r>
        <w:r>
          <w:rPr>
            <w:webHidden/>
          </w:rPr>
          <w:fldChar w:fldCharType="separate"/>
        </w:r>
        <w:r w:rsidR="00536724">
          <w:rPr>
            <w:webHidden/>
          </w:rPr>
          <w:t>18</w:t>
        </w:r>
        <w:r>
          <w:rPr>
            <w:webHidden/>
          </w:rPr>
          <w:fldChar w:fldCharType="end"/>
        </w:r>
      </w:hyperlink>
    </w:p>
    <w:p w14:paraId="0A43048E" w14:textId="69A8A7FB" w:rsidR="00BF18CE" w:rsidRDefault="00BF18CE">
      <w:pPr>
        <w:pStyle w:val="TOC2"/>
        <w:rPr>
          <w:color w:val="auto"/>
        </w:rPr>
      </w:pPr>
      <w:hyperlink w:anchor="_Toc74223420" w:history="1">
        <w:r w:rsidRPr="008436F6">
          <w:rPr>
            <w:rStyle w:val="Hyperlink"/>
          </w:rPr>
          <w:t>6. Learning from complaints</w:t>
        </w:r>
        <w:r>
          <w:rPr>
            <w:webHidden/>
          </w:rPr>
          <w:tab/>
        </w:r>
        <w:r>
          <w:rPr>
            <w:webHidden/>
          </w:rPr>
          <w:fldChar w:fldCharType="begin"/>
        </w:r>
        <w:r>
          <w:rPr>
            <w:webHidden/>
          </w:rPr>
          <w:instrText xml:space="preserve"> PAGEREF _Toc74223420 \h </w:instrText>
        </w:r>
        <w:r>
          <w:rPr>
            <w:webHidden/>
          </w:rPr>
        </w:r>
        <w:r>
          <w:rPr>
            <w:webHidden/>
          </w:rPr>
          <w:fldChar w:fldCharType="separate"/>
        </w:r>
        <w:r w:rsidR="00536724">
          <w:rPr>
            <w:webHidden/>
          </w:rPr>
          <w:t>19</w:t>
        </w:r>
        <w:r>
          <w:rPr>
            <w:webHidden/>
          </w:rPr>
          <w:fldChar w:fldCharType="end"/>
        </w:r>
      </w:hyperlink>
    </w:p>
    <w:p w14:paraId="48127CB3" w14:textId="0FB9C434" w:rsidR="00BF18CE" w:rsidRDefault="00BF18CE">
      <w:pPr>
        <w:pStyle w:val="TOC3"/>
        <w:rPr>
          <w:rFonts w:eastAsiaTheme="minorEastAsia" w:cstheme="minorBidi"/>
          <w:iCs w:val="0"/>
          <w:sz w:val="22"/>
          <w:szCs w:val="22"/>
          <w:lang w:eastAsia="en-NZ" w:bidi="ar-SA"/>
        </w:rPr>
      </w:pPr>
      <w:hyperlink w:anchor="_Toc74223421" w:history="1">
        <w:r w:rsidRPr="008436F6">
          <w:rPr>
            <w:rStyle w:val="Hyperlink"/>
            <w:lang w:val="en-AU"/>
          </w:rPr>
          <w:t xml:space="preserve">6.1 </w:t>
        </w:r>
        <w:r>
          <w:rPr>
            <w:rFonts w:eastAsiaTheme="minorEastAsia" w:cstheme="minorBidi"/>
            <w:iCs w:val="0"/>
            <w:sz w:val="22"/>
            <w:szCs w:val="22"/>
            <w:lang w:eastAsia="en-NZ" w:bidi="ar-SA"/>
          </w:rPr>
          <w:tab/>
        </w:r>
        <w:r w:rsidRPr="008436F6">
          <w:rPr>
            <w:rStyle w:val="Hyperlink"/>
            <w:lang w:val="en-AU"/>
          </w:rPr>
          <w:t>Discharge of woman at risk of stroke</w:t>
        </w:r>
        <w:r>
          <w:rPr>
            <w:webHidden/>
          </w:rPr>
          <w:tab/>
        </w:r>
        <w:r>
          <w:rPr>
            <w:webHidden/>
          </w:rPr>
          <w:fldChar w:fldCharType="begin"/>
        </w:r>
        <w:r>
          <w:rPr>
            <w:webHidden/>
          </w:rPr>
          <w:instrText xml:space="preserve"> PAGEREF _Toc74223421 \h </w:instrText>
        </w:r>
        <w:r>
          <w:rPr>
            <w:webHidden/>
          </w:rPr>
        </w:r>
        <w:r>
          <w:rPr>
            <w:webHidden/>
          </w:rPr>
          <w:fldChar w:fldCharType="separate"/>
        </w:r>
        <w:r w:rsidR="00536724">
          <w:rPr>
            <w:webHidden/>
          </w:rPr>
          <w:t>19</w:t>
        </w:r>
        <w:r>
          <w:rPr>
            <w:webHidden/>
          </w:rPr>
          <w:fldChar w:fldCharType="end"/>
        </w:r>
      </w:hyperlink>
    </w:p>
    <w:p w14:paraId="0846B2F3" w14:textId="37342D4B" w:rsidR="00BF18CE" w:rsidRDefault="00BF18CE">
      <w:pPr>
        <w:pStyle w:val="TOC3"/>
        <w:rPr>
          <w:rFonts w:eastAsiaTheme="minorEastAsia" w:cstheme="minorBidi"/>
          <w:iCs w:val="0"/>
          <w:sz w:val="22"/>
          <w:szCs w:val="22"/>
          <w:lang w:eastAsia="en-NZ" w:bidi="ar-SA"/>
        </w:rPr>
      </w:pPr>
      <w:hyperlink w:anchor="_Toc74223422" w:history="1">
        <w:r w:rsidRPr="008436F6">
          <w:rPr>
            <w:rStyle w:val="Hyperlink"/>
            <w:lang w:val="en-AU"/>
          </w:rPr>
          <w:t xml:space="preserve">6.2 </w:t>
        </w:r>
        <w:r>
          <w:rPr>
            <w:rFonts w:eastAsiaTheme="minorEastAsia" w:cstheme="minorBidi"/>
            <w:iCs w:val="0"/>
            <w:sz w:val="22"/>
            <w:szCs w:val="22"/>
            <w:lang w:eastAsia="en-NZ" w:bidi="ar-SA"/>
          </w:rPr>
          <w:tab/>
        </w:r>
        <w:r w:rsidRPr="008436F6">
          <w:rPr>
            <w:rStyle w:val="Hyperlink"/>
            <w:lang w:val="en-AU"/>
          </w:rPr>
          <w:t>Care of woman and her baby</w:t>
        </w:r>
        <w:r>
          <w:rPr>
            <w:webHidden/>
          </w:rPr>
          <w:tab/>
        </w:r>
        <w:r>
          <w:rPr>
            <w:webHidden/>
          </w:rPr>
          <w:fldChar w:fldCharType="begin"/>
        </w:r>
        <w:r>
          <w:rPr>
            <w:webHidden/>
          </w:rPr>
          <w:instrText xml:space="preserve"> PAGEREF _Toc74223422 \h </w:instrText>
        </w:r>
        <w:r>
          <w:rPr>
            <w:webHidden/>
          </w:rPr>
        </w:r>
        <w:r>
          <w:rPr>
            <w:webHidden/>
          </w:rPr>
          <w:fldChar w:fldCharType="separate"/>
        </w:r>
        <w:r w:rsidR="00536724">
          <w:rPr>
            <w:webHidden/>
          </w:rPr>
          <w:t>20</w:t>
        </w:r>
        <w:r>
          <w:rPr>
            <w:webHidden/>
          </w:rPr>
          <w:fldChar w:fldCharType="end"/>
        </w:r>
      </w:hyperlink>
    </w:p>
    <w:p w14:paraId="1B4BD88A" w14:textId="77BB1E88" w:rsidR="00BF18CE" w:rsidRDefault="00BF18CE">
      <w:pPr>
        <w:pStyle w:val="TOC3"/>
        <w:rPr>
          <w:rFonts w:eastAsiaTheme="minorEastAsia" w:cstheme="minorBidi"/>
          <w:iCs w:val="0"/>
          <w:sz w:val="22"/>
          <w:szCs w:val="22"/>
          <w:lang w:eastAsia="en-NZ" w:bidi="ar-SA"/>
        </w:rPr>
      </w:pPr>
      <w:hyperlink w:anchor="_Toc74223423" w:history="1">
        <w:r w:rsidRPr="008436F6">
          <w:rPr>
            <w:rStyle w:val="Hyperlink"/>
            <w:lang w:val="en-AU"/>
          </w:rPr>
          <w:t xml:space="preserve">6.3 </w:t>
        </w:r>
        <w:r>
          <w:rPr>
            <w:rFonts w:eastAsiaTheme="minorEastAsia" w:cstheme="minorBidi"/>
            <w:iCs w:val="0"/>
            <w:sz w:val="22"/>
            <w:szCs w:val="22"/>
            <w:lang w:eastAsia="en-NZ" w:bidi="ar-SA"/>
          </w:rPr>
          <w:tab/>
        </w:r>
        <w:r w:rsidRPr="008436F6">
          <w:rPr>
            <w:rStyle w:val="Hyperlink"/>
            <w:lang w:val="en-AU"/>
          </w:rPr>
          <w:t>Care of young man with sepsis</w:t>
        </w:r>
        <w:r>
          <w:rPr>
            <w:webHidden/>
          </w:rPr>
          <w:tab/>
        </w:r>
        <w:r>
          <w:rPr>
            <w:webHidden/>
          </w:rPr>
          <w:fldChar w:fldCharType="begin"/>
        </w:r>
        <w:r>
          <w:rPr>
            <w:webHidden/>
          </w:rPr>
          <w:instrText xml:space="preserve"> PAGEREF _Toc74223423 \h </w:instrText>
        </w:r>
        <w:r>
          <w:rPr>
            <w:webHidden/>
          </w:rPr>
        </w:r>
        <w:r>
          <w:rPr>
            <w:webHidden/>
          </w:rPr>
          <w:fldChar w:fldCharType="separate"/>
        </w:r>
        <w:r w:rsidR="00536724">
          <w:rPr>
            <w:webHidden/>
          </w:rPr>
          <w:t>22</w:t>
        </w:r>
        <w:r>
          <w:rPr>
            <w:webHidden/>
          </w:rPr>
          <w:fldChar w:fldCharType="end"/>
        </w:r>
      </w:hyperlink>
    </w:p>
    <w:p w14:paraId="47BEEBD1" w14:textId="706543E7" w:rsidR="00BF18CE" w:rsidRDefault="00BF18CE">
      <w:pPr>
        <w:pStyle w:val="TOC3"/>
        <w:rPr>
          <w:rFonts w:eastAsiaTheme="minorEastAsia" w:cstheme="minorBidi"/>
          <w:iCs w:val="0"/>
          <w:sz w:val="22"/>
          <w:szCs w:val="22"/>
          <w:lang w:eastAsia="en-NZ" w:bidi="ar-SA"/>
        </w:rPr>
      </w:pPr>
      <w:hyperlink w:anchor="_Toc74223424" w:history="1">
        <w:r w:rsidRPr="008436F6">
          <w:rPr>
            <w:rStyle w:val="Hyperlink"/>
            <w:lang w:val="en-AU"/>
          </w:rPr>
          <w:t xml:space="preserve">6.4 </w:t>
        </w:r>
        <w:r>
          <w:rPr>
            <w:rFonts w:eastAsiaTheme="minorEastAsia" w:cstheme="minorBidi"/>
            <w:iCs w:val="0"/>
            <w:sz w:val="22"/>
            <w:szCs w:val="22"/>
            <w:lang w:eastAsia="en-NZ" w:bidi="ar-SA"/>
          </w:rPr>
          <w:tab/>
        </w:r>
        <w:r w:rsidRPr="008436F6">
          <w:rPr>
            <w:rStyle w:val="Hyperlink"/>
            <w:lang w:val="en-AU"/>
          </w:rPr>
          <w:t>Supervision and hospital transfer of man with severe depression</w:t>
        </w:r>
        <w:r>
          <w:rPr>
            <w:webHidden/>
          </w:rPr>
          <w:tab/>
        </w:r>
        <w:r>
          <w:rPr>
            <w:webHidden/>
          </w:rPr>
          <w:fldChar w:fldCharType="begin"/>
        </w:r>
        <w:r>
          <w:rPr>
            <w:webHidden/>
          </w:rPr>
          <w:instrText xml:space="preserve"> PAGEREF _Toc74223424 \h </w:instrText>
        </w:r>
        <w:r>
          <w:rPr>
            <w:webHidden/>
          </w:rPr>
        </w:r>
        <w:r>
          <w:rPr>
            <w:webHidden/>
          </w:rPr>
          <w:fldChar w:fldCharType="separate"/>
        </w:r>
        <w:r w:rsidR="00536724">
          <w:rPr>
            <w:webHidden/>
          </w:rPr>
          <w:t>24</w:t>
        </w:r>
        <w:r>
          <w:rPr>
            <w:webHidden/>
          </w:rPr>
          <w:fldChar w:fldCharType="end"/>
        </w:r>
      </w:hyperlink>
    </w:p>
    <w:p w14:paraId="427B96B3" w14:textId="2E70249D" w:rsidR="00841E1C" w:rsidRPr="007E6810" w:rsidRDefault="007E6810" w:rsidP="00286DED">
      <w:r>
        <w:fldChar w:fldCharType="end"/>
      </w:r>
    </w:p>
    <w:p w14:paraId="1A512A15" w14:textId="77777777" w:rsidR="00841E1C" w:rsidRDefault="00841E1C" w:rsidP="00286DED">
      <w:pPr>
        <w:jc w:val="left"/>
        <w:rPr>
          <w:b/>
          <w:color w:val="000000" w:themeColor="text1"/>
          <w:sz w:val="32"/>
          <w:szCs w:val="32"/>
        </w:rPr>
        <w:sectPr w:rsidR="00841E1C">
          <w:pgSz w:w="11906" w:h="16838"/>
          <w:pgMar w:top="1140" w:right="1412" w:bottom="851" w:left="1412" w:header="720" w:footer="590" w:gutter="0"/>
          <w:pgNumType w:fmt="lowerRoman" w:start="1"/>
          <w:cols w:space="720"/>
        </w:sectPr>
      </w:pPr>
    </w:p>
    <w:p w14:paraId="5C7EE9E5" w14:textId="77777777" w:rsidR="00EB4A22" w:rsidRPr="0055664C" w:rsidRDefault="00EB4A22" w:rsidP="00EB4A22">
      <w:pPr>
        <w:pStyle w:val="Heading1"/>
      </w:pPr>
      <w:bookmarkStart w:id="0" w:name="_Toc493684121"/>
      <w:bookmarkStart w:id="1" w:name="_Toc71039141"/>
      <w:bookmarkStart w:id="2" w:name="_Toc71561647"/>
      <w:bookmarkStart w:id="3" w:name="_Toc74223403"/>
      <w:r w:rsidRPr="0055664C">
        <w:t>Commissioner’s Foreword</w:t>
      </w:r>
      <w:bookmarkEnd w:id="0"/>
      <w:bookmarkEnd w:id="1"/>
      <w:bookmarkEnd w:id="2"/>
      <w:bookmarkEnd w:id="3"/>
    </w:p>
    <w:p w14:paraId="0BDFCCD0" w14:textId="77777777" w:rsidR="00EB4A22" w:rsidRDefault="00EB4A22" w:rsidP="00EB4A22">
      <w:pPr>
        <w:rPr>
          <w:rFonts w:cs="Helvetica"/>
        </w:rPr>
      </w:pPr>
      <w:proofErr w:type="spellStart"/>
      <w:r w:rsidRPr="00F4389E">
        <w:rPr>
          <w:rFonts w:cs="Helvetica"/>
        </w:rPr>
        <w:t>Tēnā</w:t>
      </w:r>
      <w:proofErr w:type="spellEnd"/>
      <w:r w:rsidRPr="00F4389E">
        <w:rPr>
          <w:rFonts w:cs="Helvetica"/>
        </w:rPr>
        <w:t xml:space="preserve"> </w:t>
      </w:r>
      <w:proofErr w:type="spellStart"/>
      <w:r w:rsidRPr="00F4389E">
        <w:rPr>
          <w:rFonts w:cs="Helvetica"/>
        </w:rPr>
        <w:t>koutou</w:t>
      </w:r>
      <w:proofErr w:type="spellEnd"/>
      <w:r w:rsidRPr="00F4389E">
        <w:rPr>
          <w:rFonts w:cs="Helvetica"/>
        </w:rPr>
        <w:t> </w:t>
      </w:r>
    </w:p>
    <w:p w14:paraId="23C0FA24" w14:textId="77777777" w:rsidR="00EB4A22" w:rsidRDefault="00EB4A22" w:rsidP="00EB4A22"/>
    <w:p w14:paraId="3D4901DB" w14:textId="2D87D55E" w:rsidR="00EB4A22" w:rsidRDefault="00EB4A22" w:rsidP="00EB4A22">
      <w:r w:rsidRPr="003E5D6C">
        <w:t xml:space="preserve">I am pleased to present </w:t>
      </w:r>
      <w:r>
        <w:t>my Office’s latest complaint trend report for DHBs.</w:t>
      </w:r>
      <w:r w:rsidR="00B12430">
        <w:t xml:space="preserve"> </w:t>
      </w:r>
      <w:r>
        <w:t>This report details</w:t>
      </w:r>
      <w:r w:rsidRPr="00A8497F">
        <w:t xml:space="preserve"> the trends in complaints </w:t>
      </w:r>
      <w:r>
        <w:t xml:space="preserve">HDC </w:t>
      </w:r>
      <w:r w:rsidRPr="00A8497F">
        <w:t xml:space="preserve">received about DHBs between </w:t>
      </w:r>
      <w:r>
        <w:t>1 July and 31 December 2020</w:t>
      </w:r>
      <w:r w:rsidRPr="00A8497F">
        <w:t>.</w:t>
      </w:r>
    </w:p>
    <w:p w14:paraId="34D9130A" w14:textId="77777777" w:rsidR="00EB4A22" w:rsidRDefault="00EB4A22" w:rsidP="00EB4A22"/>
    <w:p w14:paraId="06BC305E" w14:textId="77777777" w:rsidR="00EB4A22" w:rsidRDefault="00EB4A22" w:rsidP="00EB4A22">
      <w:r>
        <w:t>While the trends in this report are broadly consistent with previous reports, complaints about surgical services were notably the lowest we have reported. This resulted in mental health services becoming the most commonly complained about service type for the first time.</w:t>
      </w:r>
    </w:p>
    <w:p w14:paraId="7C982F6E" w14:textId="77777777" w:rsidR="00EB4A22" w:rsidRDefault="00EB4A22" w:rsidP="00EB4A22"/>
    <w:p w14:paraId="75609262" w14:textId="4F114DB1" w:rsidR="00EB4A22" w:rsidRDefault="00EB4A22" w:rsidP="00EB4A22">
      <w:r>
        <w:t>HDC is continuing to closely monitor the trends in complaints involving COVID-19-related issues</w:t>
      </w:r>
      <w:r w:rsidR="00B12430">
        <w:t>,</w:t>
      </w:r>
      <w:r>
        <w:t xml:space="preserve"> and we have included an outline of these complaints for DHBs on </w:t>
      </w:r>
      <w:r w:rsidRPr="00332EC2">
        <w:t>page 1</w:t>
      </w:r>
      <w:r w:rsidR="00B12430" w:rsidRPr="00332EC2">
        <w:t>4</w:t>
      </w:r>
      <w:r w:rsidRPr="00332EC2">
        <w:t>.</w:t>
      </w:r>
      <w:r>
        <w:t xml:space="preserve"> We continue to receive around 15 complaints per month related to COVID-19 issues. As would be expected, as restrictions have eased</w:t>
      </w:r>
      <w:r w:rsidR="00B12430">
        <w:t>,</w:t>
      </w:r>
      <w:r>
        <w:t xml:space="preserve"> complaints about COVID-19-related issues have decreased. </w:t>
      </w:r>
    </w:p>
    <w:p w14:paraId="14DCAA85" w14:textId="77777777" w:rsidR="00EB4A22" w:rsidRDefault="00EB4A22" w:rsidP="00EB4A22"/>
    <w:p w14:paraId="70867FF6" w14:textId="1CE0B955" w:rsidR="00EB4A22" w:rsidRDefault="00EB4A22" w:rsidP="00EB4A22">
      <w:pPr>
        <w:pStyle w:val="Default"/>
        <w:spacing w:after="51"/>
        <w:rPr>
          <w:rFonts w:asciiTheme="minorHAnsi" w:hAnsiTheme="minorHAnsi"/>
          <w:sz w:val="22"/>
          <w:szCs w:val="22"/>
        </w:rPr>
      </w:pPr>
      <w:r w:rsidRPr="00286DED">
        <w:rPr>
          <w:rFonts w:asciiTheme="minorHAnsi" w:hAnsiTheme="minorHAnsi"/>
          <w:sz w:val="22"/>
          <w:szCs w:val="22"/>
        </w:rPr>
        <w:t xml:space="preserve">Strengthening </w:t>
      </w:r>
      <w:r>
        <w:rPr>
          <w:rFonts w:asciiTheme="minorHAnsi" w:hAnsiTheme="minorHAnsi"/>
          <w:sz w:val="22"/>
          <w:szCs w:val="22"/>
        </w:rPr>
        <w:t xml:space="preserve">HDC’s </w:t>
      </w:r>
      <w:r w:rsidRPr="00286DED">
        <w:rPr>
          <w:rFonts w:asciiTheme="minorHAnsi" w:hAnsiTheme="minorHAnsi"/>
          <w:sz w:val="22"/>
          <w:szCs w:val="22"/>
        </w:rPr>
        <w:t>approach to equity and enhancing our contribution to an equitable health and disability system is</w:t>
      </w:r>
      <w:r>
        <w:rPr>
          <w:rFonts w:asciiTheme="minorHAnsi" w:hAnsiTheme="minorHAnsi"/>
          <w:sz w:val="22"/>
          <w:szCs w:val="22"/>
        </w:rPr>
        <w:t xml:space="preserve"> one of my current priorities</w:t>
      </w:r>
      <w:r w:rsidRPr="00286DED">
        <w:rPr>
          <w:rFonts w:asciiTheme="minorHAnsi" w:hAnsiTheme="minorHAnsi"/>
          <w:sz w:val="22"/>
          <w:szCs w:val="22"/>
        </w:rPr>
        <w:t xml:space="preserve"> as Health and Disability Commissioner.</w:t>
      </w:r>
      <w:r w:rsidR="00B12430">
        <w:rPr>
          <w:rFonts w:asciiTheme="minorHAnsi" w:hAnsiTheme="minorHAnsi"/>
          <w:iCs/>
          <w:sz w:val="22"/>
          <w:szCs w:val="22"/>
        </w:rPr>
        <w:t xml:space="preserve"> </w:t>
      </w:r>
      <w:r>
        <w:rPr>
          <w:rFonts w:asciiTheme="minorHAnsi" w:hAnsiTheme="minorHAnsi"/>
          <w:iCs/>
          <w:sz w:val="22"/>
          <w:szCs w:val="22"/>
        </w:rPr>
        <w:t xml:space="preserve">Accordingly, we are working to strengthen our data collection, </w:t>
      </w:r>
      <w:r w:rsidRPr="00286DED">
        <w:rPr>
          <w:rFonts w:asciiTheme="minorHAnsi" w:hAnsiTheme="minorHAnsi"/>
          <w:sz w:val="22"/>
          <w:szCs w:val="22"/>
        </w:rPr>
        <w:t>analysis, monitoring, and reporting of matters relati</w:t>
      </w:r>
      <w:r>
        <w:rPr>
          <w:rFonts w:asciiTheme="minorHAnsi" w:hAnsiTheme="minorHAnsi"/>
          <w:sz w:val="22"/>
          <w:szCs w:val="22"/>
        </w:rPr>
        <w:t xml:space="preserve">ng to equity. This has enabled us to introduce a new section in this report </w:t>
      </w:r>
      <w:r w:rsidR="00B12430">
        <w:rPr>
          <w:rFonts w:asciiTheme="minorHAnsi" w:hAnsiTheme="minorHAnsi"/>
          <w:sz w:val="22"/>
          <w:szCs w:val="22"/>
        </w:rPr>
        <w:t xml:space="preserve">— </w:t>
      </w:r>
      <w:r>
        <w:rPr>
          <w:rFonts w:asciiTheme="minorHAnsi" w:hAnsiTheme="minorHAnsi"/>
          <w:sz w:val="22"/>
          <w:szCs w:val="22"/>
        </w:rPr>
        <w:t xml:space="preserve">an analysis of consumer ethnicity. We will include this section in all complaint trend reports from now on. </w:t>
      </w:r>
    </w:p>
    <w:p w14:paraId="72E803CA" w14:textId="77777777" w:rsidR="00EB4A22" w:rsidRDefault="00EB4A22" w:rsidP="00EB4A22">
      <w:pPr>
        <w:pStyle w:val="Default"/>
        <w:spacing w:after="51"/>
        <w:rPr>
          <w:rFonts w:asciiTheme="minorHAnsi" w:hAnsiTheme="minorHAnsi"/>
          <w:sz w:val="22"/>
          <w:szCs w:val="22"/>
        </w:rPr>
      </w:pPr>
    </w:p>
    <w:p w14:paraId="49E64D4D" w14:textId="7432AF9E" w:rsidR="00EB4A22" w:rsidRDefault="00EB4A22" w:rsidP="00EB4A22">
      <w:pPr>
        <w:pStyle w:val="Default"/>
        <w:spacing w:after="51"/>
        <w:rPr>
          <w:rFonts w:asciiTheme="minorHAnsi" w:hAnsiTheme="minorHAnsi"/>
          <w:sz w:val="22"/>
          <w:szCs w:val="22"/>
        </w:rPr>
      </w:pPr>
      <w:r>
        <w:rPr>
          <w:rFonts w:asciiTheme="minorHAnsi" w:hAnsiTheme="minorHAnsi"/>
          <w:sz w:val="22"/>
          <w:szCs w:val="22"/>
        </w:rPr>
        <w:t xml:space="preserve">Ethnicity data will become increasingly useful over time, </w:t>
      </w:r>
      <w:r w:rsidRPr="00286DED">
        <w:rPr>
          <w:rFonts w:asciiTheme="minorHAnsi" w:hAnsiTheme="minorHAnsi"/>
          <w:sz w:val="22"/>
          <w:szCs w:val="22"/>
        </w:rPr>
        <w:t xml:space="preserve">as aggregated data will </w:t>
      </w:r>
      <w:r>
        <w:rPr>
          <w:rFonts w:asciiTheme="minorHAnsi" w:hAnsiTheme="minorHAnsi"/>
          <w:sz w:val="22"/>
          <w:szCs w:val="22"/>
        </w:rPr>
        <w:t xml:space="preserve">be analysed with </w:t>
      </w:r>
      <w:r w:rsidRPr="00286DED">
        <w:rPr>
          <w:rFonts w:asciiTheme="minorHAnsi" w:hAnsiTheme="minorHAnsi"/>
          <w:sz w:val="22"/>
          <w:szCs w:val="22"/>
        </w:rPr>
        <w:t xml:space="preserve">other aspects of </w:t>
      </w:r>
      <w:r>
        <w:rPr>
          <w:rFonts w:asciiTheme="minorHAnsi" w:hAnsiTheme="minorHAnsi"/>
          <w:sz w:val="22"/>
          <w:szCs w:val="22"/>
        </w:rPr>
        <w:t>our</w:t>
      </w:r>
      <w:r w:rsidRPr="00286DED">
        <w:rPr>
          <w:rFonts w:asciiTheme="minorHAnsi" w:hAnsiTheme="minorHAnsi"/>
          <w:sz w:val="22"/>
          <w:szCs w:val="22"/>
        </w:rPr>
        <w:t xml:space="preserve"> complaints data, such as issues complained about, by ethnicity. </w:t>
      </w:r>
      <w:r>
        <w:rPr>
          <w:rFonts w:asciiTheme="minorHAnsi" w:hAnsiTheme="minorHAnsi"/>
          <w:sz w:val="22"/>
          <w:szCs w:val="22"/>
        </w:rPr>
        <w:t>Alongside this, we have implemented a system to collect demographic information from complainants who do not complete our online complaint form. For example, those consumers who are referred to HDC by other agencies or make complaints to HDC via the phone or email. Going forward</w:t>
      </w:r>
      <w:r w:rsidR="00B12430">
        <w:rPr>
          <w:rFonts w:asciiTheme="minorHAnsi" w:hAnsiTheme="minorHAnsi"/>
          <w:sz w:val="22"/>
          <w:szCs w:val="22"/>
        </w:rPr>
        <w:t>,</w:t>
      </w:r>
      <w:r>
        <w:rPr>
          <w:rFonts w:asciiTheme="minorHAnsi" w:hAnsiTheme="minorHAnsi"/>
          <w:sz w:val="22"/>
          <w:szCs w:val="22"/>
        </w:rPr>
        <w:t xml:space="preserve"> this will enhance the quality of data we can provide. </w:t>
      </w:r>
    </w:p>
    <w:p w14:paraId="233052A0" w14:textId="77777777" w:rsidR="00EB4A22" w:rsidRPr="00286DED" w:rsidRDefault="00EB4A22" w:rsidP="00EB4A22">
      <w:pPr>
        <w:pStyle w:val="Default"/>
        <w:spacing w:after="51"/>
        <w:rPr>
          <w:rFonts w:asciiTheme="minorHAnsi" w:hAnsiTheme="minorHAnsi"/>
          <w:sz w:val="22"/>
          <w:szCs w:val="22"/>
        </w:rPr>
      </w:pPr>
    </w:p>
    <w:p w14:paraId="0FDE7AD3" w14:textId="57883403" w:rsidR="00EB4A22" w:rsidRDefault="00EB4A22" w:rsidP="00EB4A22">
      <w:pPr>
        <w:pStyle w:val="Default"/>
        <w:spacing w:after="51"/>
        <w:rPr>
          <w:rFonts w:asciiTheme="minorHAnsi" w:hAnsiTheme="minorHAnsi"/>
          <w:iCs/>
          <w:sz w:val="22"/>
          <w:szCs w:val="22"/>
        </w:rPr>
      </w:pPr>
      <w:r w:rsidRPr="00286DED">
        <w:rPr>
          <w:rFonts w:asciiTheme="minorHAnsi" w:hAnsiTheme="minorHAnsi"/>
          <w:sz w:val="22"/>
          <w:szCs w:val="22"/>
        </w:rPr>
        <w:t xml:space="preserve">HDC provides an important platform for equity issues to be raised and addressed </w:t>
      </w:r>
      <w:r w:rsidR="00B12430">
        <w:rPr>
          <w:rFonts w:asciiTheme="minorHAnsi" w:hAnsiTheme="minorHAnsi"/>
          <w:sz w:val="22"/>
          <w:szCs w:val="22"/>
        </w:rPr>
        <w:t>—</w:t>
      </w:r>
      <w:r w:rsidRPr="00286DED">
        <w:rPr>
          <w:rFonts w:asciiTheme="minorHAnsi" w:hAnsiTheme="minorHAnsi"/>
          <w:sz w:val="22"/>
          <w:szCs w:val="22"/>
        </w:rPr>
        <w:t xml:space="preserve"> both locally and system-wide. </w:t>
      </w:r>
      <w:r w:rsidRPr="00286DED">
        <w:rPr>
          <w:rFonts w:asciiTheme="minorHAnsi" w:hAnsiTheme="minorHAnsi"/>
          <w:iCs/>
          <w:sz w:val="22"/>
          <w:szCs w:val="22"/>
        </w:rPr>
        <w:t xml:space="preserve">A number of our complaints point to consumers’ concerns about discriminatory attitudes and approaches, and failures by people and services to act in a culturally safe way. </w:t>
      </w:r>
    </w:p>
    <w:p w14:paraId="651ABB0E" w14:textId="77777777" w:rsidR="00EB4A22" w:rsidRDefault="00EB4A22" w:rsidP="00EB4A22">
      <w:pPr>
        <w:pStyle w:val="Default"/>
        <w:spacing w:after="51"/>
        <w:rPr>
          <w:rFonts w:asciiTheme="minorHAnsi" w:hAnsiTheme="minorHAnsi"/>
          <w:iCs/>
          <w:sz w:val="22"/>
          <w:szCs w:val="22"/>
        </w:rPr>
      </w:pPr>
    </w:p>
    <w:p w14:paraId="4D86F016" w14:textId="77777777" w:rsidR="00EB4A22" w:rsidRPr="00286DED" w:rsidRDefault="00EB4A22" w:rsidP="00EB4A22">
      <w:pPr>
        <w:pStyle w:val="Default"/>
        <w:spacing w:after="51"/>
        <w:rPr>
          <w:rFonts w:asciiTheme="minorHAnsi" w:hAnsiTheme="minorHAnsi"/>
          <w:sz w:val="22"/>
          <w:szCs w:val="22"/>
        </w:rPr>
      </w:pPr>
      <w:r w:rsidRPr="00286DED">
        <w:rPr>
          <w:rFonts w:asciiTheme="minorHAnsi" w:hAnsiTheme="minorHAnsi"/>
          <w:iCs/>
          <w:sz w:val="22"/>
          <w:szCs w:val="22"/>
        </w:rPr>
        <w:t>People’s complaints to us also highlight that the way our health system is organised does not work wel</w:t>
      </w:r>
      <w:r>
        <w:rPr>
          <w:rFonts w:asciiTheme="minorHAnsi" w:hAnsiTheme="minorHAnsi"/>
          <w:iCs/>
          <w:sz w:val="22"/>
          <w:szCs w:val="22"/>
        </w:rPr>
        <w:t>l for those with complex needs</w:t>
      </w:r>
      <w:r w:rsidRPr="00286DED">
        <w:rPr>
          <w:rFonts w:asciiTheme="minorHAnsi" w:hAnsiTheme="minorHAnsi"/>
          <w:iCs/>
          <w:sz w:val="22"/>
          <w:szCs w:val="22"/>
        </w:rPr>
        <w:t>. The system needs to be designed to meet the needs of consumers, rather than the needs of a system under pressure.</w:t>
      </w:r>
      <w:r>
        <w:rPr>
          <w:rFonts w:asciiTheme="minorHAnsi" w:hAnsiTheme="minorHAnsi"/>
          <w:iCs/>
          <w:sz w:val="22"/>
          <w:szCs w:val="22"/>
        </w:rPr>
        <w:t xml:space="preserve"> I am pleased to see that making the system more consumer-centred is a central part of the vision of the recently announced health reforms. It is crucial that we maintain a focus on the needs of consumers during this period of significant transformation.</w:t>
      </w:r>
    </w:p>
    <w:p w14:paraId="4CB55A54" w14:textId="77777777" w:rsidR="00EB4A22" w:rsidRPr="00286DED" w:rsidRDefault="00EB4A22" w:rsidP="00EB4A22">
      <w:pPr>
        <w:rPr>
          <w:szCs w:val="22"/>
          <w:lang w:val="en-US"/>
        </w:rPr>
      </w:pPr>
      <w:r w:rsidRPr="00286DED">
        <w:rPr>
          <w:szCs w:val="22"/>
          <w:lang w:val="en-US"/>
        </w:rPr>
        <w:br/>
        <w:t>I trust that these reports continue to be of assistance in understanding complaint patterns for your DHB and nationally, with a view to improving the quality and safety of services.</w:t>
      </w:r>
    </w:p>
    <w:p w14:paraId="6457164A" w14:textId="77777777" w:rsidR="00EB4A22" w:rsidRPr="007A1548" w:rsidRDefault="00EB4A22" w:rsidP="00EB4A22">
      <w:pPr>
        <w:rPr>
          <w:szCs w:val="22"/>
          <w:lang w:val="en-US"/>
        </w:rPr>
      </w:pPr>
    </w:p>
    <w:p w14:paraId="7BFF038C" w14:textId="584713F1" w:rsidR="00EB4A22" w:rsidRPr="00625B74" w:rsidRDefault="00EB4A22" w:rsidP="00EB4A22">
      <w:r>
        <w:t xml:space="preserve">He aha </w:t>
      </w:r>
      <w:proofErr w:type="spellStart"/>
      <w:r>
        <w:t>te</w:t>
      </w:r>
      <w:proofErr w:type="spellEnd"/>
      <w:r>
        <w:t xml:space="preserve"> kai a </w:t>
      </w:r>
      <w:proofErr w:type="spellStart"/>
      <w:r>
        <w:t>te</w:t>
      </w:r>
      <w:proofErr w:type="spellEnd"/>
      <w:r>
        <w:t xml:space="preserve"> </w:t>
      </w:r>
      <w:proofErr w:type="spellStart"/>
      <w:r>
        <w:t>rangatira</w:t>
      </w:r>
      <w:proofErr w:type="spellEnd"/>
      <w:r>
        <w:t xml:space="preserve">? He </w:t>
      </w:r>
      <w:proofErr w:type="spellStart"/>
      <w:r>
        <w:t>kōrero</w:t>
      </w:r>
      <w:proofErr w:type="spellEnd"/>
      <w:r>
        <w:t xml:space="preserve">, he </w:t>
      </w:r>
      <w:proofErr w:type="spellStart"/>
      <w:r>
        <w:t>kōrero</w:t>
      </w:r>
      <w:proofErr w:type="spellEnd"/>
      <w:r>
        <w:t xml:space="preserve">, he </w:t>
      </w:r>
      <w:proofErr w:type="spellStart"/>
      <w:r>
        <w:t>kōrero</w:t>
      </w:r>
      <w:proofErr w:type="spellEnd"/>
      <w:r w:rsidR="00B12430">
        <w:t>.</w:t>
      </w:r>
    </w:p>
    <w:p w14:paraId="01381CEE" w14:textId="77777777" w:rsidR="00EB4A22" w:rsidRDefault="00EB4A22" w:rsidP="00EB4A22">
      <w:pPr>
        <w:spacing w:after="200"/>
        <w:jc w:val="left"/>
        <w:rPr>
          <w:b/>
          <w:lang w:val="en-US"/>
        </w:rPr>
      </w:pPr>
    </w:p>
    <w:p w14:paraId="2BCB8EC8" w14:textId="21EF4705" w:rsidR="00EB4A22" w:rsidRDefault="00EB4A22" w:rsidP="00EB4A22">
      <w:pPr>
        <w:spacing w:after="200"/>
        <w:jc w:val="left"/>
        <w:rPr>
          <w:b/>
          <w:lang w:val="en-US"/>
        </w:rPr>
      </w:pPr>
      <w:r>
        <w:rPr>
          <w:lang w:val="en-US"/>
        </w:rPr>
        <w:t>Morag McDowell</w:t>
      </w:r>
      <w:r>
        <w:rPr>
          <w:lang w:val="en-US"/>
        </w:rPr>
        <w:br/>
      </w:r>
      <w:r>
        <w:rPr>
          <w:b/>
          <w:lang w:val="en-US"/>
        </w:rPr>
        <w:t>Health and Disability Commissioner</w:t>
      </w:r>
    </w:p>
    <w:p w14:paraId="3B3146A1" w14:textId="77777777" w:rsidR="00EB4A22" w:rsidRPr="00717512" w:rsidRDefault="00EB4A22" w:rsidP="00EB4A22">
      <w:pPr>
        <w:pStyle w:val="Heading1"/>
      </w:pPr>
      <w:bookmarkStart w:id="4" w:name="_Toc426462626"/>
      <w:bookmarkStart w:id="5" w:name="_Toc443992221"/>
      <w:bookmarkStart w:id="6" w:name="_Toc447291467"/>
      <w:bookmarkStart w:id="7" w:name="_Toc447527524"/>
      <w:bookmarkStart w:id="8" w:name="_Toc493684122"/>
      <w:bookmarkStart w:id="9" w:name="_Toc71561648"/>
      <w:bookmarkStart w:id="10" w:name="_Toc74223404"/>
      <w:r w:rsidRPr="005B42C0">
        <w:t>National</w:t>
      </w:r>
      <w:r w:rsidRPr="00717512">
        <w:t xml:space="preserve"> Data for all District Health Boards</w:t>
      </w:r>
      <w:bookmarkEnd w:id="4"/>
      <w:bookmarkEnd w:id="5"/>
      <w:bookmarkEnd w:id="6"/>
      <w:bookmarkEnd w:id="7"/>
      <w:bookmarkEnd w:id="8"/>
      <w:bookmarkEnd w:id="9"/>
      <w:bookmarkEnd w:id="10"/>
    </w:p>
    <w:p w14:paraId="6C6F5C43" w14:textId="77777777" w:rsidR="00EB4A22" w:rsidRPr="0086165A" w:rsidRDefault="00EB4A22" w:rsidP="00EB4A22">
      <w:pPr>
        <w:pStyle w:val="Heading2"/>
        <w:spacing w:before="360" w:after="240"/>
        <w:rPr>
          <w:sz w:val="36"/>
          <w:szCs w:val="36"/>
        </w:rPr>
      </w:pPr>
      <w:bookmarkStart w:id="11" w:name="_Toc71561649"/>
      <w:bookmarkStart w:id="12" w:name="_Toc74223405"/>
      <w:bookmarkStart w:id="13" w:name="_Toc398125955"/>
      <w:bookmarkStart w:id="14" w:name="_Toc37315210"/>
      <w:bookmarkStart w:id="15" w:name="_Toc39138044"/>
      <w:bookmarkStart w:id="16" w:name="_Toc447291470"/>
      <w:bookmarkStart w:id="17" w:name="_Toc447527527"/>
      <w:bookmarkStart w:id="18" w:name="_Toc493684125"/>
      <w:r w:rsidRPr="0086165A">
        <w:rPr>
          <w:sz w:val="36"/>
          <w:szCs w:val="36"/>
        </w:rPr>
        <w:t>1.</w:t>
      </w:r>
      <w:r w:rsidRPr="0086165A">
        <w:rPr>
          <w:sz w:val="36"/>
          <w:szCs w:val="36"/>
        </w:rPr>
        <w:tab/>
        <w:t>How many complaints were received?</w:t>
      </w:r>
      <w:bookmarkEnd w:id="11"/>
      <w:bookmarkEnd w:id="12"/>
      <w:r w:rsidRPr="0086165A">
        <w:rPr>
          <w:sz w:val="36"/>
          <w:szCs w:val="36"/>
        </w:rPr>
        <w:t xml:space="preserve"> </w:t>
      </w:r>
    </w:p>
    <w:p w14:paraId="07336503" w14:textId="77777777" w:rsidR="00EB4A22" w:rsidRPr="0086165A" w:rsidRDefault="00EB4A22" w:rsidP="00932E72">
      <w:pPr>
        <w:pStyle w:val="Heading3"/>
      </w:pPr>
      <w:bookmarkStart w:id="19" w:name="_Toc71561650"/>
      <w:bookmarkStart w:id="20" w:name="_Toc74223406"/>
      <w:bookmarkEnd w:id="13"/>
      <w:r w:rsidRPr="0086165A">
        <w:t>1.1</w:t>
      </w:r>
      <w:r w:rsidRPr="0086165A">
        <w:tab/>
        <w:t>Number of complaints received</w:t>
      </w:r>
      <w:bookmarkEnd w:id="19"/>
      <w:bookmarkEnd w:id="20"/>
    </w:p>
    <w:p w14:paraId="59B6E281" w14:textId="77777777" w:rsidR="00EB4A22" w:rsidRPr="00CE600B" w:rsidRDefault="00EB4A22" w:rsidP="00EB4A22">
      <w:pPr>
        <w:spacing w:after="120"/>
        <w:rPr>
          <w:i/>
        </w:rPr>
      </w:pPr>
      <w:r>
        <w:t>In the period Jul–Dec</w:t>
      </w:r>
      <w:r w:rsidRPr="00E10828">
        <w:t xml:space="preserve"> </w:t>
      </w:r>
      <w:r>
        <w:t>2020</w:t>
      </w:r>
      <w:r w:rsidRPr="00E10828">
        <w:t>,</w:t>
      </w:r>
      <w:r>
        <w:t xml:space="preserve"> HDC received </w:t>
      </w:r>
      <w:r>
        <w:rPr>
          <w:b/>
        </w:rPr>
        <w:t>464</w:t>
      </w:r>
      <w:r w:rsidRPr="003E5338">
        <w:rPr>
          <w:rStyle w:val="FootnoteReference"/>
        </w:rPr>
        <w:footnoteReference w:id="1"/>
      </w:r>
      <w:r w:rsidRPr="00CE600B">
        <w:t xml:space="preserve"> complaints about care provided by District Health Boards. Numbers of complaints received in previous six-month periods are reported in Table 1.</w:t>
      </w:r>
      <w:bookmarkEnd w:id="14"/>
      <w:bookmarkEnd w:id="15"/>
    </w:p>
    <w:p w14:paraId="581C5477" w14:textId="77777777" w:rsidR="00EB4A22" w:rsidRDefault="00EB4A22" w:rsidP="00EB4A22"/>
    <w:p w14:paraId="51E13EC2" w14:textId="77777777" w:rsidR="00EB4A22" w:rsidRDefault="00EB4A22" w:rsidP="00EB4A22">
      <w:pPr>
        <w:spacing w:after="60"/>
        <w:rPr>
          <w:rStyle w:val="NoSpacingChar"/>
        </w:rPr>
      </w:pPr>
      <w:r>
        <w:rPr>
          <w:b/>
        </w:rPr>
        <w:t xml:space="preserve">Table 1. </w:t>
      </w:r>
      <w:r>
        <w:t>Number of complaints received</w:t>
      </w:r>
      <w:r>
        <w:rPr>
          <w:rStyle w:val="NoSpacingChar"/>
        </w:rPr>
        <w:t xml:space="preserve"> in the last five years</w:t>
      </w:r>
    </w:p>
    <w:tbl>
      <w:tblPr>
        <w:tblStyle w:val="TableGrid"/>
        <w:tblpPr w:leftFromText="180" w:rightFromText="180" w:vertAnchor="text" w:horzAnchor="margin" w:tblpX="114" w:tblpY="105"/>
        <w:tblW w:w="4900" w:type="pct"/>
        <w:tblLook w:val="04A0" w:firstRow="1" w:lastRow="0" w:firstColumn="1" w:lastColumn="0" w:noHBand="0" w:noVBand="1"/>
      </w:tblPr>
      <w:tblGrid>
        <w:gridCol w:w="1189"/>
        <w:gridCol w:w="680"/>
        <w:gridCol w:w="588"/>
        <w:gridCol w:w="677"/>
        <w:gridCol w:w="679"/>
        <w:gridCol w:w="679"/>
        <w:gridCol w:w="679"/>
        <w:gridCol w:w="680"/>
        <w:gridCol w:w="679"/>
        <w:gridCol w:w="679"/>
        <w:gridCol w:w="963"/>
        <w:gridCol w:w="664"/>
      </w:tblGrid>
      <w:tr w:rsidR="00EB4A22" w14:paraId="76EE6C5A" w14:textId="77777777" w:rsidTr="00B12430">
        <w:tc>
          <w:tcPr>
            <w:tcW w:w="673" w:type="pct"/>
            <w:tcBorders>
              <w:top w:val="single" w:sz="4" w:space="0" w:color="auto"/>
              <w:left w:val="single" w:sz="4" w:space="0" w:color="auto"/>
              <w:bottom w:val="single" w:sz="4" w:space="0" w:color="auto"/>
              <w:right w:val="single" w:sz="4" w:space="0" w:color="auto"/>
            </w:tcBorders>
            <w:vAlign w:val="center"/>
          </w:tcPr>
          <w:p w14:paraId="49317709" w14:textId="77777777" w:rsidR="00EB4A22" w:rsidRPr="00452AC3" w:rsidRDefault="00EB4A22" w:rsidP="00B12430">
            <w:pPr>
              <w:keepNext/>
              <w:keepLines/>
              <w:jc w:val="left"/>
              <w:rPr>
                <w:rFonts w:ascii="Calibri" w:hAnsi="Calibri"/>
                <w:b/>
                <w:szCs w:val="20"/>
              </w:rPr>
            </w:pPr>
          </w:p>
          <w:p w14:paraId="09B076F4" w14:textId="77777777" w:rsidR="00EB4A22" w:rsidRPr="00452AC3" w:rsidRDefault="00EB4A22" w:rsidP="00B12430">
            <w:pPr>
              <w:keepNext/>
              <w:keepLines/>
              <w:jc w:val="left"/>
              <w:rPr>
                <w:rFonts w:ascii="Calibri" w:hAnsi="Calibri"/>
                <w:b/>
                <w:szCs w:val="20"/>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51D02A95" w14:textId="77777777" w:rsidR="00EB4A22" w:rsidRPr="00452AC3" w:rsidRDefault="00EB4A22" w:rsidP="00B12430">
            <w:pPr>
              <w:keepNext/>
              <w:keepLines/>
              <w:jc w:val="center"/>
              <w:rPr>
                <w:rFonts w:ascii="Calibri" w:hAnsi="Calibri"/>
                <w:b/>
                <w:szCs w:val="20"/>
              </w:rPr>
            </w:pPr>
            <w:r w:rsidRPr="00452AC3">
              <w:rPr>
                <w:rFonts w:ascii="Calibri" w:hAnsi="Calibri"/>
                <w:b/>
                <w:szCs w:val="20"/>
              </w:rPr>
              <w:t>Jan–Jun</w:t>
            </w:r>
            <w:r w:rsidRPr="00452AC3">
              <w:rPr>
                <w:rFonts w:ascii="Calibri" w:hAnsi="Calibri"/>
                <w:b/>
                <w:szCs w:val="20"/>
              </w:rPr>
              <w:br/>
              <w:t>16</w:t>
            </w:r>
          </w:p>
        </w:tc>
        <w:tc>
          <w:tcPr>
            <w:tcW w:w="333" w:type="pct"/>
            <w:tcBorders>
              <w:top w:val="single" w:sz="4" w:space="0" w:color="auto"/>
              <w:left w:val="single" w:sz="4" w:space="0" w:color="auto"/>
              <w:bottom w:val="single" w:sz="4" w:space="0" w:color="auto"/>
              <w:right w:val="single" w:sz="4" w:space="0" w:color="auto"/>
            </w:tcBorders>
            <w:vAlign w:val="center"/>
            <w:hideMark/>
          </w:tcPr>
          <w:p w14:paraId="39FE7BF5" w14:textId="77777777" w:rsidR="00EB4A22" w:rsidRPr="00452AC3" w:rsidRDefault="00EB4A22" w:rsidP="00B12430">
            <w:pPr>
              <w:keepNext/>
              <w:keepLines/>
              <w:jc w:val="center"/>
              <w:rPr>
                <w:rFonts w:ascii="Calibri" w:hAnsi="Calibri"/>
                <w:b/>
                <w:szCs w:val="20"/>
              </w:rPr>
            </w:pPr>
            <w:r w:rsidRPr="00452AC3">
              <w:rPr>
                <w:rFonts w:ascii="Calibri" w:hAnsi="Calibri"/>
                <w:b/>
                <w:szCs w:val="20"/>
              </w:rPr>
              <w:t xml:space="preserve">Jul–Dec </w:t>
            </w:r>
            <w:r w:rsidRPr="00452AC3">
              <w:rPr>
                <w:rFonts w:ascii="Calibri" w:hAnsi="Calibri"/>
                <w:b/>
                <w:szCs w:val="20"/>
              </w:rPr>
              <w:br/>
              <w:t>16</w:t>
            </w:r>
          </w:p>
        </w:tc>
        <w:tc>
          <w:tcPr>
            <w:tcW w:w="383" w:type="pct"/>
            <w:tcBorders>
              <w:top w:val="single" w:sz="4" w:space="0" w:color="auto"/>
              <w:left w:val="single" w:sz="4" w:space="0" w:color="auto"/>
              <w:bottom w:val="single" w:sz="4" w:space="0" w:color="auto"/>
              <w:right w:val="single" w:sz="4" w:space="0" w:color="auto"/>
            </w:tcBorders>
            <w:hideMark/>
          </w:tcPr>
          <w:p w14:paraId="72E63A12"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Jan–Jun</w:t>
            </w:r>
            <w:r w:rsidRPr="00452AC3">
              <w:rPr>
                <w:rFonts w:ascii="Calibri" w:hAnsi="Calibri"/>
                <w:b/>
                <w:szCs w:val="20"/>
              </w:rPr>
              <w:br/>
              <w:t>17</w:t>
            </w:r>
          </w:p>
        </w:tc>
        <w:tc>
          <w:tcPr>
            <w:tcW w:w="384" w:type="pct"/>
            <w:tcBorders>
              <w:top w:val="single" w:sz="4" w:space="0" w:color="auto"/>
              <w:left w:val="single" w:sz="4" w:space="0" w:color="auto"/>
              <w:bottom w:val="single" w:sz="4" w:space="0" w:color="auto"/>
              <w:right w:val="single" w:sz="4" w:space="0" w:color="auto"/>
            </w:tcBorders>
            <w:hideMark/>
          </w:tcPr>
          <w:p w14:paraId="054EBD1A"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Jul–Dec</w:t>
            </w:r>
            <w:r w:rsidRPr="00452AC3">
              <w:rPr>
                <w:rFonts w:ascii="Calibri" w:hAnsi="Calibri"/>
                <w:b/>
                <w:szCs w:val="20"/>
              </w:rPr>
              <w:br/>
              <w:t>17</w:t>
            </w:r>
          </w:p>
        </w:tc>
        <w:tc>
          <w:tcPr>
            <w:tcW w:w="384" w:type="pct"/>
            <w:tcBorders>
              <w:top w:val="single" w:sz="4" w:space="0" w:color="auto"/>
              <w:left w:val="single" w:sz="4" w:space="0" w:color="auto"/>
              <w:bottom w:val="single" w:sz="4" w:space="0" w:color="auto"/>
              <w:right w:val="single" w:sz="4" w:space="0" w:color="auto"/>
            </w:tcBorders>
            <w:hideMark/>
          </w:tcPr>
          <w:p w14:paraId="38B94BF6"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Jan–Jun</w:t>
            </w:r>
            <w:r w:rsidRPr="00452AC3">
              <w:rPr>
                <w:rFonts w:ascii="Calibri" w:hAnsi="Calibri"/>
                <w:b/>
                <w:szCs w:val="20"/>
              </w:rPr>
              <w:br/>
              <w:t>18</w:t>
            </w:r>
          </w:p>
        </w:tc>
        <w:tc>
          <w:tcPr>
            <w:tcW w:w="384" w:type="pct"/>
            <w:tcBorders>
              <w:top w:val="single" w:sz="4" w:space="0" w:color="auto"/>
              <w:left w:val="single" w:sz="4" w:space="0" w:color="auto"/>
              <w:bottom w:val="single" w:sz="4" w:space="0" w:color="auto"/>
              <w:right w:val="single" w:sz="4" w:space="0" w:color="auto"/>
            </w:tcBorders>
            <w:hideMark/>
          </w:tcPr>
          <w:p w14:paraId="37A3FB14"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Jul–Dec</w:t>
            </w:r>
            <w:r w:rsidRPr="00452AC3">
              <w:rPr>
                <w:rFonts w:ascii="Calibri" w:hAnsi="Calibri"/>
                <w:b/>
                <w:szCs w:val="20"/>
              </w:rPr>
              <w:br/>
              <w:t>18</w:t>
            </w:r>
          </w:p>
        </w:tc>
        <w:tc>
          <w:tcPr>
            <w:tcW w:w="385" w:type="pct"/>
            <w:tcBorders>
              <w:top w:val="single" w:sz="4" w:space="0" w:color="auto"/>
              <w:left w:val="single" w:sz="4" w:space="0" w:color="auto"/>
              <w:bottom w:val="single" w:sz="4" w:space="0" w:color="auto"/>
              <w:right w:val="single" w:sz="4" w:space="0" w:color="auto"/>
            </w:tcBorders>
            <w:hideMark/>
          </w:tcPr>
          <w:p w14:paraId="28E3F885"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Jan–Jun</w:t>
            </w:r>
            <w:r w:rsidRPr="00452AC3">
              <w:rPr>
                <w:rFonts w:ascii="Calibri" w:hAnsi="Calibri"/>
                <w:b/>
                <w:szCs w:val="20"/>
              </w:rPr>
              <w:br/>
              <w:t>19</w:t>
            </w:r>
          </w:p>
        </w:tc>
        <w:tc>
          <w:tcPr>
            <w:tcW w:w="384" w:type="pct"/>
            <w:tcBorders>
              <w:top w:val="single" w:sz="4" w:space="0" w:color="auto"/>
              <w:left w:val="single" w:sz="4" w:space="0" w:color="auto"/>
              <w:bottom w:val="single" w:sz="4" w:space="0" w:color="auto"/>
              <w:right w:val="single" w:sz="4" w:space="0" w:color="auto"/>
            </w:tcBorders>
            <w:hideMark/>
          </w:tcPr>
          <w:p w14:paraId="4CC1E061"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Jul–Dec</w:t>
            </w:r>
            <w:r w:rsidRPr="00452AC3">
              <w:rPr>
                <w:rFonts w:ascii="Calibri" w:hAnsi="Calibri"/>
                <w:b/>
                <w:szCs w:val="20"/>
              </w:rPr>
              <w:br/>
              <w:t>19</w:t>
            </w:r>
          </w:p>
        </w:tc>
        <w:tc>
          <w:tcPr>
            <w:tcW w:w="384" w:type="pct"/>
            <w:tcBorders>
              <w:top w:val="single" w:sz="4" w:space="0" w:color="auto"/>
              <w:left w:val="single" w:sz="4" w:space="0" w:color="auto"/>
              <w:bottom w:val="single" w:sz="4" w:space="0" w:color="auto"/>
              <w:right w:val="single" w:sz="4" w:space="0" w:color="auto"/>
            </w:tcBorders>
            <w:hideMark/>
          </w:tcPr>
          <w:p w14:paraId="44C9CFD1"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Jan–Jun</w:t>
            </w:r>
            <w:r w:rsidRPr="00452AC3">
              <w:rPr>
                <w:rFonts w:ascii="Calibri" w:hAnsi="Calibri"/>
                <w:b/>
                <w:szCs w:val="20"/>
              </w:rPr>
              <w:br/>
              <w:t>20</w:t>
            </w:r>
          </w:p>
        </w:tc>
        <w:tc>
          <w:tcPr>
            <w:tcW w:w="545" w:type="pct"/>
            <w:tcBorders>
              <w:top w:val="single" w:sz="4" w:space="0" w:color="auto"/>
              <w:left w:val="single" w:sz="4" w:space="0" w:color="auto"/>
              <w:bottom w:val="single" w:sz="4" w:space="0" w:color="auto"/>
              <w:right w:val="single" w:sz="4" w:space="0" w:color="auto"/>
            </w:tcBorders>
            <w:hideMark/>
          </w:tcPr>
          <w:p w14:paraId="0D3651F5" w14:textId="5F0F3D79" w:rsidR="00EB4A22" w:rsidRPr="00452AC3" w:rsidRDefault="00EB4A22" w:rsidP="00B12430">
            <w:pPr>
              <w:keepNext/>
              <w:keepLines/>
              <w:spacing w:before="120"/>
              <w:jc w:val="center"/>
              <w:rPr>
                <w:rFonts w:ascii="Calibri" w:hAnsi="Calibri"/>
                <w:b/>
                <w:szCs w:val="20"/>
              </w:rPr>
            </w:pPr>
            <w:r w:rsidRPr="00452AC3">
              <w:rPr>
                <w:rFonts w:ascii="Calibri" w:hAnsi="Calibri"/>
                <w:b/>
                <w:szCs w:val="20"/>
              </w:rPr>
              <w:t>Average of last 4</w:t>
            </w:r>
            <w:r w:rsidR="00B12430">
              <w:rPr>
                <w:rFonts w:ascii="Calibri" w:hAnsi="Calibri"/>
                <w:b/>
                <w:szCs w:val="20"/>
              </w:rPr>
              <w:t xml:space="preserve"> </w:t>
            </w:r>
          </w:p>
          <w:p w14:paraId="77F2CCFD" w14:textId="77777777" w:rsidR="00EB4A22" w:rsidRPr="00452AC3" w:rsidRDefault="00EB4A22" w:rsidP="00B12430">
            <w:pPr>
              <w:keepNext/>
              <w:keepLines/>
              <w:jc w:val="center"/>
              <w:rPr>
                <w:rFonts w:ascii="Calibri" w:hAnsi="Calibri"/>
                <w:b/>
                <w:szCs w:val="20"/>
              </w:rPr>
            </w:pPr>
            <w:r w:rsidRPr="00452AC3">
              <w:rPr>
                <w:rFonts w:ascii="Calibri" w:hAnsi="Calibri"/>
                <w:b/>
                <w:szCs w:val="20"/>
              </w:rPr>
              <w:t>6-month periods</w:t>
            </w:r>
          </w:p>
        </w:tc>
        <w:tc>
          <w:tcPr>
            <w:tcW w:w="376" w:type="pct"/>
            <w:tcBorders>
              <w:top w:val="single" w:sz="4" w:space="0" w:color="auto"/>
              <w:left w:val="single" w:sz="4" w:space="0" w:color="auto"/>
              <w:bottom w:val="single" w:sz="4" w:space="0" w:color="auto"/>
              <w:right w:val="single" w:sz="4" w:space="0" w:color="auto"/>
            </w:tcBorders>
            <w:hideMark/>
          </w:tcPr>
          <w:p w14:paraId="38AEED76"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Jul–Dec</w:t>
            </w:r>
          </w:p>
          <w:p w14:paraId="29D8A2E8" w14:textId="77777777" w:rsidR="00EB4A22" w:rsidRPr="00452AC3" w:rsidRDefault="00EB4A22" w:rsidP="00B12430">
            <w:pPr>
              <w:keepNext/>
              <w:keepLines/>
              <w:jc w:val="center"/>
              <w:rPr>
                <w:rFonts w:ascii="Calibri" w:hAnsi="Calibri"/>
                <w:b/>
                <w:szCs w:val="20"/>
              </w:rPr>
            </w:pPr>
            <w:r w:rsidRPr="00452AC3">
              <w:rPr>
                <w:rFonts w:ascii="Calibri" w:hAnsi="Calibri"/>
                <w:b/>
                <w:szCs w:val="20"/>
              </w:rPr>
              <w:t>20</w:t>
            </w:r>
          </w:p>
        </w:tc>
      </w:tr>
      <w:tr w:rsidR="00EB4A22" w14:paraId="108EC286" w14:textId="77777777" w:rsidTr="00B12430">
        <w:tc>
          <w:tcPr>
            <w:tcW w:w="673" w:type="pct"/>
            <w:tcBorders>
              <w:top w:val="single" w:sz="4" w:space="0" w:color="auto"/>
              <w:left w:val="single" w:sz="4" w:space="0" w:color="auto"/>
              <w:bottom w:val="single" w:sz="4" w:space="0" w:color="auto"/>
              <w:right w:val="single" w:sz="4" w:space="0" w:color="auto"/>
            </w:tcBorders>
            <w:vAlign w:val="center"/>
            <w:hideMark/>
          </w:tcPr>
          <w:p w14:paraId="33BFC33D" w14:textId="77777777" w:rsidR="00EB4A22" w:rsidRPr="00452AC3" w:rsidRDefault="00EB4A22" w:rsidP="00B12430">
            <w:pPr>
              <w:keepNext/>
              <w:keepLines/>
              <w:spacing w:after="40"/>
              <w:jc w:val="left"/>
              <w:rPr>
                <w:rFonts w:ascii="Calibri" w:hAnsi="Calibri"/>
                <w:b/>
                <w:szCs w:val="20"/>
              </w:rPr>
            </w:pPr>
            <w:r w:rsidRPr="00452AC3">
              <w:rPr>
                <w:rFonts w:ascii="Calibri" w:hAnsi="Calibri"/>
                <w:b/>
                <w:szCs w:val="20"/>
              </w:rPr>
              <w:t>Number of complaints</w:t>
            </w:r>
          </w:p>
        </w:tc>
        <w:tc>
          <w:tcPr>
            <w:tcW w:w="385" w:type="pct"/>
            <w:tcBorders>
              <w:top w:val="single" w:sz="4" w:space="0" w:color="auto"/>
              <w:left w:val="single" w:sz="4" w:space="0" w:color="auto"/>
              <w:bottom w:val="single" w:sz="4" w:space="0" w:color="auto"/>
              <w:right w:val="single" w:sz="4" w:space="0" w:color="auto"/>
            </w:tcBorders>
            <w:vAlign w:val="center"/>
            <w:hideMark/>
          </w:tcPr>
          <w:p w14:paraId="5EB1CF74" w14:textId="77777777" w:rsidR="00EB4A22" w:rsidRPr="00452AC3" w:rsidRDefault="00EB4A22" w:rsidP="00B12430">
            <w:pPr>
              <w:keepNext/>
              <w:keepLines/>
              <w:jc w:val="center"/>
              <w:rPr>
                <w:rFonts w:ascii="Calibri" w:hAnsi="Calibri"/>
                <w:szCs w:val="20"/>
              </w:rPr>
            </w:pPr>
            <w:r w:rsidRPr="00452AC3">
              <w:rPr>
                <w:rFonts w:ascii="Calibri" w:hAnsi="Calibri"/>
                <w:szCs w:val="20"/>
              </w:rPr>
              <w:t>383</w:t>
            </w:r>
          </w:p>
        </w:tc>
        <w:tc>
          <w:tcPr>
            <w:tcW w:w="333" w:type="pct"/>
            <w:tcBorders>
              <w:top w:val="single" w:sz="4" w:space="0" w:color="auto"/>
              <w:left w:val="single" w:sz="4" w:space="0" w:color="auto"/>
              <w:bottom w:val="single" w:sz="4" w:space="0" w:color="auto"/>
              <w:right w:val="single" w:sz="4" w:space="0" w:color="auto"/>
            </w:tcBorders>
            <w:vAlign w:val="center"/>
            <w:hideMark/>
          </w:tcPr>
          <w:p w14:paraId="66707C3D" w14:textId="77777777" w:rsidR="00EB4A22" w:rsidRPr="00452AC3" w:rsidRDefault="00EB4A22" w:rsidP="00B12430">
            <w:pPr>
              <w:keepNext/>
              <w:keepLines/>
              <w:jc w:val="center"/>
              <w:rPr>
                <w:rFonts w:ascii="Calibri" w:hAnsi="Calibri"/>
                <w:szCs w:val="20"/>
              </w:rPr>
            </w:pPr>
            <w:r w:rsidRPr="00452AC3">
              <w:rPr>
                <w:rFonts w:ascii="Calibri" w:hAnsi="Calibri"/>
                <w:szCs w:val="20"/>
              </w:rPr>
              <w:t>386</w:t>
            </w:r>
          </w:p>
        </w:tc>
        <w:tc>
          <w:tcPr>
            <w:tcW w:w="383" w:type="pct"/>
            <w:tcBorders>
              <w:top w:val="single" w:sz="4" w:space="0" w:color="auto"/>
              <w:left w:val="single" w:sz="4" w:space="0" w:color="auto"/>
              <w:bottom w:val="single" w:sz="4" w:space="0" w:color="auto"/>
              <w:right w:val="single" w:sz="4" w:space="0" w:color="auto"/>
            </w:tcBorders>
            <w:vAlign w:val="center"/>
            <w:hideMark/>
          </w:tcPr>
          <w:p w14:paraId="045B2DF8" w14:textId="77777777" w:rsidR="00EB4A22" w:rsidRPr="00452AC3" w:rsidRDefault="00EB4A22" w:rsidP="00B12430">
            <w:pPr>
              <w:keepNext/>
              <w:keepLines/>
              <w:jc w:val="center"/>
              <w:rPr>
                <w:rFonts w:ascii="Calibri" w:hAnsi="Calibri"/>
                <w:szCs w:val="20"/>
              </w:rPr>
            </w:pPr>
            <w:r w:rsidRPr="00452AC3">
              <w:rPr>
                <w:rFonts w:ascii="Calibri" w:hAnsi="Calibri"/>
                <w:szCs w:val="20"/>
              </w:rPr>
              <w:t>477</w:t>
            </w:r>
          </w:p>
        </w:tc>
        <w:tc>
          <w:tcPr>
            <w:tcW w:w="384" w:type="pct"/>
            <w:tcBorders>
              <w:top w:val="single" w:sz="4" w:space="0" w:color="auto"/>
              <w:left w:val="single" w:sz="4" w:space="0" w:color="auto"/>
              <w:bottom w:val="single" w:sz="4" w:space="0" w:color="auto"/>
              <w:right w:val="single" w:sz="4" w:space="0" w:color="auto"/>
            </w:tcBorders>
            <w:vAlign w:val="center"/>
            <w:hideMark/>
          </w:tcPr>
          <w:p w14:paraId="38FF3599" w14:textId="77777777" w:rsidR="00EB4A22" w:rsidRPr="00452AC3" w:rsidRDefault="00EB4A22" w:rsidP="00B12430">
            <w:pPr>
              <w:keepNext/>
              <w:keepLines/>
              <w:jc w:val="center"/>
              <w:rPr>
                <w:rFonts w:ascii="Calibri" w:hAnsi="Calibri"/>
                <w:szCs w:val="20"/>
              </w:rPr>
            </w:pPr>
            <w:r w:rsidRPr="00452AC3">
              <w:rPr>
                <w:rFonts w:ascii="Calibri" w:hAnsi="Calibri"/>
                <w:szCs w:val="20"/>
              </w:rPr>
              <w:t>439</w:t>
            </w:r>
          </w:p>
        </w:tc>
        <w:tc>
          <w:tcPr>
            <w:tcW w:w="384" w:type="pct"/>
            <w:tcBorders>
              <w:top w:val="single" w:sz="4" w:space="0" w:color="auto"/>
              <w:left w:val="single" w:sz="4" w:space="0" w:color="auto"/>
              <w:bottom w:val="single" w:sz="4" w:space="0" w:color="auto"/>
              <w:right w:val="single" w:sz="4" w:space="0" w:color="auto"/>
            </w:tcBorders>
            <w:vAlign w:val="center"/>
            <w:hideMark/>
          </w:tcPr>
          <w:p w14:paraId="31B7F265" w14:textId="77777777" w:rsidR="00EB4A22" w:rsidRPr="00452AC3" w:rsidRDefault="00EB4A22" w:rsidP="00B12430">
            <w:pPr>
              <w:keepNext/>
              <w:keepLines/>
              <w:jc w:val="center"/>
              <w:rPr>
                <w:rFonts w:ascii="Calibri" w:hAnsi="Calibri"/>
                <w:szCs w:val="20"/>
              </w:rPr>
            </w:pPr>
            <w:r w:rsidRPr="00452AC3">
              <w:rPr>
                <w:rFonts w:ascii="Calibri" w:hAnsi="Calibri"/>
                <w:szCs w:val="20"/>
              </w:rPr>
              <w:t>450</w:t>
            </w:r>
          </w:p>
        </w:tc>
        <w:tc>
          <w:tcPr>
            <w:tcW w:w="384" w:type="pct"/>
            <w:tcBorders>
              <w:top w:val="single" w:sz="4" w:space="0" w:color="auto"/>
              <w:left w:val="single" w:sz="4" w:space="0" w:color="auto"/>
              <w:bottom w:val="single" w:sz="4" w:space="0" w:color="auto"/>
              <w:right w:val="single" w:sz="4" w:space="0" w:color="auto"/>
            </w:tcBorders>
            <w:vAlign w:val="center"/>
            <w:hideMark/>
          </w:tcPr>
          <w:p w14:paraId="78DACEED" w14:textId="77777777" w:rsidR="00EB4A22" w:rsidRPr="00452AC3" w:rsidRDefault="00EB4A22" w:rsidP="00B12430">
            <w:pPr>
              <w:keepNext/>
              <w:keepLines/>
              <w:jc w:val="center"/>
              <w:rPr>
                <w:rFonts w:ascii="Calibri" w:hAnsi="Calibri"/>
                <w:szCs w:val="20"/>
              </w:rPr>
            </w:pPr>
            <w:r w:rsidRPr="00452AC3">
              <w:rPr>
                <w:rFonts w:ascii="Calibri" w:hAnsi="Calibri"/>
                <w:szCs w:val="20"/>
              </w:rPr>
              <w:t>442</w:t>
            </w:r>
          </w:p>
        </w:tc>
        <w:tc>
          <w:tcPr>
            <w:tcW w:w="385" w:type="pct"/>
            <w:tcBorders>
              <w:top w:val="single" w:sz="4" w:space="0" w:color="auto"/>
              <w:left w:val="single" w:sz="4" w:space="0" w:color="auto"/>
              <w:bottom w:val="single" w:sz="4" w:space="0" w:color="auto"/>
              <w:right w:val="single" w:sz="4" w:space="0" w:color="auto"/>
            </w:tcBorders>
            <w:vAlign w:val="center"/>
            <w:hideMark/>
          </w:tcPr>
          <w:p w14:paraId="7D4149D0" w14:textId="77777777" w:rsidR="00EB4A22" w:rsidRPr="00452AC3" w:rsidRDefault="00EB4A22" w:rsidP="00B12430">
            <w:pPr>
              <w:keepNext/>
              <w:keepLines/>
              <w:jc w:val="center"/>
              <w:rPr>
                <w:rFonts w:ascii="Calibri" w:hAnsi="Calibri"/>
                <w:szCs w:val="20"/>
              </w:rPr>
            </w:pPr>
            <w:r w:rsidRPr="00452AC3">
              <w:rPr>
                <w:rFonts w:ascii="Calibri" w:hAnsi="Calibri"/>
                <w:szCs w:val="20"/>
              </w:rPr>
              <w:t>427</w:t>
            </w:r>
          </w:p>
        </w:tc>
        <w:tc>
          <w:tcPr>
            <w:tcW w:w="384" w:type="pct"/>
            <w:tcBorders>
              <w:top w:val="single" w:sz="4" w:space="0" w:color="auto"/>
              <w:left w:val="single" w:sz="4" w:space="0" w:color="auto"/>
              <w:bottom w:val="single" w:sz="4" w:space="0" w:color="auto"/>
              <w:right w:val="single" w:sz="4" w:space="0" w:color="auto"/>
            </w:tcBorders>
            <w:vAlign w:val="center"/>
            <w:hideMark/>
          </w:tcPr>
          <w:p w14:paraId="4CB9AA2C" w14:textId="77777777" w:rsidR="00EB4A22" w:rsidRPr="00452AC3" w:rsidRDefault="00EB4A22" w:rsidP="00B12430">
            <w:pPr>
              <w:keepNext/>
              <w:keepLines/>
              <w:jc w:val="center"/>
              <w:rPr>
                <w:rFonts w:ascii="Calibri" w:hAnsi="Calibri"/>
                <w:szCs w:val="20"/>
              </w:rPr>
            </w:pPr>
            <w:r w:rsidRPr="00452AC3">
              <w:rPr>
                <w:rFonts w:ascii="Calibri" w:hAnsi="Calibri"/>
                <w:szCs w:val="20"/>
              </w:rPr>
              <w:t>471</w:t>
            </w:r>
          </w:p>
        </w:tc>
        <w:tc>
          <w:tcPr>
            <w:tcW w:w="384" w:type="pct"/>
            <w:tcBorders>
              <w:top w:val="single" w:sz="4" w:space="0" w:color="auto"/>
              <w:left w:val="single" w:sz="4" w:space="0" w:color="auto"/>
              <w:bottom w:val="single" w:sz="4" w:space="0" w:color="auto"/>
              <w:right w:val="single" w:sz="4" w:space="0" w:color="auto"/>
            </w:tcBorders>
            <w:vAlign w:val="center"/>
            <w:hideMark/>
          </w:tcPr>
          <w:p w14:paraId="09C22C56" w14:textId="77777777" w:rsidR="00EB4A22" w:rsidRPr="00452AC3" w:rsidRDefault="00EB4A22" w:rsidP="00B12430">
            <w:pPr>
              <w:keepNext/>
              <w:keepLines/>
              <w:jc w:val="center"/>
              <w:rPr>
                <w:rFonts w:ascii="Calibri" w:hAnsi="Calibri"/>
                <w:szCs w:val="20"/>
              </w:rPr>
            </w:pPr>
            <w:r w:rsidRPr="00452AC3">
              <w:rPr>
                <w:rFonts w:ascii="Calibri" w:hAnsi="Calibri"/>
                <w:szCs w:val="20"/>
              </w:rPr>
              <w:t>392</w:t>
            </w:r>
          </w:p>
        </w:tc>
        <w:tc>
          <w:tcPr>
            <w:tcW w:w="545" w:type="pct"/>
            <w:tcBorders>
              <w:top w:val="single" w:sz="4" w:space="0" w:color="auto"/>
              <w:left w:val="single" w:sz="4" w:space="0" w:color="auto"/>
              <w:bottom w:val="single" w:sz="4" w:space="0" w:color="auto"/>
              <w:right w:val="single" w:sz="4" w:space="0" w:color="auto"/>
            </w:tcBorders>
            <w:vAlign w:val="center"/>
            <w:hideMark/>
          </w:tcPr>
          <w:p w14:paraId="792B8441" w14:textId="77777777" w:rsidR="00EB4A22" w:rsidRPr="00452AC3" w:rsidRDefault="00EB4A22" w:rsidP="00B12430">
            <w:pPr>
              <w:keepNext/>
              <w:keepLines/>
              <w:jc w:val="center"/>
              <w:rPr>
                <w:rFonts w:ascii="Calibri" w:hAnsi="Calibri"/>
                <w:b/>
                <w:szCs w:val="20"/>
              </w:rPr>
            </w:pPr>
            <w:r w:rsidRPr="00452AC3">
              <w:rPr>
                <w:rFonts w:ascii="Calibri" w:hAnsi="Calibri"/>
                <w:b/>
                <w:szCs w:val="20"/>
              </w:rPr>
              <w:t>433</w:t>
            </w:r>
          </w:p>
        </w:tc>
        <w:tc>
          <w:tcPr>
            <w:tcW w:w="376" w:type="pct"/>
            <w:tcBorders>
              <w:top w:val="single" w:sz="4" w:space="0" w:color="auto"/>
              <w:left w:val="single" w:sz="4" w:space="0" w:color="auto"/>
              <w:bottom w:val="single" w:sz="4" w:space="0" w:color="auto"/>
              <w:right w:val="single" w:sz="4" w:space="0" w:color="auto"/>
            </w:tcBorders>
            <w:vAlign w:val="center"/>
            <w:hideMark/>
          </w:tcPr>
          <w:p w14:paraId="157DA77A" w14:textId="77777777" w:rsidR="00EB4A22" w:rsidRPr="00452AC3" w:rsidRDefault="00EB4A22" w:rsidP="00B12430">
            <w:pPr>
              <w:keepNext/>
              <w:keepLines/>
              <w:jc w:val="center"/>
              <w:rPr>
                <w:rFonts w:ascii="Calibri" w:hAnsi="Calibri"/>
                <w:b/>
                <w:szCs w:val="20"/>
              </w:rPr>
            </w:pPr>
            <w:r w:rsidRPr="00452AC3">
              <w:rPr>
                <w:rFonts w:ascii="Calibri" w:hAnsi="Calibri"/>
                <w:b/>
                <w:szCs w:val="20"/>
              </w:rPr>
              <w:t>464</w:t>
            </w:r>
          </w:p>
        </w:tc>
      </w:tr>
    </w:tbl>
    <w:p w14:paraId="4FC941EE" w14:textId="77777777" w:rsidR="00EB4A22" w:rsidRDefault="00EB4A22" w:rsidP="00EB4A22">
      <w:pPr>
        <w:spacing w:after="60"/>
        <w:rPr>
          <w:b/>
        </w:rPr>
      </w:pPr>
    </w:p>
    <w:p w14:paraId="76F32A97" w14:textId="77777777" w:rsidR="00EB4A22" w:rsidRDefault="00EB4A22" w:rsidP="00EB4A22">
      <w:pPr>
        <w:spacing w:before="240"/>
      </w:pPr>
      <w:r>
        <w:t xml:space="preserve">The total number of complaints received in </w:t>
      </w:r>
      <w:r>
        <w:rPr>
          <w:lang w:eastAsia="en-NZ" w:bidi="ar-SA"/>
        </w:rPr>
        <w:t xml:space="preserve">Jul–Dec 2020 </w:t>
      </w:r>
      <w:r>
        <w:t>(464) shows a 7% increase over the average number of complaints received in the previous four periods.</w:t>
      </w:r>
    </w:p>
    <w:p w14:paraId="69B5C89B" w14:textId="77777777" w:rsidR="00EB4A22" w:rsidRDefault="00EB4A22" w:rsidP="00EB4A22"/>
    <w:p w14:paraId="7DDDD5EB" w14:textId="77777777" w:rsidR="00EB4A22" w:rsidRDefault="00EB4A22" w:rsidP="00EB4A22">
      <w:pPr>
        <w:spacing w:after="120"/>
      </w:pPr>
      <w:r>
        <w:t xml:space="preserve">The number of complaints received in </w:t>
      </w:r>
      <w:r>
        <w:rPr>
          <w:lang w:eastAsia="en-NZ" w:bidi="ar-SA"/>
        </w:rPr>
        <w:t xml:space="preserve">Jul–Dec 2020 </w:t>
      </w:r>
      <w:r>
        <w:t xml:space="preserve">and previous six-month periods is also displayed below in Figure 1. </w:t>
      </w:r>
    </w:p>
    <w:p w14:paraId="4264A2FD" w14:textId="77777777" w:rsidR="00EB4A22" w:rsidRDefault="00EB4A22" w:rsidP="00EB4A22"/>
    <w:p w14:paraId="29CD9F40" w14:textId="77777777" w:rsidR="00EB4A22" w:rsidRPr="00717512" w:rsidRDefault="00EB4A22" w:rsidP="00EB4A22">
      <w:pPr>
        <w:spacing w:after="120"/>
      </w:pPr>
      <w:r>
        <w:rPr>
          <w:b/>
        </w:rPr>
        <w:t xml:space="preserve">Figure 1. </w:t>
      </w:r>
      <w:r>
        <w:t>Number of complaints received over the last five years</w:t>
      </w:r>
    </w:p>
    <w:p w14:paraId="50631DD6" w14:textId="77777777" w:rsidR="00EB4A22" w:rsidRDefault="00EB4A22" w:rsidP="00EB4A22">
      <w:pPr>
        <w:spacing w:after="120"/>
        <w:jc w:val="center"/>
        <w:rPr>
          <w:b/>
        </w:rPr>
      </w:pPr>
      <w:r>
        <w:rPr>
          <w:noProof/>
          <w:lang w:eastAsia="en-NZ" w:bidi="ar-SA"/>
        </w:rPr>
        <w:drawing>
          <wp:inline distT="0" distB="0" distL="0" distR="0" wp14:anchorId="7CFCD884" wp14:editId="0B0B3691">
            <wp:extent cx="5257800" cy="34099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7C6E71" w14:textId="77777777" w:rsidR="00EB4A22" w:rsidRDefault="00EB4A22" w:rsidP="00EB4A22">
      <w:bookmarkStart w:id="21" w:name="_Toc22101998"/>
      <w:bookmarkStart w:id="22" w:name="_Toc22018290"/>
    </w:p>
    <w:p w14:paraId="11A59469" w14:textId="4147188A" w:rsidR="00EB4A22" w:rsidRPr="00B800C1" w:rsidRDefault="00EB4A22" w:rsidP="00932E72">
      <w:pPr>
        <w:pStyle w:val="Heading3"/>
      </w:pPr>
      <w:bookmarkStart w:id="23" w:name="_Toc71561651"/>
      <w:bookmarkStart w:id="24" w:name="_Toc74223407"/>
      <w:bookmarkEnd w:id="16"/>
      <w:bookmarkEnd w:id="17"/>
      <w:bookmarkEnd w:id="18"/>
      <w:bookmarkEnd w:id="21"/>
      <w:bookmarkEnd w:id="22"/>
      <w:r w:rsidRPr="00B800C1">
        <w:t>1.2</w:t>
      </w:r>
      <w:r w:rsidRPr="00B800C1">
        <w:tab/>
        <w:t>Rate of complaints received</w:t>
      </w:r>
      <w:bookmarkEnd w:id="23"/>
      <w:bookmarkEnd w:id="24"/>
    </w:p>
    <w:p w14:paraId="183B2BD5" w14:textId="77777777" w:rsidR="00EB4A22" w:rsidRDefault="00EB4A22" w:rsidP="00EB4A22">
      <w:r>
        <w:t xml:space="preserve">When numbers of </w:t>
      </w:r>
      <w:r>
        <w:rPr>
          <w:rFonts w:cs="Calibri"/>
        </w:rPr>
        <w:t>complaints</w:t>
      </w:r>
      <w:r>
        <w:t xml:space="preserve"> to HDC are expressed as a rate per 100,000 discharges, comparisons can be made between DHBs and within DHBs over time, enabling any trends to be observed. </w:t>
      </w:r>
    </w:p>
    <w:p w14:paraId="310D39E2" w14:textId="77777777" w:rsidR="00EB4A22" w:rsidRDefault="00EB4A22" w:rsidP="00EB4A22"/>
    <w:p w14:paraId="63727315" w14:textId="77777777" w:rsidR="00EB4A22" w:rsidRPr="005C5A48" w:rsidRDefault="00EB4A22" w:rsidP="00EB4A22">
      <w:pPr>
        <w:spacing w:after="360"/>
      </w:pPr>
      <w:r>
        <w:t xml:space="preserve">Complaint rate calculations are </w:t>
      </w:r>
      <w:r w:rsidRPr="005C5A48">
        <w:t xml:space="preserve">made using discharge data provided by the Ministry of Health. This data is provisional as at the date of extraction </w:t>
      </w:r>
      <w:r>
        <w:t>(30 March 2021</w:t>
      </w:r>
      <w:r w:rsidRPr="00AF65A5">
        <w:t>)</w:t>
      </w:r>
      <w:r w:rsidRPr="005C5A48">
        <w:t xml:space="preserve"> and is likely incomplete; it will be updated in the next six-monthly report. It should be noted that this discharge data excludes short-stay emergency department discharges and patients attending outpatient clinics. </w:t>
      </w:r>
    </w:p>
    <w:p w14:paraId="38B5E09E" w14:textId="77777777" w:rsidR="00EB4A22" w:rsidRDefault="00EB4A22" w:rsidP="00EB4A22">
      <w:pPr>
        <w:spacing w:after="120"/>
        <w:rPr>
          <w:lang w:eastAsia="en-NZ" w:bidi="ar-SA"/>
        </w:rPr>
      </w:pPr>
      <w:r w:rsidRPr="005C5A48">
        <w:rPr>
          <w:b/>
        </w:rPr>
        <w:t xml:space="preserve">Table 2. </w:t>
      </w:r>
      <w:r w:rsidRPr="005C5A48">
        <w:t xml:space="preserve">Rate of complaints received per 100,000 discharges </w:t>
      </w:r>
    </w:p>
    <w:tbl>
      <w:tblPr>
        <w:tblStyle w:val="TableGrid"/>
        <w:tblW w:w="0" w:type="auto"/>
        <w:tblLook w:val="04A0" w:firstRow="1" w:lastRow="0" w:firstColumn="1" w:lastColumn="0" w:noHBand="0" w:noVBand="1"/>
      </w:tblPr>
      <w:tblGrid>
        <w:gridCol w:w="3005"/>
        <w:gridCol w:w="3005"/>
        <w:gridCol w:w="3006"/>
      </w:tblGrid>
      <w:tr w:rsidR="00EB4A22" w14:paraId="63DB3A72" w14:textId="77777777" w:rsidTr="00B12430">
        <w:tc>
          <w:tcPr>
            <w:tcW w:w="3005" w:type="dxa"/>
            <w:shd w:val="clear" w:color="auto" w:fill="C00000"/>
          </w:tcPr>
          <w:p w14:paraId="3476EE22" w14:textId="77777777" w:rsidR="00EB4A22" w:rsidRPr="00EB4A22" w:rsidRDefault="00EB4A22" w:rsidP="00B12430">
            <w:pPr>
              <w:spacing w:after="120"/>
              <w:jc w:val="center"/>
              <w:rPr>
                <w:rFonts w:asciiTheme="minorHAnsi" w:hAnsiTheme="minorHAnsi"/>
                <w:b/>
                <w:sz w:val="22"/>
                <w:szCs w:val="22"/>
              </w:rPr>
            </w:pPr>
            <w:r w:rsidRPr="00EB4A22">
              <w:rPr>
                <w:rFonts w:asciiTheme="minorHAnsi" w:hAnsiTheme="minorHAnsi"/>
                <w:b/>
                <w:sz w:val="22"/>
                <w:szCs w:val="22"/>
              </w:rPr>
              <w:t xml:space="preserve">Number of </w:t>
            </w:r>
            <w:r w:rsidRPr="00EB4A22">
              <w:rPr>
                <w:rFonts w:asciiTheme="minorHAnsi" w:hAnsiTheme="minorHAnsi"/>
                <w:b/>
                <w:sz w:val="22"/>
                <w:szCs w:val="22"/>
              </w:rPr>
              <w:br/>
              <w:t>complaints received</w:t>
            </w:r>
          </w:p>
        </w:tc>
        <w:tc>
          <w:tcPr>
            <w:tcW w:w="3005" w:type="dxa"/>
            <w:shd w:val="clear" w:color="auto" w:fill="C00000"/>
          </w:tcPr>
          <w:p w14:paraId="519A54EF" w14:textId="77777777" w:rsidR="00EB4A22" w:rsidRPr="00EB4A22" w:rsidRDefault="00EB4A22" w:rsidP="00B12430">
            <w:pPr>
              <w:spacing w:after="120"/>
              <w:jc w:val="center"/>
              <w:rPr>
                <w:rFonts w:asciiTheme="minorHAnsi" w:hAnsiTheme="minorHAnsi"/>
                <w:b/>
                <w:sz w:val="22"/>
                <w:szCs w:val="22"/>
              </w:rPr>
            </w:pPr>
            <w:r w:rsidRPr="00EB4A22">
              <w:rPr>
                <w:rFonts w:asciiTheme="minorHAnsi" w:hAnsiTheme="minorHAnsi"/>
                <w:b/>
                <w:sz w:val="22"/>
                <w:szCs w:val="22"/>
              </w:rPr>
              <w:t>Total number of discharges</w:t>
            </w:r>
          </w:p>
        </w:tc>
        <w:tc>
          <w:tcPr>
            <w:tcW w:w="3006" w:type="dxa"/>
            <w:shd w:val="clear" w:color="auto" w:fill="C00000"/>
          </w:tcPr>
          <w:p w14:paraId="28B932B6" w14:textId="77777777" w:rsidR="00EB4A22" w:rsidRPr="00EB4A22" w:rsidRDefault="00EB4A22" w:rsidP="00B12430">
            <w:pPr>
              <w:spacing w:after="120"/>
              <w:jc w:val="center"/>
              <w:rPr>
                <w:rFonts w:asciiTheme="minorHAnsi" w:hAnsiTheme="minorHAnsi"/>
                <w:b/>
                <w:sz w:val="22"/>
                <w:szCs w:val="22"/>
              </w:rPr>
            </w:pPr>
            <w:r w:rsidRPr="00EB4A22">
              <w:rPr>
                <w:rFonts w:asciiTheme="minorHAnsi" w:hAnsiTheme="minorHAnsi"/>
                <w:b/>
                <w:sz w:val="22"/>
                <w:szCs w:val="22"/>
              </w:rPr>
              <w:t>Rate per 100,000 discharges</w:t>
            </w:r>
          </w:p>
        </w:tc>
      </w:tr>
      <w:tr w:rsidR="00EB4A22" w14:paraId="3634DD27" w14:textId="77777777" w:rsidTr="00B12430">
        <w:tc>
          <w:tcPr>
            <w:tcW w:w="3005" w:type="dxa"/>
          </w:tcPr>
          <w:p w14:paraId="6C5E0872" w14:textId="77777777" w:rsidR="00EB4A22" w:rsidRPr="00EB4A22" w:rsidRDefault="00EB4A22" w:rsidP="00B12430">
            <w:pPr>
              <w:spacing w:after="120"/>
              <w:jc w:val="center"/>
              <w:rPr>
                <w:rFonts w:asciiTheme="minorHAnsi" w:hAnsiTheme="minorHAnsi"/>
                <w:b/>
                <w:sz w:val="22"/>
                <w:szCs w:val="22"/>
              </w:rPr>
            </w:pPr>
            <w:r w:rsidRPr="00EB4A22">
              <w:rPr>
                <w:rFonts w:asciiTheme="minorHAnsi" w:hAnsiTheme="minorHAnsi"/>
                <w:b/>
                <w:sz w:val="22"/>
                <w:szCs w:val="22"/>
              </w:rPr>
              <w:t>464</w:t>
            </w:r>
          </w:p>
        </w:tc>
        <w:tc>
          <w:tcPr>
            <w:tcW w:w="3005" w:type="dxa"/>
          </w:tcPr>
          <w:p w14:paraId="6E76DFDE" w14:textId="77777777" w:rsidR="00EB4A22" w:rsidRPr="00EB4A22" w:rsidRDefault="00EB4A22" w:rsidP="00B12430">
            <w:pPr>
              <w:spacing w:after="120"/>
              <w:jc w:val="center"/>
              <w:rPr>
                <w:rFonts w:asciiTheme="minorHAnsi" w:hAnsiTheme="minorHAnsi"/>
                <w:b/>
                <w:sz w:val="22"/>
                <w:szCs w:val="22"/>
              </w:rPr>
            </w:pPr>
            <w:r w:rsidRPr="00EB4A22">
              <w:rPr>
                <w:rFonts w:asciiTheme="minorHAnsi" w:hAnsiTheme="minorHAnsi"/>
                <w:b/>
                <w:sz w:val="22"/>
                <w:szCs w:val="22"/>
              </w:rPr>
              <w:t>504,371</w:t>
            </w:r>
          </w:p>
        </w:tc>
        <w:tc>
          <w:tcPr>
            <w:tcW w:w="3006" w:type="dxa"/>
          </w:tcPr>
          <w:p w14:paraId="61773B90" w14:textId="77777777" w:rsidR="00EB4A22" w:rsidRPr="00EB4A22" w:rsidRDefault="00EB4A22" w:rsidP="00B12430">
            <w:pPr>
              <w:spacing w:after="120"/>
              <w:jc w:val="center"/>
              <w:rPr>
                <w:rFonts w:asciiTheme="minorHAnsi" w:hAnsiTheme="minorHAnsi"/>
                <w:b/>
                <w:sz w:val="22"/>
                <w:szCs w:val="22"/>
              </w:rPr>
            </w:pPr>
            <w:r w:rsidRPr="00EB4A22">
              <w:rPr>
                <w:rFonts w:asciiTheme="minorHAnsi" w:hAnsiTheme="minorHAnsi"/>
                <w:b/>
                <w:sz w:val="22"/>
                <w:szCs w:val="22"/>
              </w:rPr>
              <w:t>92.00</w:t>
            </w:r>
          </w:p>
        </w:tc>
      </w:tr>
    </w:tbl>
    <w:p w14:paraId="2514F2D7" w14:textId="77777777" w:rsidR="00EB4A22" w:rsidRDefault="00EB4A22" w:rsidP="00EB4A22">
      <w:pPr>
        <w:spacing w:before="480" w:after="360"/>
        <w:rPr>
          <w:rFonts w:ascii="Calibri" w:hAnsi="Calibri"/>
          <w:szCs w:val="22"/>
          <w:lang w:eastAsia="en-NZ" w:bidi="ar-SA"/>
        </w:rPr>
      </w:pPr>
      <w:r>
        <w:rPr>
          <w:rFonts w:ascii="Calibri" w:hAnsi="Calibri"/>
          <w:szCs w:val="22"/>
          <w:lang w:eastAsia="en-NZ" w:bidi="ar-SA"/>
        </w:rPr>
        <w:t xml:space="preserve">Table 3 shows the </w:t>
      </w:r>
      <w:r>
        <w:rPr>
          <w:rFonts w:ascii="Calibri" w:hAnsi="Calibri" w:cs="Calibri"/>
          <w:szCs w:val="22"/>
        </w:rPr>
        <w:t>rate</w:t>
      </w:r>
      <w:r>
        <w:rPr>
          <w:rFonts w:ascii="Calibri" w:hAnsi="Calibri"/>
          <w:szCs w:val="22"/>
          <w:lang w:eastAsia="en-NZ" w:bidi="ar-SA"/>
        </w:rPr>
        <w:t xml:space="preserve"> of complaints received by HDC per 100,000 discharges, for </w:t>
      </w:r>
      <w:r>
        <w:rPr>
          <w:lang w:eastAsia="en-NZ" w:bidi="ar-SA"/>
        </w:rPr>
        <w:t xml:space="preserve">Jul–Dec 2020 </w:t>
      </w:r>
      <w:r>
        <w:rPr>
          <w:rFonts w:ascii="Calibri" w:hAnsi="Calibri"/>
          <w:szCs w:val="22"/>
          <w:lang w:eastAsia="en-NZ" w:bidi="ar-SA"/>
        </w:rPr>
        <w:t xml:space="preserve">and previous six-month periods. </w:t>
      </w:r>
    </w:p>
    <w:p w14:paraId="2FB4FB7F" w14:textId="77777777" w:rsidR="00EB4A22" w:rsidRDefault="00EB4A22" w:rsidP="00EB4A22">
      <w:pPr>
        <w:spacing w:after="120"/>
        <w:jc w:val="left"/>
        <w:rPr>
          <w:b/>
        </w:rPr>
      </w:pPr>
      <w:r>
        <w:rPr>
          <w:b/>
        </w:rPr>
        <w:t xml:space="preserve">Table 3. </w:t>
      </w:r>
      <w:r>
        <w:t>Rate of complaints received in the last five years</w:t>
      </w:r>
      <w:r>
        <w:rPr>
          <w:b/>
        </w:rPr>
        <w:t xml:space="preserve"> </w:t>
      </w:r>
    </w:p>
    <w:tbl>
      <w:tblPr>
        <w:tblStyle w:val="TableGrid"/>
        <w:tblpPr w:leftFromText="180" w:rightFromText="180" w:vertAnchor="text" w:horzAnchor="margin" w:tblpY="105"/>
        <w:tblW w:w="4900" w:type="pct"/>
        <w:tblLook w:val="04A0" w:firstRow="1" w:lastRow="0" w:firstColumn="1" w:lastColumn="0" w:noHBand="0" w:noVBand="1"/>
      </w:tblPr>
      <w:tblGrid>
        <w:gridCol w:w="1091"/>
        <w:gridCol w:w="673"/>
        <w:gridCol w:w="679"/>
        <w:gridCol w:w="677"/>
        <w:gridCol w:w="679"/>
        <w:gridCol w:w="679"/>
        <w:gridCol w:w="679"/>
        <w:gridCol w:w="680"/>
        <w:gridCol w:w="679"/>
        <w:gridCol w:w="680"/>
        <w:gridCol w:w="965"/>
        <w:gridCol w:w="675"/>
      </w:tblGrid>
      <w:tr w:rsidR="00EB4A22" w14:paraId="0B3B70CE" w14:textId="77777777" w:rsidTr="00B12430">
        <w:tc>
          <w:tcPr>
            <w:tcW w:w="617" w:type="pct"/>
            <w:tcBorders>
              <w:top w:val="single" w:sz="4" w:space="0" w:color="auto"/>
              <w:left w:val="single" w:sz="4" w:space="0" w:color="auto"/>
              <w:bottom w:val="single" w:sz="4" w:space="0" w:color="auto"/>
              <w:right w:val="single" w:sz="4" w:space="0" w:color="auto"/>
            </w:tcBorders>
            <w:vAlign w:val="center"/>
          </w:tcPr>
          <w:p w14:paraId="4D21055D" w14:textId="77777777" w:rsidR="00EB4A22" w:rsidRPr="00452AC3" w:rsidRDefault="00EB4A22" w:rsidP="00B12430">
            <w:pPr>
              <w:keepNext/>
              <w:keepLines/>
              <w:jc w:val="left"/>
              <w:rPr>
                <w:rFonts w:ascii="Calibri" w:hAnsi="Calibri"/>
                <w:b/>
                <w:szCs w:val="20"/>
              </w:rPr>
            </w:pPr>
          </w:p>
          <w:p w14:paraId="06D78C8B" w14:textId="77777777" w:rsidR="00EB4A22" w:rsidRPr="00452AC3" w:rsidRDefault="00EB4A22" w:rsidP="00B12430">
            <w:pPr>
              <w:keepNext/>
              <w:keepLines/>
              <w:jc w:val="left"/>
              <w:rPr>
                <w:rFonts w:ascii="Calibri" w:hAnsi="Calibri"/>
                <w:b/>
                <w:szCs w:val="20"/>
              </w:rPr>
            </w:pPr>
          </w:p>
        </w:tc>
        <w:tc>
          <w:tcPr>
            <w:tcW w:w="381" w:type="pct"/>
            <w:tcBorders>
              <w:top w:val="single" w:sz="4" w:space="0" w:color="auto"/>
              <w:left w:val="single" w:sz="4" w:space="0" w:color="auto"/>
              <w:bottom w:val="single" w:sz="4" w:space="0" w:color="auto"/>
              <w:right w:val="single" w:sz="4" w:space="0" w:color="auto"/>
            </w:tcBorders>
            <w:vAlign w:val="center"/>
            <w:hideMark/>
          </w:tcPr>
          <w:p w14:paraId="1637561D" w14:textId="77777777" w:rsidR="00EB4A22" w:rsidRPr="00452AC3" w:rsidRDefault="00EB4A22" w:rsidP="00B12430">
            <w:pPr>
              <w:keepNext/>
              <w:keepLines/>
              <w:jc w:val="center"/>
              <w:rPr>
                <w:rFonts w:ascii="Calibri" w:hAnsi="Calibri"/>
                <w:b/>
                <w:szCs w:val="20"/>
              </w:rPr>
            </w:pPr>
            <w:r w:rsidRPr="00452AC3">
              <w:rPr>
                <w:rFonts w:ascii="Calibri" w:hAnsi="Calibri"/>
                <w:b/>
                <w:szCs w:val="20"/>
              </w:rPr>
              <w:t xml:space="preserve">Jan–Jun </w:t>
            </w:r>
            <w:r w:rsidRPr="00452AC3">
              <w:rPr>
                <w:rFonts w:ascii="Calibri" w:hAnsi="Calibri"/>
                <w:b/>
                <w:szCs w:val="20"/>
              </w:rPr>
              <w:br/>
              <w:t>16</w:t>
            </w:r>
          </w:p>
        </w:tc>
        <w:tc>
          <w:tcPr>
            <w:tcW w:w="384" w:type="pct"/>
            <w:tcBorders>
              <w:top w:val="single" w:sz="4" w:space="0" w:color="auto"/>
              <w:left w:val="single" w:sz="4" w:space="0" w:color="auto"/>
              <w:bottom w:val="single" w:sz="4" w:space="0" w:color="auto"/>
              <w:right w:val="single" w:sz="4" w:space="0" w:color="auto"/>
            </w:tcBorders>
            <w:vAlign w:val="center"/>
            <w:hideMark/>
          </w:tcPr>
          <w:p w14:paraId="63EF510D" w14:textId="77777777" w:rsidR="00EB4A22" w:rsidRPr="00452AC3" w:rsidRDefault="00EB4A22" w:rsidP="00B12430">
            <w:pPr>
              <w:keepNext/>
              <w:keepLines/>
              <w:jc w:val="center"/>
              <w:rPr>
                <w:rFonts w:ascii="Calibri" w:hAnsi="Calibri"/>
                <w:b/>
                <w:szCs w:val="20"/>
              </w:rPr>
            </w:pPr>
            <w:r w:rsidRPr="00452AC3">
              <w:rPr>
                <w:rFonts w:ascii="Calibri" w:hAnsi="Calibri"/>
                <w:b/>
                <w:szCs w:val="20"/>
              </w:rPr>
              <w:t xml:space="preserve">Jul–Dec </w:t>
            </w:r>
            <w:r w:rsidRPr="00452AC3">
              <w:rPr>
                <w:rFonts w:ascii="Calibri" w:hAnsi="Calibri"/>
                <w:b/>
                <w:szCs w:val="20"/>
              </w:rPr>
              <w:br/>
              <w:t>16</w:t>
            </w:r>
          </w:p>
        </w:tc>
        <w:tc>
          <w:tcPr>
            <w:tcW w:w="383" w:type="pct"/>
            <w:tcBorders>
              <w:top w:val="single" w:sz="4" w:space="0" w:color="auto"/>
              <w:left w:val="single" w:sz="4" w:space="0" w:color="auto"/>
              <w:bottom w:val="single" w:sz="4" w:space="0" w:color="auto"/>
              <w:right w:val="single" w:sz="4" w:space="0" w:color="auto"/>
            </w:tcBorders>
            <w:hideMark/>
          </w:tcPr>
          <w:p w14:paraId="6F055A9A"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 xml:space="preserve">Jan–Jun </w:t>
            </w:r>
            <w:r w:rsidRPr="00452AC3">
              <w:rPr>
                <w:rFonts w:ascii="Calibri" w:hAnsi="Calibri"/>
                <w:b/>
                <w:szCs w:val="20"/>
              </w:rPr>
              <w:br/>
              <w:t>17</w:t>
            </w:r>
          </w:p>
        </w:tc>
        <w:tc>
          <w:tcPr>
            <w:tcW w:w="384" w:type="pct"/>
            <w:tcBorders>
              <w:top w:val="single" w:sz="4" w:space="0" w:color="auto"/>
              <w:left w:val="single" w:sz="4" w:space="0" w:color="auto"/>
              <w:bottom w:val="single" w:sz="4" w:space="0" w:color="auto"/>
              <w:right w:val="single" w:sz="4" w:space="0" w:color="auto"/>
            </w:tcBorders>
            <w:hideMark/>
          </w:tcPr>
          <w:p w14:paraId="3B71C1F4"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 xml:space="preserve">Jul–Dec </w:t>
            </w:r>
            <w:r w:rsidRPr="00452AC3">
              <w:rPr>
                <w:rFonts w:ascii="Calibri" w:hAnsi="Calibri"/>
                <w:b/>
                <w:szCs w:val="20"/>
              </w:rPr>
              <w:br/>
              <w:t>17</w:t>
            </w:r>
          </w:p>
        </w:tc>
        <w:tc>
          <w:tcPr>
            <w:tcW w:w="384" w:type="pct"/>
            <w:tcBorders>
              <w:top w:val="single" w:sz="4" w:space="0" w:color="auto"/>
              <w:left w:val="single" w:sz="4" w:space="0" w:color="auto"/>
              <w:bottom w:val="single" w:sz="4" w:space="0" w:color="auto"/>
              <w:right w:val="single" w:sz="4" w:space="0" w:color="auto"/>
            </w:tcBorders>
            <w:hideMark/>
          </w:tcPr>
          <w:p w14:paraId="162A78CC"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 xml:space="preserve">Jan–Jun </w:t>
            </w:r>
            <w:r w:rsidRPr="00452AC3">
              <w:rPr>
                <w:rFonts w:ascii="Calibri" w:hAnsi="Calibri"/>
                <w:b/>
                <w:szCs w:val="20"/>
              </w:rPr>
              <w:br/>
              <w:t>18</w:t>
            </w:r>
          </w:p>
        </w:tc>
        <w:tc>
          <w:tcPr>
            <w:tcW w:w="384" w:type="pct"/>
            <w:tcBorders>
              <w:top w:val="single" w:sz="4" w:space="0" w:color="auto"/>
              <w:left w:val="single" w:sz="4" w:space="0" w:color="auto"/>
              <w:bottom w:val="single" w:sz="4" w:space="0" w:color="auto"/>
              <w:right w:val="single" w:sz="4" w:space="0" w:color="auto"/>
            </w:tcBorders>
            <w:hideMark/>
          </w:tcPr>
          <w:p w14:paraId="7668E4B3"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 xml:space="preserve">Jul–Dec </w:t>
            </w:r>
            <w:r w:rsidRPr="00452AC3">
              <w:rPr>
                <w:rFonts w:ascii="Calibri" w:hAnsi="Calibri"/>
                <w:b/>
                <w:szCs w:val="20"/>
              </w:rPr>
              <w:br/>
              <w:t>18</w:t>
            </w:r>
          </w:p>
        </w:tc>
        <w:tc>
          <w:tcPr>
            <w:tcW w:w="385" w:type="pct"/>
            <w:tcBorders>
              <w:top w:val="single" w:sz="4" w:space="0" w:color="auto"/>
              <w:left w:val="single" w:sz="4" w:space="0" w:color="auto"/>
              <w:bottom w:val="single" w:sz="4" w:space="0" w:color="auto"/>
              <w:right w:val="single" w:sz="4" w:space="0" w:color="auto"/>
            </w:tcBorders>
            <w:hideMark/>
          </w:tcPr>
          <w:p w14:paraId="311AA8E1"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 xml:space="preserve">Jan–Jun </w:t>
            </w:r>
            <w:r w:rsidRPr="00452AC3">
              <w:rPr>
                <w:rFonts w:ascii="Calibri" w:hAnsi="Calibri"/>
                <w:b/>
                <w:szCs w:val="20"/>
              </w:rPr>
              <w:br/>
              <w:t>19</w:t>
            </w:r>
          </w:p>
        </w:tc>
        <w:tc>
          <w:tcPr>
            <w:tcW w:w="384" w:type="pct"/>
            <w:tcBorders>
              <w:top w:val="single" w:sz="4" w:space="0" w:color="auto"/>
              <w:left w:val="single" w:sz="4" w:space="0" w:color="auto"/>
              <w:bottom w:val="single" w:sz="4" w:space="0" w:color="auto"/>
              <w:right w:val="single" w:sz="4" w:space="0" w:color="auto"/>
            </w:tcBorders>
            <w:hideMark/>
          </w:tcPr>
          <w:p w14:paraId="66CD9155"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 xml:space="preserve">Jul–Dec </w:t>
            </w:r>
            <w:r w:rsidRPr="00452AC3">
              <w:rPr>
                <w:rFonts w:ascii="Calibri" w:hAnsi="Calibri"/>
                <w:b/>
                <w:szCs w:val="20"/>
              </w:rPr>
              <w:br/>
              <w:t>19</w:t>
            </w:r>
          </w:p>
        </w:tc>
        <w:tc>
          <w:tcPr>
            <w:tcW w:w="385" w:type="pct"/>
            <w:tcBorders>
              <w:top w:val="single" w:sz="4" w:space="0" w:color="auto"/>
              <w:left w:val="single" w:sz="4" w:space="0" w:color="auto"/>
              <w:bottom w:val="single" w:sz="4" w:space="0" w:color="auto"/>
              <w:right w:val="single" w:sz="4" w:space="0" w:color="auto"/>
            </w:tcBorders>
            <w:hideMark/>
          </w:tcPr>
          <w:p w14:paraId="774D62A9"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 xml:space="preserve">Jan–Jun </w:t>
            </w:r>
            <w:r w:rsidRPr="00452AC3">
              <w:rPr>
                <w:rFonts w:ascii="Calibri" w:hAnsi="Calibri"/>
                <w:b/>
                <w:szCs w:val="20"/>
              </w:rPr>
              <w:br/>
              <w:t>20</w:t>
            </w:r>
            <w:r w:rsidRPr="00452AC3">
              <w:rPr>
                <w:rStyle w:val="FootnoteReference"/>
                <w:rFonts w:ascii="Calibri" w:hAnsi="Calibri"/>
                <w:szCs w:val="20"/>
                <w:lang w:bidi="ar-SA"/>
              </w:rPr>
              <w:footnoteReference w:id="2"/>
            </w:r>
          </w:p>
        </w:tc>
        <w:tc>
          <w:tcPr>
            <w:tcW w:w="546" w:type="pct"/>
            <w:tcBorders>
              <w:top w:val="single" w:sz="4" w:space="0" w:color="auto"/>
              <w:left w:val="single" w:sz="4" w:space="0" w:color="auto"/>
              <w:bottom w:val="single" w:sz="4" w:space="0" w:color="auto"/>
              <w:right w:val="single" w:sz="4" w:space="0" w:color="auto"/>
            </w:tcBorders>
            <w:hideMark/>
          </w:tcPr>
          <w:p w14:paraId="6ECEE61A" w14:textId="423882E2" w:rsidR="00EB4A22" w:rsidRPr="00452AC3" w:rsidRDefault="00EB4A22" w:rsidP="00B12430">
            <w:pPr>
              <w:keepNext/>
              <w:keepLines/>
              <w:spacing w:before="120"/>
              <w:jc w:val="center"/>
              <w:rPr>
                <w:rFonts w:ascii="Calibri" w:hAnsi="Calibri"/>
                <w:b/>
                <w:szCs w:val="20"/>
              </w:rPr>
            </w:pPr>
            <w:r w:rsidRPr="00452AC3">
              <w:rPr>
                <w:rFonts w:ascii="Calibri" w:hAnsi="Calibri"/>
                <w:b/>
                <w:szCs w:val="20"/>
              </w:rPr>
              <w:t>Average of last 4</w:t>
            </w:r>
            <w:r w:rsidR="00B12430">
              <w:rPr>
                <w:rFonts w:ascii="Calibri" w:hAnsi="Calibri"/>
                <w:b/>
                <w:szCs w:val="20"/>
              </w:rPr>
              <w:t xml:space="preserve"> </w:t>
            </w:r>
          </w:p>
          <w:p w14:paraId="125E6544" w14:textId="77777777" w:rsidR="00EB4A22" w:rsidRPr="00452AC3" w:rsidRDefault="00EB4A22" w:rsidP="00B12430">
            <w:pPr>
              <w:keepNext/>
              <w:keepLines/>
              <w:jc w:val="center"/>
              <w:rPr>
                <w:rFonts w:ascii="Calibri" w:hAnsi="Calibri"/>
                <w:b/>
                <w:szCs w:val="20"/>
              </w:rPr>
            </w:pPr>
            <w:r w:rsidRPr="00452AC3">
              <w:rPr>
                <w:rFonts w:ascii="Calibri" w:hAnsi="Calibri"/>
                <w:b/>
                <w:szCs w:val="20"/>
              </w:rPr>
              <w:t>6-month periods</w:t>
            </w:r>
          </w:p>
        </w:tc>
        <w:tc>
          <w:tcPr>
            <w:tcW w:w="382" w:type="pct"/>
            <w:tcBorders>
              <w:top w:val="single" w:sz="4" w:space="0" w:color="auto"/>
              <w:left w:val="single" w:sz="4" w:space="0" w:color="auto"/>
              <w:bottom w:val="single" w:sz="4" w:space="0" w:color="auto"/>
              <w:right w:val="single" w:sz="4" w:space="0" w:color="auto"/>
            </w:tcBorders>
            <w:hideMark/>
          </w:tcPr>
          <w:p w14:paraId="4A5F91E2" w14:textId="77777777" w:rsidR="00EB4A22" w:rsidRPr="00452AC3" w:rsidRDefault="00EB4A22" w:rsidP="00B12430">
            <w:pPr>
              <w:keepNext/>
              <w:keepLines/>
              <w:spacing w:before="180"/>
              <w:jc w:val="center"/>
              <w:rPr>
                <w:rFonts w:ascii="Calibri" w:hAnsi="Calibri"/>
                <w:b/>
                <w:szCs w:val="20"/>
              </w:rPr>
            </w:pPr>
            <w:r w:rsidRPr="00452AC3">
              <w:rPr>
                <w:rFonts w:ascii="Calibri" w:hAnsi="Calibri"/>
                <w:b/>
                <w:szCs w:val="20"/>
              </w:rPr>
              <w:t>Jul–Dec</w:t>
            </w:r>
          </w:p>
          <w:p w14:paraId="4F6C5D13" w14:textId="77777777" w:rsidR="00EB4A22" w:rsidRPr="00452AC3" w:rsidRDefault="00EB4A22" w:rsidP="00B12430">
            <w:pPr>
              <w:keepNext/>
              <w:keepLines/>
              <w:jc w:val="center"/>
              <w:rPr>
                <w:rFonts w:ascii="Calibri" w:hAnsi="Calibri"/>
                <w:b/>
                <w:szCs w:val="20"/>
              </w:rPr>
            </w:pPr>
            <w:r w:rsidRPr="00452AC3">
              <w:rPr>
                <w:rFonts w:ascii="Calibri" w:hAnsi="Calibri"/>
                <w:b/>
                <w:szCs w:val="20"/>
              </w:rPr>
              <w:t>20</w:t>
            </w:r>
          </w:p>
        </w:tc>
      </w:tr>
      <w:tr w:rsidR="00EB4A22" w14:paraId="6B860245" w14:textId="77777777" w:rsidTr="00B12430">
        <w:tc>
          <w:tcPr>
            <w:tcW w:w="617" w:type="pct"/>
            <w:tcBorders>
              <w:top w:val="single" w:sz="4" w:space="0" w:color="auto"/>
              <w:left w:val="single" w:sz="4" w:space="0" w:color="auto"/>
              <w:bottom w:val="single" w:sz="4" w:space="0" w:color="auto"/>
              <w:right w:val="single" w:sz="4" w:space="0" w:color="auto"/>
            </w:tcBorders>
            <w:vAlign w:val="center"/>
            <w:hideMark/>
          </w:tcPr>
          <w:p w14:paraId="02634C95" w14:textId="77777777" w:rsidR="00EB4A22" w:rsidRPr="00452AC3" w:rsidRDefault="00EB4A22" w:rsidP="00B12430">
            <w:pPr>
              <w:keepNext/>
              <w:keepLines/>
              <w:spacing w:after="40"/>
              <w:jc w:val="left"/>
              <w:rPr>
                <w:rFonts w:ascii="Calibri" w:hAnsi="Calibri"/>
                <w:b/>
                <w:szCs w:val="20"/>
              </w:rPr>
            </w:pPr>
            <w:r w:rsidRPr="00452AC3">
              <w:rPr>
                <w:rFonts w:ascii="Calibri" w:hAnsi="Calibri"/>
                <w:b/>
                <w:szCs w:val="20"/>
              </w:rPr>
              <w:t>Rate per 100,000 discharges</w:t>
            </w:r>
          </w:p>
        </w:tc>
        <w:tc>
          <w:tcPr>
            <w:tcW w:w="381" w:type="pct"/>
            <w:tcBorders>
              <w:top w:val="single" w:sz="4" w:space="0" w:color="auto"/>
              <w:left w:val="single" w:sz="4" w:space="0" w:color="auto"/>
              <w:bottom w:val="single" w:sz="4" w:space="0" w:color="auto"/>
              <w:right w:val="single" w:sz="4" w:space="0" w:color="auto"/>
            </w:tcBorders>
            <w:vAlign w:val="center"/>
            <w:hideMark/>
          </w:tcPr>
          <w:p w14:paraId="367D9705" w14:textId="77777777" w:rsidR="00EB4A22" w:rsidRPr="00452AC3" w:rsidRDefault="00EB4A22" w:rsidP="00B12430">
            <w:pPr>
              <w:keepNext/>
              <w:keepLines/>
              <w:jc w:val="center"/>
              <w:rPr>
                <w:rFonts w:ascii="Calibri" w:hAnsi="Calibri"/>
                <w:szCs w:val="20"/>
              </w:rPr>
            </w:pPr>
            <w:r w:rsidRPr="00452AC3">
              <w:rPr>
                <w:rFonts w:ascii="Calibri" w:hAnsi="Calibri"/>
                <w:szCs w:val="20"/>
              </w:rPr>
              <w:t>81.44</w:t>
            </w:r>
          </w:p>
        </w:tc>
        <w:tc>
          <w:tcPr>
            <w:tcW w:w="384" w:type="pct"/>
            <w:tcBorders>
              <w:top w:val="single" w:sz="4" w:space="0" w:color="auto"/>
              <w:left w:val="single" w:sz="4" w:space="0" w:color="auto"/>
              <w:bottom w:val="single" w:sz="4" w:space="0" w:color="auto"/>
              <w:right w:val="single" w:sz="4" w:space="0" w:color="auto"/>
            </w:tcBorders>
            <w:vAlign w:val="center"/>
            <w:hideMark/>
          </w:tcPr>
          <w:p w14:paraId="0B1758B7" w14:textId="77777777" w:rsidR="00EB4A22" w:rsidRPr="00452AC3" w:rsidRDefault="00EB4A22" w:rsidP="00B12430">
            <w:pPr>
              <w:keepNext/>
              <w:keepLines/>
              <w:jc w:val="center"/>
              <w:rPr>
                <w:rFonts w:ascii="Calibri" w:hAnsi="Calibri"/>
                <w:szCs w:val="20"/>
              </w:rPr>
            </w:pPr>
            <w:r w:rsidRPr="00452AC3">
              <w:rPr>
                <w:rFonts w:ascii="Calibri" w:hAnsi="Calibri"/>
                <w:szCs w:val="20"/>
              </w:rPr>
              <w:t>78.79</w:t>
            </w:r>
          </w:p>
        </w:tc>
        <w:tc>
          <w:tcPr>
            <w:tcW w:w="383" w:type="pct"/>
            <w:tcBorders>
              <w:top w:val="single" w:sz="4" w:space="0" w:color="auto"/>
              <w:left w:val="single" w:sz="4" w:space="0" w:color="auto"/>
              <w:bottom w:val="single" w:sz="4" w:space="0" w:color="auto"/>
              <w:right w:val="single" w:sz="4" w:space="0" w:color="auto"/>
            </w:tcBorders>
            <w:vAlign w:val="center"/>
            <w:hideMark/>
          </w:tcPr>
          <w:p w14:paraId="19B309F3" w14:textId="77777777" w:rsidR="00EB4A22" w:rsidRPr="00452AC3" w:rsidRDefault="00EB4A22" w:rsidP="00B12430">
            <w:pPr>
              <w:keepNext/>
              <w:keepLines/>
              <w:jc w:val="center"/>
              <w:rPr>
                <w:rFonts w:ascii="Calibri" w:hAnsi="Calibri"/>
                <w:szCs w:val="20"/>
              </w:rPr>
            </w:pPr>
            <w:r w:rsidRPr="00452AC3">
              <w:rPr>
                <w:rFonts w:ascii="Calibri" w:hAnsi="Calibri"/>
                <w:szCs w:val="20"/>
              </w:rPr>
              <w:t>99.08</w:t>
            </w:r>
          </w:p>
        </w:tc>
        <w:tc>
          <w:tcPr>
            <w:tcW w:w="384" w:type="pct"/>
            <w:tcBorders>
              <w:top w:val="single" w:sz="4" w:space="0" w:color="auto"/>
              <w:left w:val="single" w:sz="4" w:space="0" w:color="auto"/>
              <w:bottom w:val="single" w:sz="4" w:space="0" w:color="auto"/>
              <w:right w:val="single" w:sz="4" w:space="0" w:color="auto"/>
            </w:tcBorders>
            <w:vAlign w:val="center"/>
            <w:hideMark/>
          </w:tcPr>
          <w:p w14:paraId="04915BDD" w14:textId="77777777" w:rsidR="00EB4A22" w:rsidRPr="00452AC3" w:rsidRDefault="00EB4A22" w:rsidP="00B12430">
            <w:pPr>
              <w:keepNext/>
              <w:keepLines/>
              <w:jc w:val="center"/>
              <w:rPr>
                <w:rFonts w:ascii="Calibri" w:hAnsi="Calibri"/>
                <w:szCs w:val="20"/>
              </w:rPr>
            </w:pPr>
            <w:r w:rsidRPr="00452AC3">
              <w:rPr>
                <w:rFonts w:ascii="Calibri" w:hAnsi="Calibri"/>
                <w:szCs w:val="20"/>
              </w:rPr>
              <w:t>88.23</w:t>
            </w:r>
          </w:p>
        </w:tc>
        <w:tc>
          <w:tcPr>
            <w:tcW w:w="384" w:type="pct"/>
            <w:tcBorders>
              <w:top w:val="single" w:sz="4" w:space="0" w:color="auto"/>
              <w:left w:val="single" w:sz="4" w:space="0" w:color="auto"/>
              <w:bottom w:val="single" w:sz="4" w:space="0" w:color="auto"/>
              <w:right w:val="single" w:sz="4" w:space="0" w:color="auto"/>
            </w:tcBorders>
            <w:vAlign w:val="center"/>
            <w:hideMark/>
          </w:tcPr>
          <w:p w14:paraId="577DE3AF" w14:textId="77777777" w:rsidR="00EB4A22" w:rsidRPr="00452AC3" w:rsidRDefault="00EB4A22" w:rsidP="00B12430">
            <w:pPr>
              <w:keepNext/>
              <w:keepLines/>
              <w:jc w:val="center"/>
              <w:rPr>
                <w:rFonts w:ascii="Calibri" w:hAnsi="Calibri"/>
                <w:szCs w:val="20"/>
              </w:rPr>
            </w:pPr>
            <w:r w:rsidRPr="00452AC3">
              <w:rPr>
                <w:rFonts w:ascii="Calibri" w:hAnsi="Calibri"/>
                <w:szCs w:val="20"/>
              </w:rPr>
              <w:t>93.80</w:t>
            </w:r>
          </w:p>
        </w:tc>
        <w:tc>
          <w:tcPr>
            <w:tcW w:w="384" w:type="pct"/>
            <w:tcBorders>
              <w:top w:val="single" w:sz="4" w:space="0" w:color="auto"/>
              <w:left w:val="single" w:sz="4" w:space="0" w:color="auto"/>
              <w:bottom w:val="single" w:sz="4" w:space="0" w:color="auto"/>
              <w:right w:val="single" w:sz="4" w:space="0" w:color="auto"/>
            </w:tcBorders>
            <w:vAlign w:val="center"/>
            <w:hideMark/>
          </w:tcPr>
          <w:p w14:paraId="13948579" w14:textId="77777777" w:rsidR="00EB4A22" w:rsidRPr="00452AC3" w:rsidRDefault="00EB4A22" w:rsidP="00B12430">
            <w:pPr>
              <w:keepNext/>
              <w:keepLines/>
              <w:jc w:val="center"/>
              <w:rPr>
                <w:rFonts w:ascii="Calibri" w:hAnsi="Calibri"/>
                <w:szCs w:val="20"/>
              </w:rPr>
            </w:pPr>
            <w:r w:rsidRPr="00452AC3">
              <w:rPr>
                <w:rFonts w:ascii="Calibri" w:hAnsi="Calibri"/>
                <w:szCs w:val="20"/>
              </w:rPr>
              <w:t>88.47</w:t>
            </w:r>
          </w:p>
        </w:tc>
        <w:tc>
          <w:tcPr>
            <w:tcW w:w="385" w:type="pct"/>
            <w:tcBorders>
              <w:top w:val="single" w:sz="4" w:space="0" w:color="auto"/>
              <w:left w:val="single" w:sz="4" w:space="0" w:color="auto"/>
              <w:bottom w:val="single" w:sz="4" w:space="0" w:color="auto"/>
              <w:right w:val="single" w:sz="4" w:space="0" w:color="auto"/>
            </w:tcBorders>
            <w:vAlign w:val="center"/>
            <w:hideMark/>
          </w:tcPr>
          <w:p w14:paraId="43D11EB7" w14:textId="77777777" w:rsidR="00EB4A22" w:rsidRPr="00452AC3" w:rsidRDefault="00EB4A22" w:rsidP="00B12430">
            <w:pPr>
              <w:keepNext/>
              <w:keepLines/>
              <w:jc w:val="center"/>
              <w:rPr>
                <w:rFonts w:ascii="Calibri" w:hAnsi="Calibri"/>
                <w:szCs w:val="20"/>
              </w:rPr>
            </w:pPr>
            <w:r w:rsidRPr="00452AC3">
              <w:rPr>
                <w:rFonts w:ascii="Calibri" w:hAnsi="Calibri"/>
                <w:szCs w:val="20"/>
              </w:rPr>
              <w:t>87.97</w:t>
            </w:r>
          </w:p>
        </w:tc>
        <w:tc>
          <w:tcPr>
            <w:tcW w:w="384" w:type="pct"/>
            <w:tcBorders>
              <w:top w:val="single" w:sz="4" w:space="0" w:color="auto"/>
              <w:left w:val="single" w:sz="4" w:space="0" w:color="auto"/>
              <w:bottom w:val="single" w:sz="4" w:space="0" w:color="auto"/>
              <w:right w:val="single" w:sz="4" w:space="0" w:color="auto"/>
            </w:tcBorders>
            <w:vAlign w:val="center"/>
            <w:hideMark/>
          </w:tcPr>
          <w:p w14:paraId="48942F51" w14:textId="77777777" w:rsidR="00EB4A22" w:rsidRPr="00452AC3" w:rsidRDefault="00EB4A22" w:rsidP="00B12430">
            <w:pPr>
              <w:keepNext/>
              <w:keepLines/>
              <w:jc w:val="center"/>
              <w:rPr>
                <w:rFonts w:ascii="Calibri" w:hAnsi="Calibri"/>
                <w:szCs w:val="20"/>
              </w:rPr>
            </w:pPr>
            <w:r w:rsidRPr="00452AC3">
              <w:rPr>
                <w:rFonts w:ascii="Calibri" w:hAnsi="Calibri"/>
                <w:szCs w:val="20"/>
              </w:rPr>
              <w:t>92.92</w:t>
            </w:r>
          </w:p>
        </w:tc>
        <w:tc>
          <w:tcPr>
            <w:tcW w:w="385" w:type="pct"/>
            <w:tcBorders>
              <w:top w:val="single" w:sz="4" w:space="0" w:color="auto"/>
              <w:left w:val="single" w:sz="4" w:space="0" w:color="auto"/>
              <w:bottom w:val="single" w:sz="4" w:space="0" w:color="auto"/>
              <w:right w:val="single" w:sz="4" w:space="0" w:color="auto"/>
            </w:tcBorders>
            <w:vAlign w:val="center"/>
            <w:hideMark/>
          </w:tcPr>
          <w:p w14:paraId="77E81249" w14:textId="77777777" w:rsidR="00EB4A22" w:rsidRPr="00452AC3" w:rsidRDefault="00EB4A22" w:rsidP="00B12430">
            <w:pPr>
              <w:keepNext/>
              <w:keepLines/>
              <w:jc w:val="center"/>
              <w:rPr>
                <w:rFonts w:ascii="Calibri" w:hAnsi="Calibri"/>
                <w:szCs w:val="20"/>
              </w:rPr>
            </w:pPr>
            <w:r w:rsidRPr="00452AC3">
              <w:rPr>
                <w:rFonts w:ascii="Calibri" w:hAnsi="Calibri"/>
                <w:szCs w:val="20"/>
              </w:rPr>
              <w:t>90.35</w:t>
            </w:r>
          </w:p>
        </w:tc>
        <w:tc>
          <w:tcPr>
            <w:tcW w:w="546" w:type="pct"/>
            <w:tcBorders>
              <w:top w:val="single" w:sz="4" w:space="0" w:color="auto"/>
              <w:left w:val="single" w:sz="4" w:space="0" w:color="auto"/>
              <w:bottom w:val="single" w:sz="4" w:space="0" w:color="auto"/>
              <w:right w:val="single" w:sz="4" w:space="0" w:color="auto"/>
            </w:tcBorders>
            <w:vAlign w:val="center"/>
            <w:hideMark/>
          </w:tcPr>
          <w:p w14:paraId="1D126EE3" w14:textId="77777777" w:rsidR="00EB4A22" w:rsidRPr="00452AC3" w:rsidRDefault="00EB4A22" w:rsidP="00B12430">
            <w:pPr>
              <w:keepNext/>
              <w:keepLines/>
              <w:jc w:val="center"/>
              <w:rPr>
                <w:rFonts w:ascii="Calibri" w:hAnsi="Calibri"/>
                <w:b/>
                <w:szCs w:val="20"/>
              </w:rPr>
            </w:pPr>
            <w:r w:rsidRPr="00452AC3">
              <w:rPr>
                <w:rFonts w:ascii="Calibri" w:hAnsi="Calibri"/>
                <w:b/>
                <w:szCs w:val="20"/>
              </w:rPr>
              <w:t>89.93</w:t>
            </w:r>
          </w:p>
        </w:tc>
        <w:tc>
          <w:tcPr>
            <w:tcW w:w="382" w:type="pct"/>
            <w:tcBorders>
              <w:top w:val="single" w:sz="4" w:space="0" w:color="auto"/>
              <w:left w:val="single" w:sz="4" w:space="0" w:color="auto"/>
              <w:bottom w:val="single" w:sz="4" w:space="0" w:color="auto"/>
              <w:right w:val="single" w:sz="4" w:space="0" w:color="auto"/>
            </w:tcBorders>
            <w:vAlign w:val="center"/>
            <w:hideMark/>
          </w:tcPr>
          <w:p w14:paraId="6734B163" w14:textId="77777777" w:rsidR="00EB4A22" w:rsidRPr="00452AC3" w:rsidRDefault="00EB4A22" w:rsidP="00B12430">
            <w:pPr>
              <w:keepNext/>
              <w:keepLines/>
              <w:jc w:val="center"/>
              <w:rPr>
                <w:rFonts w:ascii="Calibri" w:hAnsi="Calibri"/>
                <w:b/>
                <w:szCs w:val="20"/>
              </w:rPr>
            </w:pPr>
            <w:r w:rsidRPr="00452AC3">
              <w:rPr>
                <w:rFonts w:ascii="Calibri" w:hAnsi="Calibri"/>
                <w:b/>
                <w:szCs w:val="20"/>
              </w:rPr>
              <w:t>92.00</w:t>
            </w:r>
          </w:p>
        </w:tc>
      </w:tr>
    </w:tbl>
    <w:p w14:paraId="0F121312" w14:textId="77777777" w:rsidR="00EB4A22" w:rsidRDefault="00EB4A22" w:rsidP="00EB4A22">
      <w:pPr>
        <w:spacing w:before="480"/>
      </w:pPr>
      <w:r>
        <w:rPr>
          <w:lang w:eastAsia="en-NZ" w:bidi="ar-SA"/>
        </w:rPr>
        <w:t>The rate of complaints received during Jul–Dec 2020 (92.00) is very similar to the</w:t>
      </w:r>
      <w:r>
        <w:t xml:space="preserve"> average rate of complaints received for the previous four periods.</w:t>
      </w:r>
    </w:p>
    <w:p w14:paraId="437252B6" w14:textId="77777777" w:rsidR="00EB4A22" w:rsidRDefault="00EB4A22" w:rsidP="00EB4A22">
      <w:pPr>
        <w:jc w:val="left"/>
        <w:rPr>
          <w:rFonts w:ascii="Calibri" w:hAnsi="Calibri"/>
          <w:szCs w:val="22"/>
        </w:rPr>
      </w:pPr>
      <w:r>
        <w:rPr>
          <w:lang w:eastAsia="en-NZ" w:bidi="ar-SA"/>
        </w:rPr>
        <w:br/>
      </w:r>
      <w:r>
        <w:rPr>
          <w:rFonts w:ascii="Calibri" w:hAnsi="Calibri"/>
          <w:szCs w:val="22"/>
        </w:rPr>
        <w:t>Table 4 shows the number and rate of complaints received by HDC for each DHB.</w:t>
      </w:r>
      <w:r w:rsidRPr="003E5338">
        <w:rPr>
          <w:rStyle w:val="FootnoteReference"/>
        </w:rPr>
        <w:footnoteReference w:id="3"/>
      </w:r>
    </w:p>
    <w:p w14:paraId="13DBDA4D" w14:textId="77777777" w:rsidR="00EB4A22" w:rsidRDefault="00EB4A22" w:rsidP="00EB4A22">
      <w:pPr>
        <w:jc w:val="left"/>
        <w:rPr>
          <w:rFonts w:ascii="Calibri" w:hAnsi="Calibri"/>
          <w:szCs w:val="22"/>
        </w:rPr>
      </w:pPr>
    </w:p>
    <w:p w14:paraId="745268B4" w14:textId="77777777" w:rsidR="00EB4A22" w:rsidRDefault="00EB4A22" w:rsidP="00EB4A22">
      <w:pPr>
        <w:jc w:val="left"/>
        <w:rPr>
          <w:rFonts w:ascii="Calibri" w:hAnsi="Calibri"/>
          <w:szCs w:val="22"/>
        </w:rPr>
      </w:pPr>
    </w:p>
    <w:p w14:paraId="1887AC17" w14:textId="77777777" w:rsidR="00EB4A22" w:rsidRDefault="00EB4A22" w:rsidP="00EB4A22">
      <w:pPr>
        <w:jc w:val="left"/>
        <w:rPr>
          <w:rFonts w:ascii="Calibri" w:hAnsi="Calibri"/>
          <w:szCs w:val="22"/>
        </w:rPr>
      </w:pPr>
    </w:p>
    <w:p w14:paraId="27E1BB02" w14:textId="77777777" w:rsidR="00EB4A22" w:rsidRDefault="00EB4A22" w:rsidP="00EB4A22">
      <w:pPr>
        <w:jc w:val="left"/>
        <w:rPr>
          <w:rFonts w:ascii="Calibri" w:hAnsi="Calibri"/>
          <w:szCs w:val="22"/>
        </w:rPr>
      </w:pPr>
    </w:p>
    <w:p w14:paraId="19D00E9A" w14:textId="77777777" w:rsidR="00EB4A22" w:rsidRDefault="00EB4A22" w:rsidP="00EB4A22">
      <w:pPr>
        <w:jc w:val="left"/>
        <w:rPr>
          <w:rFonts w:ascii="Calibri" w:hAnsi="Calibri"/>
          <w:szCs w:val="22"/>
        </w:rPr>
      </w:pPr>
    </w:p>
    <w:p w14:paraId="5DCCD960" w14:textId="77777777" w:rsidR="00EB4A22" w:rsidRDefault="00EB4A22" w:rsidP="00EB4A22">
      <w:pPr>
        <w:jc w:val="left"/>
        <w:rPr>
          <w:rFonts w:ascii="Calibri" w:hAnsi="Calibri"/>
          <w:szCs w:val="22"/>
        </w:rPr>
      </w:pPr>
    </w:p>
    <w:p w14:paraId="16BC10E5" w14:textId="77777777" w:rsidR="00EB4A22" w:rsidRDefault="00EB4A22" w:rsidP="00EB4A22">
      <w:pPr>
        <w:jc w:val="left"/>
        <w:rPr>
          <w:rFonts w:ascii="Calibri" w:hAnsi="Calibri"/>
          <w:szCs w:val="22"/>
        </w:rPr>
      </w:pPr>
    </w:p>
    <w:p w14:paraId="47E0CC93" w14:textId="77777777" w:rsidR="00EB4A22" w:rsidRDefault="00EB4A22" w:rsidP="00EB4A22">
      <w:pPr>
        <w:jc w:val="left"/>
        <w:rPr>
          <w:rFonts w:ascii="Calibri" w:hAnsi="Calibri"/>
          <w:szCs w:val="22"/>
        </w:rPr>
      </w:pPr>
    </w:p>
    <w:p w14:paraId="161503C3" w14:textId="77777777" w:rsidR="00EB4A22" w:rsidRDefault="00EB4A22" w:rsidP="00EB4A22">
      <w:pPr>
        <w:jc w:val="left"/>
        <w:rPr>
          <w:rFonts w:ascii="Calibri" w:hAnsi="Calibri"/>
          <w:szCs w:val="22"/>
        </w:rPr>
      </w:pPr>
    </w:p>
    <w:p w14:paraId="3F3E19F2" w14:textId="77777777" w:rsidR="00EB4A22" w:rsidRDefault="00EB4A22" w:rsidP="00EB4A22">
      <w:pPr>
        <w:jc w:val="left"/>
        <w:rPr>
          <w:rFonts w:ascii="Calibri" w:hAnsi="Calibri"/>
          <w:szCs w:val="22"/>
        </w:rPr>
      </w:pPr>
    </w:p>
    <w:p w14:paraId="4C76250A" w14:textId="77777777" w:rsidR="00EB4A22" w:rsidRDefault="00EB4A22" w:rsidP="00EB4A22">
      <w:pPr>
        <w:jc w:val="left"/>
        <w:rPr>
          <w:rFonts w:ascii="Calibri" w:hAnsi="Calibri"/>
          <w:szCs w:val="22"/>
        </w:rPr>
      </w:pPr>
    </w:p>
    <w:p w14:paraId="6B77DF73" w14:textId="77777777" w:rsidR="00EB4A22" w:rsidRDefault="00EB4A22" w:rsidP="00EB4A22">
      <w:pPr>
        <w:jc w:val="left"/>
        <w:rPr>
          <w:rFonts w:ascii="Calibri" w:hAnsi="Calibri"/>
          <w:szCs w:val="22"/>
        </w:rPr>
      </w:pPr>
    </w:p>
    <w:p w14:paraId="70C4316A" w14:textId="77777777" w:rsidR="00EB4A22" w:rsidRPr="00D56B74" w:rsidRDefault="00EB4A22" w:rsidP="00EB4A22">
      <w:pPr>
        <w:jc w:val="left"/>
        <w:rPr>
          <w:rFonts w:ascii="Calibri" w:hAnsi="Calibri"/>
          <w:szCs w:val="22"/>
        </w:rPr>
      </w:pPr>
    </w:p>
    <w:p w14:paraId="31A8AC6A" w14:textId="77777777" w:rsidR="00EB4A22" w:rsidRDefault="00EB4A22" w:rsidP="00EB4A22">
      <w:pPr>
        <w:keepNext/>
        <w:keepLines/>
        <w:spacing w:after="120"/>
        <w:rPr>
          <w:szCs w:val="22"/>
        </w:rPr>
      </w:pPr>
      <w:r w:rsidRPr="00C97276">
        <w:rPr>
          <w:b/>
          <w:szCs w:val="22"/>
        </w:rPr>
        <w:t>Table 4.</w:t>
      </w:r>
      <w:r w:rsidRPr="00C97276">
        <w:rPr>
          <w:szCs w:val="22"/>
        </w:rPr>
        <w:t xml:space="preserve"> Number </w:t>
      </w:r>
      <w:r>
        <w:rPr>
          <w:szCs w:val="22"/>
        </w:rPr>
        <w:t xml:space="preserve">and </w:t>
      </w:r>
      <w:r w:rsidRPr="00C97276">
        <w:rPr>
          <w:szCs w:val="22"/>
        </w:rPr>
        <w:t>rate of complai</w:t>
      </w:r>
      <w:r>
        <w:rPr>
          <w:szCs w:val="22"/>
        </w:rPr>
        <w:t>nts received for each DHB in Jul–Dec 2020</w:t>
      </w:r>
    </w:p>
    <w:tbl>
      <w:tblPr>
        <w:tblStyle w:val="TableGrid"/>
        <w:tblW w:w="0" w:type="auto"/>
        <w:tblLook w:val="04A0" w:firstRow="1" w:lastRow="0" w:firstColumn="1" w:lastColumn="0" w:noHBand="0" w:noVBand="1"/>
      </w:tblPr>
      <w:tblGrid>
        <w:gridCol w:w="2261"/>
        <w:gridCol w:w="2252"/>
        <w:gridCol w:w="2250"/>
        <w:gridCol w:w="2253"/>
      </w:tblGrid>
      <w:tr w:rsidR="00EB4A22" w:rsidRPr="00D12A0D" w14:paraId="70519FFB" w14:textId="77777777" w:rsidTr="00B12430">
        <w:tc>
          <w:tcPr>
            <w:tcW w:w="2261" w:type="dxa"/>
            <w:tcBorders>
              <w:top w:val="single" w:sz="4" w:space="0" w:color="auto"/>
              <w:left w:val="single" w:sz="4" w:space="0" w:color="auto"/>
              <w:bottom w:val="single" w:sz="4" w:space="0" w:color="auto"/>
              <w:right w:val="single" w:sz="4" w:space="0" w:color="auto"/>
            </w:tcBorders>
            <w:shd w:val="clear" w:color="auto" w:fill="C00000"/>
            <w:hideMark/>
          </w:tcPr>
          <w:p w14:paraId="2EEB308E" w14:textId="77777777" w:rsidR="00EB4A22" w:rsidRPr="00EB4A22" w:rsidRDefault="00EB4A22" w:rsidP="00B12430">
            <w:pPr>
              <w:keepNext/>
              <w:keepLines/>
              <w:spacing w:after="120"/>
              <w:jc w:val="center"/>
              <w:rPr>
                <w:rFonts w:asciiTheme="minorHAnsi" w:hAnsiTheme="minorHAnsi"/>
                <w:b/>
                <w:sz w:val="22"/>
                <w:szCs w:val="22"/>
              </w:rPr>
            </w:pPr>
            <w:r w:rsidRPr="00EB4A22">
              <w:rPr>
                <w:rFonts w:asciiTheme="minorHAnsi" w:hAnsiTheme="minorHAnsi"/>
                <w:b/>
                <w:sz w:val="22"/>
                <w:szCs w:val="22"/>
              </w:rPr>
              <w:t>DHB</w:t>
            </w:r>
          </w:p>
        </w:tc>
        <w:tc>
          <w:tcPr>
            <w:tcW w:w="2252" w:type="dxa"/>
            <w:tcBorders>
              <w:top w:val="single" w:sz="4" w:space="0" w:color="auto"/>
              <w:left w:val="single" w:sz="4" w:space="0" w:color="auto"/>
              <w:bottom w:val="single" w:sz="4" w:space="0" w:color="auto"/>
              <w:right w:val="single" w:sz="4" w:space="0" w:color="auto"/>
            </w:tcBorders>
            <w:shd w:val="clear" w:color="auto" w:fill="C00000"/>
            <w:hideMark/>
          </w:tcPr>
          <w:p w14:paraId="0FB28D75" w14:textId="77777777" w:rsidR="00EB4A22" w:rsidRPr="00EB4A22" w:rsidRDefault="00EB4A22" w:rsidP="00B12430">
            <w:pPr>
              <w:keepNext/>
              <w:keepLines/>
              <w:spacing w:after="120"/>
              <w:jc w:val="center"/>
              <w:rPr>
                <w:rFonts w:asciiTheme="minorHAnsi" w:hAnsiTheme="minorHAnsi"/>
                <w:b/>
                <w:sz w:val="22"/>
                <w:szCs w:val="22"/>
              </w:rPr>
            </w:pPr>
            <w:r w:rsidRPr="00EB4A22">
              <w:rPr>
                <w:rFonts w:asciiTheme="minorHAnsi" w:hAnsiTheme="minorHAnsi"/>
                <w:b/>
                <w:sz w:val="22"/>
                <w:szCs w:val="22"/>
              </w:rPr>
              <w:t>Number of complaints received</w:t>
            </w:r>
          </w:p>
        </w:tc>
        <w:tc>
          <w:tcPr>
            <w:tcW w:w="2250" w:type="dxa"/>
            <w:tcBorders>
              <w:top w:val="single" w:sz="4" w:space="0" w:color="auto"/>
              <w:left w:val="single" w:sz="4" w:space="0" w:color="auto"/>
              <w:bottom w:val="single" w:sz="4" w:space="0" w:color="auto"/>
              <w:right w:val="single" w:sz="4" w:space="0" w:color="auto"/>
            </w:tcBorders>
            <w:shd w:val="clear" w:color="auto" w:fill="C00000"/>
            <w:hideMark/>
          </w:tcPr>
          <w:p w14:paraId="4FE97B20" w14:textId="77777777" w:rsidR="00EB4A22" w:rsidRPr="00EB4A22" w:rsidRDefault="00EB4A22" w:rsidP="00B12430">
            <w:pPr>
              <w:keepNext/>
              <w:keepLines/>
              <w:spacing w:after="120"/>
              <w:jc w:val="center"/>
              <w:rPr>
                <w:rFonts w:asciiTheme="minorHAnsi" w:hAnsiTheme="minorHAnsi"/>
                <w:b/>
                <w:sz w:val="22"/>
                <w:szCs w:val="22"/>
              </w:rPr>
            </w:pPr>
            <w:r w:rsidRPr="00EB4A22">
              <w:rPr>
                <w:rFonts w:asciiTheme="minorHAnsi" w:hAnsiTheme="minorHAnsi"/>
                <w:b/>
                <w:sz w:val="22"/>
                <w:szCs w:val="22"/>
              </w:rPr>
              <w:t>Number of discharges</w:t>
            </w:r>
          </w:p>
        </w:tc>
        <w:tc>
          <w:tcPr>
            <w:tcW w:w="2253" w:type="dxa"/>
            <w:tcBorders>
              <w:top w:val="single" w:sz="4" w:space="0" w:color="auto"/>
              <w:left w:val="single" w:sz="4" w:space="0" w:color="auto"/>
              <w:bottom w:val="single" w:sz="4" w:space="0" w:color="auto"/>
              <w:right w:val="single" w:sz="4" w:space="0" w:color="auto"/>
            </w:tcBorders>
            <w:shd w:val="clear" w:color="auto" w:fill="C00000"/>
            <w:hideMark/>
          </w:tcPr>
          <w:p w14:paraId="4B254840" w14:textId="77777777" w:rsidR="00EB4A22" w:rsidRPr="00EB4A22" w:rsidRDefault="00EB4A22" w:rsidP="00B12430">
            <w:pPr>
              <w:keepNext/>
              <w:keepLines/>
              <w:spacing w:after="120"/>
              <w:jc w:val="center"/>
              <w:rPr>
                <w:rFonts w:asciiTheme="minorHAnsi" w:hAnsiTheme="minorHAnsi"/>
                <w:b/>
                <w:sz w:val="22"/>
                <w:szCs w:val="22"/>
              </w:rPr>
            </w:pPr>
            <w:r w:rsidRPr="00EB4A22">
              <w:rPr>
                <w:rFonts w:asciiTheme="minorHAnsi" w:hAnsiTheme="minorHAnsi"/>
                <w:b/>
                <w:sz w:val="22"/>
                <w:szCs w:val="22"/>
              </w:rPr>
              <w:t>Rate of complaints to HDC per 100,000 discharges</w:t>
            </w:r>
          </w:p>
        </w:tc>
      </w:tr>
      <w:tr w:rsidR="00EB4A22" w:rsidRPr="00D12A0D" w14:paraId="354E3F19"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06734D22"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Auckland</w:t>
            </w:r>
          </w:p>
        </w:tc>
        <w:tc>
          <w:tcPr>
            <w:tcW w:w="2252" w:type="dxa"/>
            <w:tcBorders>
              <w:top w:val="single" w:sz="4" w:space="0" w:color="auto"/>
              <w:left w:val="single" w:sz="4" w:space="0" w:color="auto"/>
              <w:bottom w:val="single" w:sz="4" w:space="0" w:color="auto"/>
              <w:right w:val="single" w:sz="4" w:space="0" w:color="auto"/>
            </w:tcBorders>
            <w:vAlign w:val="bottom"/>
          </w:tcPr>
          <w:p w14:paraId="1062C907"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82</w:t>
            </w:r>
          </w:p>
        </w:tc>
        <w:tc>
          <w:tcPr>
            <w:tcW w:w="2250" w:type="dxa"/>
            <w:tcBorders>
              <w:top w:val="single" w:sz="4" w:space="0" w:color="auto"/>
              <w:left w:val="single" w:sz="4" w:space="0" w:color="auto"/>
              <w:bottom w:val="single" w:sz="4" w:space="0" w:color="auto"/>
              <w:right w:val="single" w:sz="4" w:space="0" w:color="auto"/>
            </w:tcBorders>
            <w:vAlign w:val="bottom"/>
          </w:tcPr>
          <w:p w14:paraId="38C6C372"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61,034</w:t>
            </w:r>
          </w:p>
        </w:tc>
        <w:tc>
          <w:tcPr>
            <w:tcW w:w="2253" w:type="dxa"/>
            <w:tcBorders>
              <w:top w:val="single" w:sz="4" w:space="0" w:color="auto"/>
              <w:left w:val="single" w:sz="4" w:space="0" w:color="auto"/>
              <w:bottom w:val="single" w:sz="4" w:space="0" w:color="auto"/>
              <w:right w:val="single" w:sz="4" w:space="0" w:color="auto"/>
            </w:tcBorders>
            <w:vAlign w:val="bottom"/>
          </w:tcPr>
          <w:p w14:paraId="3C44C534"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134.35</w:t>
            </w:r>
          </w:p>
        </w:tc>
      </w:tr>
      <w:tr w:rsidR="00EB4A22" w:rsidRPr="00D12A0D" w14:paraId="0041B26F"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15D76871"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Bay of Plenty</w:t>
            </w:r>
          </w:p>
        </w:tc>
        <w:tc>
          <w:tcPr>
            <w:tcW w:w="2252" w:type="dxa"/>
            <w:tcBorders>
              <w:top w:val="single" w:sz="4" w:space="0" w:color="auto"/>
              <w:left w:val="single" w:sz="4" w:space="0" w:color="auto"/>
              <w:bottom w:val="single" w:sz="4" w:space="0" w:color="auto"/>
              <w:right w:val="single" w:sz="4" w:space="0" w:color="auto"/>
            </w:tcBorders>
            <w:vAlign w:val="bottom"/>
          </w:tcPr>
          <w:p w14:paraId="03CE8009"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20</w:t>
            </w:r>
          </w:p>
        </w:tc>
        <w:tc>
          <w:tcPr>
            <w:tcW w:w="2250" w:type="dxa"/>
            <w:tcBorders>
              <w:top w:val="single" w:sz="4" w:space="0" w:color="auto"/>
              <w:left w:val="single" w:sz="4" w:space="0" w:color="auto"/>
              <w:bottom w:val="single" w:sz="4" w:space="0" w:color="auto"/>
              <w:right w:val="single" w:sz="4" w:space="0" w:color="auto"/>
            </w:tcBorders>
            <w:vAlign w:val="bottom"/>
          </w:tcPr>
          <w:p w14:paraId="2412899A"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29,436</w:t>
            </w:r>
          </w:p>
        </w:tc>
        <w:tc>
          <w:tcPr>
            <w:tcW w:w="2253" w:type="dxa"/>
            <w:tcBorders>
              <w:top w:val="single" w:sz="4" w:space="0" w:color="auto"/>
              <w:left w:val="single" w:sz="4" w:space="0" w:color="auto"/>
              <w:bottom w:val="single" w:sz="4" w:space="0" w:color="auto"/>
              <w:right w:val="single" w:sz="4" w:space="0" w:color="auto"/>
            </w:tcBorders>
            <w:vAlign w:val="bottom"/>
          </w:tcPr>
          <w:p w14:paraId="7635927D"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67.94</w:t>
            </w:r>
          </w:p>
        </w:tc>
      </w:tr>
      <w:tr w:rsidR="00EB4A22" w:rsidRPr="00D12A0D" w14:paraId="6A428DAD"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73670AE3"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Canterbury</w:t>
            </w:r>
          </w:p>
        </w:tc>
        <w:tc>
          <w:tcPr>
            <w:tcW w:w="2252" w:type="dxa"/>
            <w:tcBorders>
              <w:top w:val="single" w:sz="4" w:space="0" w:color="auto"/>
              <w:left w:val="single" w:sz="4" w:space="0" w:color="auto"/>
              <w:bottom w:val="single" w:sz="4" w:space="0" w:color="auto"/>
              <w:right w:val="single" w:sz="4" w:space="0" w:color="auto"/>
            </w:tcBorders>
            <w:vAlign w:val="bottom"/>
          </w:tcPr>
          <w:p w14:paraId="53199A01"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50</w:t>
            </w:r>
          </w:p>
        </w:tc>
        <w:tc>
          <w:tcPr>
            <w:tcW w:w="2250" w:type="dxa"/>
            <w:tcBorders>
              <w:top w:val="single" w:sz="4" w:space="0" w:color="auto"/>
              <w:left w:val="single" w:sz="4" w:space="0" w:color="auto"/>
              <w:bottom w:val="single" w:sz="4" w:space="0" w:color="auto"/>
              <w:right w:val="single" w:sz="4" w:space="0" w:color="auto"/>
            </w:tcBorders>
            <w:vAlign w:val="bottom"/>
          </w:tcPr>
          <w:p w14:paraId="1836040A"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57,474</w:t>
            </w:r>
          </w:p>
        </w:tc>
        <w:tc>
          <w:tcPr>
            <w:tcW w:w="2253" w:type="dxa"/>
            <w:tcBorders>
              <w:top w:val="single" w:sz="4" w:space="0" w:color="auto"/>
              <w:left w:val="single" w:sz="4" w:space="0" w:color="auto"/>
              <w:bottom w:val="single" w:sz="4" w:space="0" w:color="auto"/>
              <w:right w:val="single" w:sz="4" w:space="0" w:color="auto"/>
            </w:tcBorders>
            <w:vAlign w:val="bottom"/>
          </w:tcPr>
          <w:p w14:paraId="6B45A7C8"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87.00</w:t>
            </w:r>
          </w:p>
        </w:tc>
      </w:tr>
      <w:tr w:rsidR="00EB4A22" w:rsidRPr="00D12A0D" w14:paraId="394EC9D1"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164226F4"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Capital and Coast</w:t>
            </w:r>
          </w:p>
        </w:tc>
        <w:tc>
          <w:tcPr>
            <w:tcW w:w="2252" w:type="dxa"/>
            <w:tcBorders>
              <w:top w:val="single" w:sz="4" w:space="0" w:color="auto"/>
              <w:left w:val="single" w:sz="4" w:space="0" w:color="auto"/>
              <w:bottom w:val="single" w:sz="4" w:space="0" w:color="auto"/>
              <w:right w:val="single" w:sz="4" w:space="0" w:color="auto"/>
            </w:tcBorders>
            <w:vAlign w:val="bottom"/>
          </w:tcPr>
          <w:p w14:paraId="02DD10D9"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41</w:t>
            </w:r>
          </w:p>
        </w:tc>
        <w:tc>
          <w:tcPr>
            <w:tcW w:w="2250" w:type="dxa"/>
            <w:tcBorders>
              <w:top w:val="single" w:sz="4" w:space="0" w:color="auto"/>
              <w:left w:val="single" w:sz="4" w:space="0" w:color="auto"/>
              <w:bottom w:val="single" w:sz="4" w:space="0" w:color="auto"/>
              <w:right w:val="single" w:sz="4" w:space="0" w:color="auto"/>
            </w:tcBorders>
            <w:vAlign w:val="bottom"/>
          </w:tcPr>
          <w:p w14:paraId="75DBFCC4"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29,752</w:t>
            </w:r>
          </w:p>
        </w:tc>
        <w:tc>
          <w:tcPr>
            <w:tcW w:w="2253" w:type="dxa"/>
            <w:tcBorders>
              <w:top w:val="single" w:sz="4" w:space="0" w:color="auto"/>
              <w:left w:val="single" w:sz="4" w:space="0" w:color="auto"/>
              <w:bottom w:val="single" w:sz="4" w:space="0" w:color="auto"/>
              <w:right w:val="single" w:sz="4" w:space="0" w:color="auto"/>
            </w:tcBorders>
            <w:vAlign w:val="bottom"/>
          </w:tcPr>
          <w:p w14:paraId="137CE44B"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137.81</w:t>
            </w:r>
          </w:p>
        </w:tc>
      </w:tr>
      <w:tr w:rsidR="00EB4A22" w:rsidRPr="00D12A0D" w14:paraId="2DA7B5EA"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1EA13616"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 xml:space="preserve">Counties </w:t>
            </w:r>
            <w:proofErr w:type="spellStart"/>
            <w:r w:rsidRPr="00EB4A22">
              <w:rPr>
                <w:rFonts w:asciiTheme="minorHAnsi" w:hAnsiTheme="minorHAnsi"/>
                <w:sz w:val="22"/>
                <w:szCs w:val="22"/>
              </w:rPr>
              <w:t>Manukau</w:t>
            </w:r>
            <w:proofErr w:type="spellEnd"/>
          </w:p>
        </w:tc>
        <w:tc>
          <w:tcPr>
            <w:tcW w:w="2252" w:type="dxa"/>
            <w:tcBorders>
              <w:top w:val="single" w:sz="4" w:space="0" w:color="auto"/>
              <w:left w:val="single" w:sz="4" w:space="0" w:color="auto"/>
              <w:bottom w:val="single" w:sz="4" w:space="0" w:color="auto"/>
              <w:right w:val="single" w:sz="4" w:space="0" w:color="auto"/>
            </w:tcBorders>
            <w:vAlign w:val="bottom"/>
          </w:tcPr>
          <w:p w14:paraId="29A4B7B2"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31</w:t>
            </w:r>
          </w:p>
        </w:tc>
        <w:tc>
          <w:tcPr>
            <w:tcW w:w="2250" w:type="dxa"/>
            <w:tcBorders>
              <w:top w:val="single" w:sz="4" w:space="0" w:color="auto"/>
              <w:left w:val="single" w:sz="4" w:space="0" w:color="auto"/>
              <w:bottom w:val="single" w:sz="4" w:space="0" w:color="auto"/>
              <w:right w:val="single" w:sz="4" w:space="0" w:color="auto"/>
            </w:tcBorders>
            <w:vAlign w:val="bottom"/>
          </w:tcPr>
          <w:p w14:paraId="2F27E901"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49,129</w:t>
            </w:r>
          </w:p>
        </w:tc>
        <w:tc>
          <w:tcPr>
            <w:tcW w:w="2253" w:type="dxa"/>
            <w:tcBorders>
              <w:top w:val="single" w:sz="4" w:space="0" w:color="auto"/>
              <w:left w:val="single" w:sz="4" w:space="0" w:color="auto"/>
              <w:bottom w:val="single" w:sz="4" w:space="0" w:color="auto"/>
              <w:right w:val="single" w:sz="4" w:space="0" w:color="auto"/>
            </w:tcBorders>
            <w:vAlign w:val="bottom"/>
          </w:tcPr>
          <w:p w14:paraId="29228DD4"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63.10</w:t>
            </w:r>
          </w:p>
        </w:tc>
      </w:tr>
      <w:tr w:rsidR="00EB4A22" w:rsidRPr="00D12A0D" w14:paraId="19293A23" w14:textId="77777777" w:rsidTr="00B12430">
        <w:tc>
          <w:tcPr>
            <w:tcW w:w="2261" w:type="dxa"/>
            <w:tcBorders>
              <w:top w:val="single" w:sz="4" w:space="0" w:color="auto"/>
              <w:left w:val="single" w:sz="4" w:space="0" w:color="auto"/>
              <w:bottom w:val="single" w:sz="4" w:space="0" w:color="auto"/>
              <w:right w:val="single" w:sz="4" w:space="0" w:color="auto"/>
            </w:tcBorders>
          </w:tcPr>
          <w:p w14:paraId="15FA98D1"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 xml:space="preserve">Hauora </w:t>
            </w:r>
            <w:proofErr w:type="spellStart"/>
            <w:r w:rsidRPr="00EB4A22">
              <w:rPr>
                <w:rFonts w:asciiTheme="minorHAnsi" w:hAnsiTheme="minorHAnsi"/>
                <w:sz w:val="22"/>
                <w:szCs w:val="22"/>
              </w:rPr>
              <w:t>Tairāwhiti</w:t>
            </w:r>
            <w:proofErr w:type="spellEnd"/>
          </w:p>
        </w:tc>
        <w:tc>
          <w:tcPr>
            <w:tcW w:w="2252" w:type="dxa"/>
            <w:tcBorders>
              <w:top w:val="single" w:sz="4" w:space="0" w:color="auto"/>
              <w:left w:val="single" w:sz="4" w:space="0" w:color="auto"/>
              <w:bottom w:val="single" w:sz="4" w:space="0" w:color="auto"/>
              <w:right w:val="single" w:sz="4" w:space="0" w:color="auto"/>
            </w:tcBorders>
            <w:vAlign w:val="bottom"/>
          </w:tcPr>
          <w:p w14:paraId="49C5565A"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7</w:t>
            </w:r>
          </w:p>
        </w:tc>
        <w:tc>
          <w:tcPr>
            <w:tcW w:w="2250" w:type="dxa"/>
            <w:tcBorders>
              <w:top w:val="single" w:sz="4" w:space="0" w:color="auto"/>
              <w:left w:val="single" w:sz="4" w:space="0" w:color="auto"/>
              <w:bottom w:val="single" w:sz="4" w:space="0" w:color="auto"/>
              <w:right w:val="single" w:sz="4" w:space="0" w:color="auto"/>
            </w:tcBorders>
            <w:vAlign w:val="bottom"/>
          </w:tcPr>
          <w:p w14:paraId="328E9F07"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5,486</w:t>
            </w:r>
          </w:p>
        </w:tc>
        <w:tc>
          <w:tcPr>
            <w:tcW w:w="2253" w:type="dxa"/>
            <w:tcBorders>
              <w:top w:val="single" w:sz="4" w:space="0" w:color="auto"/>
              <w:left w:val="single" w:sz="4" w:space="0" w:color="auto"/>
              <w:bottom w:val="single" w:sz="4" w:space="0" w:color="auto"/>
              <w:right w:val="single" w:sz="4" w:space="0" w:color="auto"/>
            </w:tcBorders>
            <w:vAlign w:val="bottom"/>
          </w:tcPr>
          <w:p w14:paraId="24778B56"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127.60</w:t>
            </w:r>
          </w:p>
        </w:tc>
      </w:tr>
      <w:tr w:rsidR="00EB4A22" w:rsidRPr="00D12A0D" w14:paraId="418B34E1"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5DA806A9"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Hawke’s Bay</w:t>
            </w:r>
          </w:p>
        </w:tc>
        <w:tc>
          <w:tcPr>
            <w:tcW w:w="2252" w:type="dxa"/>
            <w:tcBorders>
              <w:top w:val="single" w:sz="4" w:space="0" w:color="auto"/>
              <w:left w:val="single" w:sz="4" w:space="0" w:color="auto"/>
              <w:bottom w:val="single" w:sz="4" w:space="0" w:color="auto"/>
              <w:right w:val="single" w:sz="4" w:space="0" w:color="auto"/>
            </w:tcBorders>
            <w:vAlign w:val="bottom"/>
          </w:tcPr>
          <w:p w14:paraId="12147935"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16</w:t>
            </w:r>
          </w:p>
        </w:tc>
        <w:tc>
          <w:tcPr>
            <w:tcW w:w="2250" w:type="dxa"/>
            <w:tcBorders>
              <w:top w:val="single" w:sz="4" w:space="0" w:color="auto"/>
              <w:left w:val="single" w:sz="4" w:space="0" w:color="auto"/>
              <w:bottom w:val="single" w:sz="4" w:space="0" w:color="auto"/>
              <w:right w:val="single" w:sz="4" w:space="0" w:color="auto"/>
            </w:tcBorders>
            <w:vAlign w:val="bottom"/>
          </w:tcPr>
          <w:p w14:paraId="367AAABD"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19,098</w:t>
            </w:r>
          </w:p>
        </w:tc>
        <w:tc>
          <w:tcPr>
            <w:tcW w:w="2253" w:type="dxa"/>
            <w:tcBorders>
              <w:top w:val="single" w:sz="4" w:space="0" w:color="auto"/>
              <w:left w:val="single" w:sz="4" w:space="0" w:color="auto"/>
              <w:bottom w:val="single" w:sz="4" w:space="0" w:color="auto"/>
              <w:right w:val="single" w:sz="4" w:space="0" w:color="auto"/>
            </w:tcBorders>
            <w:vAlign w:val="bottom"/>
          </w:tcPr>
          <w:p w14:paraId="1AF4EF40"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83.78</w:t>
            </w:r>
          </w:p>
        </w:tc>
      </w:tr>
      <w:tr w:rsidR="00EB4A22" w:rsidRPr="00D12A0D" w14:paraId="06D8B42A"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14787249"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Hutt Valley</w:t>
            </w:r>
          </w:p>
        </w:tc>
        <w:tc>
          <w:tcPr>
            <w:tcW w:w="2252" w:type="dxa"/>
            <w:tcBorders>
              <w:top w:val="single" w:sz="4" w:space="0" w:color="auto"/>
              <w:left w:val="single" w:sz="4" w:space="0" w:color="auto"/>
              <w:bottom w:val="single" w:sz="4" w:space="0" w:color="auto"/>
              <w:right w:val="single" w:sz="4" w:space="0" w:color="auto"/>
            </w:tcBorders>
            <w:vAlign w:val="bottom"/>
          </w:tcPr>
          <w:p w14:paraId="6BC50620"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11</w:t>
            </w:r>
          </w:p>
        </w:tc>
        <w:tc>
          <w:tcPr>
            <w:tcW w:w="2250" w:type="dxa"/>
            <w:tcBorders>
              <w:top w:val="single" w:sz="4" w:space="0" w:color="auto"/>
              <w:left w:val="single" w:sz="4" w:space="0" w:color="auto"/>
              <w:bottom w:val="single" w:sz="4" w:space="0" w:color="auto"/>
              <w:right w:val="single" w:sz="4" w:space="0" w:color="auto"/>
            </w:tcBorders>
            <w:vAlign w:val="bottom"/>
          </w:tcPr>
          <w:p w14:paraId="0088EEE4"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17,661</w:t>
            </w:r>
          </w:p>
        </w:tc>
        <w:tc>
          <w:tcPr>
            <w:tcW w:w="2253" w:type="dxa"/>
            <w:tcBorders>
              <w:top w:val="single" w:sz="4" w:space="0" w:color="auto"/>
              <w:left w:val="single" w:sz="4" w:space="0" w:color="auto"/>
              <w:bottom w:val="single" w:sz="4" w:space="0" w:color="auto"/>
              <w:right w:val="single" w:sz="4" w:space="0" w:color="auto"/>
            </w:tcBorders>
            <w:vAlign w:val="bottom"/>
          </w:tcPr>
          <w:p w14:paraId="20415EA5"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62.28</w:t>
            </w:r>
          </w:p>
        </w:tc>
      </w:tr>
      <w:tr w:rsidR="00EB4A22" w:rsidRPr="00D12A0D" w14:paraId="76BCE730"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42847487"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Lakes</w:t>
            </w:r>
          </w:p>
        </w:tc>
        <w:tc>
          <w:tcPr>
            <w:tcW w:w="2252" w:type="dxa"/>
            <w:tcBorders>
              <w:top w:val="single" w:sz="4" w:space="0" w:color="auto"/>
              <w:left w:val="single" w:sz="4" w:space="0" w:color="auto"/>
              <w:bottom w:val="single" w:sz="4" w:space="0" w:color="auto"/>
              <w:right w:val="single" w:sz="4" w:space="0" w:color="auto"/>
            </w:tcBorders>
            <w:vAlign w:val="bottom"/>
          </w:tcPr>
          <w:p w14:paraId="6E774940"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11</w:t>
            </w:r>
          </w:p>
        </w:tc>
        <w:tc>
          <w:tcPr>
            <w:tcW w:w="2250" w:type="dxa"/>
            <w:tcBorders>
              <w:top w:val="single" w:sz="4" w:space="0" w:color="auto"/>
              <w:left w:val="single" w:sz="4" w:space="0" w:color="auto"/>
              <w:bottom w:val="single" w:sz="4" w:space="0" w:color="auto"/>
              <w:right w:val="single" w:sz="4" w:space="0" w:color="auto"/>
            </w:tcBorders>
            <w:vAlign w:val="bottom"/>
          </w:tcPr>
          <w:p w14:paraId="71421B7A"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13,099</w:t>
            </w:r>
          </w:p>
        </w:tc>
        <w:tc>
          <w:tcPr>
            <w:tcW w:w="2253" w:type="dxa"/>
            <w:tcBorders>
              <w:top w:val="single" w:sz="4" w:space="0" w:color="auto"/>
              <w:left w:val="single" w:sz="4" w:space="0" w:color="auto"/>
              <w:bottom w:val="single" w:sz="4" w:space="0" w:color="auto"/>
              <w:right w:val="single" w:sz="4" w:space="0" w:color="auto"/>
            </w:tcBorders>
            <w:vAlign w:val="bottom"/>
          </w:tcPr>
          <w:p w14:paraId="102501A6"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83.98</w:t>
            </w:r>
          </w:p>
        </w:tc>
      </w:tr>
      <w:tr w:rsidR="00EB4A22" w:rsidRPr="00D12A0D" w14:paraId="4E86AA5C"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47FE0AE2" w14:textId="77777777" w:rsidR="00EB4A22" w:rsidRPr="00EB4A22" w:rsidRDefault="00EB4A22" w:rsidP="00B12430">
            <w:pPr>
              <w:rPr>
                <w:rFonts w:asciiTheme="minorHAnsi" w:hAnsiTheme="minorHAnsi"/>
                <w:sz w:val="22"/>
                <w:szCs w:val="22"/>
              </w:rPr>
            </w:pPr>
            <w:proofErr w:type="spellStart"/>
            <w:r w:rsidRPr="00EB4A22">
              <w:rPr>
                <w:rFonts w:asciiTheme="minorHAnsi" w:hAnsiTheme="minorHAnsi"/>
                <w:sz w:val="22"/>
                <w:szCs w:val="22"/>
              </w:rPr>
              <w:t>MidCentral</w:t>
            </w:r>
            <w:proofErr w:type="spellEnd"/>
          </w:p>
        </w:tc>
        <w:tc>
          <w:tcPr>
            <w:tcW w:w="2252" w:type="dxa"/>
            <w:tcBorders>
              <w:top w:val="single" w:sz="4" w:space="0" w:color="auto"/>
              <w:left w:val="single" w:sz="4" w:space="0" w:color="auto"/>
              <w:bottom w:val="single" w:sz="4" w:space="0" w:color="auto"/>
              <w:right w:val="single" w:sz="4" w:space="0" w:color="auto"/>
            </w:tcBorders>
            <w:vAlign w:val="bottom"/>
          </w:tcPr>
          <w:p w14:paraId="77F4500C"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13</w:t>
            </w:r>
          </w:p>
        </w:tc>
        <w:tc>
          <w:tcPr>
            <w:tcW w:w="2250" w:type="dxa"/>
            <w:tcBorders>
              <w:top w:val="single" w:sz="4" w:space="0" w:color="auto"/>
              <w:left w:val="single" w:sz="4" w:space="0" w:color="auto"/>
              <w:bottom w:val="single" w:sz="4" w:space="0" w:color="auto"/>
              <w:right w:val="single" w:sz="4" w:space="0" w:color="auto"/>
            </w:tcBorders>
            <w:vAlign w:val="bottom"/>
          </w:tcPr>
          <w:p w14:paraId="72AFD54A" w14:textId="75190EFE" w:rsidR="00EB4A22" w:rsidRPr="00EB4A22" w:rsidRDefault="004D22EA" w:rsidP="00B12430">
            <w:pPr>
              <w:jc w:val="center"/>
              <w:rPr>
                <w:rFonts w:asciiTheme="minorHAnsi" w:hAnsiTheme="minorHAnsi"/>
                <w:color w:val="000000"/>
                <w:sz w:val="22"/>
                <w:szCs w:val="22"/>
              </w:rPr>
            </w:pPr>
            <w:r>
              <w:rPr>
                <w:rFonts w:asciiTheme="minorHAnsi" w:hAnsiTheme="minorHAnsi" w:cs="Arial"/>
                <w:color w:val="000000"/>
                <w:sz w:val="22"/>
                <w:szCs w:val="22"/>
              </w:rPr>
              <w:t>16,259</w:t>
            </w:r>
          </w:p>
        </w:tc>
        <w:tc>
          <w:tcPr>
            <w:tcW w:w="2253" w:type="dxa"/>
            <w:tcBorders>
              <w:top w:val="single" w:sz="4" w:space="0" w:color="auto"/>
              <w:left w:val="single" w:sz="4" w:space="0" w:color="auto"/>
              <w:bottom w:val="single" w:sz="4" w:space="0" w:color="auto"/>
              <w:right w:val="single" w:sz="4" w:space="0" w:color="auto"/>
            </w:tcBorders>
            <w:vAlign w:val="bottom"/>
          </w:tcPr>
          <w:p w14:paraId="5E967EAD" w14:textId="67E08C2B" w:rsidR="00EB4A22" w:rsidRPr="00EB4A22" w:rsidRDefault="004D22EA" w:rsidP="00B12430">
            <w:pPr>
              <w:jc w:val="center"/>
              <w:rPr>
                <w:rFonts w:asciiTheme="minorHAnsi" w:hAnsiTheme="minorHAnsi"/>
                <w:color w:val="000000"/>
                <w:sz w:val="22"/>
                <w:szCs w:val="22"/>
              </w:rPr>
            </w:pPr>
            <w:r>
              <w:rPr>
                <w:rFonts w:asciiTheme="minorHAnsi" w:hAnsiTheme="minorHAnsi" w:cs="Arial"/>
                <w:color w:val="000000"/>
                <w:sz w:val="22"/>
                <w:szCs w:val="22"/>
              </w:rPr>
              <w:t>79.96</w:t>
            </w:r>
          </w:p>
        </w:tc>
      </w:tr>
      <w:tr w:rsidR="00EB4A22" w:rsidRPr="00D12A0D" w14:paraId="2D0CF2E5"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1F425A66"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Nelson Marlborough</w:t>
            </w:r>
          </w:p>
        </w:tc>
        <w:tc>
          <w:tcPr>
            <w:tcW w:w="2252" w:type="dxa"/>
            <w:tcBorders>
              <w:top w:val="single" w:sz="4" w:space="0" w:color="auto"/>
              <w:left w:val="single" w:sz="4" w:space="0" w:color="auto"/>
              <w:bottom w:val="single" w:sz="4" w:space="0" w:color="auto"/>
              <w:right w:val="single" w:sz="4" w:space="0" w:color="auto"/>
            </w:tcBorders>
            <w:vAlign w:val="bottom"/>
          </w:tcPr>
          <w:p w14:paraId="4F92BFC3"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14</w:t>
            </w:r>
          </w:p>
        </w:tc>
        <w:tc>
          <w:tcPr>
            <w:tcW w:w="2250" w:type="dxa"/>
            <w:tcBorders>
              <w:top w:val="single" w:sz="4" w:space="0" w:color="auto"/>
              <w:left w:val="single" w:sz="4" w:space="0" w:color="auto"/>
              <w:bottom w:val="single" w:sz="4" w:space="0" w:color="auto"/>
              <w:right w:val="single" w:sz="4" w:space="0" w:color="auto"/>
            </w:tcBorders>
            <w:vAlign w:val="bottom"/>
          </w:tcPr>
          <w:p w14:paraId="4BD38B55"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13,412</w:t>
            </w:r>
          </w:p>
        </w:tc>
        <w:tc>
          <w:tcPr>
            <w:tcW w:w="2253" w:type="dxa"/>
            <w:tcBorders>
              <w:top w:val="single" w:sz="4" w:space="0" w:color="auto"/>
              <w:left w:val="single" w:sz="4" w:space="0" w:color="auto"/>
              <w:bottom w:val="single" w:sz="4" w:space="0" w:color="auto"/>
              <w:right w:val="single" w:sz="4" w:space="0" w:color="auto"/>
            </w:tcBorders>
            <w:vAlign w:val="bottom"/>
          </w:tcPr>
          <w:p w14:paraId="0D952083"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104.38</w:t>
            </w:r>
            <w:bookmarkStart w:id="25" w:name="_GoBack"/>
            <w:bookmarkEnd w:id="25"/>
          </w:p>
        </w:tc>
      </w:tr>
      <w:tr w:rsidR="00EB4A22" w:rsidRPr="00D12A0D" w14:paraId="454E9D54"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64CF0299"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Northland</w:t>
            </w:r>
          </w:p>
        </w:tc>
        <w:tc>
          <w:tcPr>
            <w:tcW w:w="2252" w:type="dxa"/>
            <w:tcBorders>
              <w:top w:val="single" w:sz="4" w:space="0" w:color="auto"/>
              <w:left w:val="single" w:sz="4" w:space="0" w:color="auto"/>
              <w:bottom w:val="single" w:sz="4" w:space="0" w:color="auto"/>
              <w:right w:val="single" w:sz="4" w:space="0" w:color="auto"/>
            </w:tcBorders>
            <w:vAlign w:val="bottom"/>
          </w:tcPr>
          <w:p w14:paraId="74A38564"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14</w:t>
            </w:r>
          </w:p>
        </w:tc>
        <w:tc>
          <w:tcPr>
            <w:tcW w:w="2250" w:type="dxa"/>
            <w:tcBorders>
              <w:top w:val="single" w:sz="4" w:space="0" w:color="auto"/>
              <w:left w:val="single" w:sz="4" w:space="0" w:color="auto"/>
              <w:bottom w:val="single" w:sz="4" w:space="0" w:color="auto"/>
              <w:right w:val="single" w:sz="4" w:space="0" w:color="auto"/>
            </w:tcBorders>
            <w:vAlign w:val="bottom"/>
          </w:tcPr>
          <w:p w14:paraId="4041370D"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22,383</w:t>
            </w:r>
          </w:p>
        </w:tc>
        <w:tc>
          <w:tcPr>
            <w:tcW w:w="2253" w:type="dxa"/>
            <w:tcBorders>
              <w:top w:val="single" w:sz="4" w:space="0" w:color="auto"/>
              <w:left w:val="single" w:sz="4" w:space="0" w:color="auto"/>
              <w:bottom w:val="single" w:sz="4" w:space="0" w:color="auto"/>
              <w:right w:val="single" w:sz="4" w:space="0" w:color="auto"/>
            </w:tcBorders>
            <w:vAlign w:val="bottom"/>
          </w:tcPr>
          <w:p w14:paraId="20E9D2F4"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62.55</w:t>
            </w:r>
          </w:p>
        </w:tc>
      </w:tr>
      <w:tr w:rsidR="00EB4A22" w:rsidRPr="00D12A0D" w14:paraId="56EE9CC9"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73F66C50"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South Canterbury</w:t>
            </w:r>
          </w:p>
        </w:tc>
        <w:tc>
          <w:tcPr>
            <w:tcW w:w="2252" w:type="dxa"/>
            <w:tcBorders>
              <w:top w:val="single" w:sz="4" w:space="0" w:color="auto"/>
              <w:left w:val="single" w:sz="4" w:space="0" w:color="auto"/>
              <w:bottom w:val="single" w:sz="4" w:space="0" w:color="auto"/>
              <w:right w:val="single" w:sz="4" w:space="0" w:color="auto"/>
            </w:tcBorders>
            <w:vAlign w:val="bottom"/>
          </w:tcPr>
          <w:p w14:paraId="4FA6403C"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7</w:t>
            </w:r>
          </w:p>
        </w:tc>
        <w:tc>
          <w:tcPr>
            <w:tcW w:w="2250" w:type="dxa"/>
            <w:tcBorders>
              <w:top w:val="single" w:sz="4" w:space="0" w:color="auto"/>
              <w:left w:val="single" w:sz="4" w:space="0" w:color="auto"/>
              <w:bottom w:val="single" w:sz="4" w:space="0" w:color="auto"/>
              <w:right w:val="single" w:sz="4" w:space="0" w:color="auto"/>
            </w:tcBorders>
            <w:vAlign w:val="bottom"/>
          </w:tcPr>
          <w:p w14:paraId="37FB0B59"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6,048</w:t>
            </w:r>
          </w:p>
        </w:tc>
        <w:tc>
          <w:tcPr>
            <w:tcW w:w="2253" w:type="dxa"/>
            <w:tcBorders>
              <w:top w:val="single" w:sz="4" w:space="0" w:color="auto"/>
              <w:left w:val="single" w:sz="4" w:space="0" w:color="auto"/>
              <w:bottom w:val="single" w:sz="4" w:space="0" w:color="auto"/>
              <w:right w:val="single" w:sz="4" w:space="0" w:color="auto"/>
            </w:tcBorders>
            <w:vAlign w:val="bottom"/>
          </w:tcPr>
          <w:p w14:paraId="34EF2F19"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115.74</w:t>
            </w:r>
          </w:p>
        </w:tc>
      </w:tr>
      <w:tr w:rsidR="00EB4A22" w:rsidRPr="00D12A0D" w14:paraId="4449A363"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1B01A888"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Southern</w:t>
            </w:r>
          </w:p>
        </w:tc>
        <w:tc>
          <w:tcPr>
            <w:tcW w:w="2252" w:type="dxa"/>
            <w:tcBorders>
              <w:top w:val="single" w:sz="4" w:space="0" w:color="auto"/>
              <w:left w:val="single" w:sz="4" w:space="0" w:color="auto"/>
              <w:bottom w:val="single" w:sz="4" w:space="0" w:color="auto"/>
              <w:right w:val="single" w:sz="4" w:space="0" w:color="auto"/>
            </w:tcBorders>
            <w:vAlign w:val="bottom"/>
          </w:tcPr>
          <w:p w14:paraId="29AB3742"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31</w:t>
            </w:r>
          </w:p>
        </w:tc>
        <w:tc>
          <w:tcPr>
            <w:tcW w:w="2250" w:type="dxa"/>
            <w:tcBorders>
              <w:top w:val="single" w:sz="4" w:space="0" w:color="auto"/>
              <w:left w:val="single" w:sz="4" w:space="0" w:color="auto"/>
              <w:bottom w:val="single" w:sz="4" w:space="0" w:color="auto"/>
              <w:right w:val="single" w:sz="4" w:space="0" w:color="auto"/>
            </w:tcBorders>
            <w:vAlign w:val="center"/>
          </w:tcPr>
          <w:p w14:paraId="2873AE41"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27,698</w:t>
            </w:r>
          </w:p>
        </w:tc>
        <w:tc>
          <w:tcPr>
            <w:tcW w:w="2253" w:type="dxa"/>
            <w:tcBorders>
              <w:top w:val="single" w:sz="4" w:space="0" w:color="auto"/>
              <w:left w:val="single" w:sz="4" w:space="0" w:color="auto"/>
              <w:bottom w:val="single" w:sz="4" w:space="0" w:color="auto"/>
              <w:right w:val="single" w:sz="4" w:space="0" w:color="auto"/>
            </w:tcBorders>
            <w:vAlign w:val="bottom"/>
          </w:tcPr>
          <w:p w14:paraId="78F0ADD4"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111.92</w:t>
            </w:r>
          </w:p>
        </w:tc>
      </w:tr>
      <w:tr w:rsidR="00EB4A22" w:rsidRPr="00D12A0D" w14:paraId="6B549764"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580DF317"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Taranaki</w:t>
            </w:r>
          </w:p>
        </w:tc>
        <w:tc>
          <w:tcPr>
            <w:tcW w:w="2252" w:type="dxa"/>
            <w:tcBorders>
              <w:top w:val="single" w:sz="4" w:space="0" w:color="auto"/>
              <w:left w:val="single" w:sz="4" w:space="0" w:color="auto"/>
              <w:bottom w:val="single" w:sz="4" w:space="0" w:color="auto"/>
              <w:right w:val="single" w:sz="4" w:space="0" w:color="auto"/>
            </w:tcBorders>
            <w:vAlign w:val="bottom"/>
          </w:tcPr>
          <w:p w14:paraId="2A33A94D"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12</w:t>
            </w:r>
          </w:p>
        </w:tc>
        <w:tc>
          <w:tcPr>
            <w:tcW w:w="2250" w:type="dxa"/>
            <w:tcBorders>
              <w:top w:val="single" w:sz="4" w:space="0" w:color="auto"/>
              <w:left w:val="single" w:sz="4" w:space="0" w:color="auto"/>
              <w:bottom w:val="single" w:sz="4" w:space="0" w:color="auto"/>
              <w:right w:val="single" w:sz="4" w:space="0" w:color="auto"/>
            </w:tcBorders>
            <w:vAlign w:val="bottom"/>
          </w:tcPr>
          <w:p w14:paraId="1AF2B0B0"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14,449</w:t>
            </w:r>
          </w:p>
        </w:tc>
        <w:tc>
          <w:tcPr>
            <w:tcW w:w="2253" w:type="dxa"/>
            <w:tcBorders>
              <w:top w:val="single" w:sz="4" w:space="0" w:color="auto"/>
              <w:left w:val="single" w:sz="4" w:space="0" w:color="auto"/>
              <w:bottom w:val="single" w:sz="4" w:space="0" w:color="auto"/>
              <w:right w:val="single" w:sz="4" w:space="0" w:color="auto"/>
            </w:tcBorders>
            <w:vAlign w:val="bottom"/>
          </w:tcPr>
          <w:p w14:paraId="6B710EE0"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83.05</w:t>
            </w:r>
          </w:p>
        </w:tc>
      </w:tr>
      <w:tr w:rsidR="00EB4A22" w:rsidRPr="00D12A0D" w14:paraId="540E3C8B"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2740C673"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Waikato</w:t>
            </w:r>
          </w:p>
        </w:tc>
        <w:tc>
          <w:tcPr>
            <w:tcW w:w="2252" w:type="dxa"/>
            <w:tcBorders>
              <w:top w:val="single" w:sz="4" w:space="0" w:color="auto"/>
              <w:left w:val="single" w:sz="4" w:space="0" w:color="auto"/>
              <w:bottom w:val="single" w:sz="4" w:space="0" w:color="auto"/>
              <w:right w:val="single" w:sz="4" w:space="0" w:color="auto"/>
            </w:tcBorders>
            <w:vAlign w:val="bottom"/>
          </w:tcPr>
          <w:p w14:paraId="7B09EBA3"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44</w:t>
            </w:r>
          </w:p>
        </w:tc>
        <w:tc>
          <w:tcPr>
            <w:tcW w:w="2250" w:type="dxa"/>
            <w:tcBorders>
              <w:top w:val="single" w:sz="4" w:space="0" w:color="auto"/>
              <w:left w:val="single" w:sz="4" w:space="0" w:color="auto"/>
              <w:bottom w:val="single" w:sz="4" w:space="0" w:color="auto"/>
              <w:right w:val="single" w:sz="4" w:space="0" w:color="auto"/>
            </w:tcBorders>
            <w:vAlign w:val="bottom"/>
          </w:tcPr>
          <w:p w14:paraId="46A1BF74"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52,259</w:t>
            </w:r>
          </w:p>
        </w:tc>
        <w:tc>
          <w:tcPr>
            <w:tcW w:w="2253" w:type="dxa"/>
            <w:tcBorders>
              <w:top w:val="single" w:sz="4" w:space="0" w:color="auto"/>
              <w:left w:val="single" w:sz="4" w:space="0" w:color="auto"/>
              <w:bottom w:val="single" w:sz="4" w:space="0" w:color="auto"/>
              <w:right w:val="single" w:sz="4" w:space="0" w:color="auto"/>
            </w:tcBorders>
            <w:vAlign w:val="bottom"/>
          </w:tcPr>
          <w:p w14:paraId="463AAD11"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84.20</w:t>
            </w:r>
          </w:p>
        </w:tc>
      </w:tr>
      <w:tr w:rsidR="00EB4A22" w:rsidRPr="00D12A0D" w14:paraId="285C9BCC"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41357265" w14:textId="77777777" w:rsidR="00EB4A22" w:rsidRPr="00EB4A22" w:rsidRDefault="00EB4A22" w:rsidP="00B12430">
            <w:pPr>
              <w:rPr>
                <w:rFonts w:asciiTheme="minorHAnsi" w:hAnsiTheme="minorHAnsi"/>
                <w:sz w:val="22"/>
                <w:szCs w:val="22"/>
              </w:rPr>
            </w:pPr>
            <w:proofErr w:type="spellStart"/>
            <w:r w:rsidRPr="00EB4A22">
              <w:rPr>
                <w:rFonts w:asciiTheme="minorHAnsi" w:hAnsiTheme="minorHAnsi"/>
                <w:sz w:val="22"/>
                <w:szCs w:val="22"/>
              </w:rPr>
              <w:t>Wairarapa</w:t>
            </w:r>
            <w:proofErr w:type="spellEnd"/>
          </w:p>
        </w:tc>
        <w:tc>
          <w:tcPr>
            <w:tcW w:w="2252" w:type="dxa"/>
            <w:tcBorders>
              <w:top w:val="single" w:sz="4" w:space="0" w:color="auto"/>
              <w:left w:val="single" w:sz="4" w:space="0" w:color="auto"/>
              <w:bottom w:val="single" w:sz="4" w:space="0" w:color="auto"/>
              <w:right w:val="single" w:sz="4" w:space="0" w:color="auto"/>
            </w:tcBorders>
            <w:vAlign w:val="bottom"/>
          </w:tcPr>
          <w:p w14:paraId="3A7254A0"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4</w:t>
            </w:r>
          </w:p>
        </w:tc>
        <w:tc>
          <w:tcPr>
            <w:tcW w:w="2250" w:type="dxa"/>
            <w:tcBorders>
              <w:top w:val="single" w:sz="4" w:space="0" w:color="auto"/>
              <w:left w:val="single" w:sz="4" w:space="0" w:color="auto"/>
              <w:bottom w:val="single" w:sz="4" w:space="0" w:color="auto"/>
              <w:right w:val="single" w:sz="4" w:space="0" w:color="auto"/>
            </w:tcBorders>
            <w:vAlign w:val="bottom"/>
          </w:tcPr>
          <w:p w14:paraId="4F253FFD"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4,473</w:t>
            </w:r>
          </w:p>
        </w:tc>
        <w:tc>
          <w:tcPr>
            <w:tcW w:w="2253" w:type="dxa"/>
            <w:tcBorders>
              <w:top w:val="single" w:sz="4" w:space="0" w:color="auto"/>
              <w:left w:val="single" w:sz="4" w:space="0" w:color="auto"/>
              <w:bottom w:val="single" w:sz="4" w:space="0" w:color="auto"/>
              <w:right w:val="single" w:sz="4" w:space="0" w:color="auto"/>
            </w:tcBorders>
            <w:vAlign w:val="bottom"/>
          </w:tcPr>
          <w:p w14:paraId="631499C9"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89.43</w:t>
            </w:r>
          </w:p>
        </w:tc>
      </w:tr>
      <w:tr w:rsidR="00EB4A22" w:rsidRPr="00D12A0D" w14:paraId="150D7647"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03D1AA8B" w14:textId="77777777" w:rsidR="00EB4A22" w:rsidRPr="00EB4A22" w:rsidRDefault="00EB4A22" w:rsidP="00B12430">
            <w:pPr>
              <w:rPr>
                <w:rFonts w:asciiTheme="minorHAnsi" w:hAnsiTheme="minorHAnsi"/>
                <w:sz w:val="22"/>
                <w:szCs w:val="22"/>
              </w:rPr>
            </w:pPr>
            <w:proofErr w:type="spellStart"/>
            <w:r w:rsidRPr="00EB4A22">
              <w:rPr>
                <w:rFonts w:asciiTheme="minorHAnsi" w:hAnsiTheme="minorHAnsi"/>
                <w:sz w:val="22"/>
                <w:szCs w:val="22"/>
              </w:rPr>
              <w:t>Waitematā</w:t>
            </w:r>
            <w:proofErr w:type="spellEnd"/>
          </w:p>
        </w:tc>
        <w:tc>
          <w:tcPr>
            <w:tcW w:w="2252" w:type="dxa"/>
            <w:tcBorders>
              <w:top w:val="single" w:sz="4" w:space="0" w:color="auto"/>
              <w:left w:val="single" w:sz="4" w:space="0" w:color="auto"/>
              <w:bottom w:val="single" w:sz="4" w:space="0" w:color="auto"/>
              <w:right w:val="single" w:sz="4" w:space="0" w:color="auto"/>
            </w:tcBorders>
            <w:vAlign w:val="bottom"/>
          </w:tcPr>
          <w:p w14:paraId="1D884A46"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56</w:t>
            </w:r>
          </w:p>
        </w:tc>
        <w:tc>
          <w:tcPr>
            <w:tcW w:w="2250" w:type="dxa"/>
            <w:tcBorders>
              <w:top w:val="single" w:sz="4" w:space="0" w:color="auto"/>
              <w:left w:val="single" w:sz="4" w:space="0" w:color="auto"/>
              <w:bottom w:val="single" w:sz="4" w:space="0" w:color="auto"/>
              <w:right w:val="single" w:sz="4" w:space="0" w:color="auto"/>
            </w:tcBorders>
            <w:vAlign w:val="bottom"/>
          </w:tcPr>
          <w:p w14:paraId="1096269D"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55,006</w:t>
            </w:r>
          </w:p>
        </w:tc>
        <w:tc>
          <w:tcPr>
            <w:tcW w:w="2253" w:type="dxa"/>
            <w:tcBorders>
              <w:top w:val="single" w:sz="4" w:space="0" w:color="auto"/>
              <w:left w:val="single" w:sz="4" w:space="0" w:color="auto"/>
              <w:bottom w:val="single" w:sz="4" w:space="0" w:color="auto"/>
              <w:right w:val="single" w:sz="4" w:space="0" w:color="auto"/>
            </w:tcBorders>
            <w:vAlign w:val="bottom"/>
          </w:tcPr>
          <w:p w14:paraId="6B541DF0"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101.81</w:t>
            </w:r>
          </w:p>
        </w:tc>
      </w:tr>
      <w:tr w:rsidR="00EB4A22" w:rsidRPr="00D12A0D" w14:paraId="3F32D916"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407F3F76"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West Coast</w:t>
            </w:r>
          </w:p>
        </w:tc>
        <w:tc>
          <w:tcPr>
            <w:tcW w:w="2252" w:type="dxa"/>
            <w:tcBorders>
              <w:top w:val="single" w:sz="4" w:space="0" w:color="auto"/>
              <w:left w:val="single" w:sz="4" w:space="0" w:color="auto"/>
              <w:bottom w:val="single" w:sz="4" w:space="0" w:color="auto"/>
              <w:right w:val="single" w:sz="4" w:space="0" w:color="auto"/>
            </w:tcBorders>
            <w:vAlign w:val="bottom"/>
          </w:tcPr>
          <w:p w14:paraId="6CB25826"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5</w:t>
            </w:r>
          </w:p>
        </w:tc>
        <w:tc>
          <w:tcPr>
            <w:tcW w:w="2250" w:type="dxa"/>
            <w:tcBorders>
              <w:top w:val="single" w:sz="4" w:space="0" w:color="auto"/>
              <w:left w:val="single" w:sz="4" w:space="0" w:color="auto"/>
              <w:bottom w:val="single" w:sz="4" w:space="0" w:color="auto"/>
              <w:right w:val="single" w:sz="4" w:space="0" w:color="auto"/>
            </w:tcBorders>
            <w:vAlign w:val="bottom"/>
          </w:tcPr>
          <w:p w14:paraId="10EC922F"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3,256</w:t>
            </w:r>
          </w:p>
        </w:tc>
        <w:tc>
          <w:tcPr>
            <w:tcW w:w="2253" w:type="dxa"/>
            <w:tcBorders>
              <w:top w:val="single" w:sz="4" w:space="0" w:color="auto"/>
              <w:left w:val="single" w:sz="4" w:space="0" w:color="auto"/>
              <w:bottom w:val="single" w:sz="4" w:space="0" w:color="auto"/>
              <w:right w:val="single" w:sz="4" w:space="0" w:color="auto"/>
            </w:tcBorders>
            <w:vAlign w:val="bottom"/>
          </w:tcPr>
          <w:p w14:paraId="5EB0C999"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153.56</w:t>
            </w:r>
          </w:p>
        </w:tc>
      </w:tr>
      <w:tr w:rsidR="00EB4A22" w14:paraId="566CB02D"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1CBEE70D"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Whanganui</w:t>
            </w:r>
          </w:p>
        </w:tc>
        <w:tc>
          <w:tcPr>
            <w:tcW w:w="2252" w:type="dxa"/>
            <w:tcBorders>
              <w:top w:val="single" w:sz="4" w:space="0" w:color="auto"/>
              <w:left w:val="single" w:sz="4" w:space="0" w:color="auto"/>
              <w:bottom w:val="single" w:sz="4" w:space="0" w:color="auto"/>
              <w:right w:val="single" w:sz="4" w:space="0" w:color="auto"/>
            </w:tcBorders>
            <w:vAlign w:val="bottom"/>
          </w:tcPr>
          <w:p w14:paraId="62B2B131"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7</w:t>
            </w:r>
          </w:p>
        </w:tc>
        <w:tc>
          <w:tcPr>
            <w:tcW w:w="2250" w:type="dxa"/>
            <w:tcBorders>
              <w:top w:val="single" w:sz="4" w:space="0" w:color="auto"/>
              <w:left w:val="single" w:sz="4" w:space="0" w:color="auto"/>
              <w:bottom w:val="single" w:sz="4" w:space="0" w:color="auto"/>
              <w:right w:val="single" w:sz="4" w:space="0" w:color="auto"/>
            </w:tcBorders>
            <w:vAlign w:val="bottom"/>
          </w:tcPr>
          <w:p w14:paraId="7C448BF9"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6,989</w:t>
            </w:r>
          </w:p>
        </w:tc>
        <w:tc>
          <w:tcPr>
            <w:tcW w:w="2253" w:type="dxa"/>
            <w:tcBorders>
              <w:top w:val="single" w:sz="4" w:space="0" w:color="auto"/>
              <w:left w:val="single" w:sz="4" w:space="0" w:color="auto"/>
              <w:bottom w:val="single" w:sz="4" w:space="0" w:color="auto"/>
              <w:right w:val="single" w:sz="4" w:space="0" w:color="auto"/>
            </w:tcBorders>
            <w:vAlign w:val="bottom"/>
          </w:tcPr>
          <w:p w14:paraId="6CBAD43A" w14:textId="77777777" w:rsidR="00EB4A22" w:rsidRPr="00EB4A22" w:rsidRDefault="00EB4A22" w:rsidP="00B12430">
            <w:pPr>
              <w:jc w:val="center"/>
              <w:rPr>
                <w:rFonts w:asciiTheme="minorHAnsi" w:hAnsiTheme="minorHAnsi"/>
                <w:color w:val="000000"/>
                <w:sz w:val="22"/>
                <w:szCs w:val="22"/>
              </w:rPr>
            </w:pPr>
            <w:r w:rsidRPr="00EB4A22">
              <w:rPr>
                <w:rFonts w:asciiTheme="minorHAnsi" w:hAnsiTheme="minorHAnsi" w:cs="Arial"/>
                <w:color w:val="000000"/>
                <w:sz w:val="22"/>
                <w:szCs w:val="22"/>
              </w:rPr>
              <w:t>100.16</w:t>
            </w:r>
          </w:p>
        </w:tc>
      </w:tr>
    </w:tbl>
    <w:p w14:paraId="22AF98F9" w14:textId="77777777" w:rsidR="00EB4A22" w:rsidRPr="00484564" w:rsidRDefault="00EB4A22" w:rsidP="00EB4A22">
      <w:pPr>
        <w:spacing w:after="600"/>
        <w:rPr>
          <w:b/>
        </w:rPr>
      </w:pPr>
    </w:p>
    <w:tbl>
      <w:tblPr>
        <w:tblStyle w:val="TableGrid"/>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8980"/>
      </w:tblGrid>
      <w:tr w:rsidR="00EB4A22" w14:paraId="531A37EF" w14:textId="77777777" w:rsidTr="00B12430">
        <w:tc>
          <w:tcPr>
            <w:tcW w:w="9016" w:type="dxa"/>
          </w:tcPr>
          <w:p w14:paraId="458C4E24" w14:textId="77777777" w:rsidR="00EB4A22" w:rsidRPr="00EB4A22" w:rsidRDefault="00EB4A22" w:rsidP="00B12430">
            <w:pPr>
              <w:spacing w:before="240"/>
              <w:jc w:val="left"/>
              <w:rPr>
                <w:rFonts w:asciiTheme="minorHAnsi" w:hAnsiTheme="minorHAnsi"/>
                <w:b/>
                <w:sz w:val="22"/>
                <w:szCs w:val="22"/>
              </w:rPr>
            </w:pPr>
            <w:bookmarkStart w:id="26" w:name="_Toc426462630"/>
            <w:bookmarkStart w:id="27" w:name="_Toc443992225"/>
            <w:bookmarkStart w:id="28" w:name="_Toc445910049"/>
            <w:bookmarkStart w:id="29" w:name="_Toc447291333"/>
            <w:bookmarkStart w:id="30" w:name="_Toc447291471"/>
            <w:bookmarkStart w:id="31" w:name="_Toc447527528"/>
            <w:bookmarkStart w:id="32" w:name="_Toc493684126"/>
            <w:r w:rsidRPr="00EB4A22">
              <w:rPr>
                <w:rFonts w:asciiTheme="minorHAnsi" w:hAnsiTheme="minorHAnsi"/>
                <w:b/>
                <w:sz w:val="22"/>
                <w:szCs w:val="22"/>
              </w:rPr>
              <w:t>Notes on DHB’s number and rate of complaints</w:t>
            </w:r>
          </w:p>
          <w:p w14:paraId="329E9212" w14:textId="77777777" w:rsidR="00EB4A22" w:rsidRPr="00EB4A22" w:rsidRDefault="00EB4A22" w:rsidP="00B12430">
            <w:pPr>
              <w:jc w:val="left"/>
              <w:rPr>
                <w:rFonts w:asciiTheme="minorHAnsi" w:hAnsiTheme="minorHAnsi"/>
                <w:b/>
                <w:sz w:val="22"/>
                <w:szCs w:val="22"/>
              </w:rPr>
            </w:pPr>
          </w:p>
          <w:p w14:paraId="085691F6" w14:textId="77777777" w:rsidR="00EB4A22" w:rsidRPr="00EB4A22" w:rsidRDefault="00EB4A22" w:rsidP="00B12430">
            <w:pPr>
              <w:rPr>
                <w:rFonts w:asciiTheme="minorHAnsi" w:hAnsiTheme="minorHAnsi"/>
                <w:sz w:val="22"/>
                <w:szCs w:val="22"/>
                <w:lang w:bidi="ar-SA"/>
              </w:rPr>
            </w:pPr>
            <w:r w:rsidRPr="00EB4A22">
              <w:rPr>
                <w:rFonts w:asciiTheme="minorHAnsi" w:hAnsiTheme="minorHAnsi"/>
                <w:sz w:val="22"/>
                <w:szCs w:val="22"/>
                <w:lang w:bidi="ar-SA"/>
              </w:rPr>
              <w:t xml:space="preserve">It should be noted that a DHB’s number and rate of complaints can vary considerably from one six-month period to the next. Therefore, care should be taken before drawing conclusions on the basis of one six-month period. Further, for smaller DHBs, a very small absolute increase or decrease in the number of complaints received can dramatically affect the rate of complaints. Accordingly, </w:t>
            </w:r>
            <w:r w:rsidRPr="00EB4A22">
              <w:rPr>
                <w:rFonts w:asciiTheme="minorHAnsi" w:hAnsiTheme="minorHAnsi"/>
                <w:sz w:val="22"/>
                <w:szCs w:val="22"/>
              </w:rPr>
              <w:t>much of the value in this data lies in how it changes over time, as such analysis allows trends to emerge that may point to areas that require further attention.</w:t>
            </w:r>
          </w:p>
          <w:p w14:paraId="7C2A4089" w14:textId="77777777" w:rsidR="00EB4A22" w:rsidRPr="00EB4A22" w:rsidRDefault="00EB4A22" w:rsidP="00B12430">
            <w:pPr>
              <w:rPr>
                <w:rFonts w:asciiTheme="minorHAnsi" w:hAnsiTheme="minorHAnsi"/>
                <w:sz w:val="22"/>
                <w:szCs w:val="22"/>
              </w:rPr>
            </w:pPr>
          </w:p>
          <w:p w14:paraId="7BFAD47B" w14:textId="0D01EFEC" w:rsidR="00EB4A22" w:rsidRPr="00EB4A22" w:rsidRDefault="00EB4A22" w:rsidP="00B12430">
            <w:pPr>
              <w:spacing w:after="120"/>
              <w:rPr>
                <w:rFonts w:asciiTheme="minorHAnsi" w:hAnsiTheme="minorHAnsi"/>
                <w:sz w:val="22"/>
                <w:szCs w:val="22"/>
                <w:lang w:bidi="ar-SA"/>
              </w:rPr>
            </w:pPr>
            <w:r w:rsidRPr="00EB4A22">
              <w:rPr>
                <w:rFonts w:asciiTheme="minorHAnsi" w:hAnsiTheme="minorHAnsi"/>
                <w:sz w:val="22"/>
                <w:szCs w:val="22"/>
                <w:lang w:bidi="ar-SA"/>
              </w:rPr>
              <w:t>It is also important to note that the number of complaints received by HDC is not always a good proxy for quality of care provided, and may instead, for example, be an indicator of the effectiveness of a DHB’s complaints system or features of the services provided by a particular DHB.</w:t>
            </w:r>
            <w:r w:rsidR="00B12430">
              <w:rPr>
                <w:rFonts w:asciiTheme="minorHAnsi" w:hAnsiTheme="minorHAnsi"/>
                <w:sz w:val="22"/>
                <w:szCs w:val="22"/>
                <w:lang w:bidi="ar-SA"/>
              </w:rPr>
              <w:t xml:space="preserve"> </w:t>
            </w:r>
            <w:r w:rsidRPr="00EB4A22">
              <w:rPr>
                <w:rFonts w:asciiTheme="minorHAnsi" w:hAnsiTheme="minorHAnsi"/>
                <w:sz w:val="22"/>
                <w:szCs w:val="22"/>
                <w:lang w:bidi="ar-SA"/>
              </w:rPr>
              <w:t>Additionally, complaints received within a single six-month period will sometimes relate to care provided within quite a different time period. From time to time, some DHBs may also be the subject of a number of complaints from a single complainant within one reporting period. This is important context that is taken into account by DHBs when considering their own complaint patterns.</w:t>
            </w:r>
          </w:p>
          <w:p w14:paraId="60B677AE" w14:textId="77777777" w:rsidR="00EB4A22" w:rsidRPr="0078382D" w:rsidRDefault="00EB4A22" w:rsidP="00B12430">
            <w:pPr>
              <w:spacing w:after="120"/>
              <w:rPr>
                <w:sz w:val="12"/>
                <w:szCs w:val="12"/>
              </w:rPr>
            </w:pPr>
          </w:p>
        </w:tc>
      </w:tr>
    </w:tbl>
    <w:p w14:paraId="2FE0B0FB" w14:textId="77777777" w:rsidR="00EB4A22" w:rsidRDefault="00EB4A22" w:rsidP="00EB4A22"/>
    <w:p w14:paraId="59F248E6" w14:textId="77777777" w:rsidR="00EB4A22" w:rsidRDefault="00EB4A22" w:rsidP="00EB4A22"/>
    <w:p w14:paraId="3EE396D7" w14:textId="77777777" w:rsidR="00EB4A22" w:rsidRDefault="00EB4A22" w:rsidP="00EB4A22"/>
    <w:p w14:paraId="3C1E968A" w14:textId="77777777" w:rsidR="00EB4A22" w:rsidRDefault="00EB4A22" w:rsidP="00EB4A22"/>
    <w:p w14:paraId="7C81FD34" w14:textId="77777777" w:rsidR="00EB4A22" w:rsidRDefault="00EB4A22" w:rsidP="00EB4A22">
      <w:pPr>
        <w:pStyle w:val="Heading2"/>
        <w:spacing w:after="240"/>
        <w:rPr>
          <w:sz w:val="36"/>
          <w:szCs w:val="36"/>
        </w:rPr>
      </w:pPr>
      <w:bookmarkStart w:id="33" w:name="_Toc71561652"/>
      <w:bookmarkStart w:id="34" w:name="_Toc74223408"/>
      <w:bookmarkStart w:id="35" w:name="_Toc404344428"/>
      <w:bookmarkStart w:id="36" w:name="_Toc506278067"/>
      <w:bookmarkEnd w:id="26"/>
      <w:bookmarkEnd w:id="27"/>
      <w:bookmarkEnd w:id="28"/>
      <w:bookmarkEnd w:id="29"/>
      <w:bookmarkEnd w:id="30"/>
      <w:bookmarkEnd w:id="31"/>
      <w:bookmarkEnd w:id="32"/>
      <w:r>
        <w:rPr>
          <w:sz w:val="36"/>
          <w:szCs w:val="36"/>
        </w:rPr>
        <w:t>2</w:t>
      </w:r>
      <w:r w:rsidRPr="00666BAC">
        <w:rPr>
          <w:sz w:val="36"/>
          <w:szCs w:val="36"/>
        </w:rPr>
        <w:t>. Wh</w:t>
      </w:r>
      <w:r>
        <w:rPr>
          <w:sz w:val="36"/>
          <w:szCs w:val="36"/>
        </w:rPr>
        <w:t>o complained</w:t>
      </w:r>
      <w:r w:rsidRPr="00666BAC">
        <w:rPr>
          <w:sz w:val="36"/>
          <w:szCs w:val="36"/>
        </w:rPr>
        <w:t>?</w:t>
      </w:r>
      <w:bookmarkEnd w:id="33"/>
      <w:bookmarkEnd w:id="34"/>
    </w:p>
    <w:p w14:paraId="21DBA243" w14:textId="77777777" w:rsidR="00EB4A22" w:rsidRDefault="00EB4A22" w:rsidP="00932E72">
      <w:pPr>
        <w:pStyle w:val="Heading3"/>
      </w:pPr>
      <w:bookmarkStart w:id="37" w:name="_Toc71561653"/>
      <w:bookmarkStart w:id="38" w:name="_Toc74223409"/>
      <w:r w:rsidRPr="00666BAC">
        <w:t>2.1</w:t>
      </w:r>
      <w:r w:rsidRPr="00666BAC">
        <w:tab/>
      </w:r>
      <w:r w:rsidRPr="00666BAC">
        <w:tab/>
      </w:r>
      <w:r>
        <w:t>Consumer ethnicity</w:t>
      </w:r>
      <w:bookmarkEnd w:id="37"/>
      <w:bookmarkEnd w:id="38"/>
    </w:p>
    <w:p w14:paraId="01ECAD40" w14:textId="77777777" w:rsidR="00EB4A22" w:rsidRDefault="00EB4A22" w:rsidP="00EB4A22">
      <w:pPr>
        <w:pStyle w:val="Default"/>
        <w:spacing w:after="51"/>
        <w:rPr>
          <w:rFonts w:asciiTheme="minorHAnsi" w:hAnsiTheme="minorHAnsi"/>
          <w:sz w:val="22"/>
          <w:szCs w:val="22"/>
        </w:rPr>
      </w:pPr>
      <w:r w:rsidRPr="004C6DD1">
        <w:rPr>
          <w:rFonts w:asciiTheme="minorHAnsi" w:hAnsiTheme="minorHAnsi"/>
          <w:sz w:val="22"/>
          <w:szCs w:val="22"/>
        </w:rPr>
        <w:t>The ethnicity of consumers who complained</w:t>
      </w:r>
      <w:r>
        <w:rPr>
          <w:rFonts w:asciiTheme="minorHAnsi" w:hAnsiTheme="minorHAnsi"/>
          <w:sz w:val="22"/>
          <w:szCs w:val="22"/>
        </w:rPr>
        <w:t xml:space="preserve"> to HDC about DHB services in Jul–Dec</w:t>
      </w:r>
      <w:r w:rsidRPr="004C6DD1">
        <w:rPr>
          <w:rFonts w:asciiTheme="minorHAnsi" w:hAnsiTheme="minorHAnsi"/>
          <w:sz w:val="22"/>
          <w:szCs w:val="22"/>
        </w:rPr>
        <w:t xml:space="preserve"> 202</w:t>
      </w:r>
      <w:r>
        <w:rPr>
          <w:rFonts w:asciiTheme="minorHAnsi" w:hAnsiTheme="minorHAnsi"/>
          <w:sz w:val="22"/>
          <w:szCs w:val="22"/>
        </w:rPr>
        <w:t>0</w:t>
      </w:r>
      <w:r w:rsidRPr="004C6DD1">
        <w:rPr>
          <w:rFonts w:asciiTheme="minorHAnsi" w:hAnsiTheme="minorHAnsi"/>
          <w:sz w:val="22"/>
          <w:szCs w:val="22"/>
        </w:rPr>
        <w:t xml:space="preserve"> is detailed below. </w:t>
      </w:r>
    </w:p>
    <w:p w14:paraId="6FBF199C" w14:textId="77777777" w:rsidR="00EB4A22" w:rsidRDefault="00EB4A22" w:rsidP="00EB4A22">
      <w:pPr>
        <w:pStyle w:val="Default"/>
        <w:spacing w:after="51"/>
        <w:rPr>
          <w:rFonts w:asciiTheme="minorHAnsi" w:hAnsiTheme="minorHAnsi"/>
          <w:sz w:val="22"/>
          <w:szCs w:val="22"/>
        </w:rPr>
      </w:pPr>
    </w:p>
    <w:p w14:paraId="114659B5" w14:textId="77777777" w:rsidR="00EB4A22" w:rsidRDefault="00EB4A22" w:rsidP="00EB4A22">
      <w:pPr>
        <w:pStyle w:val="Default"/>
        <w:spacing w:after="51"/>
        <w:rPr>
          <w:rFonts w:asciiTheme="minorHAnsi" w:hAnsiTheme="minorHAnsi"/>
          <w:sz w:val="22"/>
          <w:szCs w:val="22"/>
        </w:rPr>
      </w:pPr>
      <w:r>
        <w:rPr>
          <w:rFonts w:asciiTheme="minorHAnsi" w:hAnsiTheme="minorHAnsi"/>
          <w:sz w:val="22"/>
          <w:szCs w:val="22"/>
        </w:rPr>
        <w:t xml:space="preserve">We have introduced this new section to the report and will include it in all complaint trend reports from now on. This data will become increasingly useful over time, </w:t>
      </w:r>
      <w:r w:rsidRPr="00286DED">
        <w:rPr>
          <w:rFonts w:asciiTheme="minorHAnsi" w:hAnsiTheme="minorHAnsi"/>
          <w:sz w:val="22"/>
          <w:szCs w:val="22"/>
        </w:rPr>
        <w:t xml:space="preserve">as aggregated data will </w:t>
      </w:r>
      <w:r>
        <w:rPr>
          <w:rFonts w:asciiTheme="minorHAnsi" w:hAnsiTheme="minorHAnsi"/>
          <w:sz w:val="22"/>
          <w:szCs w:val="22"/>
        </w:rPr>
        <w:t xml:space="preserve">be analysed with </w:t>
      </w:r>
      <w:r w:rsidRPr="00286DED">
        <w:rPr>
          <w:rFonts w:asciiTheme="minorHAnsi" w:hAnsiTheme="minorHAnsi"/>
          <w:sz w:val="22"/>
          <w:szCs w:val="22"/>
        </w:rPr>
        <w:t xml:space="preserve">other aspects of </w:t>
      </w:r>
      <w:r>
        <w:rPr>
          <w:rFonts w:asciiTheme="minorHAnsi" w:hAnsiTheme="minorHAnsi"/>
          <w:sz w:val="22"/>
          <w:szCs w:val="22"/>
        </w:rPr>
        <w:t>our</w:t>
      </w:r>
      <w:r w:rsidRPr="00286DED">
        <w:rPr>
          <w:rFonts w:asciiTheme="minorHAnsi" w:hAnsiTheme="minorHAnsi"/>
          <w:sz w:val="22"/>
          <w:szCs w:val="22"/>
        </w:rPr>
        <w:t xml:space="preserve"> complaints data, such as issues complained about, by ethnicity. </w:t>
      </w:r>
    </w:p>
    <w:p w14:paraId="52EC2BAD" w14:textId="77777777" w:rsidR="00EB4A22" w:rsidRDefault="00EB4A22" w:rsidP="00EB4A22">
      <w:pPr>
        <w:pStyle w:val="Default"/>
        <w:spacing w:after="51"/>
        <w:rPr>
          <w:rFonts w:asciiTheme="minorHAnsi" w:hAnsiTheme="minorHAnsi"/>
          <w:sz w:val="22"/>
          <w:szCs w:val="22"/>
        </w:rPr>
      </w:pPr>
    </w:p>
    <w:p w14:paraId="49546B28" w14:textId="1E5DDFB8" w:rsidR="00EB4A22" w:rsidRDefault="00EB4A22" w:rsidP="00EB4A22">
      <w:pPr>
        <w:pStyle w:val="Default"/>
        <w:spacing w:after="51"/>
        <w:rPr>
          <w:rFonts w:asciiTheme="minorHAnsi" w:hAnsiTheme="minorHAnsi"/>
          <w:sz w:val="22"/>
          <w:szCs w:val="22"/>
        </w:rPr>
      </w:pPr>
      <w:r>
        <w:rPr>
          <w:rFonts w:asciiTheme="minorHAnsi" w:hAnsiTheme="minorHAnsi"/>
          <w:sz w:val="22"/>
          <w:szCs w:val="22"/>
        </w:rPr>
        <w:t>Alongside this, we have implemented a system to collect demographic information from complainants who do not complete our online complaint form. For example, consumers who are referred by other agencies or make complaints to HDC via the phone or email. Going forward</w:t>
      </w:r>
      <w:r w:rsidR="00667992">
        <w:rPr>
          <w:rFonts w:asciiTheme="minorHAnsi" w:hAnsiTheme="minorHAnsi"/>
          <w:sz w:val="22"/>
          <w:szCs w:val="22"/>
        </w:rPr>
        <w:t>,</w:t>
      </w:r>
      <w:r>
        <w:rPr>
          <w:rFonts w:asciiTheme="minorHAnsi" w:hAnsiTheme="minorHAnsi"/>
          <w:sz w:val="22"/>
          <w:szCs w:val="22"/>
        </w:rPr>
        <w:t xml:space="preserve"> this will enhance the quality of the ethnicity data we can provide.</w:t>
      </w:r>
    </w:p>
    <w:p w14:paraId="469FB92B" w14:textId="77777777" w:rsidR="00EB4A22" w:rsidRDefault="00EB4A22" w:rsidP="00EB4A22"/>
    <w:p w14:paraId="788F8614" w14:textId="77777777" w:rsidR="00EB4A22" w:rsidRPr="0069410F" w:rsidRDefault="00EB4A22" w:rsidP="00EB4A22">
      <w:pPr>
        <w:spacing w:after="120"/>
      </w:pPr>
      <w:r w:rsidRPr="005120FC">
        <w:rPr>
          <w:b/>
        </w:rPr>
        <w:t>Table 5.</w:t>
      </w:r>
      <w:r>
        <w:t xml:space="preserve"> Consumer ethnicity</w:t>
      </w:r>
    </w:p>
    <w:tbl>
      <w:tblPr>
        <w:tblStyle w:val="TableGrid"/>
        <w:tblW w:w="0" w:type="auto"/>
        <w:tblLook w:val="04A0" w:firstRow="1" w:lastRow="0" w:firstColumn="1" w:lastColumn="0" w:noHBand="0" w:noVBand="1"/>
      </w:tblPr>
      <w:tblGrid>
        <w:gridCol w:w="3005"/>
        <w:gridCol w:w="3005"/>
        <w:gridCol w:w="3006"/>
      </w:tblGrid>
      <w:tr w:rsidR="00EB4A22" w14:paraId="03512B9A" w14:textId="77777777" w:rsidTr="00B12430">
        <w:tc>
          <w:tcPr>
            <w:tcW w:w="3005" w:type="dxa"/>
            <w:shd w:val="clear" w:color="auto" w:fill="C00000"/>
          </w:tcPr>
          <w:p w14:paraId="351796D7" w14:textId="77777777" w:rsidR="00EB4A22" w:rsidRPr="00EB4A22" w:rsidRDefault="00EB4A22" w:rsidP="00B12430">
            <w:pPr>
              <w:rPr>
                <w:rFonts w:asciiTheme="minorHAnsi" w:hAnsiTheme="minorHAnsi"/>
                <w:b/>
                <w:sz w:val="22"/>
                <w:szCs w:val="22"/>
              </w:rPr>
            </w:pPr>
            <w:r w:rsidRPr="00EB4A22">
              <w:rPr>
                <w:rFonts w:asciiTheme="minorHAnsi" w:hAnsiTheme="minorHAnsi"/>
                <w:b/>
                <w:sz w:val="22"/>
                <w:szCs w:val="22"/>
              </w:rPr>
              <w:t>Consumer ethnicity</w:t>
            </w:r>
          </w:p>
        </w:tc>
        <w:tc>
          <w:tcPr>
            <w:tcW w:w="3005" w:type="dxa"/>
            <w:shd w:val="clear" w:color="auto" w:fill="C00000"/>
          </w:tcPr>
          <w:p w14:paraId="65028D65" w14:textId="77777777" w:rsidR="00EB4A22" w:rsidRPr="00EB4A22" w:rsidRDefault="00EB4A22" w:rsidP="00B12430">
            <w:pPr>
              <w:jc w:val="center"/>
              <w:rPr>
                <w:rFonts w:asciiTheme="minorHAnsi" w:hAnsiTheme="minorHAnsi"/>
                <w:b/>
                <w:sz w:val="22"/>
                <w:szCs w:val="22"/>
              </w:rPr>
            </w:pPr>
            <w:r w:rsidRPr="00EB4A22">
              <w:rPr>
                <w:rFonts w:asciiTheme="minorHAnsi" w:hAnsiTheme="minorHAnsi"/>
                <w:b/>
                <w:sz w:val="22"/>
                <w:szCs w:val="22"/>
              </w:rPr>
              <w:t>Number of complaints</w:t>
            </w:r>
          </w:p>
        </w:tc>
        <w:tc>
          <w:tcPr>
            <w:tcW w:w="3006" w:type="dxa"/>
            <w:shd w:val="clear" w:color="auto" w:fill="C00000"/>
          </w:tcPr>
          <w:p w14:paraId="2DF74CFC" w14:textId="77777777" w:rsidR="00EB4A22" w:rsidRPr="00EB4A22" w:rsidRDefault="00EB4A22" w:rsidP="00B12430">
            <w:pPr>
              <w:jc w:val="center"/>
              <w:rPr>
                <w:rFonts w:asciiTheme="minorHAnsi" w:hAnsiTheme="minorHAnsi"/>
                <w:b/>
                <w:sz w:val="22"/>
                <w:szCs w:val="22"/>
              </w:rPr>
            </w:pPr>
            <w:r w:rsidRPr="00EB4A22">
              <w:rPr>
                <w:rFonts w:asciiTheme="minorHAnsi" w:hAnsiTheme="minorHAnsi"/>
                <w:b/>
                <w:sz w:val="22"/>
                <w:szCs w:val="22"/>
              </w:rPr>
              <w:t>Proportion of complaints</w:t>
            </w:r>
          </w:p>
        </w:tc>
      </w:tr>
      <w:tr w:rsidR="00EB4A22" w14:paraId="6972A9EC" w14:textId="77777777" w:rsidTr="00B12430">
        <w:tc>
          <w:tcPr>
            <w:tcW w:w="3005" w:type="dxa"/>
          </w:tcPr>
          <w:p w14:paraId="5C02746E"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Māori</w:t>
            </w:r>
          </w:p>
        </w:tc>
        <w:tc>
          <w:tcPr>
            <w:tcW w:w="3005" w:type="dxa"/>
            <w:vAlign w:val="center"/>
          </w:tcPr>
          <w:p w14:paraId="653996B9"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60</w:t>
            </w:r>
          </w:p>
        </w:tc>
        <w:tc>
          <w:tcPr>
            <w:tcW w:w="3006" w:type="dxa"/>
            <w:vAlign w:val="center"/>
          </w:tcPr>
          <w:p w14:paraId="6D58243A"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12.9%</w:t>
            </w:r>
          </w:p>
        </w:tc>
      </w:tr>
      <w:tr w:rsidR="00EB4A22" w14:paraId="5371D54F" w14:textId="77777777" w:rsidTr="00B12430">
        <w:tc>
          <w:tcPr>
            <w:tcW w:w="3005" w:type="dxa"/>
          </w:tcPr>
          <w:p w14:paraId="6EEDAF74"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Pacific</w:t>
            </w:r>
          </w:p>
        </w:tc>
        <w:tc>
          <w:tcPr>
            <w:tcW w:w="3005" w:type="dxa"/>
            <w:vAlign w:val="center"/>
          </w:tcPr>
          <w:p w14:paraId="2F70E47C"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10</w:t>
            </w:r>
          </w:p>
        </w:tc>
        <w:tc>
          <w:tcPr>
            <w:tcW w:w="3006" w:type="dxa"/>
            <w:vAlign w:val="center"/>
          </w:tcPr>
          <w:p w14:paraId="18FA3FE4"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2.2%</w:t>
            </w:r>
          </w:p>
        </w:tc>
      </w:tr>
      <w:tr w:rsidR="00EB4A22" w14:paraId="0F7A20E7" w14:textId="77777777" w:rsidTr="00B12430">
        <w:tc>
          <w:tcPr>
            <w:tcW w:w="3005" w:type="dxa"/>
          </w:tcPr>
          <w:p w14:paraId="51111C7A" w14:textId="77777777" w:rsidR="00EB4A22" w:rsidRPr="00EB4A22" w:rsidRDefault="00EB4A22" w:rsidP="004D22EA">
            <w:pPr>
              <w:jc w:val="left"/>
              <w:rPr>
                <w:rFonts w:asciiTheme="minorHAnsi" w:hAnsiTheme="minorHAnsi"/>
                <w:sz w:val="22"/>
                <w:szCs w:val="22"/>
              </w:rPr>
            </w:pPr>
            <w:r w:rsidRPr="00EB4A22">
              <w:rPr>
                <w:rFonts w:asciiTheme="minorHAnsi" w:hAnsiTheme="minorHAnsi"/>
                <w:sz w:val="22"/>
                <w:szCs w:val="22"/>
              </w:rPr>
              <w:t>Middle Eastern/African/Latin American</w:t>
            </w:r>
          </w:p>
        </w:tc>
        <w:tc>
          <w:tcPr>
            <w:tcW w:w="3005" w:type="dxa"/>
            <w:vAlign w:val="center"/>
          </w:tcPr>
          <w:p w14:paraId="187E59ED"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14</w:t>
            </w:r>
          </w:p>
        </w:tc>
        <w:tc>
          <w:tcPr>
            <w:tcW w:w="3006" w:type="dxa"/>
            <w:vAlign w:val="center"/>
          </w:tcPr>
          <w:p w14:paraId="424C9843"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3.0%</w:t>
            </w:r>
          </w:p>
        </w:tc>
      </w:tr>
      <w:tr w:rsidR="00EB4A22" w14:paraId="72B0D27F" w14:textId="77777777" w:rsidTr="00B12430">
        <w:tc>
          <w:tcPr>
            <w:tcW w:w="3005" w:type="dxa"/>
          </w:tcPr>
          <w:p w14:paraId="5B4CFA3C" w14:textId="77777777" w:rsidR="00EB4A22" w:rsidRPr="00EB4A22" w:rsidRDefault="00EB4A22" w:rsidP="004D22EA">
            <w:pPr>
              <w:jc w:val="left"/>
              <w:rPr>
                <w:rFonts w:asciiTheme="minorHAnsi" w:hAnsiTheme="minorHAnsi"/>
                <w:sz w:val="22"/>
                <w:szCs w:val="22"/>
              </w:rPr>
            </w:pPr>
            <w:r w:rsidRPr="00EB4A22">
              <w:rPr>
                <w:rFonts w:asciiTheme="minorHAnsi" w:hAnsiTheme="minorHAnsi"/>
                <w:sz w:val="22"/>
                <w:szCs w:val="22"/>
              </w:rPr>
              <w:t>Asian</w:t>
            </w:r>
          </w:p>
        </w:tc>
        <w:tc>
          <w:tcPr>
            <w:tcW w:w="3005" w:type="dxa"/>
            <w:vAlign w:val="center"/>
          </w:tcPr>
          <w:p w14:paraId="3328B21B"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20</w:t>
            </w:r>
          </w:p>
        </w:tc>
        <w:tc>
          <w:tcPr>
            <w:tcW w:w="3006" w:type="dxa"/>
            <w:vAlign w:val="center"/>
          </w:tcPr>
          <w:p w14:paraId="3B457546"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4.3%</w:t>
            </w:r>
          </w:p>
        </w:tc>
      </w:tr>
      <w:tr w:rsidR="00EB4A22" w14:paraId="7CBE4481" w14:textId="77777777" w:rsidTr="00B12430">
        <w:tc>
          <w:tcPr>
            <w:tcW w:w="3005" w:type="dxa"/>
          </w:tcPr>
          <w:p w14:paraId="04884AB3" w14:textId="77777777" w:rsidR="00EB4A22" w:rsidRPr="00EB4A22" w:rsidRDefault="00EB4A22" w:rsidP="004D22EA">
            <w:pPr>
              <w:jc w:val="left"/>
              <w:rPr>
                <w:rFonts w:asciiTheme="minorHAnsi" w:hAnsiTheme="minorHAnsi"/>
                <w:sz w:val="22"/>
                <w:szCs w:val="22"/>
              </w:rPr>
            </w:pPr>
            <w:r w:rsidRPr="00EB4A22">
              <w:rPr>
                <w:rFonts w:asciiTheme="minorHAnsi" w:hAnsiTheme="minorHAnsi"/>
                <w:sz w:val="22"/>
                <w:szCs w:val="22"/>
              </w:rPr>
              <w:t>Other European</w:t>
            </w:r>
          </w:p>
        </w:tc>
        <w:tc>
          <w:tcPr>
            <w:tcW w:w="3005" w:type="dxa"/>
            <w:vAlign w:val="center"/>
          </w:tcPr>
          <w:p w14:paraId="7BA6728A"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20</w:t>
            </w:r>
          </w:p>
        </w:tc>
        <w:tc>
          <w:tcPr>
            <w:tcW w:w="3006" w:type="dxa"/>
            <w:vAlign w:val="center"/>
          </w:tcPr>
          <w:p w14:paraId="3B851D35"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4.3%</w:t>
            </w:r>
          </w:p>
        </w:tc>
      </w:tr>
      <w:tr w:rsidR="00EB4A22" w14:paraId="546A7552" w14:textId="77777777" w:rsidTr="00B12430">
        <w:tc>
          <w:tcPr>
            <w:tcW w:w="3005" w:type="dxa"/>
          </w:tcPr>
          <w:p w14:paraId="2A57094B" w14:textId="77777777" w:rsidR="00EB4A22" w:rsidRPr="00EB4A22" w:rsidRDefault="00EB4A22" w:rsidP="004D22EA">
            <w:pPr>
              <w:jc w:val="left"/>
              <w:rPr>
                <w:rFonts w:asciiTheme="minorHAnsi" w:hAnsiTheme="minorHAnsi"/>
                <w:sz w:val="22"/>
                <w:szCs w:val="22"/>
              </w:rPr>
            </w:pPr>
            <w:r w:rsidRPr="00EB4A22">
              <w:rPr>
                <w:rFonts w:asciiTheme="minorHAnsi" w:hAnsiTheme="minorHAnsi"/>
                <w:sz w:val="22"/>
                <w:szCs w:val="22"/>
              </w:rPr>
              <w:t>New Zealand European</w:t>
            </w:r>
          </w:p>
        </w:tc>
        <w:tc>
          <w:tcPr>
            <w:tcW w:w="3005" w:type="dxa"/>
            <w:vAlign w:val="center"/>
          </w:tcPr>
          <w:p w14:paraId="680C429B"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183</w:t>
            </w:r>
          </w:p>
        </w:tc>
        <w:tc>
          <w:tcPr>
            <w:tcW w:w="3006" w:type="dxa"/>
            <w:vAlign w:val="center"/>
          </w:tcPr>
          <w:p w14:paraId="396435A3"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39.4%</w:t>
            </w:r>
          </w:p>
        </w:tc>
      </w:tr>
      <w:tr w:rsidR="00EB4A22" w14:paraId="47B8B1E1" w14:textId="77777777" w:rsidTr="00B12430">
        <w:tc>
          <w:tcPr>
            <w:tcW w:w="3005" w:type="dxa"/>
          </w:tcPr>
          <w:p w14:paraId="1323B318" w14:textId="77777777" w:rsidR="00EB4A22" w:rsidRPr="00EB4A22" w:rsidRDefault="00EB4A22" w:rsidP="004D22EA">
            <w:pPr>
              <w:jc w:val="left"/>
              <w:rPr>
                <w:rFonts w:asciiTheme="minorHAnsi" w:hAnsiTheme="minorHAnsi"/>
                <w:sz w:val="22"/>
                <w:szCs w:val="22"/>
              </w:rPr>
            </w:pPr>
            <w:r w:rsidRPr="00EB4A22">
              <w:rPr>
                <w:rFonts w:asciiTheme="minorHAnsi" w:hAnsiTheme="minorHAnsi"/>
                <w:sz w:val="22"/>
                <w:szCs w:val="22"/>
              </w:rPr>
              <w:t>Unknown/did not wish to answer</w:t>
            </w:r>
          </w:p>
        </w:tc>
        <w:tc>
          <w:tcPr>
            <w:tcW w:w="3005" w:type="dxa"/>
            <w:vAlign w:val="center"/>
          </w:tcPr>
          <w:p w14:paraId="5B9A4D33"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157</w:t>
            </w:r>
          </w:p>
        </w:tc>
        <w:tc>
          <w:tcPr>
            <w:tcW w:w="3006" w:type="dxa"/>
            <w:vAlign w:val="center"/>
          </w:tcPr>
          <w:p w14:paraId="4990812F" w14:textId="77777777" w:rsidR="00EB4A22" w:rsidRPr="00EB4A22" w:rsidRDefault="00EB4A22" w:rsidP="00B12430">
            <w:pPr>
              <w:jc w:val="center"/>
              <w:rPr>
                <w:rFonts w:asciiTheme="minorHAnsi" w:hAnsiTheme="minorHAnsi"/>
                <w:sz w:val="22"/>
                <w:szCs w:val="22"/>
              </w:rPr>
            </w:pPr>
            <w:r w:rsidRPr="00EB4A22">
              <w:rPr>
                <w:rFonts w:asciiTheme="minorHAnsi" w:hAnsiTheme="minorHAnsi"/>
                <w:sz w:val="22"/>
                <w:szCs w:val="22"/>
              </w:rPr>
              <w:t>33.8%</w:t>
            </w:r>
          </w:p>
        </w:tc>
      </w:tr>
    </w:tbl>
    <w:p w14:paraId="138CDB5C" w14:textId="77777777" w:rsidR="00EB4A22" w:rsidRDefault="00EB4A22" w:rsidP="00EB4A22"/>
    <w:p w14:paraId="1DC80B00" w14:textId="77777777" w:rsidR="00EB4A22" w:rsidRDefault="00EB4A22" w:rsidP="00EB4A22">
      <w:pPr>
        <w:rPr>
          <w:lang w:val="en-AU" w:bidi="ar-SA"/>
        </w:rPr>
      </w:pPr>
    </w:p>
    <w:p w14:paraId="1E5AC9C8" w14:textId="77777777" w:rsidR="00EB4A22" w:rsidRDefault="00EB4A22" w:rsidP="00EB4A22">
      <w:pPr>
        <w:rPr>
          <w:lang w:val="en-AU" w:bidi="ar-SA"/>
        </w:rPr>
      </w:pPr>
    </w:p>
    <w:p w14:paraId="1BFBBBC6" w14:textId="66FAF396" w:rsidR="00667992" w:rsidRDefault="00667992" w:rsidP="00EB4A22">
      <w:pPr>
        <w:pStyle w:val="Heading2"/>
        <w:spacing w:before="360" w:after="240"/>
      </w:pPr>
      <w:r>
        <w:br w:type="page"/>
      </w:r>
    </w:p>
    <w:p w14:paraId="70171129" w14:textId="1BE97D18" w:rsidR="00EB4A22" w:rsidRPr="00666BAC" w:rsidRDefault="00EB4A22" w:rsidP="00EB4A22">
      <w:pPr>
        <w:pStyle w:val="Heading2"/>
        <w:spacing w:before="360" w:after="240"/>
        <w:rPr>
          <w:sz w:val="36"/>
          <w:szCs w:val="36"/>
        </w:rPr>
      </w:pPr>
      <w:bookmarkStart w:id="39" w:name="_Toc71561654"/>
      <w:bookmarkStart w:id="40" w:name="_Toc74223410"/>
      <w:r>
        <w:rPr>
          <w:sz w:val="36"/>
          <w:szCs w:val="36"/>
        </w:rPr>
        <w:t>3</w:t>
      </w:r>
      <w:r w:rsidRPr="00666BAC">
        <w:rPr>
          <w:sz w:val="36"/>
          <w:szCs w:val="36"/>
        </w:rPr>
        <w:t>.</w:t>
      </w:r>
      <w:r w:rsidRPr="00666BAC">
        <w:rPr>
          <w:sz w:val="36"/>
          <w:szCs w:val="36"/>
        </w:rPr>
        <w:tab/>
        <w:t>Which DHB services were complained about?</w:t>
      </w:r>
      <w:bookmarkEnd w:id="35"/>
      <w:bookmarkEnd w:id="36"/>
      <w:bookmarkEnd w:id="39"/>
      <w:bookmarkEnd w:id="40"/>
      <w:r w:rsidRPr="00666BAC">
        <w:rPr>
          <w:sz w:val="36"/>
          <w:szCs w:val="36"/>
        </w:rPr>
        <w:t xml:space="preserve"> </w:t>
      </w:r>
    </w:p>
    <w:p w14:paraId="3FFA4476" w14:textId="77777777" w:rsidR="00EB4A22" w:rsidRPr="00E62B9F" w:rsidRDefault="00EB4A22" w:rsidP="00932E72">
      <w:pPr>
        <w:pStyle w:val="Heading3"/>
      </w:pPr>
      <w:bookmarkStart w:id="41" w:name="_Toc398125958"/>
      <w:bookmarkStart w:id="42" w:name="_Toc404344429"/>
      <w:bookmarkStart w:id="43" w:name="_Toc506278068"/>
      <w:bookmarkStart w:id="44" w:name="_Toc71561655"/>
      <w:bookmarkStart w:id="45" w:name="_Toc74223411"/>
      <w:r>
        <w:t>3</w:t>
      </w:r>
      <w:r w:rsidRPr="00666BAC">
        <w:t>.1</w:t>
      </w:r>
      <w:r w:rsidRPr="00666BAC">
        <w:tab/>
      </w:r>
      <w:r w:rsidRPr="00666BAC">
        <w:tab/>
        <w:t>DHB service types complained about</w:t>
      </w:r>
      <w:bookmarkEnd w:id="41"/>
      <w:bookmarkEnd w:id="42"/>
      <w:bookmarkEnd w:id="43"/>
      <w:bookmarkEnd w:id="44"/>
      <w:bookmarkEnd w:id="45"/>
    </w:p>
    <w:p w14:paraId="7F21325D" w14:textId="77777777" w:rsidR="00EB4A22" w:rsidRDefault="00EB4A22" w:rsidP="00EB4A22">
      <w:pPr>
        <w:spacing w:before="120"/>
      </w:pPr>
      <w:r>
        <w:t xml:space="preserve">Please note that some complaints involve more than one DHB and/or more than one service or hospital; therefore, although there were 464 complaints about DHBs, 486 services were complained about. Figure 2 below shows the most commonly complained about service types in Jul–Dec 2020. </w:t>
      </w:r>
      <w:r w:rsidRPr="00666BAC">
        <w:t>A more nuanced picture of service types complained about, including individual surgical and medicine service categ</w:t>
      </w:r>
      <w:r>
        <w:t>ories, is provided in Table 6</w:t>
      </w:r>
      <w:r w:rsidRPr="00666BAC">
        <w:t xml:space="preserve">. </w:t>
      </w:r>
    </w:p>
    <w:p w14:paraId="37960F46" w14:textId="77777777" w:rsidR="00EB4A22" w:rsidRDefault="00EB4A22" w:rsidP="00EB4A22">
      <w:pPr>
        <w:spacing w:before="120"/>
      </w:pPr>
      <w:r>
        <w:t xml:space="preserve">Mental health (24%) and surgical (23%) services received the greatest number of complaints in Jul–Dec 2020, with general surgery (6%) and gynaecology (6%) being the surgical specialties most commonly complained about. </w:t>
      </w:r>
    </w:p>
    <w:p w14:paraId="12D4C314" w14:textId="77777777" w:rsidR="00EB4A22" w:rsidRDefault="00EB4A22" w:rsidP="00EB4A22">
      <w:pPr>
        <w:spacing w:before="120"/>
      </w:pPr>
      <w:r>
        <w:t>This is the lowest proportion of complaints ever received about surgical services, with complaints about these services decreasing from 30% of all services complained about in previous periods to 23% in Jul–Dec 2020. This meant that mental health services became the most commonly complained about service type for DHBs for the first time in Jul–Dec 2020.</w:t>
      </w:r>
    </w:p>
    <w:p w14:paraId="074C9728" w14:textId="77777777" w:rsidR="00EB4A22" w:rsidRDefault="00EB4A22" w:rsidP="00EB4A22"/>
    <w:p w14:paraId="204F988C" w14:textId="77777777" w:rsidR="00EB4A22" w:rsidRDefault="00EB4A22" w:rsidP="00EB4A22">
      <w:pPr>
        <w:spacing w:after="360"/>
      </w:pPr>
      <w:r>
        <w:t xml:space="preserve">Other commonly complained about services included medicine (19%), and emergency department (15%) services. </w:t>
      </w:r>
    </w:p>
    <w:p w14:paraId="289C037C" w14:textId="77777777" w:rsidR="00EB4A22" w:rsidRDefault="00EB4A22" w:rsidP="00EB4A22">
      <w:pPr>
        <w:spacing w:after="200"/>
        <w:jc w:val="left"/>
      </w:pPr>
      <w:r w:rsidRPr="00613DE1">
        <w:rPr>
          <w:b/>
        </w:rPr>
        <w:t>Figure 2.</w:t>
      </w:r>
      <w:r>
        <w:t xml:space="preserve"> Service types complained about</w:t>
      </w:r>
    </w:p>
    <w:p w14:paraId="043E709C" w14:textId="77777777" w:rsidR="00EB4A22" w:rsidRDefault="00EB4A22" w:rsidP="00EB4A22">
      <w:pPr>
        <w:spacing w:after="200"/>
        <w:jc w:val="left"/>
      </w:pPr>
      <w:r>
        <w:rPr>
          <w:noProof/>
          <w:lang w:eastAsia="en-NZ" w:bidi="ar-SA"/>
        </w:rPr>
        <w:drawing>
          <wp:inline distT="0" distB="0" distL="0" distR="0" wp14:anchorId="483920D5" wp14:editId="52AD6225">
            <wp:extent cx="5981700" cy="37433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br w:type="page"/>
      </w:r>
    </w:p>
    <w:p w14:paraId="6A72CBDD" w14:textId="77777777" w:rsidR="00EB4A22" w:rsidRDefault="00EB4A22" w:rsidP="00EB4A22">
      <w:pPr>
        <w:spacing w:after="120"/>
        <w:rPr>
          <w:b/>
        </w:rPr>
      </w:pPr>
      <w:r>
        <w:rPr>
          <w:b/>
        </w:rPr>
        <w:t xml:space="preserve">Table 6. </w:t>
      </w:r>
      <w:r w:rsidRPr="000E51FB">
        <w:t>Service types complained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2263"/>
        <w:gridCol w:w="1981"/>
      </w:tblGrid>
      <w:tr w:rsidR="00EB4A22" w14:paraId="076862BB" w14:textId="77777777" w:rsidTr="00B12430">
        <w:trPr>
          <w:trHeight w:val="467"/>
          <w:tblHeader/>
        </w:trPr>
        <w:tc>
          <w:tcPr>
            <w:tcW w:w="4664" w:type="dxa"/>
            <w:tcBorders>
              <w:top w:val="single" w:sz="4" w:space="0" w:color="auto"/>
              <w:left w:val="single" w:sz="4" w:space="0" w:color="auto"/>
              <w:bottom w:val="single" w:sz="4" w:space="0" w:color="auto"/>
              <w:right w:val="single" w:sz="4" w:space="0" w:color="auto"/>
            </w:tcBorders>
            <w:shd w:val="clear" w:color="auto" w:fill="C00000"/>
            <w:hideMark/>
          </w:tcPr>
          <w:p w14:paraId="5103CA28" w14:textId="77777777" w:rsidR="00EB4A22" w:rsidRDefault="00EB4A22" w:rsidP="00B12430">
            <w:pPr>
              <w:tabs>
                <w:tab w:val="left" w:pos="1440"/>
                <w:tab w:val="decimal" w:pos="4320"/>
              </w:tabs>
              <w:spacing w:before="120" w:after="120"/>
              <w:jc w:val="center"/>
              <w:outlineLvl w:val="0"/>
              <w:rPr>
                <w:rFonts w:ascii="Calibri" w:hAnsi="Calibri"/>
                <w:b/>
                <w:szCs w:val="22"/>
                <w:vertAlign w:val="superscript"/>
              </w:rPr>
            </w:pPr>
            <w:bookmarkStart w:id="46" w:name="_Toc426462632"/>
            <w:r>
              <w:rPr>
                <w:rFonts w:ascii="Calibri" w:hAnsi="Calibri"/>
                <w:b/>
                <w:szCs w:val="22"/>
              </w:rPr>
              <w:t>Service type</w:t>
            </w:r>
          </w:p>
        </w:tc>
        <w:tc>
          <w:tcPr>
            <w:tcW w:w="2263" w:type="dxa"/>
            <w:tcBorders>
              <w:top w:val="single" w:sz="4" w:space="0" w:color="auto"/>
              <w:left w:val="single" w:sz="4" w:space="0" w:color="auto"/>
              <w:bottom w:val="single" w:sz="4" w:space="0" w:color="auto"/>
              <w:right w:val="single" w:sz="4" w:space="0" w:color="auto"/>
            </w:tcBorders>
            <w:shd w:val="clear" w:color="auto" w:fill="C00000"/>
            <w:hideMark/>
          </w:tcPr>
          <w:p w14:paraId="196F3773" w14:textId="77777777" w:rsidR="00EB4A22" w:rsidRDefault="00EB4A22" w:rsidP="00B12430">
            <w:pPr>
              <w:tabs>
                <w:tab w:val="left" w:pos="1440"/>
                <w:tab w:val="decimal" w:pos="4320"/>
              </w:tabs>
              <w:spacing w:before="120" w:after="120"/>
              <w:jc w:val="center"/>
              <w:outlineLvl w:val="0"/>
              <w:rPr>
                <w:rFonts w:ascii="Calibri" w:hAnsi="Calibri"/>
                <w:b/>
                <w:szCs w:val="22"/>
              </w:rPr>
            </w:pPr>
            <w:r>
              <w:rPr>
                <w:rFonts w:ascii="Calibri" w:hAnsi="Calibri"/>
                <w:b/>
                <w:szCs w:val="22"/>
              </w:rPr>
              <w:t>Number of complaints</w:t>
            </w:r>
          </w:p>
        </w:tc>
        <w:tc>
          <w:tcPr>
            <w:tcW w:w="1981" w:type="dxa"/>
            <w:tcBorders>
              <w:top w:val="single" w:sz="4" w:space="0" w:color="auto"/>
              <w:left w:val="single" w:sz="4" w:space="0" w:color="auto"/>
              <w:bottom w:val="single" w:sz="4" w:space="0" w:color="auto"/>
              <w:right w:val="single" w:sz="4" w:space="0" w:color="auto"/>
            </w:tcBorders>
            <w:shd w:val="clear" w:color="auto" w:fill="C00000"/>
            <w:hideMark/>
          </w:tcPr>
          <w:p w14:paraId="5AAF053A" w14:textId="77777777" w:rsidR="00EB4A22" w:rsidRDefault="00EB4A22" w:rsidP="00B12430">
            <w:pPr>
              <w:tabs>
                <w:tab w:val="left" w:pos="1440"/>
                <w:tab w:val="decimal" w:pos="4320"/>
              </w:tabs>
              <w:spacing w:before="120" w:after="120"/>
              <w:jc w:val="center"/>
              <w:outlineLvl w:val="0"/>
              <w:rPr>
                <w:rFonts w:ascii="Calibri" w:hAnsi="Calibri"/>
                <w:b/>
                <w:szCs w:val="22"/>
              </w:rPr>
            </w:pPr>
            <w:r>
              <w:rPr>
                <w:rFonts w:ascii="Calibri" w:hAnsi="Calibri"/>
                <w:b/>
                <w:szCs w:val="22"/>
              </w:rPr>
              <w:t>Percentage</w:t>
            </w:r>
          </w:p>
        </w:tc>
      </w:tr>
      <w:tr w:rsidR="00EB4A22" w14:paraId="4E4EA580" w14:textId="77777777" w:rsidTr="00B12430">
        <w:trPr>
          <w:trHeight w:val="255"/>
        </w:trPr>
        <w:tc>
          <w:tcPr>
            <w:tcW w:w="4664" w:type="dxa"/>
            <w:tcBorders>
              <w:top w:val="single" w:sz="4" w:space="0" w:color="auto"/>
              <w:left w:val="single" w:sz="4" w:space="0" w:color="auto"/>
              <w:bottom w:val="single" w:sz="4" w:space="0" w:color="auto"/>
              <w:right w:val="single" w:sz="4" w:space="0" w:color="auto"/>
            </w:tcBorders>
            <w:vAlign w:val="bottom"/>
          </w:tcPr>
          <w:p w14:paraId="4AA05F8C" w14:textId="77777777" w:rsidR="00EB4A22" w:rsidRDefault="00EB4A22" w:rsidP="00B12430">
            <w:pPr>
              <w:rPr>
                <w:rFonts w:ascii="Calibri" w:hAnsi="Calibri" w:cs="Calibri"/>
                <w:b/>
                <w:color w:val="000000"/>
                <w:szCs w:val="22"/>
              </w:rPr>
            </w:pPr>
            <w:r>
              <w:rPr>
                <w:rFonts w:ascii="Calibri" w:hAnsi="Calibri" w:cs="Calibri"/>
                <w:b/>
                <w:color w:val="000000"/>
                <w:szCs w:val="22"/>
              </w:rPr>
              <w:t>Alcohol and drug</w:t>
            </w:r>
          </w:p>
        </w:tc>
        <w:tc>
          <w:tcPr>
            <w:tcW w:w="2263" w:type="dxa"/>
            <w:tcBorders>
              <w:top w:val="single" w:sz="4" w:space="0" w:color="auto"/>
              <w:left w:val="single" w:sz="4" w:space="0" w:color="auto"/>
              <w:bottom w:val="single" w:sz="4" w:space="0" w:color="auto"/>
              <w:right w:val="single" w:sz="4" w:space="0" w:color="auto"/>
            </w:tcBorders>
            <w:vAlign w:val="center"/>
          </w:tcPr>
          <w:p w14:paraId="057E5FDF" w14:textId="77777777" w:rsidR="00EB4A22" w:rsidRPr="00E04015" w:rsidRDefault="00EB4A22" w:rsidP="00B12430">
            <w:pPr>
              <w:jc w:val="center"/>
              <w:rPr>
                <w:rFonts w:ascii="Calibri" w:hAnsi="Calibri"/>
                <w:b/>
                <w:color w:val="000000"/>
                <w:szCs w:val="22"/>
              </w:rPr>
            </w:pPr>
            <w:r>
              <w:rPr>
                <w:rFonts w:ascii="Calibri" w:hAnsi="Calibri"/>
                <w:b/>
                <w:color w:val="000000"/>
                <w:szCs w:val="22"/>
              </w:rPr>
              <w:t>5</w:t>
            </w:r>
          </w:p>
        </w:tc>
        <w:tc>
          <w:tcPr>
            <w:tcW w:w="1981" w:type="dxa"/>
            <w:tcBorders>
              <w:top w:val="single" w:sz="4" w:space="0" w:color="auto"/>
              <w:left w:val="single" w:sz="4" w:space="0" w:color="auto"/>
              <w:bottom w:val="single" w:sz="4" w:space="0" w:color="auto"/>
              <w:right w:val="single" w:sz="4" w:space="0" w:color="auto"/>
            </w:tcBorders>
            <w:vAlign w:val="center"/>
          </w:tcPr>
          <w:p w14:paraId="5C30919A" w14:textId="77777777" w:rsidR="00EB4A22" w:rsidRPr="00E04015" w:rsidRDefault="00EB4A22" w:rsidP="00B12430">
            <w:pPr>
              <w:jc w:val="center"/>
              <w:rPr>
                <w:rFonts w:ascii="Calibri" w:hAnsi="Calibri"/>
                <w:b/>
                <w:color w:val="000000"/>
                <w:szCs w:val="22"/>
              </w:rPr>
            </w:pPr>
            <w:r>
              <w:rPr>
                <w:rFonts w:ascii="Calibri" w:hAnsi="Calibri"/>
                <w:b/>
                <w:color w:val="000000"/>
                <w:szCs w:val="22"/>
              </w:rPr>
              <w:t>1.0%</w:t>
            </w:r>
          </w:p>
        </w:tc>
      </w:tr>
      <w:tr w:rsidR="00EB4A22" w14:paraId="783FD98F" w14:textId="77777777" w:rsidTr="00B12430">
        <w:trPr>
          <w:trHeight w:val="274"/>
        </w:trPr>
        <w:tc>
          <w:tcPr>
            <w:tcW w:w="4664" w:type="dxa"/>
            <w:tcBorders>
              <w:top w:val="single" w:sz="4" w:space="0" w:color="auto"/>
              <w:left w:val="single" w:sz="4" w:space="0" w:color="auto"/>
              <w:bottom w:val="single" w:sz="4" w:space="0" w:color="auto"/>
              <w:right w:val="single" w:sz="4" w:space="0" w:color="auto"/>
            </w:tcBorders>
            <w:vAlign w:val="bottom"/>
          </w:tcPr>
          <w:p w14:paraId="3A2FF033" w14:textId="77777777" w:rsidR="00EB4A22" w:rsidRDefault="00EB4A22" w:rsidP="00B12430">
            <w:pPr>
              <w:rPr>
                <w:rFonts w:ascii="Calibri" w:hAnsi="Calibri" w:cs="Calibri"/>
                <w:b/>
                <w:color w:val="000000"/>
                <w:szCs w:val="22"/>
              </w:rPr>
            </w:pPr>
            <w:r>
              <w:rPr>
                <w:rFonts w:ascii="Calibri" w:hAnsi="Calibri" w:cs="Calibri"/>
                <w:b/>
                <w:color w:val="000000"/>
                <w:szCs w:val="22"/>
              </w:rPr>
              <w:t>Anaesthetics/pain medicine</w:t>
            </w:r>
          </w:p>
        </w:tc>
        <w:tc>
          <w:tcPr>
            <w:tcW w:w="2263" w:type="dxa"/>
            <w:tcBorders>
              <w:top w:val="single" w:sz="4" w:space="0" w:color="auto"/>
              <w:left w:val="single" w:sz="4" w:space="0" w:color="auto"/>
              <w:bottom w:val="single" w:sz="4" w:space="0" w:color="auto"/>
              <w:right w:val="single" w:sz="4" w:space="0" w:color="auto"/>
            </w:tcBorders>
            <w:vAlign w:val="center"/>
          </w:tcPr>
          <w:p w14:paraId="5C1EA00E" w14:textId="77777777" w:rsidR="00EB4A22" w:rsidRPr="00E04015" w:rsidRDefault="00EB4A22" w:rsidP="00B12430">
            <w:pPr>
              <w:jc w:val="center"/>
              <w:rPr>
                <w:rFonts w:ascii="Calibri" w:hAnsi="Calibri"/>
                <w:b/>
                <w:color w:val="000000"/>
                <w:szCs w:val="22"/>
              </w:rPr>
            </w:pPr>
            <w:r>
              <w:rPr>
                <w:rFonts w:ascii="Calibri" w:hAnsi="Calibri"/>
                <w:b/>
                <w:color w:val="000000"/>
                <w:szCs w:val="22"/>
              </w:rPr>
              <w:t>3</w:t>
            </w:r>
          </w:p>
        </w:tc>
        <w:tc>
          <w:tcPr>
            <w:tcW w:w="1981" w:type="dxa"/>
            <w:tcBorders>
              <w:top w:val="single" w:sz="4" w:space="0" w:color="auto"/>
              <w:left w:val="single" w:sz="4" w:space="0" w:color="auto"/>
              <w:bottom w:val="single" w:sz="4" w:space="0" w:color="auto"/>
              <w:right w:val="single" w:sz="4" w:space="0" w:color="auto"/>
            </w:tcBorders>
            <w:vAlign w:val="center"/>
          </w:tcPr>
          <w:p w14:paraId="1DEF1686" w14:textId="77777777" w:rsidR="00EB4A22" w:rsidRPr="00E04015" w:rsidRDefault="00EB4A22" w:rsidP="00B12430">
            <w:pPr>
              <w:jc w:val="center"/>
              <w:rPr>
                <w:rFonts w:ascii="Calibri" w:hAnsi="Calibri"/>
                <w:b/>
                <w:color w:val="000000"/>
                <w:szCs w:val="22"/>
              </w:rPr>
            </w:pPr>
            <w:r>
              <w:rPr>
                <w:rFonts w:ascii="Calibri" w:hAnsi="Calibri"/>
                <w:b/>
                <w:color w:val="000000"/>
                <w:szCs w:val="22"/>
              </w:rPr>
              <w:t>0.6%</w:t>
            </w:r>
          </w:p>
        </w:tc>
      </w:tr>
      <w:tr w:rsidR="00EB4A22" w14:paraId="311F7BD1" w14:textId="77777777" w:rsidTr="00B12430">
        <w:trPr>
          <w:trHeight w:val="274"/>
        </w:trPr>
        <w:tc>
          <w:tcPr>
            <w:tcW w:w="4664" w:type="dxa"/>
            <w:tcBorders>
              <w:top w:val="single" w:sz="4" w:space="0" w:color="auto"/>
              <w:left w:val="single" w:sz="4" w:space="0" w:color="auto"/>
              <w:bottom w:val="single" w:sz="4" w:space="0" w:color="auto"/>
              <w:right w:val="single" w:sz="4" w:space="0" w:color="auto"/>
            </w:tcBorders>
            <w:vAlign w:val="bottom"/>
            <w:hideMark/>
          </w:tcPr>
          <w:p w14:paraId="448A3CB5" w14:textId="77777777" w:rsidR="00EB4A22" w:rsidRDefault="00EB4A22" w:rsidP="00B12430">
            <w:pPr>
              <w:rPr>
                <w:rFonts w:ascii="Calibri" w:hAnsi="Calibri" w:cs="Calibri"/>
                <w:b/>
                <w:color w:val="000000"/>
                <w:szCs w:val="22"/>
              </w:rPr>
            </w:pPr>
            <w:r>
              <w:rPr>
                <w:rFonts w:ascii="Calibri" w:hAnsi="Calibri" w:cs="Calibri"/>
                <w:b/>
                <w:color w:val="000000"/>
                <w:szCs w:val="22"/>
              </w:rPr>
              <w:t xml:space="preserve">Dental </w:t>
            </w:r>
          </w:p>
        </w:tc>
        <w:tc>
          <w:tcPr>
            <w:tcW w:w="2263" w:type="dxa"/>
            <w:tcBorders>
              <w:top w:val="single" w:sz="4" w:space="0" w:color="auto"/>
              <w:left w:val="single" w:sz="4" w:space="0" w:color="auto"/>
              <w:bottom w:val="single" w:sz="4" w:space="0" w:color="auto"/>
              <w:right w:val="single" w:sz="4" w:space="0" w:color="auto"/>
            </w:tcBorders>
            <w:vAlign w:val="center"/>
          </w:tcPr>
          <w:p w14:paraId="0647CC0A" w14:textId="77777777" w:rsidR="00EB4A22" w:rsidRPr="00E04015" w:rsidRDefault="00EB4A22" w:rsidP="00B12430">
            <w:pPr>
              <w:jc w:val="center"/>
              <w:rPr>
                <w:rFonts w:ascii="Calibri" w:hAnsi="Calibri"/>
                <w:b/>
                <w:color w:val="000000"/>
                <w:szCs w:val="22"/>
              </w:rPr>
            </w:pPr>
            <w:r>
              <w:rPr>
                <w:rFonts w:ascii="Calibri" w:hAnsi="Calibri"/>
                <w:b/>
                <w:color w:val="000000"/>
                <w:szCs w:val="22"/>
              </w:rPr>
              <w:t>2</w:t>
            </w:r>
          </w:p>
        </w:tc>
        <w:tc>
          <w:tcPr>
            <w:tcW w:w="1981" w:type="dxa"/>
            <w:tcBorders>
              <w:top w:val="single" w:sz="4" w:space="0" w:color="auto"/>
              <w:left w:val="single" w:sz="4" w:space="0" w:color="auto"/>
              <w:bottom w:val="single" w:sz="4" w:space="0" w:color="auto"/>
              <w:right w:val="single" w:sz="4" w:space="0" w:color="auto"/>
            </w:tcBorders>
            <w:vAlign w:val="center"/>
          </w:tcPr>
          <w:p w14:paraId="0B6B5EC6" w14:textId="77777777" w:rsidR="00EB4A22" w:rsidRPr="00E04015" w:rsidRDefault="00EB4A22" w:rsidP="00B12430">
            <w:pPr>
              <w:jc w:val="center"/>
              <w:rPr>
                <w:rFonts w:ascii="Calibri" w:hAnsi="Calibri"/>
                <w:b/>
                <w:color w:val="000000"/>
                <w:szCs w:val="22"/>
              </w:rPr>
            </w:pPr>
            <w:r>
              <w:rPr>
                <w:rFonts w:ascii="Calibri" w:hAnsi="Calibri"/>
                <w:b/>
                <w:color w:val="000000"/>
                <w:szCs w:val="22"/>
              </w:rPr>
              <w:t>0.4%</w:t>
            </w:r>
          </w:p>
        </w:tc>
      </w:tr>
      <w:tr w:rsidR="00EB4A22" w14:paraId="3A516160" w14:textId="77777777" w:rsidTr="00B12430">
        <w:trPr>
          <w:trHeight w:val="263"/>
        </w:trPr>
        <w:tc>
          <w:tcPr>
            <w:tcW w:w="4664" w:type="dxa"/>
            <w:tcBorders>
              <w:top w:val="single" w:sz="4" w:space="0" w:color="auto"/>
              <w:left w:val="single" w:sz="4" w:space="0" w:color="auto"/>
              <w:bottom w:val="single" w:sz="4" w:space="0" w:color="auto"/>
              <w:right w:val="single" w:sz="4" w:space="0" w:color="auto"/>
            </w:tcBorders>
            <w:vAlign w:val="bottom"/>
            <w:hideMark/>
          </w:tcPr>
          <w:p w14:paraId="1FDDC902" w14:textId="77777777" w:rsidR="00EB4A22" w:rsidRDefault="00EB4A22" w:rsidP="00B12430">
            <w:pPr>
              <w:rPr>
                <w:rFonts w:cs="Arial"/>
                <w:b/>
                <w:szCs w:val="22"/>
              </w:rPr>
            </w:pPr>
            <w:r>
              <w:rPr>
                <w:rFonts w:cs="Arial"/>
                <w:b/>
                <w:szCs w:val="22"/>
              </w:rPr>
              <w:t>Diagnostics</w:t>
            </w:r>
          </w:p>
        </w:tc>
        <w:tc>
          <w:tcPr>
            <w:tcW w:w="2263" w:type="dxa"/>
            <w:tcBorders>
              <w:top w:val="single" w:sz="4" w:space="0" w:color="auto"/>
              <w:left w:val="single" w:sz="4" w:space="0" w:color="auto"/>
              <w:bottom w:val="single" w:sz="4" w:space="0" w:color="auto"/>
              <w:right w:val="single" w:sz="4" w:space="0" w:color="auto"/>
            </w:tcBorders>
            <w:vAlign w:val="center"/>
          </w:tcPr>
          <w:p w14:paraId="1A752187" w14:textId="77777777" w:rsidR="00EB4A22" w:rsidRPr="00E04015" w:rsidRDefault="00EB4A22" w:rsidP="00B12430">
            <w:pPr>
              <w:jc w:val="center"/>
              <w:rPr>
                <w:rFonts w:ascii="Calibri" w:hAnsi="Calibri"/>
                <w:b/>
                <w:color w:val="000000"/>
                <w:szCs w:val="22"/>
              </w:rPr>
            </w:pPr>
            <w:r>
              <w:rPr>
                <w:rFonts w:ascii="Calibri" w:hAnsi="Calibri"/>
                <w:b/>
                <w:color w:val="000000"/>
                <w:szCs w:val="22"/>
              </w:rPr>
              <w:t>11</w:t>
            </w:r>
          </w:p>
        </w:tc>
        <w:tc>
          <w:tcPr>
            <w:tcW w:w="1981" w:type="dxa"/>
            <w:tcBorders>
              <w:top w:val="single" w:sz="4" w:space="0" w:color="auto"/>
              <w:left w:val="single" w:sz="4" w:space="0" w:color="auto"/>
              <w:bottom w:val="single" w:sz="4" w:space="0" w:color="auto"/>
              <w:right w:val="single" w:sz="4" w:space="0" w:color="auto"/>
            </w:tcBorders>
            <w:vAlign w:val="center"/>
          </w:tcPr>
          <w:p w14:paraId="1A93FCAE" w14:textId="77777777" w:rsidR="00EB4A22" w:rsidRPr="00E04015" w:rsidRDefault="00EB4A22" w:rsidP="00B12430">
            <w:pPr>
              <w:jc w:val="center"/>
              <w:rPr>
                <w:rFonts w:ascii="Calibri" w:hAnsi="Calibri"/>
                <w:b/>
                <w:color w:val="000000"/>
                <w:szCs w:val="22"/>
              </w:rPr>
            </w:pPr>
            <w:r>
              <w:rPr>
                <w:rFonts w:ascii="Calibri" w:hAnsi="Calibri"/>
                <w:b/>
                <w:color w:val="000000"/>
                <w:szCs w:val="22"/>
              </w:rPr>
              <w:t>2.3%</w:t>
            </w:r>
          </w:p>
        </w:tc>
      </w:tr>
      <w:tr w:rsidR="00EB4A22" w14:paraId="362284B6" w14:textId="77777777" w:rsidTr="00B12430">
        <w:trPr>
          <w:trHeight w:val="282"/>
        </w:trPr>
        <w:tc>
          <w:tcPr>
            <w:tcW w:w="4664" w:type="dxa"/>
            <w:tcBorders>
              <w:top w:val="single" w:sz="4" w:space="0" w:color="auto"/>
              <w:left w:val="single" w:sz="4" w:space="0" w:color="auto"/>
              <w:bottom w:val="single" w:sz="4" w:space="0" w:color="auto"/>
              <w:right w:val="single" w:sz="4" w:space="0" w:color="auto"/>
            </w:tcBorders>
            <w:vAlign w:val="bottom"/>
            <w:hideMark/>
          </w:tcPr>
          <w:p w14:paraId="5F116243" w14:textId="77777777" w:rsidR="00EB4A22" w:rsidRDefault="00EB4A22" w:rsidP="00B12430">
            <w:pPr>
              <w:rPr>
                <w:rFonts w:cs="Arial"/>
                <w:b/>
                <w:szCs w:val="22"/>
              </w:rPr>
            </w:pPr>
            <w:r>
              <w:rPr>
                <w:rFonts w:cs="Arial"/>
                <w:b/>
                <w:szCs w:val="22"/>
              </w:rPr>
              <w:t>Disability services</w:t>
            </w:r>
          </w:p>
        </w:tc>
        <w:tc>
          <w:tcPr>
            <w:tcW w:w="2263" w:type="dxa"/>
            <w:tcBorders>
              <w:top w:val="single" w:sz="4" w:space="0" w:color="auto"/>
              <w:left w:val="single" w:sz="4" w:space="0" w:color="auto"/>
              <w:bottom w:val="single" w:sz="4" w:space="0" w:color="auto"/>
              <w:right w:val="single" w:sz="4" w:space="0" w:color="auto"/>
            </w:tcBorders>
            <w:vAlign w:val="center"/>
          </w:tcPr>
          <w:p w14:paraId="38F37BA2" w14:textId="77777777" w:rsidR="00EB4A22" w:rsidRPr="00E04015" w:rsidRDefault="00EB4A22" w:rsidP="00B12430">
            <w:pPr>
              <w:jc w:val="center"/>
              <w:rPr>
                <w:rFonts w:ascii="Calibri" w:hAnsi="Calibri"/>
                <w:b/>
                <w:color w:val="000000"/>
                <w:szCs w:val="22"/>
              </w:rPr>
            </w:pPr>
            <w:r>
              <w:rPr>
                <w:rFonts w:ascii="Calibri" w:hAnsi="Calibri"/>
                <w:b/>
                <w:color w:val="000000"/>
                <w:szCs w:val="22"/>
              </w:rPr>
              <w:t>9</w:t>
            </w:r>
          </w:p>
        </w:tc>
        <w:tc>
          <w:tcPr>
            <w:tcW w:w="1981" w:type="dxa"/>
            <w:tcBorders>
              <w:top w:val="single" w:sz="4" w:space="0" w:color="auto"/>
              <w:left w:val="single" w:sz="4" w:space="0" w:color="auto"/>
              <w:bottom w:val="single" w:sz="4" w:space="0" w:color="auto"/>
              <w:right w:val="single" w:sz="4" w:space="0" w:color="auto"/>
            </w:tcBorders>
            <w:vAlign w:val="center"/>
          </w:tcPr>
          <w:p w14:paraId="6FDAC0C7" w14:textId="77777777" w:rsidR="00EB4A22" w:rsidRPr="00E04015" w:rsidRDefault="00EB4A22" w:rsidP="00B12430">
            <w:pPr>
              <w:jc w:val="center"/>
              <w:rPr>
                <w:rFonts w:ascii="Calibri" w:hAnsi="Calibri"/>
                <w:b/>
                <w:color w:val="000000"/>
                <w:szCs w:val="22"/>
              </w:rPr>
            </w:pPr>
            <w:r>
              <w:rPr>
                <w:rFonts w:ascii="Calibri" w:hAnsi="Calibri"/>
                <w:b/>
                <w:color w:val="000000"/>
                <w:szCs w:val="22"/>
              </w:rPr>
              <w:t>1.9%</w:t>
            </w:r>
          </w:p>
        </w:tc>
      </w:tr>
      <w:tr w:rsidR="00EB4A22" w14:paraId="729085B0" w14:textId="77777777" w:rsidTr="00B12430">
        <w:trPr>
          <w:trHeight w:val="257"/>
        </w:trPr>
        <w:tc>
          <w:tcPr>
            <w:tcW w:w="4664" w:type="dxa"/>
            <w:tcBorders>
              <w:top w:val="single" w:sz="4" w:space="0" w:color="auto"/>
              <w:left w:val="single" w:sz="4" w:space="0" w:color="auto"/>
              <w:bottom w:val="single" w:sz="4" w:space="0" w:color="auto"/>
              <w:right w:val="single" w:sz="4" w:space="0" w:color="auto"/>
            </w:tcBorders>
            <w:vAlign w:val="bottom"/>
            <w:hideMark/>
          </w:tcPr>
          <w:p w14:paraId="6549FBAD" w14:textId="77777777" w:rsidR="00EB4A22" w:rsidRDefault="00EB4A22" w:rsidP="00B12430">
            <w:pPr>
              <w:rPr>
                <w:rFonts w:cs="Arial"/>
                <w:b/>
                <w:szCs w:val="22"/>
              </w:rPr>
            </w:pPr>
            <w:r>
              <w:rPr>
                <w:rFonts w:cs="Arial"/>
                <w:b/>
                <w:szCs w:val="22"/>
              </w:rPr>
              <w:t xml:space="preserve">District nursing </w:t>
            </w:r>
          </w:p>
        </w:tc>
        <w:tc>
          <w:tcPr>
            <w:tcW w:w="2263" w:type="dxa"/>
            <w:tcBorders>
              <w:top w:val="single" w:sz="4" w:space="0" w:color="auto"/>
              <w:left w:val="single" w:sz="4" w:space="0" w:color="auto"/>
              <w:bottom w:val="single" w:sz="4" w:space="0" w:color="auto"/>
              <w:right w:val="single" w:sz="4" w:space="0" w:color="auto"/>
            </w:tcBorders>
            <w:vAlign w:val="center"/>
          </w:tcPr>
          <w:p w14:paraId="62491993" w14:textId="77777777" w:rsidR="00EB4A22" w:rsidRPr="00E04015" w:rsidRDefault="00EB4A22" w:rsidP="00B12430">
            <w:pPr>
              <w:jc w:val="center"/>
              <w:rPr>
                <w:rFonts w:ascii="Calibri" w:hAnsi="Calibri"/>
                <w:b/>
                <w:color w:val="000000"/>
                <w:szCs w:val="22"/>
              </w:rPr>
            </w:pPr>
            <w:r>
              <w:rPr>
                <w:rFonts w:ascii="Calibri" w:hAnsi="Calibri"/>
                <w:b/>
                <w:color w:val="000000"/>
                <w:szCs w:val="22"/>
              </w:rPr>
              <w:t>4</w:t>
            </w:r>
          </w:p>
        </w:tc>
        <w:tc>
          <w:tcPr>
            <w:tcW w:w="1981" w:type="dxa"/>
            <w:tcBorders>
              <w:top w:val="single" w:sz="4" w:space="0" w:color="auto"/>
              <w:left w:val="single" w:sz="4" w:space="0" w:color="auto"/>
              <w:bottom w:val="single" w:sz="4" w:space="0" w:color="auto"/>
              <w:right w:val="single" w:sz="4" w:space="0" w:color="auto"/>
            </w:tcBorders>
            <w:vAlign w:val="center"/>
          </w:tcPr>
          <w:p w14:paraId="296714AA" w14:textId="77777777" w:rsidR="00EB4A22" w:rsidRPr="00E04015" w:rsidRDefault="00EB4A22" w:rsidP="00B12430">
            <w:pPr>
              <w:jc w:val="center"/>
              <w:rPr>
                <w:rFonts w:ascii="Calibri" w:hAnsi="Calibri"/>
                <w:b/>
                <w:color w:val="000000"/>
                <w:szCs w:val="22"/>
              </w:rPr>
            </w:pPr>
            <w:r>
              <w:rPr>
                <w:rFonts w:ascii="Calibri" w:hAnsi="Calibri"/>
                <w:b/>
                <w:color w:val="000000"/>
                <w:szCs w:val="22"/>
              </w:rPr>
              <w:t>0.8%</w:t>
            </w:r>
          </w:p>
        </w:tc>
      </w:tr>
      <w:tr w:rsidR="00EB4A22" w14:paraId="2B1BFA4F" w14:textId="77777777" w:rsidTr="00B12430">
        <w:trPr>
          <w:trHeight w:val="262"/>
        </w:trPr>
        <w:tc>
          <w:tcPr>
            <w:tcW w:w="4664" w:type="dxa"/>
            <w:tcBorders>
              <w:top w:val="single" w:sz="4" w:space="0" w:color="auto"/>
              <w:left w:val="single" w:sz="4" w:space="0" w:color="auto"/>
              <w:bottom w:val="single" w:sz="4" w:space="0" w:color="auto"/>
              <w:right w:val="single" w:sz="4" w:space="0" w:color="auto"/>
            </w:tcBorders>
            <w:vAlign w:val="bottom"/>
            <w:hideMark/>
          </w:tcPr>
          <w:p w14:paraId="2D65992A" w14:textId="77777777" w:rsidR="00EB4A22" w:rsidRDefault="00EB4A22" w:rsidP="00B12430">
            <w:pPr>
              <w:jc w:val="left"/>
              <w:rPr>
                <w:rFonts w:ascii="Calibri" w:hAnsi="Calibri" w:cs="Calibri"/>
                <w:b/>
                <w:color w:val="000000"/>
                <w:szCs w:val="22"/>
              </w:rPr>
            </w:pPr>
            <w:r>
              <w:rPr>
                <w:rFonts w:ascii="Calibri" w:hAnsi="Calibri" w:cs="Calibri"/>
                <w:b/>
                <w:color w:val="000000"/>
                <w:szCs w:val="22"/>
              </w:rPr>
              <w:t xml:space="preserve">Emergency department </w:t>
            </w:r>
          </w:p>
        </w:tc>
        <w:tc>
          <w:tcPr>
            <w:tcW w:w="2263" w:type="dxa"/>
            <w:tcBorders>
              <w:top w:val="single" w:sz="4" w:space="0" w:color="auto"/>
              <w:left w:val="single" w:sz="4" w:space="0" w:color="auto"/>
              <w:bottom w:val="single" w:sz="4" w:space="0" w:color="auto"/>
              <w:right w:val="single" w:sz="4" w:space="0" w:color="auto"/>
            </w:tcBorders>
            <w:vAlign w:val="center"/>
          </w:tcPr>
          <w:p w14:paraId="2DB1AD36" w14:textId="77777777" w:rsidR="00EB4A22" w:rsidRPr="00E04015" w:rsidRDefault="00EB4A22" w:rsidP="00B12430">
            <w:pPr>
              <w:jc w:val="center"/>
              <w:rPr>
                <w:rFonts w:ascii="Calibri" w:hAnsi="Calibri"/>
                <w:b/>
                <w:color w:val="000000"/>
                <w:szCs w:val="22"/>
              </w:rPr>
            </w:pPr>
            <w:r>
              <w:rPr>
                <w:rFonts w:ascii="Calibri" w:hAnsi="Calibri"/>
                <w:b/>
                <w:color w:val="000000"/>
                <w:szCs w:val="22"/>
              </w:rPr>
              <w:t>72</w:t>
            </w:r>
          </w:p>
        </w:tc>
        <w:tc>
          <w:tcPr>
            <w:tcW w:w="1981" w:type="dxa"/>
            <w:tcBorders>
              <w:top w:val="single" w:sz="4" w:space="0" w:color="auto"/>
              <w:left w:val="single" w:sz="4" w:space="0" w:color="auto"/>
              <w:bottom w:val="single" w:sz="4" w:space="0" w:color="auto"/>
              <w:right w:val="single" w:sz="4" w:space="0" w:color="auto"/>
            </w:tcBorders>
            <w:vAlign w:val="center"/>
          </w:tcPr>
          <w:p w14:paraId="144EB900" w14:textId="77777777" w:rsidR="00EB4A22" w:rsidRPr="00E04015" w:rsidRDefault="00EB4A22" w:rsidP="00B12430">
            <w:pPr>
              <w:jc w:val="center"/>
              <w:rPr>
                <w:rFonts w:ascii="Calibri" w:hAnsi="Calibri"/>
                <w:b/>
                <w:color w:val="000000"/>
                <w:szCs w:val="22"/>
              </w:rPr>
            </w:pPr>
            <w:r>
              <w:rPr>
                <w:rFonts w:ascii="Calibri" w:hAnsi="Calibri"/>
                <w:b/>
                <w:color w:val="000000"/>
                <w:szCs w:val="22"/>
              </w:rPr>
              <w:t>14.8%</w:t>
            </w:r>
          </w:p>
        </w:tc>
      </w:tr>
      <w:tr w:rsidR="00EB4A22" w14:paraId="727149FD" w14:textId="77777777" w:rsidTr="00B12430">
        <w:tc>
          <w:tcPr>
            <w:tcW w:w="4664" w:type="dxa"/>
            <w:tcBorders>
              <w:top w:val="single" w:sz="4" w:space="0" w:color="auto"/>
              <w:left w:val="single" w:sz="4" w:space="0" w:color="auto"/>
              <w:bottom w:val="single" w:sz="4" w:space="0" w:color="auto"/>
              <w:right w:val="single" w:sz="4" w:space="0" w:color="auto"/>
            </w:tcBorders>
            <w:vAlign w:val="bottom"/>
            <w:hideMark/>
          </w:tcPr>
          <w:p w14:paraId="6B5E8336" w14:textId="77777777" w:rsidR="00EB4A22" w:rsidRDefault="00EB4A22" w:rsidP="00B12430">
            <w:pPr>
              <w:rPr>
                <w:rFonts w:ascii="Calibri" w:hAnsi="Calibri" w:cs="Calibri"/>
                <w:b/>
                <w:color w:val="000000"/>
                <w:szCs w:val="22"/>
              </w:rPr>
            </w:pPr>
            <w:r>
              <w:rPr>
                <w:rFonts w:ascii="Calibri" w:hAnsi="Calibri" w:cs="Calibri"/>
                <w:b/>
                <w:color w:val="000000"/>
                <w:szCs w:val="22"/>
              </w:rPr>
              <w:t>Intensive care/critical care</w:t>
            </w:r>
          </w:p>
        </w:tc>
        <w:tc>
          <w:tcPr>
            <w:tcW w:w="2263" w:type="dxa"/>
            <w:tcBorders>
              <w:top w:val="single" w:sz="4" w:space="0" w:color="auto"/>
              <w:left w:val="single" w:sz="4" w:space="0" w:color="auto"/>
              <w:bottom w:val="single" w:sz="4" w:space="0" w:color="auto"/>
              <w:right w:val="single" w:sz="4" w:space="0" w:color="auto"/>
            </w:tcBorders>
            <w:vAlign w:val="center"/>
          </w:tcPr>
          <w:p w14:paraId="23DC98A5" w14:textId="77777777" w:rsidR="00EB4A22" w:rsidRPr="00E04015" w:rsidRDefault="00EB4A22" w:rsidP="00B12430">
            <w:pPr>
              <w:jc w:val="center"/>
              <w:rPr>
                <w:rFonts w:ascii="Calibri" w:hAnsi="Calibri"/>
                <w:b/>
                <w:color w:val="000000"/>
                <w:szCs w:val="22"/>
              </w:rPr>
            </w:pPr>
            <w:r>
              <w:rPr>
                <w:rFonts w:ascii="Calibri" w:hAnsi="Calibri"/>
                <w:b/>
                <w:color w:val="000000"/>
                <w:szCs w:val="22"/>
              </w:rPr>
              <w:t>5</w:t>
            </w:r>
          </w:p>
        </w:tc>
        <w:tc>
          <w:tcPr>
            <w:tcW w:w="1981" w:type="dxa"/>
            <w:tcBorders>
              <w:top w:val="single" w:sz="4" w:space="0" w:color="auto"/>
              <w:left w:val="single" w:sz="4" w:space="0" w:color="auto"/>
              <w:bottom w:val="single" w:sz="4" w:space="0" w:color="auto"/>
              <w:right w:val="single" w:sz="4" w:space="0" w:color="auto"/>
            </w:tcBorders>
            <w:vAlign w:val="center"/>
          </w:tcPr>
          <w:p w14:paraId="60D8A651" w14:textId="77777777" w:rsidR="00EB4A22" w:rsidRPr="00E04015" w:rsidRDefault="00EB4A22" w:rsidP="00B12430">
            <w:pPr>
              <w:jc w:val="center"/>
              <w:rPr>
                <w:rFonts w:ascii="Calibri" w:hAnsi="Calibri"/>
                <w:b/>
                <w:color w:val="000000"/>
                <w:szCs w:val="22"/>
              </w:rPr>
            </w:pPr>
            <w:r>
              <w:rPr>
                <w:rFonts w:ascii="Calibri" w:hAnsi="Calibri"/>
                <w:b/>
                <w:color w:val="000000"/>
                <w:szCs w:val="22"/>
              </w:rPr>
              <w:t>1.0%</w:t>
            </w:r>
          </w:p>
        </w:tc>
      </w:tr>
      <w:tr w:rsidR="00EB4A22" w14:paraId="0C3619C8" w14:textId="77777777" w:rsidTr="00B12430">
        <w:tc>
          <w:tcPr>
            <w:tcW w:w="4664" w:type="dxa"/>
            <w:tcBorders>
              <w:top w:val="single" w:sz="4" w:space="0" w:color="auto"/>
              <w:left w:val="single" w:sz="4" w:space="0" w:color="auto"/>
              <w:bottom w:val="single" w:sz="4" w:space="0" w:color="auto"/>
              <w:right w:val="single" w:sz="4" w:space="0" w:color="auto"/>
            </w:tcBorders>
            <w:vAlign w:val="bottom"/>
            <w:hideMark/>
          </w:tcPr>
          <w:p w14:paraId="7F306392" w14:textId="77777777" w:rsidR="00EB4A22" w:rsidRDefault="00EB4A22" w:rsidP="00B12430">
            <w:pPr>
              <w:rPr>
                <w:rFonts w:ascii="Calibri" w:hAnsi="Calibri" w:cs="Calibri"/>
                <w:b/>
                <w:color w:val="000000"/>
                <w:szCs w:val="22"/>
              </w:rPr>
            </w:pPr>
            <w:r>
              <w:rPr>
                <w:rFonts w:ascii="Calibri" w:hAnsi="Calibri" w:cs="Calibri"/>
                <w:b/>
                <w:color w:val="000000"/>
                <w:szCs w:val="22"/>
              </w:rPr>
              <w:t>Maternity</w:t>
            </w:r>
          </w:p>
        </w:tc>
        <w:tc>
          <w:tcPr>
            <w:tcW w:w="2263" w:type="dxa"/>
            <w:tcBorders>
              <w:top w:val="single" w:sz="4" w:space="0" w:color="auto"/>
              <w:left w:val="single" w:sz="4" w:space="0" w:color="auto"/>
              <w:bottom w:val="single" w:sz="4" w:space="0" w:color="auto"/>
              <w:right w:val="single" w:sz="4" w:space="0" w:color="auto"/>
            </w:tcBorders>
            <w:vAlign w:val="center"/>
          </w:tcPr>
          <w:p w14:paraId="7E68D132" w14:textId="77777777" w:rsidR="00EB4A22" w:rsidRPr="00E04015" w:rsidRDefault="00EB4A22" w:rsidP="00B12430">
            <w:pPr>
              <w:jc w:val="center"/>
              <w:rPr>
                <w:rFonts w:ascii="Calibri" w:hAnsi="Calibri"/>
                <w:b/>
                <w:color w:val="000000"/>
                <w:szCs w:val="22"/>
              </w:rPr>
            </w:pPr>
            <w:r>
              <w:rPr>
                <w:rFonts w:ascii="Calibri" w:hAnsi="Calibri"/>
                <w:b/>
                <w:color w:val="000000"/>
                <w:szCs w:val="22"/>
              </w:rPr>
              <w:t>23</w:t>
            </w:r>
          </w:p>
        </w:tc>
        <w:tc>
          <w:tcPr>
            <w:tcW w:w="1981" w:type="dxa"/>
            <w:tcBorders>
              <w:top w:val="single" w:sz="4" w:space="0" w:color="auto"/>
              <w:left w:val="single" w:sz="4" w:space="0" w:color="auto"/>
              <w:bottom w:val="single" w:sz="4" w:space="0" w:color="auto"/>
              <w:right w:val="single" w:sz="4" w:space="0" w:color="auto"/>
            </w:tcBorders>
            <w:vAlign w:val="center"/>
          </w:tcPr>
          <w:p w14:paraId="162E606E" w14:textId="77777777" w:rsidR="00EB4A22" w:rsidRPr="00E04015" w:rsidRDefault="00EB4A22" w:rsidP="00B12430">
            <w:pPr>
              <w:jc w:val="center"/>
              <w:rPr>
                <w:rFonts w:ascii="Calibri" w:hAnsi="Calibri"/>
                <w:b/>
                <w:color w:val="000000"/>
                <w:szCs w:val="22"/>
              </w:rPr>
            </w:pPr>
            <w:r>
              <w:rPr>
                <w:rFonts w:ascii="Calibri" w:hAnsi="Calibri"/>
                <w:b/>
                <w:color w:val="000000"/>
                <w:szCs w:val="22"/>
              </w:rPr>
              <w:t>4.7%</w:t>
            </w:r>
          </w:p>
        </w:tc>
      </w:tr>
      <w:tr w:rsidR="00EB4A22" w14:paraId="354AA580" w14:textId="77777777" w:rsidTr="00B12430">
        <w:tc>
          <w:tcPr>
            <w:tcW w:w="4664" w:type="dxa"/>
            <w:tcBorders>
              <w:top w:val="single" w:sz="4" w:space="0" w:color="auto"/>
              <w:left w:val="single" w:sz="4" w:space="0" w:color="auto"/>
              <w:bottom w:val="single" w:sz="4" w:space="0" w:color="auto"/>
              <w:right w:val="single" w:sz="4" w:space="0" w:color="auto"/>
            </w:tcBorders>
          </w:tcPr>
          <w:p w14:paraId="1287BB84" w14:textId="77777777" w:rsidR="00EB4A22" w:rsidRDefault="00EB4A22" w:rsidP="00B12430">
            <w:pPr>
              <w:jc w:val="left"/>
              <w:rPr>
                <w:rFonts w:ascii="Calibri" w:hAnsi="Calibri" w:cs="Calibri"/>
                <w:b/>
                <w:color w:val="000000"/>
                <w:szCs w:val="22"/>
              </w:rPr>
            </w:pPr>
            <w:r>
              <w:rPr>
                <w:rFonts w:ascii="Calibri" w:hAnsi="Calibri" w:cs="Calibri"/>
                <w:b/>
                <w:color w:val="000000"/>
                <w:szCs w:val="22"/>
              </w:rPr>
              <w:t>Medicine</w:t>
            </w:r>
          </w:p>
          <w:p w14:paraId="7C3170B8" w14:textId="5D3A7711" w:rsidR="00EB4A22" w:rsidRPr="009100DA" w:rsidRDefault="00B12430" w:rsidP="00B12430">
            <w:pPr>
              <w:jc w:val="left"/>
              <w:rPr>
                <w:rFonts w:ascii="Calibri" w:hAnsi="Calibri" w:cs="Calibri"/>
                <w:color w:val="000000"/>
                <w:szCs w:val="22"/>
              </w:rPr>
            </w:pPr>
            <w:r>
              <w:rPr>
                <w:rFonts w:ascii="Calibri" w:hAnsi="Calibri" w:cs="Calibri"/>
                <w:b/>
                <w:color w:val="000000"/>
                <w:szCs w:val="22"/>
              </w:rPr>
              <w:t xml:space="preserve"> </w:t>
            </w:r>
            <w:r w:rsidR="00EB4A22" w:rsidRPr="009100DA">
              <w:rPr>
                <w:rFonts w:ascii="Calibri" w:hAnsi="Calibri" w:cs="Calibri"/>
                <w:color w:val="000000"/>
                <w:szCs w:val="22"/>
              </w:rPr>
              <w:t>General medicine</w:t>
            </w:r>
          </w:p>
          <w:p w14:paraId="0FBE44C6" w14:textId="26F6AD3B"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Cardiology</w:t>
            </w:r>
          </w:p>
          <w:p w14:paraId="11611236" w14:textId="6060730B"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Dermatology</w:t>
            </w:r>
          </w:p>
          <w:p w14:paraId="54045085" w14:textId="6F2A5931"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Endocrinology</w:t>
            </w:r>
          </w:p>
          <w:p w14:paraId="4491F348" w14:textId="46AC91BB"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Gastroenterology</w:t>
            </w:r>
          </w:p>
          <w:p w14:paraId="2E2ED963" w14:textId="655F802F"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Geriatric medicine</w:t>
            </w:r>
          </w:p>
          <w:p w14:paraId="565688B3" w14:textId="1BC56F55"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Haematology</w:t>
            </w:r>
          </w:p>
          <w:p w14:paraId="50C71DC8" w14:textId="004CC4B5"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Neurology</w:t>
            </w:r>
          </w:p>
          <w:p w14:paraId="01CE6AEF" w14:textId="1C230968"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Oncology</w:t>
            </w:r>
          </w:p>
          <w:p w14:paraId="66E90E2A" w14:textId="072C905C"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Palliative care</w:t>
            </w:r>
          </w:p>
          <w:p w14:paraId="15D15C12" w14:textId="53AAD66A"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Renal/nephrology</w:t>
            </w:r>
          </w:p>
          <w:p w14:paraId="1BC5DDDB" w14:textId="5BF074CD"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Respiratory</w:t>
            </w:r>
          </w:p>
          <w:p w14:paraId="10DCE0B2" w14:textId="32BDC393"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Rheumatology</w:t>
            </w:r>
          </w:p>
          <w:p w14:paraId="04A4C0BE" w14:textId="3504B5D8"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Other/unspecified</w:t>
            </w:r>
          </w:p>
        </w:tc>
        <w:tc>
          <w:tcPr>
            <w:tcW w:w="2263" w:type="dxa"/>
            <w:tcBorders>
              <w:top w:val="single" w:sz="4" w:space="0" w:color="auto"/>
              <w:left w:val="single" w:sz="4" w:space="0" w:color="auto"/>
              <w:bottom w:val="single" w:sz="4" w:space="0" w:color="auto"/>
              <w:right w:val="single" w:sz="4" w:space="0" w:color="auto"/>
            </w:tcBorders>
          </w:tcPr>
          <w:p w14:paraId="3F82F5B7" w14:textId="77777777" w:rsidR="00EB4A22" w:rsidRPr="00C64F75" w:rsidRDefault="00EB4A22" w:rsidP="00B12430">
            <w:pPr>
              <w:jc w:val="center"/>
              <w:rPr>
                <w:rFonts w:ascii="Calibri" w:hAnsi="Calibri"/>
                <w:b/>
                <w:color w:val="000000"/>
                <w:szCs w:val="22"/>
              </w:rPr>
            </w:pPr>
            <w:r>
              <w:rPr>
                <w:rFonts w:ascii="Calibri" w:hAnsi="Calibri"/>
                <w:b/>
                <w:color w:val="000000"/>
                <w:szCs w:val="22"/>
              </w:rPr>
              <w:t>93</w:t>
            </w:r>
          </w:p>
          <w:p w14:paraId="1E194C44" w14:textId="77777777" w:rsidR="00EB4A22" w:rsidRDefault="00EB4A22" w:rsidP="00B12430">
            <w:pPr>
              <w:jc w:val="center"/>
              <w:rPr>
                <w:rFonts w:ascii="Calibri" w:hAnsi="Calibri"/>
                <w:color w:val="000000"/>
                <w:szCs w:val="22"/>
              </w:rPr>
            </w:pPr>
            <w:r>
              <w:rPr>
                <w:rFonts w:ascii="Calibri" w:hAnsi="Calibri"/>
                <w:color w:val="000000"/>
                <w:szCs w:val="22"/>
              </w:rPr>
              <w:t>15</w:t>
            </w:r>
          </w:p>
          <w:p w14:paraId="4B8F9DED" w14:textId="77777777" w:rsidR="00EB4A22" w:rsidRDefault="00EB4A22" w:rsidP="00B12430">
            <w:pPr>
              <w:jc w:val="center"/>
              <w:rPr>
                <w:rFonts w:ascii="Calibri" w:hAnsi="Calibri"/>
                <w:color w:val="000000"/>
                <w:szCs w:val="22"/>
              </w:rPr>
            </w:pPr>
            <w:r>
              <w:rPr>
                <w:rFonts w:ascii="Calibri" w:hAnsi="Calibri"/>
                <w:color w:val="000000"/>
                <w:szCs w:val="22"/>
              </w:rPr>
              <w:t>7</w:t>
            </w:r>
          </w:p>
          <w:p w14:paraId="5FAA630A" w14:textId="77777777" w:rsidR="00EB4A22" w:rsidRDefault="00EB4A22" w:rsidP="00B12430">
            <w:pPr>
              <w:jc w:val="center"/>
              <w:rPr>
                <w:rFonts w:ascii="Calibri" w:hAnsi="Calibri"/>
                <w:color w:val="000000"/>
                <w:szCs w:val="22"/>
              </w:rPr>
            </w:pPr>
            <w:r>
              <w:rPr>
                <w:rFonts w:ascii="Calibri" w:hAnsi="Calibri"/>
                <w:color w:val="000000"/>
                <w:szCs w:val="22"/>
              </w:rPr>
              <w:t>1</w:t>
            </w:r>
          </w:p>
          <w:p w14:paraId="26A65D96" w14:textId="77777777" w:rsidR="00EB4A22" w:rsidRDefault="00EB4A22" w:rsidP="00B12430">
            <w:pPr>
              <w:jc w:val="center"/>
              <w:rPr>
                <w:rFonts w:ascii="Calibri" w:hAnsi="Calibri"/>
                <w:color w:val="000000"/>
                <w:szCs w:val="22"/>
              </w:rPr>
            </w:pPr>
            <w:r>
              <w:rPr>
                <w:rFonts w:ascii="Calibri" w:hAnsi="Calibri"/>
                <w:color w:val="000000"/>
                <w:szCs w:val="22"/>
              </w:rPr>
              <w:t>3</w:t>
            </w:r>
          </w:p>
          <w:p w14:paraId="57610CFF" w14:textId="77777777" w:rsidR="00EB4A22" w:rsidRDefault="00EB4A22" w:rsidP="00B12430">
            <w:pPr>
              <w:jc w:val="center"/>
              <w:rPr>
                <w:rFonts w:ascii="Calibri" w:hAnsi="Calibri"/>
                <w:color w:val="000000"/>
                <w:szCs w:val="22"/>
              </w:rPr>
            </w:pPr>
            <w:r>
              <w:rPr>
                <w:rFonts w:ascii="Calibri" w:hAnsi="Calibri"/>
                <w:color w:val="000000"/>
                <w:szCs w:val="22"/>
              </w:rPr>
              <w:t>11</w:t>
            </w:r>
          </w:p>
          <w:p w14:paraId="413C73BE" w14:textId="77777777" w:rsidR="00EB4A22" w:rsidRDefault="00EB4A22" w:rsidP="00B12430">
            <w:pPr>
              <w:jc w:val="center"/>
              <w:rPr>
                <w:rFonts w:ascii="Calibri" w:hAnsi="Calibri"/>
                <w:color w:val="000000"/>
                <w:szCs w:val="22"/>
              </w:rPr>
            </w:pPr>
            <w:r>
              <w:rPr>
                <w:rFonts w:ascii="Calibri" w:hAnsi="Calibri"/>
                <w:color w:val="000000"/>
                <w:szCs w:val="22"/>
              </w:rPr>
              <w:t>15</w:t>
            </w:r>
          </w:p>
          <w:p w14:paraId="47312973" w14:textId="77777777" w:rsidR="00EB4A22" w:rsidRDefault="00EB4A22" w:rsidP="00B12430">
            <w:pPr>
              <w:jc w:val="center"/>
              <w:rPr>
                <w:rFonts w:ascii="Calibri" w:hAnsi="Calibri"/>
                <w:color w:val="000000"/>
                <w:szCs w:val="22"/>
              </w:rPr>
            </w:pPr>
            <w:r>
              <w:rPr>
                <w:rFonts w:ascii="Calibri" w:hAnsi="Calibri"/>
                <w:color w:val="000000"/>
                <w:szCs w:val="22"/>
              </w:rPr>
              <w:t>6</w:t>
            </w:r>
          </w:p>
          <w:p w14:paraId="440FEA0F" w14:textId="77777777" w:rsidR="00EB4A22" w:rsidRDefault="00EB4A22" w:rsidP="00B12430">
            <w:pPr>
              <w:jc w:val="center"/>
              <w:rPr>
                <w:rFonts w:ascii="Calibri" w:hAnsi="Calibri"/>
                <w:color w:val="000000"/>
                <w:szCs w:val="22"/>
              </w:rPr>
            </w:pPr>
            <w:r>
              <w:rPr>
                <w:rFonts w:ascii="Calibri" w:hAnsi="Calibri"/>
                <w:color w:val="000000"/>
                <w:szCs w:val="22"/>
              </w:rPr>
              <w:t>17</w:t>
            </w:r>
          </w:p>
          <w:p w14:paraId="31930DA7" w14:textId="77777777" w:rsidR="00EB4A22" w:rsidRDefault="00EB4A22" w:rsidP="00B12430">
            <w:pPr>
              <w:jc w:val="center"/>
              <w:rPr>
                <w:rFonts w:ascii="Calibri" w:hAnsi="Calibri"/>
                <w:color w:val="000000"/>
                <w:szCs w:val="22"/>
              </w:rPr>
            </w:pPr>
            <w:r>
              <w:rPr>
                <w:rFonts w:ascii="Calibri" w:hAnsi="Calibri"/>
                <w:color w:val="000000"/>
                <w:szCs w:val="22"/>
              </w:rPr>
              <w:t>4</w:t>
            </w:r>
          </w:p>
          <w:p w14:paraId="717F8F17" w14:textId="77777777" w:rsidR="00EB4A22" w:rsidRDefault="00EB4A22" w:rsidP="00B12430">
            <w:pPr>
              <w:jc w:val="center"/>
              <w:rPr>
                <w:rFonts w:ascii="Calibri" w:hAnsi="Calibri"/>
                <w:color w:val="000000"/>
                <w:szCs w:val="22"/>
              </w:rPr>
            </w:pPr>
            <w:r>
              <w:rPr>
                <w:rFonts w:ascii="Calibri" w:hAnsi="Calibri"/>
                <w:color w:val="000000"/>
                <w:szCs w:val="22"/>
              </w:rPr>
              <w:t>1</w:t>
            </w:r>
          </w:p>
          <w:p w14:paraId="45A153E0" w14:textId="77777777" w:rsidR="00EB4A22" w:rsidRDefault="00EB4A22" w:rsidP="00B12430">
            <w:pPr>
              <w:jc w:val="center"/>
              <w:rPr>
                <w:rFonts w:ascii="Calibri" w:hAnsi="Calibri"/>
                <w:color w:val="000000"/>
                <w:szCs w:val="22"/>
              </w:rPr>
            </w:pPr>
            <w:r>
              <w:rPr>
                <w:rFonts w:ascii="Calibri" w:hAnsi="Calibri"/>
                <w:color w:val="000000"/>
                <w:szCs w:val="22"/>
              </w:rPr>
              <w:t>5</w:t>
            </w:r>
          </w:p>
          <w:p w14:paraId="591B8F37" w14:textId="77777777" w:rsidR="00EB4A22" w:rsidRDefault="00EB4A22" w:rsidP="00B12430">
            <w:pPr>
              <w:jc w:val="center"/>
              <w:rPr>
                <w:rFonts w:ascii="Calibri" w:hAnsi="Calibri"/>
                <w:color w:val="000000"/>
                <w:szCs w:val="22"/>
              </w:rPr>
            </w:pPr>
            <w:r>
              <w:rPr>
                <w:rFonts w:ascii="Calibri" w:hAnsi="Calibri"/>
                <w:color w:val="000000"/>
                <w:szCs w:val="22"/>
              </w:rPr>
              <w:t>1</w:t>
            </w:r>
          </w:p>
          <w:p w14:paraId="11521ED4" w14:textId="77777777" w:rsidR="00EB4A22" w:rsidRDefault="00EB4A22" w:rsidP="00B12430">
            <w:pPr>
              <w:jc w:val="center"/>
              <w:rPr>
                <w:rFonts w:ascii="Calibri" w:hAnsi="Calibri"/>
                <w:color w:val="000000"/>
                <w:szCs w:val="22"/>
              </w:rPr>
            </w:pPr>
            <w:r>
              <w:rPr>
                <w:rFonts w:ascii="Calibri" w:hAnsi="Calibri"/>
                <w:color w:val="000000"/>
                <w:szCs w:val="22"/>
              </w:rPr>
              <w:t>2</w:t>
            </w:r>
          </w:p>
          <w:p w14:paraId="1675696F" w14:textId="77777777" w:rsidR="00EB4A22" w:rsidRPr="00BB20D1" w:rsidRDefault="00EB4A22" w:rsidP="00B12430">
            <w:pPr>
              <w:jc w:val="center"/>
              <w:rPr>
                <w:rFonts w:ascii="Calibri" w:hAnsi="Calibri"/>
                <w:color w:val="000000"/>
                <w:szCs w:val="22"/>
              </w:rPr>
            </w:pPr>
            <w:r>
              <w:rPr>
                <w:rFonts w:ascii="Calibri" w:hAnsi="Calibri"/>
                <w:color w:val="000000"/>
                <w:szCs w:val="22"/>
              </w:rPr>
              <w:t>5</w:t>
            </w:r>
          </w:p>
        </w:tc>
        <w:tc>
          <w:tcPr>
            <w:tcW w:w="1981" w:type="dxa"/>
            <w:tcBorders>
              <w:top w:val="single" w:sz="4" w:space="0" w:color="auto"/>
              <w:left w:val="single" w:sz="4" w:space="0" w:color="auto"/>
              <w:bottom w:val="single" w:sz="4" w:space="0" w:color="auto"/>
              <w:right w:val="single" w:sz="4" w:space="0" w:color="auto"/>
            </w:tcBorders>
          </w:tcPr>
          <w:p w14:paraId="315A8691" w14:textId="77777777" w:rsidR="00EB4A22" w:rsidRDefault="00EB4A22" w:rsidP="00B12430">
            <w:pPr>
              <w:jc w:val="center"/>
              <w:rPr>
                <w:rFonts w:ascii="Calibri" w:hAnsi="Calibri"/>
                <w:b/>
                <w:color w:val="000000"/>
                <w:szCs w:val="22"/>
              </w:rPr>
            </w:pPr>
            <w:r w:rsidRPr="00163955">
              <w:rPr>
                <w:rFonts w:ascii="Calibri" w:hAnsi="Calibri"/>
                <w:b/>
                <w:color w:val="000000"/>
                <w:szCs w:val="22"/>
              </w:rPr>
              <w:t>19.1%</w:t>
            </w:r>
          </w:p>
          <w:p w14:paraId="78E927D6" w14:textId="77777777" w:rsidR="00EB4A22" w:rsidRDefault="00EB4A22" w:rsidP="00B12430">
            <w:pPr>
              <w:jc w:val="center"/>
              <w:rPr>
                <w:rFonts w:ascii="Calibri" w:hAnsi="Calibri"/>
                <w:color w:val="000000"/>
                <w:szCs w:val="22"/>
              </w:rPr>
            </w:pPr>
            <w:r>
              <w:rPr>
                <w:rFonts w:ascii="Calibri" w:hAnsi="Calibri"/>
                <w:color w:val="000000"/>
                <w:szCs w:val="22"/>
              </w:rPr>
              <w:t>3.1%</w:t>
            </w:r>
          </w:p>
          <w:p w14:paraId="23AA41AB" w14:textId="77777777" w:rsidR="00EB4A22" w:rsidRDefault="00EB4A22" w:rsidP="00B12430">
            <w:pPr>
              <w:jc w:val="center"/>
              <w:rPr>
                <w:rFonts w:ascii="Calibri" w:hAnsi="Calibri"/>
                <w:color w:val="000000"/>
                <w:szCs w:val="22"/>
              </w:rPr>
            </w:pPr>
            <w:r>
              <w:rPr>
                <w:rFonts w:ascii="Calibri" w:hAnsi="Calibri"/>
                <w:color w:val="000000"/>
                <w:szCs w:val="22"/>
              </w:rPr>
              <w:t>1.4%</w:t>
            </w:r>
          </w:p>
          <w:p w14:paraId="55A5F996" w14:textId="77777777" w:rsidR="00EB4A22" w:rsidRDefault="00EB4A22" w:rsidP="00B12430">
            <w:pPr>
              <w:jc w:val="center"/>
              <w:rPr>
                <w:rFonts w:ascii="Calibri" w:hAnsi="Calibri"/>
                <w:color w:val="000000"/>
                <w:szCs w:val="22"/>
              </w:rPr>
            </w:pPr>
            <w:r>
              <w:rPr>
                <w:rFonts w:ascii="Calibri" w:hAnsi="Calibri"/>
                <w:color w:val="000000"/>
                <w:szCs w:val="22"/>
              </w:rPr>
              <w:t>0.2%</w:t>
            </w:r>
          </w:p>
          <w:p w14:paraId="5B64DFBC" w14:textId="77777777" w:rsidR="00EB4A22" w:rsidRDefault="00EB4A22" w:rsidP="00B12430">
            <w:pPr>
              <w:jc w:val="center"/>
              <w:rPr>
                <w:rFonts w:ascii="Calibri" w:hAnsi="Calibri"/>
                <w:color w:val="000000"/>
                <w:szCs w:val="22"/>
              </w:rPr>
            </w:pPr>
            <w:r>
              <w:rPr>
                <w:rFonts w:ascii="Calibri" w:hAnsi="Calibri"/>
                <w:color w:val="000000"/>
                <w:szCs w:val="22"/>
              </w:rPr>
              <w:t>0.6%</w:t>
            </w:r>
          </w:p>
          <w:p w14:paraId="47E80CE2" w14:textId="77777777" w:rsidR="00EB4A22" w:rsidRDefault="00EB4A22" w:rsidP="00B12430">
            <w:pPr>
              <w:jc w:val="center"/>
              <w:rPr>
                <w:rFonts w:ascii="Calibri" w:hAnsi="Calibri"/>
                <w:color w:val="000000"/>
                <w:szCs w:val="22"/>
              </w:rPr>
            </w:pPr>
            <w:r>
              <w:rPr>
                <w:rFonts w:ascii="Calibri" w:hAnsi="Calibri"/>
                <w:color w:val="000000"/>
                <w:szCs w:val="22"/>
              </w:rPr>
              <w:t>2.3%</w:t>
            </w:r>
          </w:p>
          <w:p w14:paraId="2C430EEC" w14:textId="77777777" w:rsidR="00EB4A22" w:rsidRDefault="00EB4A22" w:rsidP="00B12430">
            <w:pPr>
              <w:jc w:val="center"/>
              <w:rPr>
                <w:rFonts w:ascii="Calibri" w:hAnsi="Calibri"/>
                <w:color w:val="000000"/>
                <w:szCs w:val="22"/>
              </w:rPr>
            </w:pPr>
            <w:r>
              <w:rPr>
                <w:rFonts w:ascii="Calibri" w:hAnsi="Calibri"/>
                <w:color w:val="000000"/>
                <w:szCs w:val="22"/>
              </w:rPr>
              <w:t>3.1%</w:t>
            </w:r>
          </w:p>
          <w:p w14:paraId="23A03EE4" w14:textId="77777777" w:rsidR="00EB4A22" w:rsidRDefault="00EB4A22" w:rsidP="00B12430">
            <w:pPr>
              <w:jc w:val="center"/>
              <w:rPr>
                <w:rFonts w:ascii="Calibri" w:hAnsi="Calibri"/>
                <w:color w:val="000000"/>
                <w:szCs w:val="22"/>
              </w:rPr>
            </w:pPr>
            <w:r>
              <w:rPr>
                <w:rFonts w:ascii="Calibri" w:hAnsi="Calibri"/>
                <w:color w:val="000000"/>
                <w:szCs w:val="22"/>
              </w:rPr>
              <w:t>1.2%</w:t>
            </w:r>
          </w:p>
          <w:p w14:paraId="55996B6C" w14:textId="77777777" w:rsidR="00EB4A22" w:rsidRDefault="00EB4A22" w:rsidP="00B12430">
            <w:pPr>
              <w:jc w:val="center"/>
              <w:rPr>
                <w:rFonts w:ascii="Calibri" w:hAnsi="Calibri"/>
                <w:color w:val="000000"/>
                <w:szCs w:val="22"/>
              </w:rPr>
            </w:pPr>
            <w:r>
              <w:rPr>
                <w:rFonts w:ascii="Calibri" w:hAnsi="Calibri"/>
                <w:color w:val="000000"/>
                <w:szCs w:val="22"/>
              </w:rPr>
              <w:t>3.5%</w:t>
            </w:r>
          </w:p>
          <w:p w14:paraId="79BAE9B8" w14:textId="77777777" w:rsidR="00EB4A22" w:rsidRDefault="00EB4A22" w:rsidP="00B12430">
            <w:pPr>
              <w:jc w:val="center"/>
              <w:rPr>
                <w:rFonts w:ascii="Calibri" w:hAnsi="Calibri"/>
                <w:color w:val="000000"/>
                <w:szCs w:val="22"/>
              </w:rPr>
            </w:pPr>
            <w:r>
              <w:rPr>
                <w:rFonts w:ascii="Calibri" w:hAnsi="Calibri"/>
                <w:color w:val="000000"/>
                <w:szCs w:val="22"/>
              </w:rPr>
              <w:t>0.8%</w:t>
            </w:r>
          </w:p>
          <w:p w14:paraId="12A52FBB" w14:textId="77777777" w:rsidR="00EB4A22" w:rsidRDefault="00EB4A22" w:rsidP="00B12430">
            <w:pPr>
              <w:jc w:val="center"/>
              <w:rPr>
                <w:rFonts w:ascii="Calibri" w:hAnsi="Calibri"/>
                <w:color w:val="000000"/>
                <w:szCs w:val="22"/>
              </w:rPr>
            </w:pPr>
            <w:r>
              <w:rPr>
                <w:rFonts w:ascii="Calibri" w:hAnsi="Calibri"/>
                <w:color w:val="000000"/>
                <w:szCs w:val="22"/>
              </w:rPr>
              <w:t>0.2%</w:t>
            </w:r>
          </w:p>
          <w:p w14:paraId="6624E462" w14:textId="77777777" w:rsidR="00EB4A22" w:rsidRDefault="00EB4A22" w:rsidP="00B12430">
            <w:pPr>
              <w:jc w:val="center"/>
              <w:rPr>
                <w:rFonts w:ascii="Calibri" w:hAnsi="Calibri"/>
                <w:color w:val="000000"/>
                <w:szCs w:val="22"/>
              </w:rPr>
            </w:pPr>
            <w:r>
              <w:rPr>
                <w:rFonts w:ascii="Calibri" w:hAnsi="Calibri"/>
                <w:color w:val="000000"/>
                <w:szCs w:val="22"/>
              </w:rPr>
              <w:t>1.0%</w:t>
            </w:r>
          </w:p>
          <w:p w14:paraId="305A806F" w14:textId="77777777" w:rsidR="00EB4A22" w:rsidRDefault="00EB4A22" w:rsidP="00B12430">
            <w:pPr>
              <w:jc w:val="center"/>
              <w:rPr>
                <w:rFonts w:ascii="Calibri" w:hAnsi="Calibri"/>
                <w:color w:val="000000"/>
                <w:szCs w:val="22"/>
              </w:rPr>
            </w:pPr>
            <w:r>
              <w:rPr>
                <w:rFonts w:ascii="Calibri" w:hAnsi="Calibri"/>
                <w:color w:val="000000"/>
                <w:szCs w:val="22"/>
              </w:rPr>
              <w:t>0.2%</w:t>
            </w:r>
          </w:p>
          <w:p w14:paraId="1AFDED54" w14:textId="77777777" w:rsidR="00EB4A22" w:rsidRDefault="00EB4A22" w:rsidP="00B12430">
            <w:pPr>
              <w:jc w:val="center"/>
              <w:rPr>
                <w:rFonts w:ascii="Calibri" w:hAnsi="Calibri"/>
                <w:color w:val="000000"/>
                <w:szCs w:val="22"/>
              </w:rPr>
            </w:pPr>
            <w:r>
              <w:rPr>
                <w:rFonts w:ascii="Calibri" w:hAnsi="Calibri"/>
                <w:color w:val="000000"/>
                <w:szCs w:val="22"/>
              </w:rPr>
              <w:t>0.4%</w:t>
            </w:r>
          </w:p>
          <w:p w14:paraId="1A86828A" w14:textId="77777777" w:rsidR="00EB4A22" w:rsidRPr="00163955" w:rsidRDefault="00EB4A22" w:rsidP="00B12430">
            <w:pPr>
              <w:jc w:val="center"/>
              <w:rPr>
                <w:rFonts w:ascii="Calibri" w:hAnsi="Calibri"/>
                <w:color w:val="000000"/>
                <w:szCs w:val="22"/>
              </w:rPr>
            </w:pPr>
            <w:r>
              <w:rPr>
                <w:rFonts w:ascii="Calibri" w:hAnsi="Calibri"/>
                <w:color w:val="000000"/>
                <w:szCs w:val="22"/>
              </w:rPr>
              <w:t>1.0%</w:t>
            </w:r>
          </w:p>
        </w:tc>
      </w:tr>
      <w:tr w:rsidR="00EB4A22" w14:paraId="734829C3" w14:textId="77777777" w:rsidTr="00B12430">
        <w:tc>
          <w:tcPr>
            <w:tcW w:w="4664" w:type="dxa"/>
            <w:tcBorders>
              <w:top w:val="single" w:sz="4" w:space="0" w:color="auto"/>
              <w:left w:val="single" w:sz="4" w:space="0" w:color="auto"/>
              <w:bottom w:val="single" w:sz="4" w:space="0" w:color="auto"/>
              <w:right w:val="single" w:sz="4" w:space="0" w:color="auto"/>
            </w:tcBorders>
            <w:vAlign w:val="bottom"/>
            <w:hideMark/>
          </w:tcPr>
          <w:p w14:paraId="0BBBF047" w14:textId="77777777" w:rsidR="00EB4A22" w:rsidRDefault="00EB4A22" w:rsidP="00B12430">
            <w:pPr>
              <w:rPr>
                <w:rFonts w:ascii="Calibri" w:hAnsi="Calibri" w:cs="Calibri"/>
                <w:b/>
                <w:color w:val="000000"/>
                <w:szCs w:val="22"/>
              </w:rPr>
            </w:pPr>
            <w:r>
              <w:rPr>
                <w:rFonts w:ascii="Calibri" w:hAnsi="Calibri" w:cs="Calibri"/>
                <w:b/>
                <w:color w:val="000000"/>
                <w:szCs w:val="22"/>
              </w:rPr>
              <w:t xml:space="preserve">Mental health </w:t>
            </w:r>
          </w:p>
        </w:tc>
        <w:tc>
          <w:tcPr>
            <w:tcW w:w="2263" w:type="dxa"/>
            <w:tcBorders>
              <w:top w:val="single" w:sz="4" w:space="0" w:color="auto"/>
              <w:left w:val="single" w:sz="4" w:space="0" w:color="auto"/>
              <w:bottom w:val="single" w:sz="4" w:space="0" w:color="auto"/>
              <w:right w:val="single" w:sz="4" w:space="0" w:color="auto"/>
            </w:tcBorders>
            <w:vAlign w:val="center"/>
          </w:tcPr>
          <w:p w14:paraId="43FD7FED" w14:textId="77777777" w:rsidR="00EB4A22" w:rsidRPr="00E04015" w:rsidRDefault="00EB4A22" w:rsidP="00B12430">
            <w:pPr>
              <w:jc w:val="center"/>
              <w:rPr>
                <w:rFonts w:ascii="Calibri" w:hAnsi="Calibri"/>
                <w:b/>
                <w:color w:val="000000"/>
                <w:szCs w:val="22"/>
              </w:rPr>
            </w:pPr>
            <w:r>
              <w:rPr>
                <w:rFonts w:ascii="Calibri" w:hAnsi="Calibri"/>
                <w:b/>
                <w:color w:val="000000"/>
                <w:szCs w:val="22"/>
              </w:rPr>
              <w:t>118</w:t>
            </w:r>
          </w:p>
        </w:tc>
        <w:tc>
          <w:tcPr>
            <w:tcW w:w="1981" w:type="dxa"/>
            <w:tcBorders>
              <w:top w:val="single" w:sz="4" w:space="0" w:color="auto"/>
              <w:left w:val="single" w:sz="4" w:space="0" w:color="auto"/>
              <w:bottom w:val="single" w:sz="4" w:space="0" w:color="auto"/>
              <w:right w:val="single" w:sz="4" w:space="0" w:color="auto"/>
            </w:tcBorders>
            <w:vAlign w:val="center"/>
          </w:tcPr>
          <w:p w14:paraId="6F218069" w14:textId="77777777" w:rsidR="00EB4A22" w:rsidRPr="00E04015" w:rsidRDefault="00EB4A22" w:rsidP="00B12430">
            <w:pPr>
              <w:jc w:val="center"/>
              <w:rPr>
                <w:rFonts w:ascii="Calibri" w:hAnsi="Calibri"/>
                <w:b/>
                <w:color w:val="000000"/>
                <w:szCs w:val="22"/>
              </w:rPr>
            </w:pPr>
            <w:r>
              <w:rPr>
                <w:rFonts w:ascii="Calibri" w:hAnsi="Calibri"/>
                <w:b/>
                <w:color w:val="000000"/>
                <w:szCs w:val="22"/>
              </w:rPr>
              <w:t>24.3%</w:t>
            </w:r>
          </w:p>
        </w:tc>
      </w:tr>
      <w:tr w:rsidR="00EB4A22" w14:paraId="63F778F0" w14:textId="77777777" w:rsidTr="00B12430">
        <w:tc>
          <w:tcPr>
            <w:tcW w:w="4664" w:type="dxa"/>
            <w:tcBorders>
              <w:top w:val="single" w:sz="4" w:space="0" w:color="auto"/>
              <w:left w:val="single" w:sz="4" w:space="0" w:color="auto"/>
              <w:bottom w:val="single" w:sz="4" w:space="0" w:color="auto"/>
              <w:right w:val="single" w:sz="4" w:space="0" w:color="auto"/>
            </w:tcBorders>
            <w:vAlign w:val="bottom"/>
          </w:tcPr>
          <w:p w14:paraId="32771427" w14:textId="77777777" w:rsidR="00EB4A22" w:rsidRDefault="00EB4A22" w:rsidP="00B12430">
            <w:pPr>
              <w:rPr>
                <w:rFonts w:cs="Arial"/>
                <w:b/>
                <w:szCs w:val="22"/>
              </w:rPr>
            </w:pPr>
            <w:r>
              <w:rPr>
                <w:rFonts w:cs="Arial"/>
                <w:b/>
                <w:szCs w:val="22"/>
              </w:rPr>
              <w:t>Paediatrics (not surgical)</w:t>
            </w:r>
          </w:p>
        </w:tc>
        <w:tc>
          <w:tcPr>
            <w:tcW w:w="2263" w:type="dxa"/>
            <w:tcBorders>
              <w:top w:val="single" w:sz="4" w:space="0" w:color="auto"/>
              <w:left w:val="single" w:sz="4" w:space="0" w:color="auto"/>
              <w:bottom w:val="single" w:sz="4" w:space="0" w:color="auto"/>
              <w:right w:val="single" w:sz="4" w:space="0" w:color="auto"/>
            </w:tcBorders>
            <w:vAlign w:val="center"/>
          </w:tcPr>
          <w:p w14:paraId="1D4CEED1" w14:textId="77777777" w:rsidR="00EB4A22" w:rsidRPr="00E04015" w:rsidRDefault="00EB4A22" w:rsidP="00B12430">
            <w:pPr>
              <w:jc w:val="center"/>
              <w:rPr>
                <w:rFonts w:ascii="Calibri" w:hAnsi="Calibri"/>
                <w:b/>
                <w:color w:val="000000"/>
                <w:szCs w:val="22"/>
              </w:rPr>
            </w:pPr>
            <w:r>
              <w:rPr>
                <w:rFonts w:ascii="Calibri" w:hAnsi="Calibri"/>
                <w:b/>
                <w:color w:val="000000"/>
                <w:szCs w:val="22"/>
              </w:rPr>
              <w:t>16</w:t>
            </w:r>
          </w:p>
        </w:tc>
        <w:tc>
          <w:tcPr>
            <w:tcW w:w="1981" w:type="dxa"/>
            <w:tcBorders>
              <w:top w:val="single" w:sz="4" w:space="0" w:color="auto"/>
              <w:left w:val="single" w:sz="4" w:space="0" w:color="auto"/>
              <w:bottom w:val="single" w:sz="4" w:space="0" w:color="auto"/>
              <w:right w:val="single" w:sz="4" w:space="0" w:color="auto"/>
            </w:tcBorders>
            <w:vAlign w:val="center"/>
          </w:tcPr>
          <w:p w14:paraId="2B7288D1" w14:textId="77777777" w:rsidR="00EB4A22" w:rsidRPr="00E04015" w:rsidRDefault="00EB4A22" w:rsidP="00B12430">
            <w:pPr>
              <w:jc w:val="center"/>
              <w:rPr>
                <w:rFonts w:ascii="Calibri" w:hAnsi="Calibri"/>
                <w:b/>
                <w:color w:val="000000"/>
                <w:szCs w:val="22"/>
              </w:rPr>
            </w:pPr>
            <w:r>
              <w:rPr>
                <w:rFonts w:ascii="Calibri" w:hAnsi="Calibri"/>
                <w:b/>
                <w:color w:val="000000"/>
                <w:szCs w:val="22"/>
              </w:rPr>
              <w:t>3.3%</w:t>
            </w:r>
          </w:p>
        </w:tc>
      </w:tr>
      <w:tr w:rsidR="00EB4A22" w14:paraId="4F7A9FC3" w14:textId="77777777" w:rsidTr="00B12430">
        <w:tc>
          <w:tcPr>
            <w:tcW w:w="4664" w:type="dxa"/>
            <w:tcBorders>
              <w:top w:val="single" w:sz="4" w:space="0" w:color="auto"/>
              <w:left w:val="single" w:sz="4" w:space="0" w:color="auto"/>
              <w:bottom w:val="single" w:sz="4" w:space="0" w:color="auto"/>
              <w:right w:val="single" w:sz="4" w:space="0" w:color="auto"/>
            </w:tcBorders>
            <w:vAlign w:val="bottom"/>
          </w:tcPr>
          <w:p w14:paraId="27E7862D" w14:textId="77777777" w:rsidR="00EB4A22" w:rsidRDefault="00EB4A22" w:rsidP="00B12430">
            <w:pPr>
              <w:rPr>
                <w:rFonts w:ascii="Calibri" w:hAnsi="Calibri" w:cs="Calibri"/>
                <w:b/>
                <w:color w:val="000000"/>
                <w:szCs w:val="22"/>
              </w:rPr>
            </w:pPr>
            <w:r>
              <w:rPr>
                <w:rFonts w:ascii="Calibri" w:hAnsi="Calibri" w:cs="Calibri"/>
                <w:b/>
                <w:color w:val="000000"/>
                <w:szCs w:val="22"/>
              </w:rPr>
              <w:t xml:space="preserve">Physiotherapy </w:t>
            </w:r>
          </w:p>
        </w:tc>
        <w:tc>
          <w:tcPr>
            <w:tcW w:w="2263" w:type="dxa"/>
            <w:tcBorders>
              <w:top w:val="single" w:sz="4" w:space="0" w:color="auto"/>
              <w:left w:val="single" w:sz="4" w:space="0" w:color="auto"/>
              <w:bottom w:val="single" w:sz="4" w:space="0" w:color="auto"/>
              <w:right w:val="single" w:sz="4" w:space="0" w:color="auto"/>
            </w:tcBorders>
            <w:vAlign w:val="center"/>
          </w:tcPr>
          <w:p w14:paraId="781330E7" w14:textId="77777777" w:rsidR="00EB4A22" w:rsidRPr="00E04015" w:rsidRDefault="00EB4A22" w:rsidP="00B12430">
            <w:pPr>
              <w:jc w:val="center"/>
              <w:rPr>
                <w:rFonts w:ascii="Calibri" w:hAnsi="Calibri"/>
                <w:b/>
                <w:color w:val="000000"/>
                <w:szCs w:val="22"/>
              </w:rPr>
            </w:pPr>
            <w:r>
              <w:rPr>
                <w:rFonts w:ascii="Calibri" w:hAnsi="Calibri"/>
                <w:b/>
                <w:color w:val="000000"/>
                <w:szCs w:val="22"/>
              </w:rPr>
              <w:t>3</w:t>
            </w:r>
          </w:p>
        </w:tc>
        <w:tc>
          <w:tcPr>
            <w:tcW w:w="1981" w:type="dxa"/>
            <w:tcBorders>
              <w:top w:val="single" w:sz="4" w:space="0" w:color="auto"/>
              <w:left w:val="single" w:sz="4" w:space="0" w:color="auto"/>
              <w:bottom w:val="single" w:sz="4" w:space="0" w:color="auto"/>
              <w:right w:val="single" w:sz="4" w:space="0" w:color="auto"/>
            </w:tcBorders>
            <w:vAlign w:val="center"/>
          </w:tcPr>
          <w:p w14:paraId="134815D7" w14:textId="77777777" w:rsidR="00EB4A22" w:rsidRPr="00E04015" w:rsidRDefault="00EB4A22" w:rsidP="00B12430">
            <w:pPr>
              <w:jc w:val="center"/>
              <w:rPr>
                <w:rFonts w:ascii="Calibri" w:hAnsi="Calibri"/>
                <w:b/>
                <w:color w:val="000000"/>
                <w:szCs w:val="22"/>
              </w:rPr>
            </w:pPr>
            <w:r>
              <w:rPr>
                <w:rFonts w:ascii="Calibri" w:hAnsi="Calibri"/>
                <w:b/>
                <w:color w:val="000000"/>
                <w:szCs w:val="22"/>
              </w:rPr>
              <w:t>0.6%</w:t>
            </w:r>
          </w:p>
        </w:tc>
      </w:tr>
      <w:tr w:rsidR="00EB4A22" w14:paraId="79C61442" w14:textId="77777777" w:rsidTr="00B12430">
        <w:tc>
          <w:tcPr>
            <w:tcW w:w="4664" w:type="dxa"/>
            <w:tcBorders>
              <w:top w:val="single" w:sz="4" w:space="0" w:color="auto"/>
              <w:left w:val="single" w:sz="4" w:space="0" w:color="auto"/>
              <w:bottom w:val="single" w:sz="4" w:space="0" w:color="auto"/>
              <w:right w:val="single" w:sz="4" w:space="0" w:color="auto"/>
            </w:tcBorders>
            <w:vAlign w:val="bottom"/>
          </w:tcPr>
          <w:p w14:paraId="2E4FE0B2" w14:textId="77777777" w:rsidR="00EB4A22" w:rsidRDefault="00EB4A22" w:rsidP="00B12430">
            <w:pPr>
              <w:rPr>
                <w:rFonts w:ascii="Calibri" w:hAnsi="Calibri" w:cs="Calibri"/>
                <w:b/>
                <w:color w:val="000000"/>
                <w:szCs w:val="22"/>
              </w:rPr>
            </w:pPr>
            <w:r>
              <w:rPr>
                <w:rFonts w:ascii="Calibri" w:hAnsi="Calibri" w:cs="Calibri"/>
                <w:b/>
                <w:color w:val="000000"/>
                <w:szCs w:val="22"/>
              </w:rPr>
              <w:t>Surgery</w:t>
            </w:r>
          </w:p>
          <w:p w14:paraId="496BD2DF" w14:textId="10C0F856" w:rsidR="00EB4A22" w:rsidRDefault="00B12430" w:rsidP="00B12430">
            <w:pPr>
              <w:rPr>
                <w:rFonts w:ascii="Calibri" w:hAnsi="Calibri" w:cs="Calibri"/>
                <w:color w:val="000000"/>
                <w:szCs w:val="22"/>
              </w:rPr>
            </w:pPr>
            <w:r>
              <w:rPr>
                <w:rFonts w:ascii="Calibri" w:hAnsi="Calibri" w:cs="Calibri"/>
                <w:b/>
                <w:color w:val="000000"/>
                <w:szCs w:val="22"/>
              </w:rPr>
              <w:t xml:space="preserve"> </w:t>
            </w:r>
            <w:r w:rsidR="00EB4A22">
              <w:rPr>
                <w:rFonts w:ascii="Calibri" w:hAnsi="Calibri" w:cs="Calibri"/>
                <w:color w:val="000000"/>
                <w:szCs w:val="22"/>
              </w:rPr>
              <w:t>Cardiothoracic</w:t>
            </w:r>
          </w:p>
          <w:p w14:paraId="4885966B" w14:textId="5603BF0D"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General</w:t>
            </w:r>
          </w:p>
          <w:p w14:paraId="47E865CE" w14:textId="68C53E52"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Gynaecology</w:t>
            </w:r>
          </w:p>
          <w:p w14:paraId="39966EFF" w14:textId="71F4BF81"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Neurosurgery</w:t>
            </w:r>
          </w:p>
          <w:p w14:paraId="5B2CFA56" w14:textId="5563B165"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Ophthalmology</w:t>
            </w:r>
          </w:p>
          <w:p w14:paraId="678C9CF1" w14:textId="6C996181"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Orthopaedics</w:t>
            </w:r>
          </w:p>
          <w:p w14:paraId="186DB261" w14:textId="533E8EB1"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Otolaryngology</w:t>
            </w:r>
          </w:p>
          <w:p w14:paraId="4360EB23" w14:textId="21F50DD2"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Plastic and Reconstructive</w:t>
            </w:r>
          </w:p>
          <w:p w14:paraId="78296485" w14:textId="511FEBE2"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Urology</w:t>
            </w:r>
          </w:p>
          <w:p w14:paraId="6702351B" w14:textId="50A91897"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Vascular</w:t>
            </w:r>
          </w:p>
          <w:p w14:paraId="5ABC3123" w14:textId="02212A62" w:rsidR="00EB4A22" w:rsidRPr="0002765C"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Other/unknown</w:t>
            </w:r>
          </w:p>
        </w:tc>
        <w:tc>
          <w:tcPr>
            <w:tcW w:w="2263" w:type="dxa"/>
            <w:tcBorders>
              <w:top w:val="single" w:sz="4" w:space="0" w:color="auto"/>
              <w:left w:val="single" w:sz="4" w:space="0" w:color="auto"/>
              <w:bottom w:val="single" w:sz="4" w:space="0" w:color="auto"/>
              <w:right w:val="single" w:sz="4" w:space="0" w:color="auto"/>
            </w:tcBorders>
          </w:tcPr>
          <w:p w14:paraId="00B5EDE0" w14:textId="77777777" w:rsidR="00EB4A22" w:rsidRPr="00163955" w:rsidRDefault="00EB4A22" w:rsidP="00B12430">
            <w:pPr>
              <w:jc w:val="center"/>
              <w:rPr>
                <w:rFonts w:ascii="Calibri" w:hAnsi="Calibri"/>
                <w:b/>
                <w:color w:val="000000"/>
                <w:szCs w:val="22"/>
              </w:rPr>
            </w:pPr>
            <w:r>
              <w:rPr>
                <w:rFonts w:ascii="Calibri" w:hAnsi="Calibri"/>
                <w:b/>
                <w:color w:val="000000"/>
                <w:szCs w:val="22"/>
              </w:rPr>
              <w:t>111</w:t>
            </w:r>
          </w:p>
          <w:p w14:paraId="5E735BE7" w14:textId="77777777" w:rsidR="00EB4A22" w:rsidRDefault="00EB4A22" w:rsidP="00B12430">
            <w:pPr>
              <w:jc w:val="center"/>
              <w:rPr>
                <w:rFonts w:ascii="Calibri" w:hAnsi="Calibri"/>
                <w:color w:val="000000"/>
                <w:szCs w:val="22"/>
              </w:rPr>
            </w:pPr>
            <w:r>
              <w:rPr>
                <w:rFonts w:ascii="Calibri" w:hAnsi="Calibri"/>
                <w:color w:val="000000"/>
                <w:szCs w:val="22"/>
              </w:rPr>
              <w:t>4</w:t>
            </w:r>
          </w:p>
          <w:p w14:paraId="0A99893C" w14:textId="77777777" w:rsidR="00EB4A22" w:rsidRDefault="00EB4A22" w:rsidP="00B12430">
            <w:pPr>
              <w:jc w:val="center"/>
              <w:rPr>
                <w:rFonts w:ascii="Calibri" w:hAnsi="Calibri"/>
                <w:color w:val="000000"/>
                <w:szCs w:val="22"/>
              </w:rPr>
            </w:pPr>
            <w:r>
              <w:rPr>
                <w:rFonts w:ascii="Calibri" w:hAnsi="Calibri"/>
                <w:color w:val="000000"/>
                <w:szCs w:val="22"/>
              </w:rPr>
              <w:t>30</w:t>
            </w:r>
          </w:p>
          <w:p w14:paraId="3F327958" w14:textId="77777777" w:rsidR="00EB4A22" w:rsidRDefault="00EB4A22" w:rsidP="00B12430">
            <w:pPr>
              <w:jc w:val="center"/>
              <w:rPr>
                <w:rFonts w:ascii="Calibri" w:hAnsi="Calibri"/>
                <w:color w:val="000000"/>
                <w:szCs w:val="22"/>
              </w:rPr>
            </w:pPr>
            <w:r>
              <w:rPr>
                <w:rFonts w:ascii="Calibri" w:hAnsi="Calibri"/>
                <w:color w:val="000000"/>
                <w:szCs w:val="22"/>
              </w:rPr>
              <w:t>27</w:t>
            </w:r>
          </w:p>
          <w:p w14:paraId="0E6607CD" w14:textId="77777777" w:rsidR="00EB4A22" w:rsidRDefault="00EB4A22" w:rsidP="00B12430">
            <w:pPr>
              <w:jc w:val="center"/>
              <w:rPr>
                <w:rFonts w:ascii="Calibri" w:hAnsi="Calibri"/>
                <w:color w:val="000000"/>
                <w:szCs w:val="22"/>
              </w:rPr>
            </w:pPr>
            <w:r>
              <w:rPr>
                <w:rFonts w:ascii="Calibri" w:hAnsi="Calibri"/>
                <w:color w:val="000000"/>
                <w:szCs w:val="22"/>
              </w:rPr>
              <w:t>1</w:t>
            </w:r>
          </w:p>
          <w:p w14:paraId="7B460D59" w14:textId="77777777" w:rsidR="00EB4A22" w:rsidRDefault="00EB4A22" w:rsidP="00B12430">
            <w:pPr>
              <w:jc w:val="center"/>
              <w:rPr>
                <w:rFonts w:ascii="Calibri" w:hAnsi="Calibri"/>
                <w:color w:val="000000"/>
                <w:szCs w:val="22"/>
              </w:rPr>
            </w:pPr>
            <w:r>
              <w:rPr>
                <w:rFonts w:ascii="Calibri" w:hAnsi="Calibri"/>
                <w:color w:val="000000"/>
                <w:szCs w:val="22"/>
              </w:rPr>
              <w:t>3</w:t>
            </w:r>
          </w:p>
          <w:p w14:paraId="497B1348" w14:textId="77777777" w:rsidR="00EB4A22" w:rsidRDefault="00EB4A22" w:rsidP="00B12430">
            <w:pPr>
              <w:jc w:val="center"/>
              <w:rPr>
                <w:rFonts w:ascii="Calibri" w:hAnsi="Calibri"/>
                <w:color w:val="000000"/>
                <w:szCs w:val="22"/>
              </w:rPr>
            </w:pPr>
            <w:r>
              <w:rPr>
                <w:rFonts w:ascii="Calibri" w:hAnsi="Calibri"/>
                <w:color w:val="000000"/>
                <w:szCs w:val="22"/>
              </w:rPr>
              <w:t>22</w:t>
            </w:r>
          </w:p>
          <w:p w14:paraId="119F860E" w14:textId="77777777" w:rsidR="00EB4A22" w:rsidRDefault="00EB4A22" w:rsidP="00B12430">
            <w:pPr>
              <w:jc w:val="center"/>
              <w:rPr>
                <w:rFonts w:ascii="Calibri" w:hAnsi="Calibri"/>
                <w:color w:val="000000"/>
                <w:szCs w:val="22"/>
              </w:rPr>
            </w:pPr>
            <w:r>
              <w:rPr>
                <w:rFonts w:ascii="Calibri" w:hAnsi="Calibri"/>
                <w:color w:val="000000"/>
                <w:szCs w:val="22"/>
              </w:rPr>
              <w:t>5</w:t>
            </w:r>
          </w:p>
          <w:p w14:paraId="2FE672D8" w14:textId="77777777" w:rsidR="00EB4A22" w:rsidRDefault="00EB4A22" w:rsidP="00B12430">
            <w:pPr>
              <w:jc w:val="center"/>
              <w:rPr>
                <w:rFonts w:ascii="Calibri" w:hAnsi="Calibri"/>
                <w:color w:val="000000"/>
                <w:szCs w:val="22"/>
              </w:rPr>
            </w:pPr>
            <w:r>
              <w:rPr>
                <w:rFonts w:ascii="Calibri" w:hAnsi="Calibri"/>
                <w:color w:val="000000"/>
                <w:szCs w:val="22"/>
              </w:rPr>
              <w:t>1</w:t>
            </w:r>
          </w:p>
          <w:p w14:paraId="36D0A54E" w14:textId="77777777" w:rsidR="00EB4A22" w:rsidRDefault="00EB4A22" w:rsidP="00B12430">
            <w:pPr>
              <w:jc w:val="center"/>
              <w:rPr>
                <w:rFonts w:ascii="Calibri" w:hAnsi="Calibri"/>
                <w:color w:val="000000"/>
                <w:szCs w:val="22"/>
              </w:rPr>
            </w:pPr>
            <w:r>
              <w:rPr>
                <w:rFonts w:ascii="Calibri" w:hAnsi="Calibri"/>
                <w:color w:val="000000"/>
                <w:szCs w:val="22"/>
              </w:rPr>
              <w:t>12</w:t>
            </w:r>
          </w:p>
          <w:p w14:paraId="7D627D32" w14:textId="77777777" w:rsidR="00EB4A22" w:rsidRDefault="00EB4A22" w:rsidP="00B12430">
            <w:pPr>
              <w:jc w:val="center"/>
              <w:rPr>
                <w:rFonts w:ascii="Calibri" w:hAnsi="Calibri"/>
                <w:color w:val="000000"/>
                <w:szCs w:val="22"/>
              </w:rPr>
            </w:pPr>
            <w:r>
              <w:rPr>
                <w:rFonts w:ascii="Calibri" w:hAnsi="Calibri"/>
                <w:color w:val="000000"/>
                <w:szCs w:val="22"/>
              </w:rPr>
              <w:t>5</w:t>
            </w:r>
          </w:p>
          <w:p w14:paraId="4669DB87" w14:textId="77777777" w:rsidR="00EB4A22" w:rsidRPr="00E04015" w:rsidRDefault="00EB4A22" w:rsidP="00B12430">
            <w:pPr>
              <w:jc w:val="center"/>
              <w:rPr>
                <w:rFonts w:ascii="Calibri" w:hAnsi="Calibri"/>
                <w:color w:val="000000"/>
                <w:szCs w:val="22"/>
              </w:rPr>
            </w:pPr>
            <w:r>
              <w:rPr>
                <w:rFonts w:ascii="Calibri" w:hAnsi="Calibri"/>
                <w:color w:val="000000"/>
                <w:szCs w:val="22"/>
              </w:rPr>
              <w:t>1</w:t>
            </w:r>
          </w:p>
        </w:tc>
        <w:tc>
          <w:tcPr>
            <w:tcW w:w="1981" w:type="dxa"/>
            <w:tcBorders>
              <w:top w:val="single" w:sz="4" w:space="0" w:color="auto"/>
              <w:left w:val="single" w:sz="4" w:space="0" w:color="auto"/>
              <w:bottom w:val="single" w:sz="4" w:space="0" w:color="auto"/>
              <w:right w:val="single" w:sz="4" w:space="0" w:color="auto"/>
            </w:tcBorders>
          </w:tcPr>
          <w:p w14:paraId="6617A754" w14:textId="77777777" w:rsidR="00EB4A22" w:rsidRDefault="00EB4A22" w:rsidP="00B12430">
            <w:pPr>
              <w:jc w:val="center"/>
              <w:rPr>
                <w:rFonts w:ascii="Calibri" w:hAnsi="Calibri"/>
                <w:b/>
                <w:color w:val="000000"/>
                <w:szCs w:val="22"/>
              </w:rPr>
            </w:pPr>
            <w:r w:rsidRPr="00163955">
              <w:rPr>
                <w:rFonts w:ascii="Calibri" w:hAnsi="Calibri"/>
                <w:b/>
                <w:color w:val="000000"/>
                <w:szCs w:val="22"/>
              </w:rPr>
              <w:t>22.8%</w:t>
            </w:r>
          </w:p>
          <w:p w14:paraId="347B20D3" w14:textId="77777777" w:rsidR="00EB4A22" w:rsidRDefault="00EB4A22" w:rsidP="00B12430">
            <w:pPr>
              <w:jc w:val="center"/>
              <w:rPr>
                <w:rFonts w:ascii="Calibri" w:hAnsi="Calibri"/>
                <w:color w:val="000000"/>
                <w:szCs w:val="22"/>
              </w:rPr>
            </w:pPr>
            <w:r>
              <w:rPr>
                <w:rFonts w:ascii="Calibri" w:hAnsi="Calibri"/>
                <w:color w:val="000000"/>
                <w:szCs w:val="22"/>
              </w:rPr>
              <w:t>0.8%</w:t>
            </w:r>
          </w:p>
          <w:p w14:paraId="72A71A49" w14:textId="77777777" w:rsidR="00EB4A22" w:rsidRDefault="00EB4A22" w:rsidP="00B12430">
            <w:pPr>
              <w:jc w:val="center"/>
              <w:rPr>
                <w:rFonts w:ascii="Calibri" w:hAnsi="Calibri"/>
                <w:color w:val="000000"/>
                <w:szCs w:val="22"/>
              </w:rPr>
            </w:pPr>
            <w:r>
              <w:rPr>
                <w:rFonts w:ascii="Calibri" w:hAnsi="Calibri"/>
                <w:color w:val="000000"/>
                <w:szCs w:val="22"/>
              </w:rPr>
              <w:t>6.2%</w:t>
            </w:r>
          </w:p>
          <w:p w14:paraId="0FA86858" w14:textId="77777777" w:rsidR="00EB4A22" w:rsidRDefault="00EB4A22" w:rsidP="00B12430">
            <w:pPr>
              <w:jc w:val="center"/>
              <w:rPr>
                <w:rFonts w:ascii="Calibri" w:hAnsi="Calibri"/>
                <w:color w:val="000000"/>
                <w:szCs w:val="22"/>
              </w:rPr>
            </w:pPr>
            <w:r>
              <w:rPr>
                <w:rFonts w:ascii="Calibri" w:hAnsi="Calibri"/>
                <w:color w:val="000000"/>
                <w:szCs w:val="22"/>
              </w:rPr>
              <w:t>5.6%</w:t>
            </w:r>
          </w:p>
          <w:p w14:paraId="4AB7BB54" w14:textId="77777777" w:rsidR="00EB4A22" w:rsidRDefault="00EB4A22" w:rsidP="00B12430">
            <w:pPr>
              <w:jc w:val="center"/>
              <w:rPr>
                <w:rFonts w:ascii="Calibri" w:hAnsi="Calibri"/>
                <w:color w:val="000000"/>
                <w:szCs w:val="22"/>
              </w:rPr>
            </w:pPr>
            <w:r>
              <w:rPr>
                <w:rFonts w:ascii="Calibri" w:hAnsi="Calibri"/>
                <w:color w:val="000000"/>
                <w:szCs w:val="22"/>
              </w:rPr>
              <w:t>0.2%</w:t>
            </w:r>
          </w:p>
          <w:p w14:paraId="059A6AAC" w14:textId="77777777" w:rsidR="00EB4A22" w:rsidRDefault="00EB4A22" w:rsidP="00B12430">
            <w:pPr>
              <w:jc w:val="center"/>
              <w:rPr>
                <w:rFonts w:ascii="Calibri" w:hAnsi="Calibri"/>
                <w:color w:val="000000"/>
                <w:szCs w:val="22"/>
              </w:rPr>
            </w:pPr>
            <w:r>
              <w:rPr>
                <w:rFonts w:ascii="Calibri" w:hAnsi="Calibri"/>
                <w:color w:val="000000"/>
                <w:szCs w:val="22"/>
              </w:rPr>
              <w:t>0.6%</w:t>
            </w:r>
          </w:p>
          <w:p w14:paraId="0FFB0435" w14:textId="77777777" w:rsidR="00EB4A22" w:rsidRDefault="00EB4A22" w:rsidP="00B12430">
            <w:pPr>
              <w:jc w:val="center"/>
              <w:rPr>
                <w:rFonts w:ascii="Calibri" w:hAnsi="Calibri"/>
                <w:color w:val="000000"/>
                <w:szCs w:val="22"/>
              </w:rPr>
            </w:pPr>
            <w:r>
              <w:rPr>
                <w:rFonts w:ascii="Calibri" w:hAnsi="Calibri"/>
                <w:color w:val="000000"/>
                <w:szCs w:val="22"/>
              </w:rPr>
              <w:t>4.5%</w:t>
            </w:r>
          </w:p>
          <w:p w14:paraId="2BDD0FD1" w14:textId="77777777" w:rsidR="00EB4A22" w:rsidRDefault="00EB4A22" w:rsidP="00B12430">
            <w:pPr>
              <w:jc w:val="center"/>
              <w:rPr>
                <w:rFonts w:ascii="Calibri" w:hAnsi="Calibri"/>
                <w:color w:val="000000"/>
                <w:szCs w:val="22"/>
              </w:rPr>
            </w:pPr>
            <w:r>
              <w:rPr>
                <w:rFonts w:ascii="Calibri" w:hAnsi="Calibri"/>
                <w:color w:val="000000"/>
                <w:szCs w:val="22"/>
              </w:rPr>
              <w:t>1.0%</w:t>
            </w:r>
          </w:p>
          <w:p w14:paraId="5AB47EFE" w14:textId="77777777" w:rsidR="00EB4A22" w:rsidRDefault="00EB4A22" w:rsidP="00B12430">
            <w:pPr>
              <w:jc w:val="center"/>
              <w:rPr>
                <w:rFonts w:ascii="Calibri" w:hAnsi="Calibri"/>
                <w:color w:val="000000"/>
                <w:szCs w:val="22"/>
              </w:rPr>
            </w:pPr>
            <w:r>
              <w:rPr>
                <w:rFonts w:ascii="Calibri" w:hAnsi="Calibri"/>
                <w:color w:val="000000"/>
                <w:szCs w:val="22"/>
              </w:rPr>
              <w:t>0.2%</w:t>
            </w:r>
          </w:p>
          <w:p w14:paraId="5978CDB5" w14:textId="77777777" w:rsidR="00EB4A22" w:rsidRDefault="00EB4A22" w:rsidP="00B12430">
            <w:pPr>
              <w:jc w:val="center"/>
              <w:rPr>
                <w:rFonts w:ascii="Calibri" w:hAnsi="Calibri"/>
                <w:color w:val="000000"/>
                <w:szCs w:val="22"/>
              </w:rPr>
            </w:pPr>
            <w:r>
              <w:rPr>
                <w:rFonts w:ascii="Calibri" w:hAnsi="Calibri"/>
                <w:color w:val="000000"/>
                <w:szCs w:val="22"/>
              </w:rPr>
              <w:t>2.5%</w:t>
            </w:r>
          </w:p>
          <w:p w14:paraId="0A788720" w14:textId="77777777" w:rsidR="00EB4A22" w:rsidRDefault="00EB4A22" w:rsidP="00B12430">
            <w:pPr>
              <w:jc w:val="center"/>
              <w:rPr>
                <w:rFonts w:ascii="Calibri" w:hAnsi="Calibri"/>
                <w:color w:val="000000"/>
                <w:szCs w:val="22"/>
              </w:rPr>
            </w:pPr>
            <w:r>
              <w:rPr>
                <w:rFonts w:ascii="Calibri" w:hAnsi="Calibri"/>
                <w:color w:val="000000"/>
                <w:szCs w:val="22"/>
              </w:rPr>
              <w:t>1.0%</w:t>
            </w:r>
          </w:p>
          <w:p w14:paraId="4CE49F74" w14:textId="77777777" w:rsidR="00EB4A22" w:rsidRPr="00163955" w:rsidRDefault="00EB4A22" w:rsidP="00B12430">
            <w:pPr>
              <w:jc w:val="center"/>
              <w:rPr>
                <w:rFonts w:ascii="Calibri" w:hAnsi="Calibri"/>
                <w:color w:val="000000"/>
                <w:szCs w:val="22"/>
              </w:rPr>
            </w:pPr>
            <w:r>
              <w:rPr>
                <w:rFonts w:ascii="Calibri" w:hAnsi="Calibri"/>
                <w:color w:val="000000"/>
                <w:szCs w:val="22"/>
              </w:rPr>
              <w:t>0.2%</w:t>
            </w:r>
          </w:p>
        </w:tc>
      </w:tr>
      <w:tr w:rsidR="00EB4A22" w14:paraId="506C3731" w14:textId="77777777" w:rsidTr="00B12430">
        <w:tc>
          <w:tcPr>
            <w:tcW w:w="4664" w:type="dxa"/>
            <w:tcBorders>
              <w:top w:val="single" w:sz="4" w:space="0" w:color="auto"/>
              <w:left w:val="single" w:sz="4" w:space="0" w:color="auto"/>
              <w:bottom w:val="single" w:sz="4" w:space="0" w:color="auto"/>
              <w:right w:val="single" w:sz="4" w:space="0" w:color="auto"/>
            </w:tcBorders>
            <w:vAlign w:val="bottom"/>
            <w:hideMark/>
          </w:tcPr>
          <w:p w14:paraId="3F041021" w14:textId="77777777" w:rsidR="00EB4A22" w:rsidRDefault="00EB4A22" w:rsidP="00B12430">
            <w:pPr>
              <w:rPr>
                <w:rFonts w:ascii="Calibri" w:hAnsi="Calibri" w:cs="Calibri"/>
                <w:color w:val="000000"/>
                <w:szCs w:val="22"/>
              </w:rPr>
            </w:pPr>
            <w:r>
              <w:rPr>
                <w:rFonts w:cs="Arial"/>
                <w:b/>
                <w:szCs w:val="22"/>
              </w:rPr>
              <w:t>Other/unknown health service</w:t>
            </w:r>
          </w:p>
        </w:tc>
        <w:tc>
          <w:tcPr>
            <w:tcW w:w="2263" w:type="dxa"/>
            <w:tcBorders>
              <w:top w:val="single" w:sz="4" w:space="0" w:color="auto"/>
              <w:left w:val="single" w:sz="4" w:space="0" w:color="auto"/>
              <w:bottom w:val="single" w:sz="4" w:space="0" w:color="auto"/>
              <w:right w:val="single" w:sz="4" w:space="0" w:color="auto"/>
            </w:tcBorders>
            <w:vAlign w:val="center"/>
          </w:tcPr>
          <w:p w14:paraId="19EB880D" w14:textId="77777777" w:rsidR="00EB4A22" w:rsidRPr="00E04015" w:rsidRDefault="00EB4A22" w:rsidP="00B12430">
            <w:pPr>
              <w:jc w:val="center"/>
              <w:rPr>
                <w:rFonts w:ascii="Calibri" w:hAnsi="Calibri"/>
                <w:b/>
                <w:color w:val="000000"/>
                <w:szCs w:val="22"/>
              </w:rPr>
            </w:pPr>
            <w:r>
              <w:rPr>
                <w:rFonts w:ascii="Calibri" w:hAnsi="Calibri"/>
                <w:b/>
                <w:color w:val="000000"/>
                <w:szCs w:val="22"/>
              </w:rPr>
              <w:t>11</w:t>
            </w:r>
          </w:p>
        </w:tc>
        <w:tc>
          <w:tcPr>
            <w:tcW w:w="1981" w:type="dxa"/>
            <w:tcBorders>
              <w:top w:val="single" w:sz="4" w:space="0" w:color="auto"/>
              <w:left w:val="single" w:sz="4" w:space="0" w:color="auto"/>
              <w:bottom w:val="single" w:sz="4" w:space="0" w:color="auto"/>
              <w:right w:val="single" w:sz="4" w:space="0" w:color="auto"/>
            </w:tcBorders>
            <w:vAlign w:val="center"/>
          </w:tcPr>
          <w:p w14:paraId="7BCF07D3" w14:textId="77777777" w:rsidR="00EB4A22" w:rsidRPr="00E04015" w:rsidRDefault="00EB4A22" w:rsidP="00B12430">
            <w:pPr>
              <w:jc w:val="center"/>
              <w:rPr>
                <w:rFonts w:ascii="Calibri" w:hAnsi="Calibri"/>
                <w:b/>
                <w:color w:val="000000"/>
                <w:szCs w:val="22"/>
              </w:rPr>
            </w:pPr>
            <w:r>
              <w:rPr>
                <w:rFonts w:ascii="Calibri" w:hAnsi="Calibri"/>
                <w:b/>
                <w:color w:val="000000"/>
                <w:szCs w:val="22"/>
              </w:rPr>
              <w:t>2.3%</w:t>
            </w:r>
          </w:p>
        </w:tc>
      </w:tr>
      <w:tr w:rsidR="00EB4A22" w14:paraId="1D7BA761" w14:textId="77777777" w:rsidTr="00B12430">
        <w:tc>
          <w:tcPr>
            <w:tcW w:w="4664" w:type="dxa"/>
            <w:tcBorders>
              <w:top w:val="single" w:sz="4" w:space="0" w:color="auto"/>
              <w:left w:val="single" w:sz="4" w:space="0" w:color="auto"/>
              <w:bottom w:val="single" w:sz="4" w:space="0" w:color="auto"/>
              <w:right w:val="single" w:sz="4" w:space="0" w:color="auto"/>
            </w:tcBorders>
            <w:shd w:val="clear" w:color="auto" w:fill="C00000"/>
            <w:hideMark/>
          </w:tcPr>
          <w:p w14:paraId="628E3149" w14:textId="77777777" w:rsidR="00EB4A22" w:rsidRDefault="00EB4A22" w:rsidP="00B12430">
            <w:pPr>
              <w:rPr>
                <w:rFonts w:cs="Arial"/>
                <w:b/>
                <w:szCs w:val="22"/>
              </w:rPr>
            </w:pPr>
            <w:r>
              <w:rPr>
                <w:rFonts w:ascii="Calibri" w:hAnsi="Calibri"/>
                <w:b/>
                <w:szCs w:val="22"/>
              </w:rPr>
              <w:t>TOTAL</w:t>
            </w:r>
          </w:p>
        </w:tc>
        <w:tc>
          <w:tcPr>
            <w:tcW w:w="2263" w:type="dxa"/>
            <w:tcBorders>
              <w:top w:val="single" w:sz="4" w:space="0" w:color="auto"/>
              <w:left w:val="single" w:sz="4" w:space="0" w:color="auto"/>
              <w:bottom w:val="single" w:sz="4" w:space="0" w:color="auto"/>
              <w:right w:val="single" w:sz="4" w:space="0" w:color="auto"/>
            </w:tcBorders>
            <w:shd w:val="clear" w:color="auto" w:fill="C00000"/>
            <w:vAlign w:val="center"/>
          </w:tcPr>
          <w:p w14:paraId="0405993C" w14:textId="77777777" w:rsidR="00EB4A22" w:rsidRPr="00E04015" w:rsidRDefault="00EB4A22" w:rsidP="00B12430">
            <w:pPr>
              <w:jc w:val="center"/>
              <w:rPr>
                <w:rFonts w:ascii="Calibri" w:hAnsi="Calibri"/>
                <w:b/>
                <w:color w:val="000000"/>
                <w:szCs w:val="22"/>
              </w:rPr>
            </w:pPr>
            <w:r w:rsidRPr="00163955">
              <w:rPr>
                <w:rFonts w:ascii="Calibri" w:hAnsi="Calibri"/>
                <w:b/>
                <w:color w:val="FFFFFF" w:themeColor="background1"/>
                <w:szCs w:val="22"/>
              </w:rPr>
              <w:t>486</w:t>
            </w:r>
          </w:p>
        </w:tc>
        <w:tc>
          <w:tcPr>
            <w:tcW w:w="1981" w:type="dxa"/>
            <w:tcBorders>
              <w:top w:val="single" w:sz="4" w:space="0" w:color="auto"/>
              <w:left w:val="single" w:sz="4" w:space="0" w:color="auto"/>
              <w:bottom w:val="single" w:sz="4" w:space="0" w:color="auto"/>
              <w:right w:val="single" w:sz="4" w:space="0" w:color="auto"/>
            </w:tcBorders>
            <w:shd w:val="clear" w:color="auto" w:fill="C00000"/>
            <w:vAlign w:val="center"/>
          </w:tcPr>
          <w:p w14:paraId="65D452DC" w14:textId="77777777" w:rsidR="00EB4A22" w:rsidRPr="00E04015" w:rsidRDefault="00EB4A22" w:rsidP="00B12430">
            <w:pPr>
              <w:jc w:val="center"/>
              <w:rPr>
                <w:rFonts w:ascii="Calibri" w:hAnsi="Calibri"/>
                <w:b/>
                <w:color w:val="000000"/>
                <w:szCs w:val="22"/>
              </w:rPr>
            </w:pPr>
          </w:p>
        </w:tc>
      </w:tr>
    </w:tbl>
    <w:p w14:paraId="2BD0E578" w14:textId="77777777" w:rsidR="00EB4A22" w:rsidRDefault="00EB4A22" w:rsidP="00EB4A22"/>
    <w:p w14:paraId="07FFED09" w14:textId="77777777" w:rsidR="00EB4A22" w:rsidRDefault="00EB4A22" w:rsidP="00EB4A22">
      <w:pPr>
        <w:spacing w:after="200"/>
        <w:jc w:val="left"/>
      </w:pPr>
      <w:r>
        <w:br w:type="page"/>
      </w:r>
    </w:p>
    <w:p w14:paraId="00352DD7" w14:textId="77777777" w:rsidR="00EB4A22" w:rsidRDefault="00EB4A22" w:rsidP="00EB4A22">
      <w:pPr>
        <w:widowControl w:val="0"/>
        <w:spacing w:after="120"/>
        <w:rPr>
          <w:szCs w:val="22"/>
        </w:rPr>
      </w:pPr>
      <w:bookmarkStart w:id="47" w:name="_Toc443992227"/>
      <w:bookmarkStart w:id="48" w:name="_Toc445910051"/>
      <w:bookmarkStart w:id="49" w:name="_Toc447291335"/>
      <w:bookmarkStart w:id="50" w:name="_Toc447291473"/>
      <w:bookmarkStart w:id="51" w:name="_Toc447527530"/>
      <w:bookmarkStart w:id="52" w:name="_Toc493684128"/>
      <w:r>
        <w:rPr>
          <w:szCs w:val="22"/>
        </w:rPr>
        <w:t>Table 7</w:t>
      </w:r>
      <w:r w:rsidRPr="00666BAC">
        <w:rPr>
          <w:szCs w:val="22"/>
        </w:rPr>
        <w:t xml:space="preserve"> below shows </w:t>
      </w:r>
      <w:r>
        <w:rPr>
          <w:szCs w:val="22"/>
        </w:rPr>
        <w:t xml:space="preserve">a </w:t>
      </w:r>
      <w:r w:rsidRPr="00666BAC">
        <w:rPr>
          <w:szCs w:val="22"/>
        </w:rPr>
        <w:t>comparison of the proportion of complaints received</w:t>
      </w:r>
      <w:r>
        <w:rPr>
          <w:szCs w:val="22"/>
        </w:rPr>
        <w:t xml:space="preserve"> over time</w:t>
      </w:r>
      <w:r w:rsidRPr="00666BAC">
        <w:rPr>
          <w:szCs w:val="22"/>
        </w:rPr>
        <w:t xml:space="preserve"> for the most commonly complained about service types. As can be seen from this table, </w:t>
      </w:r>
      <w:r>
        <w:rPr>
          <w:szCs w:val="22"/>
        </w:rPr>
        <w:t xml:space="preserve">complaints about surgical services decreased for the first time in </w:t>
      </w:r>
      <w:r>
        <w:t>Jul–Dec 2020</w:t>
      </w:r>
      <w:r>
        <w:rPr>
          <w:szCs w:val="22"/>
        </w:rPr>
        <w:t xml:space="preserve">. There was also a small increase in complaints about emergency department services in </w:t>
      </w:r>
      <w:r>
        <w:t>Jul–Dec 2020</w:t>
      </w:r>
      <w:r>
        <w:rPr>
          <w:szCs w:val="22"/>
        </w:rPr>
        <w:t>.</w:t>
      </w:r>
    </w:p>
    <w:p w14:paraId="132C5418" w14:textId="77777777" w:rsidR="00EB4A22" w:rsidRPr="004C6DD1" w:rsidRDefault="00EB4A22" w:rsidP="00EB4A22">
      <w:pPr>
        <w:widowControl w:val="0"/>
        <w:spacing w:after="120"/>
        <w:rPr>
          <w:szCs w:val="22"/>
        </w:rPr>
      </w:pPr>
    </w:p>
    <w:p w14:paraId="26A2DF09" w14:textId="77777777" w:rsidR="00EB4A22" w:rsidRPr="00666BAC" w:rsidRDefault="00EB4A22" w:rsidP="00EB4A22">
      <w:pPr>
        <w:widowControl w:val="0"/>
        <w:spacing w:after="120"/>
        <w:rPr>
          <w:szCs w:val="22"/>
        </w:rPr>
      </w:pPr>
      <w:r>
        <w:rPr>
          <w:b/>
          <w:szCs w:val="22"/>
        </w:rPr>
        <w:t>Table 7</w:t>
      </w:r>
      <w:r w:rsidRPr="00666BAC">
        <w:rPr>
          <w:b/>
          <w:szCs w:val="22"/>
        </w:rPr>
        <w:t>.</w:t>
      </w:r>
      <w:r w:rsidRPr="00636882">
        <w:rPr>
          <w:szCs w:val="22"/>
        </w:rPr>
        <w:t xml:space="preserve"> Comparison</w:t>
      </w:r>
      <w:r w:rsidRPr="00666BAC">
        <w:rPr>
          <w:szCs w:val="22"/>
        </w:rPr>
        <w:t xml:space="preserve"> of the proportion of complaints received about the most commonly complained about service types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48"/>
        <w:gridCol w:w="1392"/>
        <w:gridCol w:w="1381"/>
        <w:gridCol w:w="1380"/>
        <w:gridCol w:w="1355"/>
        <w:gridCol w:w="1332"/>
      </w:tblGrid>
      <w:tr w:rsidR="00EB4A22" w:rsidRPr="00666BAC" w14:paraId="72DB3CD3" w14:textId="77777777" w:rsidTr="00B12430">
        <w:trPr>
          <w:trHeight w:val="624"/>
          <w:tblHeader/>
        </w:trPr>
        <w:tc>
          <w:tcPr>
            <w:tcW w:w="2048" w:type="dxa"/>
            <w:shd w:val="clear" w:color="auto" w:fill="C00000"/>
          </w:tcPr>
          <w:p w14:paraId="51531499" w14:textId="77777777" w:rsidR="00EB4A22" w:rsidRPr="00666BAC" w:rsidRDefault="00EB4A22" w:rsidP="00B12430">
            <w:pPr>
              <w:tabs>
                <w:tab w:val="left" w:pos="1440"/>
                <w:tab w:val="decimal" w:pos="4320"/>
              </w:tabs>
              <w:spacing w:before="120" w:after="120"/>
              <w:jc w:val="center"/>
              <w:outlineLvl w:val="0"/>
              <w:rPr>
                <w:b/>
                <w:szCs w:val="22"/>
                <w:vertAlign w:val="superscript"/>
              </w:rPr>
            </w:pPr>
            <w:r w:rsidRPr="00666BAC">
              <w:rPr>
                <w:b/>
                <w:szCs w:val="22"/>
              </w:rPr>
              <w:t>Service type</w:t>
            </w:r>
          </w:p>
        </w:tc>
        <w:tc>
          <w:tcPr>
            <w:tcW w:w="1392" w:type="dxa"/>
            <w:shd w:val="clear" w:color="auto" w:fill="C00000"/>
          </w:tcPr>
          <w:p w14:paraId="7B4A03B3" w14:textId="77777777" w:rsidR="00EB4A22" w:rsidRPr="00666BAC" w:rsidRDefault="00EB4A22" w:rsidP="00B12430">
            <w:pPr>
              <w:tabs>
                <w:tab w:val="left" w:pos="1440"/>
                <w:tab w:val="decimal" w:pos="4320"/>
              </w:tabs>
              <w:spacing w:before="120" w:after="120"/>
              <w:jc w:val="center"/>
              <w:outlineLvl w:val="0"/>
              <w:rPr>
                <w:b/>
                <w:szCs w:val="22"/>
              </w:rPr>
            </w:pPr>
            <w:r>
              <w:rPr>
                <w:b/>
                <w:szCs w:val="22"/>
              </w:rPr>
              <w:t>Jul–Dec 2018</w:t>
            </w:r>
          </w:p>
        </w:tc>
        <w:tc>
          <w:tcPr>
            <w:tcW w:w="1381" w:type="dxa"/>
            <w:shd w:val="clear" w:color="auto" w:fill="C00000"/>
          </w:tcPr>
          <w:p w14:paraId="617CED3A" w14:textId="77777777" w:rsidR="00EB4A22" w:rsidRPr="00666BAC" w:rsidRDefault="00EB4A22" w:rsidP="00B12430">
            <w:pPr>
              <w:tabs>
                <w:tab w:val="left" w:pos="1440"/>
                <w:tab w:val="decimal" w:pos="4320"/>
              </w:tabs>
              <w:spacing w:before="120" w:after="120"/>
              <w:jc w:val="center"/>
              <w:outlineLvl w:val="0"/>
              <w:rPr>
                <w:b/>
                <w:szCs w:val="22"/>
              </w:rPr>
            </w:pPr>
            <w:r>
              <w:rPr>
                <w:b/>
                <w:szCs w:val="22"/>
              </w:rPr>
              <w:t>Jan–Jun 2019</w:t>
            </w:r>
          </w:p>
        </w:tc>
        <w:tc>
          <w:tcPr>
            <w:tcW w:w="1380" w:type="dxa"/>
            <w:shd w:val="clear" w:color="auto" w:fill="C00000"/>
          </w:tcPr>
          <w:p w14:paraId="10A5A603" w14:textId="77777777" w:rsidR="00EB4A22" w:rsidRPr="00666BAC" w:rsidRDefault="00EB4A22" w:rsidP="00B12430">
            <w:pPr>
              <w:tabs>
                <w:tab w:val="left" w:pos="1440"/>
                <w:tab w:val="decimal" w:pos="4320"/>
              </w:tabs>
              <w:spacing w:before="120" w:after="120"/>
              <w:jc w:val="center"/>
              <w:outlineLvl w:val="0"/>
              <w:rPr>
                <w:b/>
                <w:szCs w:val="22"/>
              </w:rPr>
            </w:pPr>
            <w:r>
              <w:rPr>
                <w:b/>
                <w:szCs w:val="22"/>
              </w:rPr>
              <w:t>Jul–Dec 2019</w:t>
            </w:r>
          </w:p>
        </w:tc>
        <w:tc>
          <w:tcPr>
            <w:tcW w:w="1355" w:type="dxa"/>
            <w:shd w:val="clear" w:color="auto" w:fill="C00000"/>
          </w:tcPr>
          <w:p w14:paraId="3DDE6FB2" w14:textId="77777777" w:rsidR="00EB4A22" w:rsidRPr="00666BAC" w:rsidRDefault="00EB4A22" w:rsidP="00B12430">
            <w:pPr>
              <w:tabs>
                <w:tab w:val="left" w:pos="1440"/>
                <w:tab w:val="decimal" w:pos="4320"/>
              </w:tabs>
              <w:spacing w:before="120" w:after="120"/>
              <w:jc w:val="center"/>
              <w:outlineLvl w:val="0"/>
              <w:rPr>
                <w:b/>
                <w:szCs w:val="22"/>
              </w:rPr>
            </w:pPr>
            <w:r>
              <w:rPr>
                <w:b/>
                <w:szCs w:val="22"/>
              </w:rPr>
              <w:t>Jan–Jun 2020</w:t>
            </w:r>
          </w:p>
        </w:tc>
        <w:tc>
          <w:tcPr>
            <w:tcW w:w="1332" w:type="dxa"/>
            <w:shd w:val="clear" w:color="auto" w:fill="C00000"/>
          </w:tcPr>
          <w:p w14:paraId="196FD8C2" w14:textId="77777777" w:rsidR="00EB4A22" w:rsidRDefault="00EB4A22" w:rsidP="00B12430">
            <w:pPr>
              <w:tabs>
                <w:tab w:val="left" w:pos="1440"/>
                <w:tab w:val="decimal" w:pos="4320"/>
              </w:tabs>
              <w:spacing w:before="120" w:after="120"/>
              <w:jc w:val="center"/>
              <w:outlineLvl w:val="0"/>
              <w:rPr>
                <w:b/>
                <w:szCs w:val="22"/>
              </w:rPr>
            </w:pPr>
            <w:r>
              <w:rPr>
                <w:b/>
                <w:szCs w:val="22"/>
              </w:rPr>
              <w:t>Jul–Dec 2020</w:t>
            </w:r>
          </w:p>
        </w:tc>
      </w:tr>
      <w:tr w:rsidR="00EB4A22" w:rsidRPr="00666BAC" w14:paraId="5E85AF7B" w14:textId="77777777" w:rsidTr="00B12430">
        <w:trPr>
          <w:trHeight w:val="278"/>
        </w:trPr>
        <w:tc>
          <w:tcPr>
            <w:tcW w:w="2048" w:type="dxa"/>
            <w:vAlign w:val="bottom"/>
          </w:tcPr>
          <w:p w14:paraId="5FB96D40" w14:textId="77777777" w:rsidR="00EB4A22" w:rsidRPr="00666BAC" w:rsidRDefault="00EB4A22" w:rsidP="00B12430">
            <w:pPr>
              <w:jc w:val="left"/>
              <w:rPr>
                <w:rFonts w:cs="Calibri"/>
                <w:b/>
                <w:color w:val="000000"/>
                <w:szCs w:val="22"/>
              </w:rPr>
            </w:pPr>
            <w:r w:rsidRPr="00666BAC">
              <w:rPr>
                <w:rFonts w:cs="Calibri"/>
                <w:b/>
                <w:color w:val="000000"/>
                <w:szCs w:val="22"/>
              </w:rPr>
              <w:t>Surgery</w:t>
            </w:r>
          </w:p>
        </w:tc>
        <w:tc>
          <w:tcPr>
            <w:tcW w:w="1392" w:type="dxa"/>
            <w:vAlign w:val="bottom"/>
          </w:tcPr>
          <w:p w14:paraId="67A1212A" w14:textId="77777777" w:rsidR="00EB4A22" w:rsidRPr="0086165A" w:rsidRDefault="00EB4A22" w:rsidP="00B12430">
            <w:pPr>
              <w:jc w:val="center"/>
              <w:rPr>
                <w:rFonts w:cs="Calibri"/>
                <w:color w:val="000000"/>
                <w:szCs w:val="22"/>
              </w:rPr>
            </w:pPr>
            <w:r w:rsidRPr="0086165A">
              <w:rPr>
                <w:rFonts w:cs="Calibri"/>
                <w:color w:val="000000"/>
                <w:szCs w:val="22"/>
              </w:rPr>
              <w:t>30%</w:t>
            </w:r>
          </w:p>
        </w:tc>
        <w:tc>
          <w:tcPr>
            <w:tcW w:w="1381" w:type="dxa"/>
          </w:tcPr>
          <w:p w14:paraId="2B823E32" w14:textId="77777777" w:rsidR="00EB4A22" w:rsidRPr="0086165A" w:rsidRDefault="00EB4A22" w:rsidP="00B12430">
            <w:pPr>
              <w:jc w:val="center"/>
              <w:rPr>
                <w:rFonts w:cs="Calibri"/>
                <w:color w:val="000000"/>
                <w:szCs w:val="22"/>
              </w:rPr>
            </w:pPr>
            <w:r w:rsidRPr="0086165A">
              <w:rPr>
                <w:rFonts w:cs="Calibri"/>
                <w:color w:val="000000"/>
                <w:szCs w:val="22"/>
              </w:rPr>
              <w:t>31%</w:t>
            </w:r>
          </w:p>
        </w:tc>
        <w:tc>
          <w:tcPr>
            <w:tcW w:w="1380" w:type="dxa"/>
          </w:tcPr>
          <w:p w14:paraId="3E98DA42" w14:textId="77777777" w:rsidR="00EB4A22" w:rsidRPr="0086165A" w:rsidRDefault="00EB4A22" w:rsidP="00B12430">
            <w:pPr>
              <w:jc w:val="center"/>
              <w:rPr>
                <w:rFonts w:cs="Calibri"/>
                <w:color w:val="000000"/>
                <w:szCs w:val="22"/>
              </w:rPr>
            </w:pPr>
            <w:r w:rsidRPr="0086165A">
              <w:rPr>
                <w:rFonts w:cs="Calibri"/>
                <w:color w:val="000000"/>
                <w:szCs w:val="22"/>
              </w:rPr>
              <w:t>31%</w:t>
            </w:r>
          </w:p>
        </w:tc>
        <w:tc>
          <w:tcPr>
            <w:tcW w:w="1355" w:type="dxa"/>
          </w:tcPr>
          <w:p w14:paraId="08F9E481" w14:textId="77777777" w:rsidR="00EB4A22" w:rsidRPr="0086165A" w:rsidRDefault="00EB4A22" w:rsidP="00B12430">
            <w:pPr>
              <w:jc w:val="center"/>
              <w:rPr>
                <w:rFonts w:cs="Calibri"/>
                <w:color w:val="000000"/>
                <w:szCs w:val="22"/>
              </w:rPr>
            </w:pPr>
            <w:r w:rsidRPr="0086165A">
              <w:rPr>
                <w:rFonts w:cs="Calibri"/>
                <w:color w:val="000000"/>
                <w:szCs w:val="22"/>
              </w:rPr>
              <w:t>31%</w:t>
            </w:r>
          </w:p>
        </w:tc>
        <w:tc>
          <w:tcPr>
            <w:tcW w:w="1332" w:type="dxa"/>
          </w:tcPr>
          <w:p w14:paraId="75BFEA1F" w14:textId="77777777" w:rsidR="00EB4A22" w:rsidRPr="0086165A" w:rsidRDefault="00EB4A22" w:rsidP="00B12430">
            <w:pPr>
              <w:jc w:val="center"/>
              <w:rPr>
                <w:rFonts w:cs="Calibri"/>
                <w:color w:val="000000"/>
                <w:szCs w:val="22"/>
              </w:rPr>
            </w:pPr>
            <w:r>
              <w:rPr>
                <w:rFonts w:cs="Calibri"/>
                <w:color w:val="000000"/>
                <w:szCs w:val="22"/>
              </w:rPr>
              <w:t>23</w:t>
            </w:r>
            <w:r w:rsidRPr="0086165A">
              <w:rPr>
                <w:rFonts w:cs="Calibri"/>
                <w:color w:val="000000"/>
                <w:szCs w:val="22"/>
              </w:rPr>
              <w:t>%</w:t>
            </w:r>
          </w:p>
        </w:tc>
      </w:tr>
      <w:tr w:rsidR="00EB4A22" w:rsidRPr="00666BAC" w14:paraId="79CB6A3F" w14:textId="77777777" w:rsidTr="00B12430">
        <w:trPr>
          <w:trHeight w:val="267"/>
        </w:trPr>
        <w:tc>
          <w:tcPr>
            <w:tcW w:w="2048" w:type="dxa"/>
            <w:vAlign w:val="bottom"/>
          </w:tcPr>
          <w:p w14:paraId="49A9E437" w14:textId="77777777" w:rsidR="00EB4A22" w:rsidRPr="00666BAC" w:rsidRDefault="00EB4A22" w:rsidP="00B12430">
            <w:pPr>
              <w:rPr>
                <w:rFonts w:cs="Calibri"/>
                <w:b/>
                <w:color w:val="000000"/>
                <w:szCs w:val="22"/>
              </w:rPr>
            </w:pPr>
            <w:r w:rsidRPr="00666BAC">
              <w:rPr>
                <w:rFonts w:cs="Calibri"/>
                <w:b/>
                <w:color w:val="000000"/>
                <w:szCs w:val="22"/>
              </w:rPr>
              <w:t>Mental health</w:t>
            </w:r>
          </w:p>
        </w:tc>
        <w:tc>
          <w:tcPr>
            <w:tcW w:w="1392" w:type="dxa"/>
            <w:vAlign w:val="bottom"/>
          </w:tcPr>
          <w:p w14:paraId="15A4E65A" w14:textId="77777777" w:rsidR="00EB4A22" w:rsidRPr="0086165A" w:rsidRDefault="00EB4A22" w:rsidP="00B12430">
            <w:pPr>
              <w:jc w:val="center"/>
              <w:rPr>
                <w:rFonts w:cs="Calibri"/>
                <w:color w:val="000000"/>
                <w:szCs w:val="22"/>
              </w:rPr>
            </w:pPr>
            <w:r w:rsidRPr="0086165A">
              <w:rPr>
                <w:rFonts w:cs="Calibri"/>
                <w:color w:val="000000"/>
                <w:szCs w:val="22"/>
              </w:rPr>
              <w:t>25%</w:t>
            </w:r>
          </w:p>
        </w:tc>
        <w:tc>
          <w:tcPr>
            <w:tcW w:w="1381" w:type="dxa"/>
          </w:tcPr>
          <w:p w14:paraId="7225D266" w14:textId="77777777" w:rsidR="00EB4A22" w:rsidRPr="0086165A" w:rsidRDefault="00EB4A22" w:rsidP="00B12430">
            <w:pPr>
              <w:jc w:val="center"/>
              <w:rPr>
                <w:rFonts w:cs="Calibri"/>
                <w:color w:val="000000"/>
                <w:szCs w:val="22"/>
              </w:rPr>
            </w:pPr>
            <w:r w:rsidRPr="0086165A">
              <w:rPr>
                <w:rFonts w:cs="Calibri"/>
                <w:color w:val="000000"/>
                <w:szCs w:val="22"/>
              </w:rPr>
              <w:t>22%</w:t>
            </w:r>
          </w:p>
        </w:tc>
        <w:tc>
          <w:tcPr>
            <w:tcW w:w="1380" w:type="dxa"/>
          </w:tcPr>
          <w:p w14:paraId="30058CBD" w14:textId="77777777" w:rsidR="00EB4A22" w:rsidRPr="0086165A" w:rsidRDefault="00EB4A22" w:rsidP="00B12430">
            <w:pPr>
              <w:jc w:val="center"/>
              <w:rPr>
                <w:rFonts w:cs="Calibri"/>
                <w:color w:val="000000"/>
                <w:szCs w:val="22"/>
              </w:rPr>
            </w:pPr>
            <w:r w:rsidRPr="0086165A">
              <w:rPr>
                <w:rFonts w:cs="Calibri"/>
                <w:color w:val="000000"/>
                <w:szCs w:val="22"/>
              </w:rPr>
              <w:t>25%</w:t>
            </w:r>
          </w:p>
        </w:tc>
        <w:tc>
          <w:tcPr>
            <w:tcW w:w="1355" w:type="dxa"/>
          </w:tcPr>
          <w:p w14:paraId="5FF507E6" w14:textId="77777777" w:rsidR="00EB4A22" w:rsidRPr="0086165A" w:rsidRDefault="00EB4A22" w:rsidP="00B12430">
            <w:pPr>
              <w:jc w:val="center"/>
              <w:rPr>
                <w:rFonts w:cs="Calibri"/>
                <w:color w:val="000000"/>
                <w:szCs w:val="22"/>
              </w:rPr>
            </w:pPr>
            <w:r w:rsidRPr="0086165A">
              <w:rPr>
                <w:rFonts w:cs="Calibri"/>
                <w:color w:val="000000"/>
                <w:szCs w:val="22"/>
              </w:rPr>
              <w:t>22%</w:t>
            </w:r>
          </w:p>
        </w:tc>
        <w:tc>
          <w:tcPr>
            <w:tcW w:w="1332" w:type="dxa"/>
          </w:tcPr>
          <w:p w14:paraId="563CE935" w14:textId="77777777" w:rsidR="00EB4A22" w:rsidRPr="0086165A" w:rsidRDefault="00EB4A22" w:rsidP="00B12430">
            <w:pPr>
              <w:jc w:val="center"/>
              <w:rPr>
                <w:rFonts w:cs="Calibri"/>
                <w:color w:val="000000"/>
                <w:szCs w:val="22"/>
              </w:rPr>
            </w:pPr>
            <w:r>
              <w:rPr>
                <w:rFonts w:cs="Calibri"/>
                <w:color w:val="000000"/>
                <w:szCs w:val="22"/>
              </w:rPr>
              <w:t>24</w:t>
            </w:r>
            <w:r w:rsidRPr="0086165A">
              <w:rPr>
                <w:rFonts w:cs="Calibri"/>
                <w:color w:val="000000"/>
                <w:szCs w:val="22"/>
              </w:rPr>
              <w:t>%</w:t>
            </w:r>
          </w:p>
        </w:tc>
      </w:tr>
      <w:tr w:rsidR="00EB4A22" w:rsidRPr="00666BAC" w14:paraId="24711760" w14:textId="77777777" w:rsidTr="00B12430">
        <w:trPr>
          <w:trHeight w:val="267"/>
        </w:trPr>
        <w:tc>
          <w:tcPr>
            <w:tcW w:w="2048" w:type="dxa"/>
            <w:vAlign w:val="bottom"/>
          </w:tcPr>
          <w:p w14:paraId="0BB7E47B" w14:textId="77777777" w:rsidR="00EB4A22" w:rsidRPr="00666BAC" w:rsidRDefault="00EB4A22" w:rsidP="00B12430">
            <w:pPr>
              <w:rPr>
                <w:rFonts w:cs="Calibri"/>
                <w:b/>
                <w:color w:val="000000"/>
                <w:szCs w:val="22"/>
              </w:rPr>
            </w:pPr>
            <w:r w:rsidRPr="00666BAC">
              <w:rPr>
                <w:rFonts w:cs="Calibri"/>
                <w:b/>
                <w:color w:val="000000"/>
                <w:szCs w:val="22"/>
              </w:rPr>
              <w:t>General medicine</w:t>
            </w:r>
          </w:p>
        </w:tc>
        <w:tc>
          <w:tcPr>
            <w:tcW w:w="1392" w:type="dxa"/>
            <w:vAlign w:val="bottom"/>
          </w:tcPr>
          <w:p w14:paraId="28C5043F" w14:textId="77777777" w:rsidR="00EB4A22" w:rsidRPr="0086165A" w:rsidRDefault="00EB4A22" w:rsidP="00B12430">
            <w:pPr>
              <w:jc w:val="center"/>
              <w:rPr>
                <w:rFonts w:cs="Calibri"/>
                <w:color w:val="000000"/>
                <w:szCs w:val="22"/>
              </w:rPr>
            </w:pPr>
            <w:r w:rsidRPr="0086165A">
              <w:rPr>
                <w:rFonts w:cs="Calibri"/>
                <w:color w:val="000000"/>
                <w:szCs w:val="22"/>
              </w:rPr>
              <w:t>15%</w:t>
            </w:r>
          </w:p>
        </w:tc>
        <w:tc>
          <w:tcPr>
            <w:tcW w:w="1381" w:type="dxa"/>
          </w:tcPr>
          <w:p w14:paraId="2940BC41" w14:textId="77777777" w:rsidR="00EB4A22" w:rsidRPr="0086165A" w:rsidRDefault="00EB4A22" w:rsidP="00B12430">
            <w:pPr>
              <w:jc w:val="center"/>
              <w:rPr>
                <w:rFonts w:cs="Calibri"/>
                <w:color w:val="000000"/>
                <w:szCs w:val="22"/>
              </w:rPr>
            </w:pPr>
            <w:r w:rsidRPr="0086165A">
              <w:rPr>
                <w:rFonts w:cs="Calibri"/>
                <w:color w:val="000000"/>
                <w:szCs w:val="22"/>
              </w:rPr>
              <w:t>18%</w:t>
            </w:r>
          </w:p>
        </w:tc>
        <w:tc>
          <w:tcPr>
            <w:tcW w:w="1380" w:type="dxa"/>
          </w:tcPr>
          <w:p w14:paraId="3382DB83" w14:textId="77777777" w:rsidR="00EB4A22" w:rsidRPr="0086165A" w:rsidRDefault="00EB4A22" w:rsidP="00B12430">
            <w:pPr>
              <w:jc w:val="center"/>
              <w:rPr>
                <w:rFonts w:cs="Calibri"/>
                <w:color w:val="000000"/>
                <w:szCs w:val="22"/>
              </w:rPr>
            </w:pPr>
            <w:r w:rsidRPr="0086165A">
              <w:rPr>
                <w:rFonts w:cs="Calibri"/>
                <w:color w:val="000000"/>
                <w:szCs w:val="22"/>
              </w:rPr>
              <w:t>16%</w:t>
            </w:r>
          </w:p>
        </w:tc>
        <w:tc>
          <w:tcPr>
            <w:tcW w:w="1355" w:type="dxa"/>
          </w:tcPr>
          <w:p w14:paraId="3E2BF885" w14:textId="77777777" w:rsidR="00EB4A22" w:rsidRPr="0086165A" w:rsidRDefault="00EB4A22" w:rsidP="00B12430">
            <w:pPr>
              <w:jc w:val="center"/>
              <w:rPr>
                <w:rFonts w:cs="Calibri"/>
                <w:color w:val="000000"/>
                <w:szCs w:val="22"/>
              </w:rPr>
            </w:pPr>
            <w:r w:rsidRPr="0086165A">
              <w:rPr>
                <w:rFonts w:cs="Calibri"/>
                <w:color w:val="000000"/>
                <w:szCs w:val="22"/>
              </w:rPr>
              <w:t>18%</w:t>
            </w:r>
          </w:p>
        </w:tc>
        <w:tc>
          <w:tcPr>
            <w:tcW w:w="1332" w:type="dxa"/>
          </w:tcPr>
          <w:p w14:paraId="37E9EE8B" w14:textId="77777777" w:rsidR="00EB4A22" w:rsidRPr="0086165A" w:rsidRDefault="00EB4A22" w:rsidP="00B12430">
            <w:pPr>
              <w:jc w:val="center"/>
              <w:rPr>
                <w:rFonts w:cs="Calibri"/>
                <w:color w:val="000000"/>
                <w:szCs w:val="22"/>
              </w:rPr>
            </w:pPr>
            <w:r>
              <w:rPr>
                <w:rFonts w:cs="Calibri"/>
                <w:color w:val="000000"/>
                <w:szCs w:val="22"/>
              </w:rPr>
              <w:t>19</w:t>
            </w:r>
            <w:r w:rsidRPr="0086165A">
              <w:rPr>
                <w:rFonts w:cs="Calibri"/>
                <w:color w:val="000000"/>
                <w:szCs w:val="22"/>
              </w:rPr>
              <w:t>%</w:t>
            </w:r>
          </w:p>
        </w:tc>
      </w:tr>
      <w:tr w:rsidR="00EB4A22" w:rsidRPr="00666BAC" w14:paraId="78D6D6C3" w14:textId="77777777" w:rsidTr="00B12430">
        <w:trPr>
          <w:trHeight w:val="286"/>
        </w:trPr>
        <w:tc>
          <w:tcPr>
            <w:tcW w:w="2048" w:type="dxa"/>
            <w:vAlign w:val="bottom"/>
          </w:tcPr>
          <w:p w14:paraId="219A7F4A" w14:textId="77777777" w:rsidR="00EB4A22" w:rsidRPr="00666BAC" w:rsidRDefault="00EB4A22" w:rsidP="00B12430">
            <w:pPr>
              <w:rPr>
                <w:rFonts w:cs="Calibri"/>
                <w:b/>
                <w:color w:val="000000"/>
                <w:szCs w:val="22"/>
              </w:rPr>
            </w:pPr>
            <w:r w:rsidRPr="00666BAC">
              <w:rPr>
                <w:rFonts w:cs="Calibri"/>
                <w:b/>
                <w:color w:val="000000"/>
                <w:szCs w:val="22"/>
              </w:rPr>
              <w:t>Emergency department</w:t>
            </w:r>
          </w:p>
        </w:tc>
        <w:tc>
          <w:tcPr>
            <w:tcW w:w="1392" w:type="dxa"/>
            <w:vAlign w:val="center"/>
          </w:tcPr>
          <w:p w14:paraId="3F120350" w14:textId="77777777" w:rsidR="00EB4A22" w:rsidRPr="0086165A" w:rsidRDefault="00EB4A22" w:rsidP="00B12430">
            <w:pPr>
              <w:jc w:val="center"/>
              <w:rPr>
                <w:rFonts w:cs="Calibri"/>
                <w:color w:val="000000"/>
                <w:szCs w:val="22"/>
              </w:rPr>
            </w:pPr>
            <w:r w:rsidRPr="0086165A">
              <w:rPr>
                <w:rFonts w:cs="Calibri"/>
                <w:color w:val="000000"/>
                <w:szCs w:val="22"/>
              </w:rPr>
              <w:t>12%</w:t>
            </w:r>
          </w:p>
        </w:tc>
        <w:tc>
          <w:tcPr>
            <w:tcW w:w="1381" w:type="dxa"/>
            <w:vAlign w:val="center"/>
          </w:tcPr>
          <w:p w14:paraId="3115EE34" w14:textId="77777777" w:rsidR="00EB4A22" w:rsidRPr="0086165A" w:rsidRDefault="00EB4A22" w:rsidP="00B12430">
            <w:pPr>
              <w:jc w:val="center"/>
              <w:rPr>
                <w:rFonts w:cs="Calibri"/>
                <w:color w:val="000000"/>
                <w:szCs w:val="22"/>
              </w:rPr>
            </w:pPr>
            <w:r w:rsidRPr="0086165A">
              <w:rPr>
                <w:rFonts w:cs="Calibri"/>
                <w:color w:val="000000"/>
                <w:szCs w:val="22"/>
              </w:rPr>
              <w:t>12%</w:t>
            </w:r>
          </w:p>
        </w:tc>
        <w:tc>
          <w:tcPr>
            <w:tcW w:w="1380" w:type="dxa"/>
            <w:vAlign w:val="center"/>
          </w:tcPr>
          <w:p w14:paraId="31600813" w14:textId="77777777" w:rsidR="00EB4A22" w:rsidRPr="0086165A" w:rsidRDefault="00EB4A22" w:rsidP="00B12430">
            <w:pPr>
              <w:jc w:val="center"/>
              <w:rPr>
                <w:rFonts w:cs="Calibri"/>
                <w:color w:val="000000"/>
                <w:szCs w:val="22"/>
              </w:rPr>
            </w:pPr>
            <w:r w:rsidRPr="0086165A">
              <w:rPr>
                <w:rFonts w:cs="Calibri"/>
                <w:color w:val="000000"/>
                <w:szCs w:val="22"/>
              </w:rPr>
              <w:t>11%</w:t>
            </w:r>
          </w:p>
        </w:tc>
        <w:tc>
          <w:tcPr>
            <w:tcW w:w="1355" w:type="dxa"/>
            <w:vAlign w:val="center"/>
          </w:tcPr>
          <w:p w14:paraId="4C2289CF" w14:textId="77777777" w:rsidR="00EB4A22" w:rsidRPr="0086165A" w:rsidRDefault="00EB4A22" w:rsidP="00B12430">
            <w:pPr>
              <w:jc w:val="center"/>
              <w:rPr>
                <w:rFonts w:cs="Calibri"/>
                <w:color w:val="000000"/>
                <w:szCs w:val="22"/>
              </w:rPr>
            </w:pPr>
            <w:r w:rsidRPr="0086165A">
              <w:rPr>
                <w:rFonts w:cs="Calibri"/>
                <w:color w:val="000000"/>
                <w:szCs w:val="22"/>
              </w:rPr>
              <w:t>11%</w:t>
            </w:r>
          </w:p>
        </w:tc>
        <w:tc>
          <w:tcPr>
            <w:tcW w:w="1332" w:type="dxa"/>
            <w:vAlign w:val="center"/>
          </w:tcPr>
          <w:p w14:paraId="640D99EC" w14:textId="77777777" w:rsidR="00EB4A22" w:rsidRPr="0086165A" w:rsidRDefault="00EB4A22" w:rsidP="00B12430">
            <w:pPr>
              <w:jc w:val="center"/>
              <w:rPr>
                <w:rFonts w:cs="Calibri"/>
                <w:color w:val="000000"/>
                <w:szCs w:val="22"/>
              </w:rPr>
            </w:pPr>
            <w:r>
              <w:rPr>
                <w:rFonts w:cs="Calibri"/>
                <w:color w:val="000000"/>
                <w:szCs w:val="22"/>
              </w:rPr>
              <w:t>15</w:t>
            </w:r>
            <w:r w:rsidRPr="0086165A">
              <w:rPr>
                <w:rFonts w:cs="Calibri"/>
                <w:color w:val="000000"/>
                <w:szCs w:val="22"/>
              </w:rPr>
              <w:t>%</w:t>
            </w:r>
          </w:p>
        </w:tc>
      </w:tr>
      <w:tr w:rsidR="00EB4A22" w:rsidRPr="00666BAC" w14:paraId="5250B5D2" w14:textId="77777777" w:rsidTr="00B12430">
        <w:trPr>
          <w:trHeight w:val="286"/>
        </w:trPr>
        <w:tc>
          <w:tcPr>
            <w:tcW w:w="2048" w:type="dxa"/>
            <w:vAlign w:val="bottom"/>
          </w:tcPr>
          <w:p w14:paraId="64F9E37C" w14:textId="77777777" w:rsidR="00EB4A22" w:rsidRPr="00666BAC" w:rsidRDefault="00EB4A22" w:rsidP="00B12430">
            <w:pPr>
              <w:rPr>
                <w:rFonts w:cs="Calibri"/>
                <w:b/>
                <w:color w:val="000000"/>
                <w:szCs w:val="22"/>
              </w:rPr>
            </w:pPr>
            <w:r w:rsidRPr="00666BAC">
              <w:rPr>
                <w:rFonts w:cs="Calibri"/>
                <w:b/>
                <w:color w:val="000000"/>
                <w:szCs w:val="22"/>
              </w:rPr>
              <w:t>Maternity</w:t>
            </w:r>
          </w:p>
        </w:tc>
        <w:tc>
          <w:tcPr>
            <w:tcW w:w="1392" w:type="dxa"/>
            <w:vAlign w:val="bottom"/>
          </w:tcPr>
          <w:p w14:paraId="6198F492" w14:textId="77777777" w:rsidR="00EB4A22" w:rsidRPr="0086165A" w:rsidRDefault="00EB4A22" w:rsidP="00B12430">
            <w:pPr>
              <w:jc w:val="center"/>
              <w:rPr>
                <w:rFonts w:cs="Calibri"/>
                <w:color w:val="000000"/>
                <w:szCs w:val="22"/>
              </w:rPr>
            </w:pPr>
            <w:r w:rsidRPr="0086165A">
              <w:rPr>
                <w:rFonts w:cs="Calibri"/>
                <w:color w:val="000000"/>
                <w:szCs w:val="22"/>
              </w:rPr>
              <w:t>3%</w:t>
            </w:r>
          </w:p>
        </w:tc>
        <w:tc>
          <w:tcPr>
            <w:tcW w:w="1381" w:type="dxa"/>
            <w:vAlign w:val="bottom"/>
          </w:tcPr>
          <w:p w14:paraId="43EB6DCA" w14:textId="77777777" w:rsidR="00EB4A22" w:rsidRPr="0086165A" w:rsidRDefault="00EB4A22" w:rsidP="00B12430">
            <w:pPr>
              <w:jc w:val="center"/>
              <w:rPr>
                <w:rFonts w:cs="Calibri"/>
                <w:color w:val="000000"/>
                <w:szCs w:val="22"/>
              </w:rPr>
            </w:pPr>
            <w:r w:rsidRPr="0086165A">
              <w:rPr>
                <w:rFonts w:cs="Calibri"/>
                <w:color w:val="000000"/>
                <w:szCs w:val="22"/>
              </w:rPr>
              <w:t>6%</w:t>
            </w:r>
          </w:p>
        </w:tc>
        <w:tc>
          <w:tcPr>
            <w:tcW w:w="1380" w:type="dxa"/>
          </w:tcPr>
          <w:p w14:paraId="39DFB5AD" w14:textId="77777777" w:rsidR="00EB4A22" w:rsidRPr="0086165A" w:rsidRDefault="00EB4A22" w:rsidP="00B12430">
            <w:pPr>
              <w:jc w:val="center"/>
              <w:rPr>
                <w:rFonts w:cs="Calibri"/>
                <w:color w:val="000000"/>
                <w:szCs w:val="22"/>
              </w:rPr>
            </w:pPr>
            <w:r w:rsidRPr="0086165A">
              <w:rPr>
                <w:rFonts w:cs="Calibri"/>
                <w:color w:val="000000"/>
                <w:szCs w:val="22"/>
              </w:rPr>
              <w:t>5%</w:t>
            </w:r>
          </w:p>
        </w:tc>
        <w:tc>
          <w:tcPr>
            <w:tcW w:w="1355" w:type="dxa"/>
          </w:tcPr>
          <w:p w14:paraId="564978C6" w14:textId="77777777" w:rsidR="00EB4A22" w:rsidRPr="0086165A" w:rsidRDefault="00EB4A22" w:rsidP="00B12430">
            <w:pPr>
              <w:jc w:val="center"/>
              <w:rPr>
                <w:rFonts w:cs="Calibri"/>
                <w:color w:val="000000"/>
                <w:szCs w:val="22"/>
              </w:rPr>
            </w:pPr>
            <w:r w:rsidRPr="0086165A">
              <w:rPr>
                <w:rFonts w:cs="Calibri"/>
                <w:color w:val="000000"/>
                <w:szCs w:val="22"/>
              </w:rPr>
              <w:t>7%</w:t>
            </w:r>
          </w:p>
        </w:tc>
        <w:tc>
          <w:tcPr>
            <w:tcW w:w="1332" w:type="dxa"/>
          </w:tcPr>
          <w:p w14:paraId="5BAB3658" w14:textId="77777777" w:rsidR="00EB4A22" w:rsidRPr="0086165A" w:rsidRDefault="00EB4A22" w:rsidP="00B12430">
            <w:pPr>
              <w:jc w:val="center"/>
              <w:rPr>
                <w:rFonts w:cs="Calibri"/>
                <w:color w:val="000000"/>
                <w:szCs w:val="22"/>
              </w:rPr>
            </w:pPr>
            <w:r>
              <w:rPr>
                <w:rFonts w:cs="Calibri"/>
                <w:color w:val="000000"/>
                <w:szCs w:val="22"/>
              </w:rPr>
              <w:t>5</w:t>
            </w:r>
            <w:r w:rsidRPr="0086165A">
              <w:rPr>
                <w:rFonts w:cs="Calibri"/>
                <w:color w:val="000000"/>
                <w:szCs w:val="22"/>
              </w:rPr>
              <w:t>%</w:t>
            </w:r>
          </w:p>
        </w:tc>
      </w:tr>
    </w:tbl>
    <w:p w14:paraId="7D5C09AF" w14:textId="77777777" w:rsidR="00EB4A22" w:rsidRPr="00636882" w:rsidRDefault="00EB4A22" w:rsidP="00EB4A22">
      <w:pPr>
        <w:rPr>
          <w:lang w:val="en-AU" w:bidi="ar-SA"/>
        </w:rPr>
      </w:pPr>
    </w:p>
    <w:p w14:paraId="4EEC7AF4" w14:textId="77777777" w:rsidR="00EB4A22" w:rsidRDefault="00EB4A22" w:rsidP="00EB4A22">
      <w:pPr>
        <w:pStyle w:val="Heading2"/>
        <w:spacing w:before="600" w:after="240"/>
        <w:rPr>
          <w:sz w:val="36"/>
          <w:szCs w:val="36"/>
        </w:rPr>
      </w:pPr>
      <w:bookmarkStart w:id="53" w:name="_Toc404344431"/>
      <w:bookmarkStart w:id="54" w:name="_Toc506278070"/>
      <w:bookmarkEnd w:id="46"/>
      <w:bookmarkEnd w:id="47"/>
      <w:bookmarkEnd w:id="48"/>
      <w:bookmarkEnd w:id="49"/>
      <w:bookmarkEnd w:id="50"/>
      <w:bookmarkEnd w:id="51"/>
      <w:bookmarkEnd w:id="52"/>
      <w:r>
        <w:rPr>
          <w:sz w:val="36"/>
          <w:szCs w:val="36"/>
        </w:rPr>
        <w:br w:type="page"/>
      </w:r>
    </w:p>
    <w:p w14:paraId="6135D08F" w14:textId="3AB0EF1F" w:rsidR="00EB4A22" w:rsidRPr="00666BAC" w:rsidRDefault="00EB4A22" w:rsidP="00EB4A22">
      <w:pPr>
        <w:pStyle w:val="Heading2"/>
        <w:spacing w:before="600" w:after="240"/>
        <w:rPr>
          <w:sz w:val="36"/>
          <w:szCs w:val="36"/>
        </w:rPr>
      </w:pPr>
      <w:bookmarkStart w:id="55" w:name="_Toc71561656"/>
      <w:bookmarkStart w:id="56" w:name="_Toc74223412"/>
      <w:r>
        <w:rPr>
          <w:sz w:val="36"/>
          <w:szCs w:val="36"/>
        </w:rPr>
        <w:t>4</w:t>
      </w:r>
      <w:r w:rsidRPr="00666BAC">
        <w:rPr>
          <w:sz w:val="36"/>
          <w:szCs w:val="36"/>
        </w:rPr>
        <w:t>.</w:t>
      </w:r>
      <w:r w:rsidRPr="00666BAC">
        <w:rPr>
          <w:sz w:val="36"/>
          <w:szCs w:val="36"/>
        </w:rPr>
        <w:tab/>
        <w:t>What did people complain about?</w:t>
      </w:r>
      <w:bookmarkEnd w:id="53"/>
      <w:bookmarkEnd w:id="54"/>
      <w:bookmarkEnd w:id="55"/>
      <w:bookmarkEnd w:id="56"/>
      <w:r w:rsidRPr="00666BAC">
        <w:rPr>
          <w:sz w:val="36"/>
          <w:szCs w:val="36"/>
        </w:rPr>
        <w:t xml:space="preserve"> </w:t>
      </w:r>
    </w:p>
    <w:p w14:paraId="688EE9B2" w14:textId="77777777" w:rsidR="00EB4A22" w:rsidRPr="003D2C86" w:rsidRDefault="00EB4A22" w:rsidP="00932E72">
      <w:pPr>
        <w:pStyle w:val="Heading3"/>
      </w:pPr>
      <w:bookmarkStart w:id="57" w:name="_Toc404344432"/>
      <w:bookmarkStart w:id="58" w:name="_Toc506278071"/>
      <w:bookmarkStart w:id="59" w:name="_Toc71561657"/>
      <w:bookmarkStart w:id="60" w:name="_Toc74223413"/>
      <w:r>
        <w:t>4</w:t>
      </w:r>
      <w:r w:rsidRPr="00666BAC">
        <w:t>.1</w:t>
      </w:r>
      <w:r w:rsidRPr="00666BAC">
        <w:tab/>
      </w:r>
      <w:r>
        <w:t>Primary i</w:t>
      </w:r>
      <w:r w:rsidRPr="00666BAC">
        <w:t>ssues identified in complaints</w:t>
      </w:r>
      <w:bookmarkEnd w:id="57"/>
      <w:bookmarkEnd w:id="58"/>
      <w:bookmarkEnd w:id="59"/>
      <w:bookmarkEnd w:id="60"/>
      <w:r w:rsidRPr="00666BAC">
        <w:t xml:space="preserve"> </w:t>
      </w:r>
    </w:p>
    <w:p w14:paraId="4DA83325" w14:textId="77777777" w:rsidR="00EB4A22" w:rsidRDefault="00EB4A22" w:rsidP="00EB4A22">
      <w:pPr>
        <w:spacing w:after="240"/>
      </w:pPr>
      <w:r>
        <w:t xml:space="preserve">For each complaint received by HDC, one primary complaint issue is identified. The primary issues identified in complaints received in </w:t>
      </w:r>
      <w:r>
        <w:rPr>
          <w:lang w:eastAsia="en-NZ" w:bidi="ar-SA"/>
        </w:rPr>
        <w:t xml:space="preserve">Jul–Dec 2020 </w:t>
      </w:r>
      <w:r>
        <w:t xml:space="preserve">are listed below in Table 8. It should be noted that </w:t>
      </w:r>
      <w:r w:rsidRPr="00666BAC">
        <w:t>the issues included are as articul</w:t>
      </w:r>
      <w:r>
        <w:t>ated by the complainant to HDC.</w:t>
      </w:r>
      <w:r w:rsidRPr="00666BAC">
        <w:t xml:space="preserve"> While not all issues raised in complaints are subsequently factually and/or clinically subst</w:t>
      </w:r>
      <w:r>
        <w:t>antiated, those issues</w:t>
      </w:r>
      <w:r w:rsidRPr="00666BAC">
        <w:t xml:space="preserve"> provide a valuable insight into the consumer’s experience of the services provided and the issues they care about most</w:t>
      </w:r>
      <w:r>
        <w:t>.</w:t>
      </w:r>
    </w:p>
    <w:p w14:paraId="48BEF858" w14:textId="77777777" w:rsidR="00EB4A22" w:rsidRDefault="00EB4A22" w:rsidP="004D22EA">
      <w:pPr>
        <w:spacing w:after="120"/>
      </w:pPr>
      <w:r>
        <w:t xml:space="preserve">The most common primary issue categories were: </w:t>
      </w:r>
    </w:p>
    <w:p w14:paraId="742DD1CD" w14:textId="77777777" w:rsidR="00EB4A22" w:rsidRDefault="00EB4A22" w:rsidP="004B1404">
      <w:pPr>
        <w:pStyle w:val="ListParagraph"/>
        <w:numPr>
          <w:ilvl w:val="0"/>
          <w:numId w:val="3"/>
        </w:numPr>
        <w:ind w:left="284" w:hanging="284"/>
      </w:pPr>
      <w:r>
        <w:t xml:space="preserve">Care/treatment (46%) </w:t>
      </w:r>
    </w:p>
    <w:p w14:paraId="1CD689A7" w14:textId="77777777" w:rsidR="00EB4A22" w:rsidRDefault="00EB4A22" w:rsidP="004B1404">
      <w:pPr>
        <w:pStyle w:val="ListParagraph"/>
        <w:numPr>
          <w:ilvl w:val="0"/>
          <w:numId w:val="3"/>
        </w:numPr>
        <w:ind w:left="284" w:hanging="284"/>
      </w:pPr>
      <w:r>
        <w:t xml:space="preserve">Access/funding (16%) </w:t>
      </w:r>
    </w:p>
    <w:p w14:paraId="6D6B9FF6" w14:textId="77777777" w:rsidR="00EB4A22" w:rsidRDefault="00EB4A22" w:rsidP="004B1404">
      <w:pPr>
        <w:pStyle w:val="ListParagraph"/>
        <w:numPr>
          <w:ilvl w:val="0"/>
          <w:numId w:val="3"/>
        </w:numPr>
        <w:ind w:left="284" w:hanging="284"/>
      </w:pPr>
      <w:r>
        <w:t>Consent/information (11%)</w:t>
      </w:r>
    </w:p>
    <w:p w14:paraId="54E48778" w14:textId="77777777" w:rsidR="00EB4A22" w:rsidRDefault="00EB4A22" w:rsidP="004B1404">
      <w:pPr>
        <w:pStyle w:val="ListParagraph"/>
        <w:numPr>
          <w:ilvl w:val="0"/>
          <w:numId w:val="3"/>
        </w:numPr>
        <w:spacing w:after="240"/>
        <w:ind w:left="284" w:hanging="284"/>
      </w:pPr>
      <w:r>
        <w:t>Communication (7%)</w:t>
      </w:r>
    </w:p>
    <w:p w14:paraId="5E2DDE09" w14:textId="77777777" w:rsidR="00EB4A22" w:rsidRDefault="00EB4A22" w:rsidP="004D22EA">
      <w:pPr>
        <w:spacing w:after="120"/>
      </w:pPr>
      <w:r>
        <w:t xml:space="preserve">The most common specific primary issues complained about were: </w:t>
      </w:r>
    </w:p>
    <w:p w14:paraId="7B8F7A86" w14:textId="77777777" w:rsidR="00EB4A22" w:rsidRDefault="00EB4A22" w:rsidP="001E3CF1">
      <w:pPr>
        <w:pStyle w:val="ListParagraph"/>
        <w:numPr>
          <w:ilvl w:val="0"/>
          <w:numId w:val="4"/>
        </w:numPr>
        <w:tabs>
          <w:tab w:val="left" w:pos="284"/>
        </w:tabs>
        <w:ind w:left="284" w:hanging="284"/>
      </w:pPr>
      <w:r w:rsidRPr="00EB09C2">
        <w:t xml:space="preserve">Missed/incorrect/delayed diagnosis </w:t>
      </w:r>
      <w:r>
        <w:t>(13%)</w:t>
      </w:r>
    </w:p>
    <w:p w14:paraId="4A5C4F47" w14:textId="77777777" w:rsidR="00EB4A22" w:rsidRDefault="00EB4A22" w:rsidP="001E3CF1">
      <w:pPr>
        <w:pStyle w:val="ListParagraph"/>
        <w:numPr>
          <w:ilvl w:val="0"/>
          <w:numId w:val="4"/>
        </w:numPr>
        <w:tabs>
          <w:tab w:val="left" w:pos="284"/>
        </w:tabs>
        <w:ind w:left="284" w:hanging="284"/>
      </w:pPr>
      <w:r>
        <w:t>Lack of access to services (8%)</w:t>
      </w:r>
    </w:p>
    <w:p w14:paraId="525A4683" w14:textId="77777777" w:rsidR="00EB4A22" w:rsidRDefault="00EB4A22" w:rsidP="001E3CF1">
      <w:pPr>
        <w:pStyle w:val="ListParagraph"/>
        <w:numPr>
          <w:ilvl w:val="0"/>
          <w:numId w:val="4"/>
        </w:numPr>
        <w:tabs>
          <w:tab w:val="left" w:pos="284"/>
        </w:tabs>
        <w:ind w:left="284" w:hanging="284"/>
      </w:pPr>
      <w:r w:rsidRPr="00EB09C2">
        <w:t>Unexpected treatment outcome</w:t>
      </w:r>
      <w:r>
        <w:t xml:space="preserve"> (7%)</w:t>
      </w:r>
    </w:p>
    <w:p w14:paraId="6C4FE2C2" w14:textId="77777777" w:rsidR="00EB4A22" w:rsidRDefault="00EB4A22" w:rsidP="001E3CF1">
      <w:pPr>
        <w:pStyle w:val="ListParagraph"/>
        <w:numPr>
          <w:ilvl w:val="0"/>
          <w:numId w:val="4"/>
        </w:numPr>
        <w:tabs>
          <w:tab w:val="left" w:pos="284"/>
        </w:tabs>
        <w:ind w:left="284" w:hanging="284"/>
      </w:pPr>
      <w:r w:rsidRPr="00EB09C2">
        <w:t>Waiting list/prioritisation issue</w:t>
      </w:r>
      <w:r>
        <w:t xml:space="preserve"> (7%)</w:t>
      </w:r>
    </w:p>
    <w:p w14:paraId="4FBB1E24" w14:textId="77777777" w:rsidR="00EB4A22" w:rsidRDefault="00EB4A22" w:rsidP="001E3CF1">
      <w:pPr>
        <w:pStyle w:val="ListParagraph"/>
        <w:numPr>
          <w:ilvl w:val="0"/>
          <w:numId w:val="4"/>
        </w:numPr>
        <w:tabs>
          <w:tab w:val="left" w:pos="284"/>
        </w:tabs>
        <w:ind w:left="284" w:hanging="284"/>
      </w:pPr>
      <w:r w:rsidRPr="007817CA">
        <w:t>Inadequate/inappropriate treatment</w:t>
      </w:r>
      <w:r>
        <w:t xml:space="preserve"> (6%)</w:t>
      </w:r>
    </w:p>
    <w:p w14:paraId="58803A0C" w14:textId="77777777" w:rsidR="00EB4A22" w:rsidRDefault="00EB4A22" w:rsidP="00EB4A22">
      <w:pPr>
        <w:pStyle w:val="ListParagraph"/>
        <w:tabs>
          <w:tab w:val="left" w:pos="426"/>
        </w:tabs>
        <w:ind w:left="714"/>
      </w:pPr>
    </w:p>
    <w:p w14:paraId="4A3FB893" w14:textId="77777777" w:rsidR="00EB4A22" w:rsidRDefault="00EB4A22" w:rsidP="00EB4A22">
      <w:pPr>
        <w:pStyle w:val="ListParagraph"/>
        <w:tabs>
          <w:tab w:val="left" w:pos="426"/>
        </w:tabs>
        <w:ind w:left="714"/>
      </w:pPr>
    </w:p>
    <w:p w14:paraId="0998AD8E" w14:textId="77777777" w:rsidR="00EB4A22" w:rsidRDefault="00EB4A22" w:rsidP="00EB4A22">
      <w:pPr>
        <w:pStyle w:val="ListParagraph"/>
        <w:tabs>
          <w:tab w:val="left" w:pos="426"/>
        </w:tabs>
        <w:ind w:left="714"/>
      </w:pPr>
    </w:p>
    <w:p w14:paraId="4146E55F" w14:textId="77777777" w:rsidR="00EB4A22" w:rsidRDefault="00EB4A22" w:rsidP="00EB4A22">
      <w:pPr>
        <w:pStyle w:val="ListParagraph"/>
        <w:tabs>
          <w:tab w:val="left" w:pos="426"/>
        </w:tabs>
        <w:ind w:left="714"/>
      </w:pPr>
    </w:p>
    <w:p w14:paraId="57DA3D9C" w14:textId="77777777" w:rsidR="00EB4A22" w:rsidRDefault="00EB4A22" w:rsidP="00EB4A22">
      <w:pPr>
        <w:pStyle w:val="ListParagraph"/>
        <w:tabs>
          <w:tab w:val="left" w:pos="426"/>
        </w:tabs>
        <w:ind w:left="714"/>
      </w:pPr>
    </w:p>
    <w:p w14:paraId="6A7A6A2D" w14:textId="77777777" w:rsidR="00EB4A22" w:rsidRDefault="00EB4A22" w:rsidP="00EB4A22">
      <w:pPr>
        <w:pStyle w:val="ListParagraph"/>
        <w:tabs>
          <w:tab w:val="left" w:pos="426"/>
        </w:tabs>
        <w:ind w:left="714"/>
      </w:pPr>
    </w:p>
    <w:p w14:paraId="75483EC0" w14:textId="77777777" w:rsidR="00EB4A22" w:rsidRDefault="00EB4A22" w:rsidP="00EB4A22">
      <w:pPr>
        <w:pStyle w:val="ListParagraph"/>
        <w:tabs>
          <w:tab w:val="left" w:pos="426"/>
        </w:tabs>
        <w:ind w:left="714"/>
      </w:pPr>
    </w:p>
    <w:p w14:paraId="6F9C35FF" w14:textId="77777777" w:rsidR="00EB4A22" w:rsidRDefault="00EB4A22" w:rsidP="00EB4A22">
      <w:pPr>
        <w:pStyle w:val="ListParagraph"/>
        <w:tabs>
          <w:tab w:val="left" w:pos="426"/>
        </w:tabs>
        <w:ind w:left="714"/>
      </w:pPr>
    </w:p>
    <w:p w14:paraId="56D0675B" w14:textId="77777777" w:rsidR="00EB4A22" w:rsidRDefault="00EB4A22" w:rsidP="00EB4A22">
      <w:pPr>
        <w:pStyle w:val="ListParagraph"/>
        <w:tabs>
          <w:tab w:val="left" w:pos="426"/>
        </w:tabs>
        <w:ind w:left="714"/>
      </w:pPr>
    </w:p>
    <w:p w14:paraId="1419E14F" w14:textId="77777777" w:rsidR="00EB4A22" w:rsidRDefault="00EB4A22" w:rsidP="00EB4A22">
      <w:pPr>
        <w:pStyle w:val="ListParagraph"/>
        <w:tabs>
          <w:tab w:val="left" w:pos="426"/>
        </w:tabs>
        <w:ind w:left="714"/>
      </w:pPr>
    </w:p>
    <w:p w14:paraId="3FE53F9C" w14:textId="77777777" w:rsidR="00EB4A22" w:rsidRDefault="00EB4A22" w:rsidP="00EB4A22">
      <w:pPr>
        <w:pStyle w:val="ListParagraph"/>
        <w:tabs>
          <w:tab w:val="left" w:pos="426"/>
        </w:tabs>
        <w:ind w:left="714"/>
      </w:pPr>
    </w:p>
    <w:p w14:paraId="58C60815" w14:textId="77777777" w:rsidR="00EB4A22" w:rsidRDefault="00EB4A22" w:rsidP="00EB4A22">
      <w:pPr>
        <w:pStyle w:val="ListParagraph"/>
        <w:tabs>
          <w:tab w:val="left" w:pos="426"/>
        </w:tabs>
        <w:ind w:left="714"/>
      </w:pPr>
    </w:p>
    <w:p w14:paraId="4030E140" w14:textId="77777777" w:rsidR="00EB4A22" w:rsidRDefault="00EB4A22" w:rsidP="00EB4A22">
      <w:pPr>
        <w:pStyle w:val="ListParagraph"/>
        <w:tabs>
          <w:tab w:val="left" w:pos="426"/>
        </w:tabs>
        <w:ind w:left="714"/>
      </w:pPr>
    </w:p>
    <w:p w14:paraId="2E3E2300" w14:textId="77777777" w:rsidR="00EB4A22" w:rsidRDefault="00EB4A22" w:rsidP="00EB4A22">
      <w:pPr>
        <w:pStyle w:val="ListParagraph"/>
        <w:tabs>
          <w:tab w:val="left" w:pos="426"/>
        </w:tabs>
        <w:ind w:left="714"/>
      </w:pPr>
    </w:p>
    <w:p w14:paraId="20D18D2B" w14:textId="77777777" w:rsidR="00EB4A22" w:rsidRDefault="00EB4A22" w:rsidP="00EB4A22">
      <w:pPr>
        <w:pStyle w:val="ListParagraph"/>
        <w:tabs>
          <w:tab w:val="left" w:pos="426"/>
        </w:tabs>
        <w:ind w:left="714"/>
      </w:pPr>
    </w:p>
    <w:p w14:paraId="2221801E" w14:textId="77777777" w:rsidR="00EB4A22" w:rsidRDefault="00EB4A22" w:rsidP="00EB4A22">
      <w:pPr>
        <w:pStyle w:val="ListParagraph"/>
        <w:tabs>
          <w:tab w:val="left" w:pos="426"/>
        </w:tabs>
        <w:ind w:left="714"/>
      </w:pPr>
    </w:p>
    <w:p w14:paraId="7A3CBC09" w14:textId="77777777" w:rsidR="00EB4A22" w:rsidRDefault="00EB4A22" w:rsidP="00EB4A22">
      <w:pPr>
        <w:pStyle w:val="ListParagraph"/>
        <w:tabs>
          <w:tab w:val="left" w:pos="426"/>
        </w:tabs>
        <w:ind w:left="714"/>
      </w:pPr>
    </w:p>
    <w:p w14:paraId="0706ADDE" w14:textId="77777777" w:rsidR="00EB4A22" w:rsidRDefault="00EB4A22" w:rsidP="00EB4A22">
      <w:pPr>
        <w:pStyle w:val="ListParagraph"/>
        <w:tabs>
          <w:tab w:val="left" w:pos="426"/>
        </w:tabs>
        <w:ind w:left="714"/>
      </w:pPr>
    </w:p>
    <w:p w14:paraId="2648D639" w14:textId="77777777" w:rsidR="00EB4A22" w:rsidRDefault="00EB4A22" w:rsidP="00EB4A22">
      <w:pPr>
        <w:tabs>
          <w:tab w:val="left" w:pos="426"/>
        </w:tabs>
      </w:pPr>
    </w:p>
    <w:p w14:paraId="534F0180" w14:textId="77777777" w:rsidR="00EB4A22" w:rsidRDefault="00EB4A22" w:rsidP="00EB4A22">
      <w:pPr>
        <w:tabs>
          <w:tab w:val="left" w:pos="426"/>
        </w:tabs>
      </w:pPr>
    </w:p>
    <w:p w14:paraId="18F97F91" w14:textId="77777777" w:rsidR="00EB4A22" w:rsidRDefault="00EB4A22" w:rsidP="00EB4A22">
      <w:pPr>
        <w:tabs>
          <w:tab w:val="left" w:pos="426"/>
        </w:tabs>
      </w:pPr>
    </w:p>
    <w:p w14:paraId="369F9F04" w14:textId="77777777" w:rsidR="00EB4A22" w:rsidRDefault="00EB4A22" w:rsidP="00EB4A22">
      <w:pPr>
        <w:tabs>
          <w:tab w:val="left" w:pos="426"/>
        </w:tabs>
      </w:pPr>
    </w:p>
    <w:p w14:paraId="24A41EEB" w14:textId="77777777" w:rsidR="00EB4A22" w:rsidRDefault="00EB4A22" w:rsidP="00EB4A22">
      <w:pPr>
        <w:tabs>
          <w:tab w:val="left" w:pos="426"/>
        </w:tabs>
      </w:pPr>
    </w:p>
    <w:p w14:paraId="4742D544" w14:textId="77777777" w:rsidR="00EB4A22" w:rsidRDefault="00EB4A22" w:rsidP="00EB4A22">
      <w:pPr>
        <w:tabs>
          <w:tab w:val="left" w:pos="426"/>
        </w:tabs>
      </w:pPr>
    </w:p>
    <w:p w14:paraId="69FC7EDF" w14:textId="77777777" w:rsidR="00EB4A22" w:rsidRDefault="00EB4A22" w:rsidP="00EB4A22">
      <w:pPr>
        <w:tabs>
          <w:tab w:val="left" w:pos="426"/>
        </w:tabs>
      </w:pPr>
    </w:p>
    <w:p w14:paraId="169C23CE" w14:textId="77777777" w:rsidR="00EB4A22" w:rsidRDefault="00EB4A22" w:rsidP="00EB4A22">
      <w:pPr>
        <w:tabs>
          <w:tab w:val="left" w:pos="426"/>
        </w:tabs>
      </w:pPr>
    </w:p>
    <w:p w14:paraId="7F1653CC" w14:textId="77777777" w:rsidR="00EB4A22" w:rsidRDefault="00EB4A22" w:rsidP="00EB4A22">
      <w:pPr>
        <w:tabs>
          <w:tab w:val="left" w:pos="426"/>
        </w:tabs>
      </w:pPr>
    </w:p>
    <w:p w14:paraId="23A61588" w14:textId="323F5014" w:rsidR="00EB4A22" w:rsidRDefault="00EB4A22" w:rsidP="00EB4A22">
      <w:pPr>
        <w:tabs>
          <w:tab w:val="left" w:pos="426"/>
        </w:tabs>
      </w:pPr>
    </w:p>
    <w:p w14:paraId="3594C64B" w14:textId="77777777" w:rsidR="00EB4A22" w:rsidRDefault="00EB4A22" w:rsidP="00EB4A22">
      <w:pPr>
        <w:spacing w:before="240" w:after="120"/>
        <w:rPr>
          <w:b/>
        </w:rPr>
      </w:pPr>
      <w:r>
        <w:rPr>
          <w:b/>
        </w:rPr>
        <w:t xml:space="preserve">Table 8. </w:t>
      </w:r>
      <w:r>
        <w:t>Primary issues complained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EB4A22" w14:paraId="3CC2F804" w14:textId="77777777" w:rsidTr="00B12430">
        <w:trPr>
          <w:tblHeader/>
        </w:trPr>
        <w:tc>
          <w:tcPr>
            <w:tcW w:w="5670" w:type="dxa"/>
            <w:tcBorders>
              <w:top w:val="single" w:sz="4" w:space="0" w:color="auto"/>
              <w:left w:val="single" w:sz="4" w:space="0" w:color="auto"/>
              <w:bottom w:val="single" w:sz="4" w:space="0" w:color="auto"/>
              <w:right w:val="single" w:sz="4" w:space="0" w:color="auto"/>
            </w:tcBorders>
            <w:shd w:val="clear" w:color="auto" w:fill="C00000"/>
            <w:hideMark/>
          </w:tcPr>
          <w:p w14:paraId="2787F474" w14:textId="77777777" w:rsidR="00EB4A22" w:rsidRDefault="00EB4A22" w:rsidP="00B12430">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Primary issue in complaints </w:t>
            </w:r>
          </w:p>
        </w:tc>
        <w:tc>
          <w:tcPr>
            <w:tcW w:w="1701" w:type="dxa"/>
            <w:tcBorders>
              <w:top w:val="single" w:sz="4" w:space="0" w:color="auto"/>
              <w:left w:val="single" w:sz="4" w:space="0" w:color="auto"/>
              <w:bottom w:val="single" w:sz="4" w:space="0" w:color="auto"/>
              <w:right w:val="single" w:sz="4" w:space="0" w:color="auto"/>
            </w:tcBorders>
            <w:shd w:val="clear" w:color="auto" w:fill="C00000"/>
            <w:hideMark/>
          </w:tcPr>
          <w:p w14:paraId="25B9CB60" w14:textId="77777777" w:rsidR="00EB4A22" w:rsidRDefault="00EB4A22" w:rsidP="00B12430">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shd w:val="clear" w:color="auto" w:fill="C00000"/>
            <w:hideMark/>
          </w:tcPr>
          <w:p w14:paraId="63BBF56B" w14:textId="77777777" w:rsidR="00EB4A22" w:rsidRDefault="00EB4A22" w:rsidP="00B12430">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EB4A22" w14:paraId="0B126D49" w14:textId="77777777" w:rsidTr="00B1243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EB18BBE" w14:textId="77777777" w:rsidR="00EB4A22" w:rsidRDefault="00EB4A22" w:rsidP="00B12430">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ACD25" w14:textId="77777777" w:rsidR="00EB4A22" w:rsidRDefault="00EB4A22" w:rsidP="00B12430">
            <w:pPr>
              <w:keepNext/>
              <w:keepLines/>
              <w:jc w:val="center"/>
              <w:rPr>
                <w:rFonts w:ascii="Calibri" w:hAnsi="Calibri" w:cs="Calibri"/>
                <w:b/>
                <w:i/>
                <w:color w:val="000000"/>
                <w:szCs w:val="22"/>
              </w:rPr>
            </w:pPr>
            <w:r>
              <w:rPr>
                <w:rFonts w:ascii="Calibri" w:hAnsi="Calibri" w:cs="Calibri"/>
                <w:b/>
                <w:i/>
                <w:color w:val="000000"/>
                <w:szCs w:val="22"/>
              </w:rPr>
              <w:t>73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CC51A" w14:textId="77777777" w:rsidR="00EB4A22" w:rsidRDefault="00EB4A22" w:rsidP="00B12430">
            <w:pPr>
              <w:keepNext/>
              <w:keepLines/>
              <w:jc w:val="center"/>
              <w:rPr>
                <w:rFonts w:ascii="Calibri" w:hAnsi="Calibri" w:cs="Calibri"/>
                <w:b/>
                <w:i/>
                <w:color w:val="000000"/>
                <w:szCs w:val="22"/>
              </w:rPr>
            </w:pPr>
            <w:r>
              <w:rPr>
                <w:rFonts w:ascii="Calibri" w:hAnsi="Calibri" w:cs="Calibri"/>
                <w:b/>
                <w:i/>
                <w:color w:val="000000"/>
                <w:szCs w:val="22"/>
              </w:rPr>
              <w:t>15.7%</w:t>
            </w:r>
          </w:p>
        </w:tc>
      </w:tr>
      <w:tr w:rsidR="00EB4A22" w14:paraId="19F36D81"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5CF7404A" w14:textId="77777777" w:rsidR="00EB4A22" w:rsidRDefault="00EB4A22" w:rsidP="00B12430">
            <w:pPr>
              <w:keepNext/>
              <w:keepLines/>
              <w:tabs>
                <w:tab w:val="left" w:pos="176"/>
              </w:tabs>
              <w:ind w:left="176"/>
              <w:jc w:val="left"/>
              <w:rPr>
                <w:rFonts w:ascii="Calibri" w:hAnsi="Calibri" w:cs="Calibri"/>
                <w:color w:val="000000"/>
                <w:szCs w:val="22"/>
              </w:rPr>
            </w:pPr>
            <w:r>
              <w:rPr>
                <w:rFonts w:ascii="Calibri" w:hAnsi="Calibri" w:cs="Calibri"/>
                <w:color w:val="000000"/>
                <w:szCs w:val="22"/>
              </w:rPr>
              <w:t xml:space="preserve">Lack of access to services </w:t>
            </w:r>
          </w:p>
        </w:tc>
        <w:tc>
          <w:tcPr>
            <w:tcW w:w="1701" w:type="dxa"/>
            <w:tcBorders>
              <w:top w:val="single" w:sz="4" w:space="0" w:color="auto"/>
              <w:left w:val="single" w:sz="4" w:space="0" w:color="auto"/>
              <w:bottom w:val="single" w:sz="4" w:space="0" w:color="auto"/>
              <w:right w:val="single" w:sz="4" w:space="0" w:color="auto"/>
            </w:tcBorders>
            <w:vAlign w:val="center"/>
          </w:tcPr>
          <w:p w14:paraId="146A4E9F"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39</w:t>
            </w:r>
          </w:p>
        </w:tc>
        <w:tc>
          <w:tcPr>
            <w:tcW w:w="1418" w:type="dxa"/>
            <w:tcBorders>
              <w:top w:val="single" w:sz="4" w:space="0" w:color="auto"/>
              <w:left w:val="single" w:sz="4" w:space="0" w:color="auto"/>
              <w:bottom w:val="single" w:sz="4" w:space="0" w:color="auto"/>
              <w:right w:val="single" w:sz="4" w:space="0" w:color="auto"/>
            </w:tcBorders>
            <w:vAlign w:val="center"/>
          </w:tcPr>
          <w:p w14:paraId="4D56E747"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8.4%</w:t>
            </w:r>
          </w:p>
        </w:tc>
      </w:tr>
      <w:tr w:rsidR="00EB4A22" w14:paraId="033C97F2"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2ABCB81E" w14:textId="77777777" w:rsidR="00EB4A22" w:rsidRDefault="00EB4A22" w:rsidP="00B12430">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14:paraId="24F030F7"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2D9333F2"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0.9%</w:t>
            </w:r>
          </w:p>
        </w:tc>
      </w:tr>
      <w:tr w:rsidR="00EB4A22" w14:paraId="51C31376"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469DC7E6" w14:textId="77777777" w:rsidR="00EB4A22" w:rsidRDefault="00EB4A22" w:rsidP="00B12430">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14:paraId="2E0AAA1C"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14:paraId="6A2CBFB3"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6.5%</w:t>
            </w:r>
          </w:p>
        </w:tc>
      </w:tr>
      <w:tr w:rsidR="00EB4A22" w14:paraId="54DEF6A7" w14:textId="77777777" w:rsidTr="00B1243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CE831D" w14:textId="77777777" w:rsidR="00EB4A22" w:rsidRDefault="00EB4A22" w:rsidP="00B12430">
            <w:pPr>
              <w:keepNext/>
              <w:keepLines/>
              <w:tabs>
                <w:tab w:val="left" w:pos="176"/>
              </w:tabs>
              <w:jc w:val="left"/>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8C2EE" w14:textId="77777777" w:rsidR="00EB4A22" w:rsidRDefault="00EB4A22" w:rsidP="00B12430">
            <w:pPr>
              <w:keepNext/>
              <w:keepLines/>
              <w:jc w:val="center"/>
              <w:rPr>
                <w:rFonts w:ascii="Calibri" w:hAnsi="Calibri" w:cs="Calibri"/>
                <w:b/>
                <w:i/>
                <w:color w:val="000000"/>
                <w:szCs w:val="22"/>
              </w:rPr>
            </w:pPr>
            <w:r>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B04AB" w14:textId="77777777" w:rsidR="00EB4A22" w:rsidRDefault="00EB4A22" w:rsidP="00B12430">
            <w:pPr>
              <w:keepNext/>
              <w:keepLines/>
              <w:jc w:val="center"/>
              <w:rPr>
                <w:rFonts w:ascii="Calibri" w:hAnsi="Calibri" w:cs="Calibri"/>
                <w:b/>
                <w:i/>
                <w:color w:val="000000"/>
                <w:szCs w:val="22"/>
              </w:rPr>
            </w:pPr>
            <w:r>
              <w:rPr>
                <w:rFonts w:ascii="Calibri" w:hAnsi="Calibri" w:cs="Calibri"/>
                <w:b/>
                <w:i/>
                <w:color w:val="000000"/>
                <w:szCs w:val="22"/>
              </w:rPr>
              <w:t>0.4%</w:t>
            </w:r>
          </w:p>
        </w:tc>
      </w:tr>
      <w:tr w:rsidR="00EB4A22" w14:paraId="6A00758A" w14:textId="77777777" w:rsidTr="00B1243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8A9391E" w14:textId="77777777" w:rsidR="00EB4A22" w:rsidRDefault="00EB4A22" w:rsidP="00B12430">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0DC35" w14:textId="77777777" w:rsidR="00EB4A22" w:rsidRDefault="00EB4A22" w:rsidP="00B12430">
            <w:pPr>
              <w:keepNext/>
              <w:keepLines/>
              <w:jc w:val="center"/>
              <w:rPr>
                <w:rFonts w:ascii="Calibri" w:hAnsi="Calibri" w:cs="Calibri"/>
                <w:b/>
                <w:i/>
                <w:color w:val="000000"/>
                <w:szCs w:val="22"/>
              </w:rPr>
            </w:pPr>
            <w:r>
              <w:rPr>
                <w:rFonts w:ascii="Calibri" w:hAnsi="Calibri" w:cs="Calibri"/>
                <w:b/>
                <w:i/>
                <w:color w:val="000000"/>
                <w:szCs w:val="22"/>
              </w:rPr>
              <w:t>211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0CD2D1" w14:textId="77777777" w:rsidR="00EB4A22" w:rsidRDefault="00EB4A22" w:rsidP="00B12430">
            <w:pPr>
              <w:keepNext/>
              <w:keepLines/>
              <w:jc w:val="center"/>
              <w:rPr>
                <w:rFonts w:ascii="Calibri" w:hAnsi="Calibri" w:cs="Calibri"/>
                <w:b/>
                <w:i/>
                <w:color w:val="000000"/>
                <w:szCs w:val="22"/>
              </w:rPr>
            </w:pPr>
            <w:r>
              <w:rPr>
                <w:rFonts w:ascii="Calibri" w:hAnsi="Calibri" w:cs="Calibri"/>
                <w:b/>
                <w:i/>
                <w:color w:val="000000"/>
                <w:szCs w:val="22"/>
              </w:rPr>
              <w:t>45.5%</w:t>
            </w:r>
          </w:p>
        </w:tc>
      </w:tr>
      <w:tr w:rsidR="00EB4A22" w14:paraId="40B3C99B"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2EAA1244" w14:textId="77777777" w:rsidR="00EB4A22" w:rsidRDefault="00EB4A22" w:rsidP="00B12430">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14:paraId="4D8B7A18"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19</w:t>
            </w:r>
          </w:p>
        </w:tc>
        <w:tc>
          <w:tcPr>
            <w:tcW w:w="1418" w:type="dxa"/>
            <w:tcBorders>
              <w:top w:val="single" w:sz="4" w:space="0" w:color="auto"/>
              <w:left w:val="single" w:sz="4" w:space="0" w:color="auto"/>
              <w:bottom w:val="single" w:sz="4" w:space="0" w:color="auto"/>
              <w:right w:val="single" w:sz="4" w:space="0" w:color="auto"/>
            </w:tcBorders>
            <w:vAlign w:val="center"/>
          </w:tcPr>
          <w:p w14:paraId="7AD7B7D1"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4.1%</w:t>
            </w:r>
          </w:p>
        </w:tc>
      </w:tr>
      <w:tr w:rsidR="00EB4A22" w14:paraId="5FBF834B" w14:textId="77777777" w:rsidTr="00B12430">
        <w:tc>
          <w:tcPr>
            <w:tcW w:w="5670" w:type="dxa"/>
            <w:tcBorders>
              <w:top w:val="single" w:sz="4" w:space="0" w:color="auto"/>
              <w:left w:val="single" w:sz="4" w:space="0" w:color="auto"/>
              <w:bottom w:val="single" w:sz="4" w:space="0" w:color="auto"/>
              <w:right w:val="single" w:sz="4" w:space="0" w:color="auto"/>
            </w:tcBorders>
            <w:vAlign w:val="bottom"/>
          </w:tcPr>
          <w:p w14:paraId="4C4A22BD" w14:textId="77777777" w:rsidR="00EB4A22" w:rsidRDefault="00EB4A22" w:rsidP="00B12430">
            <w:pPr>
              <w:tabs>
                <w:tab w:val="left" w:pos="204"/>
              </w:tabs>
              <w:ind w:firstLine="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14:paraId="532387EC" w14:textId="77777777" w:rsidR="00EB4A22" w:rsidRDefault="00EB4A22" w:rsidP="00B12430">
            <w:pPr>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15224BB8" w14:textId="77777777" w:rsidR="00EB4A22" w:rsidRDefault="00EB4A22" w:rsidP="00B12430">
            <w:pPr>
              <w:jc w:val="center"/>
              <w:rPr>
                <w:rFonts w:ascii="Calibri" w:hAnsi="Calibri" w:cs="Calibri"/>
                <w:color w:val="000000"/>
                <w:szCs w:val="22"/>
              </w:rPr>
            </w:pPr>
            <w:r>
              <w:rPr>
                <w:rFonts w:ascii="Calibri" w:hAnsi="Calibri" w:cs="Calibri"/>
                <w:color w:val="000000"/>
                <w:szCs w:val="22"/>
              </w:rPr>
              <w:t>0.4%</w:t>
            </w:r>
          </w:p>
        </w:tc>
      </w:tr>
      <w:tr w:rsidR="00EB4A22" w14:paraId="2A9D6DAF"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511CCFF4" w14:textId="77777777" w:rsidR="00EB4A22" w:rsidRDefault="00EB4A22" w:rsidP="00B12430">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14:paraId="59629935" w14:textId="77777777" w:rsidR="00EB4A22" w:rsidRDefault="00EB4A22" w:rsidP="00B12430">
            <w:pPr>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369C70BA" w14:textId="77777777" w:rsidR="00EB4A22" w:rsidRDefault="00EB4A22" w:rsidP="00B12430">
            <w:pPr>
              <w:jc w:val="center"/>
              <w:rPr>
                <w:rFonts w:ascii="Calibri" w:hAnsi="Calibri" w:cs="Calibri"/>
                <w:color w:val="000000"/>
                <w:szCs w:val="22"/>
              </w:rPr>
            </w:pPr>
            <w:r>
              <w:rPr>
                <w:rFonts w:ascii="Calibri" w:hAnsi="Calibri" w:cs="Calibri"/>
                <w:color w:val="000000"/>
                <w:szCs w:val="22"/>
              </w:rPr>
              <w:t>1.5%</w:t>
            </w:r>
          </w:p>
        </w:tc>
      </w:tr>
      <w:tr w:rsidR="00EB4A22" w14:paraId="73B65031"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74858B71" w14:textId="77777777" w:rsidR="00EB4A22" w:rsidRDefault="00EB4A22" w:rsidP="00B12430">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14:paraId="42436915" w14:textId="77777777" w:rsidR="00EB4A22" w:rsidRDefault="00EB4A22" w:rsidP="00B12430">
            <w:pPr>
              <w:jc w:val="center"/>
              <w:rPr>
                <w:rFonts w:ascii="Calibri" w:hAnsi="Calibri" w:cs="Calibri"/>
                <w:color w:val="000000"/>
                <w:szCs w:val="22"/>
              </w:rPr>
            </w:pPr>
            <w:r>
              <w:rPr>
                <w:rFonts w:ascii="Calibri" w:hAnsi="Calibri" w:cs="Calibri"/>
                <w:color w:val="000000"/>
                <w:szCs w:val="22"/>
              </w:rPr>
              <w:t>26</w:t>
            </w:r>
          </w:p>
        </w:tc>
        <w:tc>
          <w:tcPr>
            <w:tcW w:w="1418" w:type="dxa"/>
            <w:tcBorders>
              <w:top w:val="single" w:sz="4" w:space="0" w:color="auto"/>
              <w:left w:val="single" w:sz="4" w:space="0" w:color="auto"/>
              <w:bottom w:val="single" w:sz="4" w:space="0" w:color="auto"/>
              <w:right w:val="single" w:sz="4" w:space="0" w:color="auto"/>
            </w:tcBorders>
            <w:vAlign w:val="center"/>
          </w:tcPr>
          <w:p w14:paraId="2F232E5C" w14:textId="77777777" w:rsidR="00EB4A22" w:rsidRDefault="00EB4A22" w:rsidP="00B12430">
            <w:pPr>
              <w:jc w:val="center"/>
              <w:rPr>
                <w:rFonts w:ascii="Calibri" w:hAnsi="Calibri" w:cs="Calibri"/>
                <w:color w:val="000000"/>
                <w:szCs w:val="22"/>
              </w:rPr>
            </w:pPr>
            <w:r>
              <w:rPr>
                <w:rFonts w:ascii="Calibri" w:hAnsi="Calibri" w:cs="Calibri"/>
                <w:color w:val="000000"/>
                <w:szCs w:val="22"/>
              </w:rPr>
              <w:t>5.6%</w:t>
            </w:r>
          </w:p>
        </w:tc>
      </w:tr>
      <w:tr w:rsidR="00EB4A22" w14:paraId="543DC1A3"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342F60A9" w14:textId="77777777" w:rsidR="00EB4A22" w:rsidRDefault="00EB4A22" w:rsidP="00B12430">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14:paraId="189C0CC9" w14:textId="77777777" w:rsidR="00EB4A22" w:rsidRDefault="00EB4A22" w:rsidP="00B12430">
            <w:pPr>
              <w:jc w:val="center"/>
              <w:rPr>
                <w:rFonts w:ascii="Calibri" w:hAnsi="Calibri" w:cs="Calibri"/>
                <w:color w:val="000000"/>
                <w:szCs w:val="22"/>
              </w:rPr>
            </w:pPr>
            <w:r>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14:paraId="35A3493F" w14:textId="77777777" w:rsidR="00EB4A22" w:rsidRDefault="00EB4A22" w:rsidP="00B12430">
            <w:pPr>
              <w:jc w:val="center"/>
              <w:rPr>
                <w:rFonts w:ascii="Calibri" w:hAnsi="Calibri" w:cs="Calibri"/>
                <w:color w:val="000000"/>
                <w:szCs w:val="22"/>
              </w:rPr>
            </w:pPr>
            <w:r>
              <w:rPr>
                <w:rFonts w:ascii="Calibri" w:hAnsi="Calibri" w:cs="Calibri"/>
                <w:color w:val="000000"/>
                <w:szCs w:val="22"/>
              </w:rPr>
              <w:t>3.0%</w:t>
            </w:r>
          </w:p>
        </w:tc>
      </w:tr>
      <w:tr w:rsidR="00EB4A22" w14:paraId="2B80922E"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603A7C8E"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14:paraId="3EC93478" w14:textId="77777777" w:rsidR="00EB4A22" w:rsidRDefault="00EB4A22" w:rsidP="00B12430">
            <w:pPr>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47EEB41D" w14:textId="77777777" w:rsidR="00EB4A22" w:rsidRDefault="00EB4A22" w:rsidP="00B12430">
            <w:pPr>
              <w:jc w:val="center"/>
              <w:rPr>
                <w:rFonts w:ascii="Calibri" w:hAnsi="Calibri" w:cs="Calibri"/>
                <w:color w:val="000000"/>
                <w:szCs w:val="22"/>
              </w:rPr>
            </w:pPr>
            <w:r>
              <w:rPr>
                <w:rFonts w:ascii="Calibri" w:hAnsi="Calibri" w:cs="Calibri"/>
                <w:color w:val="000000"/>
                <w:szCs w:val="22"/>
              </w:rPr>
              <w:t>1.7%</w:t>
            </w:r>
          </w:p>
        </w:tc>
      </w:tr>
      <w:tr w:rsidR="00EB4A22" w14:paraId="69A37647"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7E74B9C9"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14:paraId="5F08545F" w14:textId="77777777" w:rsidR="00EB4A22" w:rsidRDefault="00EB4A22" w:rsidP="00B12430">
            <w:pPr>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5D99A032" w14:textId="77777777" w:rsidR="00EB4A22" w:rsidRDefault="00EB4A22" w:rsidP="00B12430">
            <w:pPr>
              <w:jc w:val="center"/>
              <w:rPr>
                <w:rFonts w:ascii="Calibri" w:hAnsi="Calibri" w:cs="Calibri"/>
                <w:color w:val="000000"/>
                <w:szCs w:val="22"/>
              </w:rPr>
            </w:pPr>
            <w:r>
              <w:rPr>
                <w:rFonts w:ascii="Calibri" w:hAnsi="Calibri" w:cs="Calibri"/>
                <w:color w:val="000000"/>
                <w:szCs w:val="22"/>
              </w:rPr>
              <w:t>1.7%</w:t>
            </w:r>
          </w:p>
        </w:tc>
      </w:tr>
      <w:tr w:rsidR="00EB4A22" w14:paraId="243E5508"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3EFD7303"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14:paraId="1C31FF2D" w14:textId="77777777" w:rsidR="00EB4A22" w:rsidRDefault="00EB4A22" w:rsidP="00B12430">
            <w:pPr>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451726F5" w14:textId="77777777" w:rsidR="00EB4A22" w:rsidRDefault="00EB4A22" w:rsidP="00B12430">
            <w:pPr>
              <w:jc w:val="center"/>
              <w:rPr>
                <w:rFonts w:ascii="Calibri" w:hAnsi="Calibri" w:cs="Calibri"/>
                <w:color w:val="000000"/>
                <w:szCs w:val="22"/>
              </w:rPr>
            </w:pPr>
            <w:r>
              <w:rPr>
                <w:rFonts w:ascii="Calibri" w:hAnsi="Calibri" w:cs="Calibri"/>
                <w:color w:val="000000"/>
                <w:szCs w:val="22"/>
              </w:rPr>
              <w:t>0.9%</w:t>
            </w:r>
          </w:p>
        </w:tc>
      </w:tr>
      <w:tr w:rsidR="00EB4A22" w14:paraId="721A6FB3" w14:textId="77777777" w:rsidTr="00B12430">
        <w:tc>
          <w:tcPr>
            <w:tcW w:w="5670" w:type="dxa"/>
            <w:tcBorders>
              <w:top w:val="single" w:sz="4" w:space="0" w:color="auto"/>
              <w:left w:val="single" w:sz="4" w:space="0" w:color="auto"/>
              <w:bottom w:val="single" w:sz="4" w:space="0" w:color="auto"/>
              <w:right w:val="single" w:sz="4" w:space="0" w:color="auto"/>
            </w:tcBorders>
            <w:vAlign w:val="bottom"/>
          </w:tcPr>
          <w:p w14:paraId="0650C716"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14:paraId="63F24CCA" w14:textId="77777777" w:rsidR="00EB4A22" w:rsidRDefault="00EB4A22" w:rsidP="00B12430">
            <w:pPr>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6178CB41" w14:textId="77777777" w:rsidR="00EB4A22" w:rsidRDefault="00EB4A22" w:rsidP="00B12430">
            <w:pPr>
              <w:jc w:val="center"/>
              <w:rPr>
                <w:rFonts w:ascii="Calibri" w:hAnsi="Calibri" w:cs="Calibri"/>
                <w:color w:val="000000"/>
                <w:szCs w:val="22"/>
              </w:rPr>
            </w:pPr>
            <w:r>
              <w:rPr>
                <w:rFonts w:ascii="Calibri" w:hAnsi="Calibri" w:cs="Calibri"/>
                <w:color w:val="000000"/>
                <w:szCs w:val="22"/>
              </w:rPr>
              <w:t>0.4%</w:t>
            </w:r>
          </w:p>
        </w:tc>
      </w:tr>
      <w:tr w:rsidR="00EB4A22" w14:paraId="71225C83" w14:textId="77777777" w:rsidTr="00B12430">
        <w:tc>
          <w:tcPr>
            <w:tcW w:w="5670" w:type="dxa"/>
            <w:tcBorders>
              <w:top w:val="single" w:sz="4" w:space="0" w:color="auto"/>
              <w:left w:val="single" w:sz="4" w:space="0" w:color="auto"/>
              <w:bottom w:val="single" w:sz="4" w:space="0" w:color="auto"/>
              <w:right w:val="single" w:sz="4" w:space="0" w:color="auto"/>
            </w:tcBorders>
          </w:tcPr>
          <w:p w14:paraId="7B3C263A"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14:paraId="4D93772E"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2D500025"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0.2%</w:t>
            </w:r>
          </w:p>
        </w:tc>
      </w:tr>
      <w:tr w:rsidR="00EB4A22" w14:paraId="47ECF232"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4E43FBF5"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14:paraId="2125D546"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14:paraId="4373AE27"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3.2%</w:t>
            </w:r>
          </w:p>
        </w:tc>
      </w:tr>
      <w:tr w:rsidR="00EB4A22" w14:paraId="60C8F083"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681454CF"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14:paraId="6F067192" w14:textId="77777777" w:rsidR="00EB4A22" w:rsidRDefault="00EB4A22" w:rsidP="00B12430">
            <w:pPr>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653FEF37" w14:textId="77777777" w:rsidR="00EB4A22" w:rsidRDefault="00EB4A22" w:rsidP="00B12430">
            <w:pPr>
              <w:jc w:val="center"/>
              <w:rPr>
                <w:rFonts w:ascii="Calibri" w:hAnsi="Calibri" w:cs="Calibri"/>
                <w:color w:val="000000"/>
                <w:szCs w:val="22"/>
              </w:rPr>
            </w:pPr>
            <w:r>
              <w:rPr>
                <w:rFonts w:ascii="Calibri" w:hAnsi="Calibri" w:cs="Calibri"/>
                <w:color w:val="000000"/>
                <w:szCs w:val="22"/>
              </w:rPr>
              <w:t>0.2%</w:t>
            </w:r>
          </w:p>
        </w:tc>
      </w:tr>
      <w:tr w:rsidR="00EB4A22" w14:paraId="65D6722F"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17BFC223"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14:paraId="32876573"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62</w:t>
            </w:r>
          </w:p>
        </w:tc>
        <w:tc>
          <w:tcPr>
            <w:tcW w:w="1418" w:type="dxa"/>
            <w:tcBorders>
              <w:top w:val="single" w:sz="4" w:space="0" w:color="auto"/>
              <w:left w:val="single" w:sz="4" w:space="0" w:color="auto"/>
              <w:bottom w:val="single" w:sz="4" w:space="0" w:color="auto"/>
              <w:right w:val="single" w:sz="4" w:space="0" w:color="auto"/>
            </w:tcBorders>
            <w:vAlign w:val="center"/>
          </w:tcPr>
          <w:p w14:paraId="0F4BB11E"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13.4%</w:t>
            </w:r>
          </w:p>
        </w:tc>
      </w:tr>
      <w:tr w:rsidR="00EB4A22" w14:paraId="1F20BB01" w14:textId="77777777" w:rsidTr="00B12430">
        <w:tc>
          <w:tcPr>
            <w:tcW w:w="5670" w:type="dxa"/>
            <w:tcBorders>
              <w:top w:val="single" w:sz="4" w:space="0" w:color="auto"/>
              <w:left w:val="single" w:sz="4" w:space="0" w:color="auto"/>
              <w:bottom w:val="single" w:sz="4" w:space="0" w:color="auto"/>
              <w:right w:val="single" w:sz="4" w:space="0" w:color="auto"/>
            </w:tcBorders>
          </w:tcPr>
          <w:p w14:paraId="6EE76E4E" w14:textId="77777777" w:rsidR="00EB4A22" w:rsidRDefault="00EB4A22" w:rsidP="00B12430">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Personal privacy not respected</w:t>
            </w:r>
          </w:p>
        </w:tc>
        <w:tc>
          <w:tcPr>
            <w:tcW w:w="1701" w:type="dxa"/>
            <w:tcBorders>
              <w:top w:val="single" w:sz="4" w:space="0" w:color="auto"/>
              <w:left w:val="single" w:sz="4" w:space="0" w:color="auto"/>
              <w:bottom w:val="single" w:sz="4" w:space="0" w:color="auto"/>
              <w:right w:val="single" w:sz="4" w:space="0" w:color="auto"/>
            </w:tcBorders>
            <w:vAlign w:val="center"/>
          </w:tcPr>
          <w:p w14:paraId="3F7FA27E"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1E8994DE"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0.2%</w:t>
            </w:r>
          </w:p>
        </w:tc>
      </w:tr>
      <w:tr w:rsidR="00EB4A22" w14:paraId="6652265C" w14:textId="77777777" w:rsidTr="00B12430">
        <w:tc>
          <w:tcPr>
            <w:tcW w:w="5670" w:type="dxa"/>
            <w:tcBorders>
              <w:top w:val="single" w:sz="4" w:space="0" w:color="auto"/>
              <w:left w:val="single" w:sz="4" w:space="0" w:color="auto"/>
              <w:bottom w:val="single" w:sz="4" w:space="0" w:color="auto"/>
              <w:right w:val="single" w:sz="4" w:space="0" w:color="auto"/>
            </w:tcBorders>
          </w:tcPr>
          <w:p w14:paraId="45B2CB3D" w14:textId="77777777" w:rsidR="00EB4A22" w:rsidRDefault="00EB4A22" w:rsidP="00B12430">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14:paraId="772BADA3"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61B1352F"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0.6%</w:t>
            </w:r>
          </w:p>
        </w:tc>
      </w:tr>
      <w:tr w:rsidR="00EB4A22" w14:paraId="00AE54D3"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789692E7" w14:textId="77777777" w:rsidR="00EB4A22" w:rsidRDefault="00EB4A22" w:rsidP="00B12430">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treat</w:t>
            </w:r>
            <w:r>
              <w:rPr>
                <w:rFonts w:ascii="Calibri" w:hAnsi="Calibri"/>
                <w:szCs w:val="22"/>
              </w:rPr>
              <w:tab/>
            </w:r>
          </w:p>
        </w:tc>
        <w:tc>
          <w:tcPr>
            <w:tcW w:w="1701" w:type="dxa"/>
            <w:tcBorders>
              <w:top w:val="single" w:sz="4" w:space="0" w:color="auto"/>
              <w:left w:val="single" w:sz="4" w:space="0" w:color="auto"/>
              <w:bottom w:val="single" w:sz="4" w:space="0" w:color="auto"/>
              <w:right w:val="single" w:sz="4" w:space="0" w:color="auto"/>
            </w:tcBorders>
            <w:vAlign w:val="center"/>
          </w:tcPr>
          <w:p w14:paraId="438E8EF2"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4F0EAA76"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0.2%</w:t>
            </w:r>
          </w:p>
        </w:tc>
      </w:tr>
      <w:tr w:rsidR="00EB4A22" w14:paraId="78577E7E"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3AF8E1F8"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14:paraId="7901AD3A"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505F6FF9"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0.6%</w:t>
            </w:r>
          </w:p>
        </w:tc>
      </w:tr>
      <w:tr w:rsidR="00EB4A22" w14:paraId="4945776E"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4F9C9C36"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14:paraId="4621A7F2"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33</w:t>
            </w:r>
          </w:p>
        </w:tc>
        <w:tc>
          <w:tcPr>
            <w:tcW w:w="1418" w:type="dxa"/>
            <w:tcBorders>
              <w:top w:val="single" w:sz="4" w:space="0" w:color="auto"/>
              <w:left w:val="single" w:sz="4" w:space="0" w:color="auto"/>
              <w:bottom w:val="single" w:sz="4" w:space="0" w:color="auto"/>
              <w:right w:val="single" w:sz="4" w:space="0" w:color="auto"/>
            </w:tcBorders>
            <w:vAlign w:val="center"/>
          </w:tcPr>
          <w:p w14:paraId="1434D113"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7.1%</w:t>
            </w:r>
          </w:p>
        </w:tc>
      </w:tr>
      <w:tr w:rsidR="00EB4A22" w14:paraId="2E2C8E4C" w14:textId="77777777" w:rsidTr="00B12430">
        <w:tc>
          <w:tcPr>
            <w:tcW w:w="5670" w:type="dxa"/>
            <w:tcBorders>
              <w:top w:val="single" w:sz="4" w:space="0" w:color="auto"/>
              <w:left w:val="single" w:sz="4" w:space="0" w:color="auto"/>
              <w:bottom w:val="single" w:sz="4" w:space="0" w:color="auto"/>
              <w:right w:val="single" w:sz="4" w:space="0" w:color="auto"/>
            </w:tcBorders>
          </w:tcPr>
          <w:p w14:paraId="09039347"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w:t>
            </w:r>
          </w:p>
        </w:tc>
        <w:tc>
          <w:tcPr>
            <w:tcW w:w="1701" w:type="dxa"/>
            <w:tcBorders>
              <w:top w:val="single" w:sz="4" w:space="0" w:color="auto"/>
              <w:left w:val="single" w:sz="4" w:space="0" w:color="auto"/>
              <w:bottom w:val="single" w:sz="4" w:space="0" w:color="auto"/>
              <w:right w:val="single" w:sz="4" w:space="0" w:color="auto"/>
            </w:tcBorders>
            <w:vAlign w:val="center"/>
          </w:tcPr>
          <w:p w14:paraId="6935B5E0"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4C8F3D39"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0.2%</w:t>
            </w:r>
          </w:p>
        </w:tc>
      </w:tr>
      <w:tr w:rsidR="00EB4A22" w14:paraId="19727B8F" w14:textId="77777777" w:rsidTr="00B1243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BC43C" w14:textId="77777777" w:rsidR="00EB4A22" w:rsidRDefault="00EB4A22" w:rsidP="00B12430">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42EB4"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31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0816F"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6.7%</w:t>
            </w:r>
          </w:p>
        </w:tc>
      </w:tr>
      <w:tr w:rsidR="00EB4A22" w14:paraId="7531265A"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57FAD691"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14:paraId="4D066CAA"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14:paraId="0A83967E"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2.4%</w:t>
            </w:r>
          </w:p>
        </w:tc>
      </w:tr>
      <w:tr w:rsidR="00EB4A22" w14:paraId="1CA396CE" w14:textId="77777777" w:rsidTr="00B12430">
        <w:tc>
          <w:tcPr>
            <w:tcW w:w="5670" w:type="dxa"/>
            <w:tcBorders>
              <w:top w:val="single" w:sz="4" w:space="0" w:color="auto"/>
              <w:left w:val="single" w:sz="4" w:space="0" w:color="auto"/>
              <w:bottom w:val="single" w:sz="4" w:space="0" w:color="auto"/>
              <w:right w:val="single" w:sz="4" w:space="0" w:color="auto"/>
            </w:tcBorders>
          </w:tcPr>
          <w:p w14:paraId="79994EF1"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cultural/language needs</w:t>
            </w:r>
          </w:p>
        </w:tc>
        <w:tc>
          <w:tcPr>
            <w:tcW w:w="1701" w:type="dxa"/>
            <w:tcBorders>
              <w:top w:val="single" w:sz="4" w:space="0" w:color="auto"/>
              <w:left w:val="single" w:sz="4" w:space="0" w:color="auto"/>
              <w:bottom w:val="single" w:sz="4" w:space="0" w:color="auto"/>
              <w:right w:val="single" w:sz="4" w:space="0" w:color="auto"/>
            </w:tcBorders>
            <w:vAlign w:val="center"/>
          </w:tcPr>
          <w:p w14:paraId="09766452"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1DF35F81"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0.2%</w:t>
            </w:r>
          </w:p>
        </w:tc>
      </w:tr>
      <w:tr w:rsidR="00EB4A22" w14:paraId="0369C92F"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4ADD267D"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14:paraId="211A7875"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0F8BDB53"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1.7%</w:t>
            </w:r>
          </w:p>
        </w:tc>
      </w:tr>
      <w:tr w:rsidR="00EB4A22" w14:paraId="783B2534"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0C57D53D"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14:paraId="209C2B60"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14:paraId="2238CDC8"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2.4%</w:t>
            </w:r>
          </w:p>
        </w:tc>
      </w:tr>
      <w:tr w:rsidR="00EB4A22" w14:paraId="6EB58EB6"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F3AE6"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33889"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CB557"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0.4%</w:t>
            </w:r>
          </w:p>
        </w:tc>
      </w:tr>
      <w:tr w:rsidR="00EB4A22" w14:paraId="0CD574C3"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4630E097" w14:textId="07991EB9" w:rsidR="00EB4A22" w:rsidRDefault="00B12430" w:rsidP="00B12430">
            <w:pPr>
              <w:widowControl w:val="0"/>
              <w:tabs>
                <w:tab w:val="left" w:pos="176"/>
                <w:tab w:val="left" w:pos="1440"/>
                <w:tab w:val="decimal" w:pos="4320"/>
              </w:tabs>
              <w:jc w:val="left"/>
              <w:outlineLvl w:val="0"/>
              <w:rPr>
                <w:rFonts w:ascii="Calibri" w:hAnsi="Calibri"/>
                <w:b/>
                <w:i/>
                <w:szCs w:val="22"/>
              </w:rPr>
            </w:pPr>
            <w:r>
              <w:rPr>
                <w:rFonts w:ascii="Calibri" w:hAnsi="Calibri"/>
                <w:szCs w:val="22"/>
              </w:rPr>
              <w:t xml:space="preserve">  </w:t>
            </w:r>
            <w:r w:rsidR="00EB4A22">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24E017" w14:textId="77777777" w:rsidR="00EB4A22" w:rsidRPr="00905A9C" w:rsidRDefault="00EB4A22" w:rsidP="00B12430">
            <w:pPr>
              <w:widowControl w:val="0"/>
              <w:jc w:val="center"/>
              <w:rPr>
                <w:rFonts w:ascii="Calibri" w:hAnsi="Calibri" w:cs="Calibri"/>
                <w:color w:val="000000"/>
                <w:szCs w:val="22"/>
              </w:rPr>
            </w:pPr>
            <w:r w:rsidRPr="00905A9C">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B5A707" w14:textId="77777777" w:rsidR="00EB4A22" w:rsidRPr="00905A9C" w:rsidRDefault="00EB4A22" w:rsidP="00B12430">
            <w:pPr>
              <w:widowControl w:val="0"/>
              <w:jc w:val="center"/>
              <w:rPr>
                <w:rFonts w:ascii="Calibri" w:hAnsi="Calibri" w:cs="Calibri"/>
                <w:b/>
                <w:color w:val="000000"/>
                <w:szCs w:val="22"/>
              </w:rPr>
            </w:pPr>
            <w:r>
              <w:rPr>
                <w:rFonts w:ascii="Calibri" w:hAnsi="Calibri" w:cs="Calibri"/>
                <w:color w:val="000000"/>
                <w:szCs w:val="22"/>
              </w:rPr>
              <w:t>0.4%</w:t>
            </w:r>
          </w:p>
        </w:tc>
      </w:tr>
      <w:tr w:rsidR="00EB4A22" w14:paraId="316FEEB2"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ED1FAC"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50A95"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52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3F521"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11.2%</w:t>
            </w:r>
          </w:p>
        </w:tc>
      </w:tr>
      <w:tr w:rsidR="00EB4A22" w14:paraId="13CC66C5"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2E24F84F"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14:paraId="5B56B9C7"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19</w:t>
            </w:r>
          </w:p>
        </w:tc>
        <w:tc>
          <w:tcPr>
            <w:tcW w:w="1418" w:type="dxa"/>
            <w:tcBorders>
              <w:top w:val="single" w:sz="4" w:space="0" w:color="auto"/>
              <w:left w:val="single" w:sz="4" w:space="0" w:color="auto"/>
              <w:bottom w:val="single" w:sz="4" w:space="0" w:color="auto"/>
              <w:right w:val="single" w:sz="4" w:space="0" w:color="auto"/>
            </w:tcBorders>
            <w:vAlign w:val="center"/>
          </w:tcPr>
          <w:p w14:paraId="2921E149"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4.1%</w:t>
            </w:r>
          </w:p>
        </w:tc>
      </w:tr>
      <w:tr w:rsidR="00EB4A22" w14:paraId="0AF6DF4C"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238F3E5A"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14:paraId="4957D1AB"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14:paraId="49137832" w14:textId="77777777" w:rsidR="00EB4A22" w:rsidRDefault="00EB4A22" w:rsidP="00B12430">
            <w:pPr>
              <w:jc w:val="center"/>
            </w:pPr>
            <w:r>
              <w:rPr>
                <w:rFonts w:ascii="Calibri" w:hAnsi="Calibri" w:cs="Calibri"/>
                <w:color w:val="000000"/>
                <w:szCs w:val="22"/>
              </w:rPr>
              <w:t>0.2%</w:t>
            </w:r>
          </w:p>
        </w:tc>
      </w:tr>
      <w:tr w:rsidR="00EB4A22" w14:paraId="41030B3A"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3BE124E0"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14:paraId="47507D0A"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14:paraId="75D9D666" w14:textId="77777777" w:rsidR="00EB4A22" w:rsidRDefault="00EB4A22" w:rsidP="00B12430">
            <w:pPr>
              <w:jc w:val="center"/>
            </w:pPr>
            <w:r>
              <w:rPr>
                <w:rFonts w:ascii="Calibri" w:hAnsi="Calibri" w:cs="Calibri"/>
                <w:color w:val="000000"/>
                <w:szCs w:val="22"/>
              </w:rPr>
              <w:t>0.6%</w:t>
            </w:r>
          </w:p>
        </w:tc>
      </w:tr>
      <w:tr w:rsidR="00EB4A22" w14:paraId="04456024"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2CD299CC"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provider</w:t>
            </w:r>
          </w:p>
        </w:tc>
        <w:tc>
          <w:tcPr>
            <w:tcW w:w="1701" w:type="dxa"/>
            <w:tcBorders>
              <w:top w:val="single" w:sz="4" w:space="0" w:color="auto"/>
              <w:left w:val="single" w:sz="4" w:space="0" w:color="auto"/>
              <w:bottom w:val="single" w:sz="4" w:space="0" w:color="auto"/>
              <w:right w:val="single" w:sz="4" w:space="0" w:color="auto"/>
            </w:tcBorders>
            <w:vAlign w:val="center"/>
          </w:tcPr>
          <w:p w14:paraId="2662E5E7"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14:paraId="3B1A8AA3" w14:textId="77777777" w:rsidR="00EB4A22" w:rsidRDefault="00EB4A22" w:rsidP="00B12430">
            <w:pPr>
              <w:jc w:val="center"/>
            </w:pPr>
            <w:r>
              <w:rPr>
                <w:rFonts w:ascii="Calibri" w:hAnsi="Calibri" w:cs="Calibri"/>
                <w:color w:val="000000"/>
                <w:szCs w:val="22"/>
              </w:rPr>
              <w:t>0.2%</w:t>
            </w:r>
          </w:p>
        </w:tc>
      </w:tr>
      <w:tr w:rsidR="00EB4A22" w14:paraId="6E4557F5"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7485FF25"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14:paraId="539A25E0"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14:paraId="5BABF0E5" w14:textId="77777777" w:rsidR="00EB4A22" w:rsidRDefault="00EB4A22" w:rsidP="00B12430">
            <w:pPr>
              <w:jc w:val="center"/>
            </w:pPr>
            <w:r>
              <w:t>1.5%</w:t>
            </w:r>
          </w:p>
        </w:tc>
      </w:tr>
      <w:tr w:rsidR="00EB4A22" w14:paraId="121AA3DD"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754C38E1"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14:paraId="082EF8B7"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14:paraId="0D084A64" w14:textId="77777777" w:rsidR="00EB4A22" w:rsidRDefault="00EB4A22" w:rsidP="00B12430">
            <w:pPr>
              <w:jc w:val="center"/>
            </w:pPr>
            <w:r>
              <w:rPr>
                <w:rFonts w:ascii="Calibri" w:hAnsi="Calibri" w:cs="Calibri"/>
                <w:color w:val="000000"/>
                <w:szCs w:val="22"/>
              </w:rPr>
              <w:t>0.9%</w:t>
            </w:r>
          </w:p>
        </w:tc>
      </w:tr>
      <w:tr w:rsidR="00EB4A22" w14:paraId="46D9F9C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230D1E58"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regarding consent when consumer not competent</w:t>
            </w:r>
          </w:p>
        </w:tc>
        <w:tc>
          <w:tcPr>
            <w:tcW w:w="1701" w:type="dxa"/>
            <w:tcBorders>
              <w:top w:val="single" w:sz="4" w:space="0" w:color="auto"/>
              <w:left w:val="single" w:sz="4" w:space="0" w:color="auto"/>
              <w:bottom w:val="single" w:sz="4" w:space="0" w:color="auto"/>
              <w:right w:val="single" w:sz="4" w:space="0" w:color="auto"/>
            </w:tcBorders>
            <w:vAlign w:val="center"/>
          </w:tcPr>
          <w:p w14:paraId="4951CD44"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623C857D"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0.6%</w:t>
            </w:r>
          </w:p>
        </w:tc>
      </w:tr>
      <w:tr w:rsidR="00EB4A22" w14:paraId="4DD89C41"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3351352B"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14:paraId="4D718A96"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14:paraId="17DE7FC6"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3.0%</w:t>
            </w:r>
          </w:p>
        </w:tc>
      </w:tr>
      <w:tr w:rsidR="00EB4A22" w14:paraId="7A50DBE8"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EF54D7"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66CCF"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91D96"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2.2%</w:t>
            </w:r>
          </w:p>
        </w:tc>
      </w:tr>
      <w:tr w:rsidR="00EB4A22" w14:paraId="42DCA1F9"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0B113A03"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14:paraId="2EEB39C4"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1113E248"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1.7%</w:t>
            </w:r>
          </w:p>
        </w:tc>
      </w:tr>
      <w:tr w:rsidR="00EB4A22" w14:paraId="7F626106"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253EA1AE"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14:paraId="6ECD49FA"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549BFDBF"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0.4%</w:t>
            </w:r>
          </w:p>
        </w:tc>
      </w:tr>
      <w:tr w:rsidR="00EB4A22" w14:paraId="7BEE13CB"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11ECF"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7E051"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23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5334F"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5.0%</w:t>
            </w:r>
          </w:p>
        </w:tc>
      </w:tr>
      <w:tr w:rsidR="00EB4A22" w14:paraId="61002B1C"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777A587D"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Accreditation/statutory obligations not met</w:t>
            </w:r>
          </w:p>
        </w:tc>
        <w:tc>
          <w:tcPr>
            <w:tcW w:w="1701" w:type="dxa"/>
            <w:tcBorders>
              <w:top w:val="single" w:sz="4" w:space="0" w:color="auto"/>
              <w:left w:val="single" w:sz="4" w:space="0" w:color="auto"/>
              <w:bottom w:val="single" w:sz="4" w:space="0" w:color="auto"/>
              <w:right w:val="single" w:sz="4" w:space="0" w:color="auto"/>
            </w:tcBorders>
            <w:vAlign w:val="center"/>
          </w:tcPr>
          <w:p w14:paraId="2BA1BC75"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76C79085" w14:textId="77777777" w:rsidR="00EB4A22" w:rsidRDefault="00EB4A22" w:rsidP="00B12430">
            <w:pPr>
              <w:jc w:val="center"/>
            </w:pPr>
            <w:r>
              <w:rPr>
                <w:rFonts w:ascii="Calibri" w:hAnsi="Calibri" w:cs="Calibri"/>
                <w:color w:val="000000"/>
                <w:szCs w:val="22"/>
              </w:rPr>
              <w:t>0.4%</w:t>
            </w:r>
          </w:p>
        </w:tc>
      </w:tr>
      <w:tr w:rsidR="00EB4A22" w14:paraId="4114F7B6"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5E82C77B"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14:paraId="5A2BB29E"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tcPr>
          <w:p w14:paraId="597037AE" w14:textId="77777777" w:rsidR="00EB4A22" w:rsidRDefault="00EB4A22" w:rsidP="00B12430">
            <w:pPr>
              <w:jc w:val="center"/>
            </w:pPr>
            <w:r>
              <w:t>2.8%</w:t>
            </w:r>
          </w:p>
        </w:tc>
      </w:tr>
      <w:tr w:rsidR="00EB4A22" w14:paraId="5532D06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5C6FD15D"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48BFCB3B"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tcPr>
          <w:p w14:paraId="00E4663D" w14:textId="77777777" w:rsidR="00EB4A22" w:rsidRDefault="00EB4A22" w:rsidP="00B12430">
            <w:pPr>
              <w:jc w:val="center"/>
            </w:pPr>
            <w:r>
              <w:t>1.7%</w:t>
            </w:r>
          </w:p>
        </w:tc>
      </w:tr>
      <w:tr w:rsidR="00EB4A22" w14:paraId="0B6D919F"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2F47D"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A2D42"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23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7329E"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5.0%</w:t>
            </w:r>
          </w:p>
        </w:tc>
      </w:tr>
      <w:tr w:rsidR="00EB4A22" w14:paraId="282E86EF"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05783969"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14:paraId="703F30E8"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14:paraId="43442439" w14:textId="77777777" w:rsidR="00EB4A22" w:rsidRDefault="00EB4A22" w:rsidP="00B12430">
            <w:pPr>
              <w:jc w:val="center"/>
            </w:pPr>
            <w:r>
              <w:t>1.3%</w:t>
            </w:r>
          </w:p>
        </w:tc>
      </w:tr>
      <w:tr w:rsidR="00EB4A22" w14:paraId="10E693D8"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1BFB4BB4"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Dispensing error</w:t>
            </w:r>
          </w:p>
        </w:tc>
        <w:tc>
          <w:tcPr>
            <w:tcW w:w="1701" w:type="dxa"/>
            <w:tcBorders>
              <w:top w:val="single" w:sz="4" w:space="0" w:color="auto"/>
              <w:left w:val="single" w:sz="4" w:space="0" w:color="auto"/>
              <w:bottom w:val="single" w:sz="4" w:space="0" w:color="auto"/>
              <w:right w:val="single" w:sz="4" w:space="0" w:color="auto"/>
            </w:tcBorders>
            <w:vAlign w:val="center"/>
          </w:tcPr>
          <w:p w14:paraId="1293F9CE"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51E31D44"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0.2%</w:t>
            </w:r>
          </w:p>
        </w:tc>
      </w:tr>
      <w:tr w:rsidR="00EB4A22" w14:paraId="0B55ED87"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78C28CA6"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14:paraId="5A9AAB92"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7AB4F633"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0.6%</w:t>
            </w:r>
          </w:p>
        </w:tc>
      </w:tr>
      <w:tr w:rsidR="00EB4A22" w14:paraId="65BD70A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7A861634"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14:paraId="050EB1A5"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14:paraId="1FC1B806"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2.4%</w:t>
            </w:r>
          </w:p>
        </w:tc>
      </w:tr>
      <w:tr w:rsidR="00EB4A22" w14:paraId="5B8DC10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2F98AD63"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14:paraId="0F407134"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3643A13F" w14:textId="77777777" w:rsidR="00EB4A22" w:rsidRDefault="00EB4A22" w:rsidP="00B12430">
            <w:pPr>
              <w:jc w:val="center"/>
            </w:pPr>
            <w:r>
              <w:rPr>
                <w:rFonts w:ascii="Calibri" w:hAnsi="Calibri" w:cs="Calibri"/>
                <w:color w:val="000000"/>
                <w:szCs w:val="22"/>
              </w:rPr>
              <w:t>0.4%</w:t>
            </w:r>
          </w:p>
        </w:tc>
      </w:tr>
      <w:tr w:rsidR="00EB4A22" w14:paraId="60C553B5"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427C0"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5DFA5"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9031"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1.1%</w:t>
            </w:r>
          </w:p>
        </w:tc>
      </w:tr>
      <w:tr w:rsidR="00EB4A22" w14:paraId="20186C66"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0D293188"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5DDBAB" w14:textId="77777777" w:rsidR="00EB4A22" w:rsidRPr="004D62A7" w:rsidRDefault="00EB4A22" w:rsidP="00B1243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C0D782" w14:textId="77777777" w:rsidR="00EB4A22" w:rsidRPr="00F16F2F" w:rsidRDefault="00EB4A22" w:rsidP="00B12430">
            <w:pPr>
              <w:widowControl w:val="0"/>
              <w:jc w:val="center"/>
              <w:rPr>
                <w:rFonts w:ascii="Calibri" w:hAnsi="Calibri" w:cs="Calibri"/>
                <w:color w:val="000000"/>
                <w:szCs w:val="22"/>
              </w:rPr>
            </w:pPr>
            <w:r>
              <w:rPr>
                <w:rFonts w:ascii="Calibri" w:hAnsi="Calibri" w:cs="Calibri"/>
                <w:color w:val="000000"/>
                <w:szCs w:val="22"/>
              </w:rPr>
              <w:t>1.1%</w:t>
            </w:r>
          </w:p>
        </w:tc>
      </w:tr>
      <w:tr w:rsidR="00EB4A22" w14:paraId="00719182"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34292"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DB9BF"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25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6BC501"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5.4%</w:t>
            </w:r>
          </w:p>
        </w:tc>
      </w:tr>
      <w:tr w:rsidR="00EB4A22" w14:paraId="6B345FC6"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1FE7C90C"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Assault</w:t>
            </w:r>
          </w:p>
        </w:tc>
        <w:tc>
          <w:tcPr>
            <w:tcW w:w="1701" w:type="dxa"/>
            <w:tcBorders>
              <w:top w:val="single" w:sz="4" w:space="0" w:color="auto"/>
              <w:left w:val="single" w:sz="4" w:space="0" w:color="auto"/>
              <w:bottom w:val="single" w:sz="4" w:space="0" w:color="auto"/>
              <w:right w:val="single" w:sz="4" w:space="0" w:color="auto"/>
            </w:tcBorders>
            <w:vAlign w:val="center"/>
          </w:tcPr>
          <w:p w14:paraId="1A189A45"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3CE2FDEE"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0.4%</w:t>
            </w:r>
          </w:p>
        </w:tc>
      </w:tr>
      <w:tr w:rsidR="00EB4A22" w14:paraId="5B79D38F"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534B1C06"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tcPr>
          <w:p w14:paraId="037EFE01"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39E32E73"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1.5%</w:t>
            </w:r>
          </w:p>
        </w:tc>
      </w:tr>
      <w:tr w:rsidR="00EB4A22" w14:paraId="210C29AD"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6BB5F05C"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14:paraId="3DD2EA57"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tcPr>
          <w:p w14:paraId="5F74DB41" w14:textId="77777777" w:rsidR="00EB4A22" w:rsidRDefault="00EB4A22" w:rsidP="00B12430">
            <w:pPr>
              <w:jc w:val="center"/>
            </w:pPr>
            <w:r>
              <w:t>2.8%</w:t>
            </w:r>
          </w:p>
        </w:tc>
      </w:tr>
      <w:tr w:rsidR="00EB4A22" w14:paraId="043C8C46"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6AA79C40"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 xml:space="preserve">Other </w:t>
            </w:r>
          </w:p>
        </w:tc>
        <w:tc>
          <w:tcPr>
            <w:tcW w:w="1701" w:type="dxa"/>
            <w:tcBorders>
              <w:top w:val="single" w:sz="4" w:space="0" w:color="auto"/>
              <w:left w:val="single" w:sz="4" w:space="0" w:color="auto"/>
              <w:bottom w:val="single" w:sz="4" w:space="0" w:color="auto"/>
              <w:right w:val="single" w:sz="4" w:space="0" w:color="auto"/>
            </w:tcBorders>
            <w:vAlign w:val="center"/>
          </w:tcPr>
          <w:p w14:paraId="3B222B40"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14:paraId="28E21496" w14:textId="77777777" w:rsidR="00EB4A22" w:rsidRDefault="00EB4A22" w:rsidP="00B12430">
            <w:pPr>
              <w:jc w:val="center"/>
            </w:pPr>
            <w:r>
              <w:rPr>
                <w:rFonts w:ascii="Calibri" w:hAnsi="Calibri" w:cs="Calibri"/>
                <w:color w:val="000000"/>
                <w:szCs w:val="22"/>
              </w:rPr>
              <w:t>0.6%</w:t>
            </w:r>
          </w:p>
        </w:tc>
      </w:tr>
      <w:tr w:rsidR="00EB4A22" w14:paraId="790F6CA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DDFB60" w14:textId="77777777" w:rsidR="00EB4A22" w:rsidRDefault="00EB4A22" w:rsidP="00B12430">
            <w:pPr>
              <w:widowControl w:val="0"/>
              <w:tabs>
                <w:tab w:val="left" w:pos="176"/>
                <w:tab w:val="left" w:pos="1440"/>
                <w:tab w:val="decimal" w:pos="4320"/>
              </w:tabs>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15037"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F2C9E" w14:textId="77777777" w:rsidR="00EB4A22" w:rsidRPr="00F509B5" w:rsidRDefault="00EB4A22" w:rsidP="00B12430">
            <w:pPr>
              <w:widowControl w:val="0"/>
              <w:jc w:val="center"/>
              <w:rPr>
                <w:rFonts w:ascii="Calibri" w:hAnsi="Calibri" w:cs="Calibri"/>
                <w:b/>
                <w:i/>
                <w:color w:val="000000"/>
                <w:szCs w:val="22"/>
              </w:rPr>
            </w:pPr>
            <w:r w:rsidRPr="00F509B5">
              <w:rPr>
                <w:rFonts w:ascii="Calibri" w:hAnsi="Calibri" w:cs="Calibri"/>
                <w:b/>
                <w:i/>
                <w:color w:val="000000"/>
                <w:szCs w:val="22"/>
              </w:rPr>
              <w:t>0.6%</w:t>
            </w:r>
          </w:p>
        </w:tc>
      </w:tr>
      <w:tr w:rsidR="00EB4A22" w14:paraId="15152E53"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953C2" w14:textId="77777777" w:rsidR="00EB4A22" w:rsidRDefault="00EB4A22" w:rsidP="00B12430">
            <w:pPr>
              <w:widowControl w:val="0"/>
              <w:tabs>
                <w:tab w:val="left" w:pos="176"/>
                <w:tab w:val="left" w:pos="1440"/>
                <w:tab w:val="decimal" w:pos="4320"/>
              </w:tabs>
              <w:outlineLvl w:val="0"/>
              <w:rPr>
                <w:rFonts w:ascii="Calibri" w:hAnsi="Calibri"/>
                <w:b/>
                <w:i/>
                <w:szCs w:val="22"/>
              </w:rPr>
            </w:pPr>
            <w:r>
              <w:rPr>
                <w:rFonts w:ascii="Calibri" w:hAnsi="Calibri"/>
                <w:b/>
                <w:i/>
                <w:szCs w:val="22"/>
              </w:rPr>
              <w:t>Other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F1FC1"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206A0" w14:textId="77777777" w:rsidR="00EB4A22" w:rsidRPr="00F509B5" w:rsidRDefault="00EB4A22" w:rsidP="00B12430">
            <w:pPr>
              <w:widowControl w:val="0"/>
              <w:jc w:val="center"/>
              <w:rPr>
                <w:rFonts w:ascii="Calibri" w:hAnsi="Calibri" w:cs="Calibri"/>
                <w:b/>
                <w:i/>
                <w:color w:val="000000"/>
                <w:szCs w:val="22"/>
              </w:rPr>
            </w:pPr>
            <w:r w:rsidRPr="00F509B5">
              <w:rPr>
                <w:rFonts w:ascii="Calibri" w:hAnsi="Calibri" w:cs="Calibri"/>
                <w:b/>
                <w:i/>
                <w:color w:val="000000"/>
                <w:szCs w:val="22"/>
              </w:rPr>
              <w:t>0.9%</w:t>
            </w:r>
          </w:p>
        </w:tc>
      </w:tr>
      <w:tr w:rsidR="00EB4A22" w14:paraId="03E3A501" w14:textId="77777777" w:rsidTr="00B12430">
        <w:trPr>
          <w:trHeight w:val="70"/>
        </w:trPr>
        <w:tc>
          <w:tcPr>
            <w:tcW w:w="5670" w:type="dxa"/>
            <w:tcBorders>
              <w:top w:val="single" w:sz="4" w:space="0" w:color="auto"/>
              <w:left w:val="single" w:sz="4" w:space="0" w:color="auto"/>
              <w:bottom w:val="single" w:sz="4" w:space="0" w:color="auto"/>
              <w:right w:val="single" w:sz="4" w:space="0" w:color="auto"/>
            </w:tcBorders>
            <w:shd w:val="clear" w:color="auto" w:fill="C00000"/>
            <w:hideMark/>
          </w:tcPr>
          <w:p w14:paraId="689EE5EA" w14:textId="77777777" w:rsidR="00EB4A22" w:rsidRDefault="00EB4A22" w:rsidP="00B12430">
            <w:pPr>
              <w:widowControl w:val="0"/>
              <w:tabs>
                <w:tab w:val="left" w:pos="176"/>
                <w:tab w:val="left" w:pos="1440"/>
                <w:tab w:val="decimal" w:pos="4320"/>
              </w:tabs>
              <w:jc w:val="left"/>
              <w:outlineLvl w:val="0"/>
              <w:rPr>
                <w:rFonts w:ascii="Calibri" w:hAnsi="Calibri"/>
                <w:b/>
                <w:szCs w:val="22"/>
              </w:rPr>
            </w:pPr>
            <w:r>
              <w:rPr>
                <w:rFonts w:ascii="Calibri" w:hAnsi="Calibri"/>
                <w:b/>
                <w:szCs w:val="22"/>
              </w:rPr>
              <w:t>TOTAL</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32E731F4" w14:textId="77777777" w:rsidR="00EB4A22" w:rsidRDefault="00EB4A22" w:rsidP="00B12430">
            <w:pPr>
              <w:widowControl w:val="0"/>
              <w:jc w:val="center"/>
              <w:rPr>
                <w:rFonts w:ascii="Calibri" w:hAnsi="Calibri" w:cs="Calibri"/>
                <w:b/>
                <w:color w:val="000000"/>
                <w:szCs w:val="22"/>
              </w:rPr>
            </w:pPr>
            <w:r w:rsidRPr="00801367">
              <w:rPr>
                <w:rFonts w:ascii="Calibri" w:hAnsi="Calibri" w:cs="Calibri"/>
                <w:b/>
                <w:color w:val="FFFFFF" w:themeColor="background1"/>
                <w:szCs w:val="22"/>
              </w:rPr>
              <w:t>464</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6A741F5A" w14:textId="77777777" w:rsidR="00EB4A22" w:rsidRDefault="00EB4A22" w:rsidP="00B12430">
            <w:pPr>
              <w:widowControl w:val="0"/>
              <w:jc w:val="center"/>
              <w:rPr>
                <w:rFonts w:ascii="Calibri" w:hAnsi="Calibri" w:cs="Calibri"/>
                <w:b/>
                <w:color w:val="000000"/>
                <w:szCs w:val="22"/>
              </w:rPr>
            </w:pPr>
          </w:p>
        </w:tc>
      </w:tr>
    </w:tbl>
    <w:p w14:paraId="4F3DBAA7" w14:textId="77777777" w:rsidR="00EB4A22" w:rsidRDefault="00EB4A22" w:rsidP="00EB4A22">
      <w:pPr>
        <w:spacing w:before="480" w:after="240"/>
      </w:pPr>
      <w:r>
        <w:t xml:space="preserve">Table 9 shows a comparison over time for the top five primary issues complained about. </w:t>
      </w:r>
    </w:p>
    <w:p w14:paraId="0E2E87B7" w14:textId="77777777" w:rsidR="00EB4A22" w:rsidRDefault="00EB4A22" w:rsidP="004D22EA">
      <w:pPr>
        <w:spacing w:before="240" w:after="480"/>
      </w:pPr>
      <w:r>
        <w:t xml:space="preserve">Complaints primarily regarding a lack of access to services decreased from 12% of complaints in Jan–Jun 2020 to 8% of complaints in Jul–Dec 2020. It may be that the higher proportion of complaints about a lack of access to services in Jan–Jun 2020 was due to restricted access to many services during the COVID-19 emergency response. </w:t>
      </w:r>
    </w:p>
    <w:p w14:paraId="2A19324D" w14:textId="77777777" w:rsidR="00EB4A22" w:rsidRDefault="00EB4A22" w:rsidP="00EB4A22">
      <w:pPr>
        <w:spacing w:after="120"/>
      </w:pPr>
      <w:r>
        <w:rPr>
          <w:b/>
        </w:rPr>
        <w:t xml:space="preserve">Table 9. </w:t>
      </w:r>
      <w:r>
        <w:t>Top five primary issues in complaints received over the last four six-month periods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562"/>
        <w:gridCol w:w="1625"/>
        <w:gridCol w:w="562"/>
        <w:gridCol w:w="1630"/>
        <w:gridCol w:w="562"/>
        <w:gridCol w:w="1676"/>
        <w:gridCol w:w="677"/>
      </w:tblGrid>
      <w:tr w:rsidR="00EB4A22" w14:paraId="050DB187" w14:textId="77777777" w:rsidTr="00B12430">
        <w:trPr>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3AB7E01" w14:textId="77777777" w:rsidR="00EB4A22" w:rsidRDefault="00EB4A22" w:rsidP="00B12430">
            <w:pPr>
              <w:keepNext/>
              <w:keepLines/>
              <w:tabs>
                <w:tab w:val="left" w:pos="1440"/>
                <w:tab w:val="decimal" w:pos="4320"/>
              </w:tabs>
              <w:spacing w:before="120" w:after="120"/>
              <w:jc w:val="center"/>
              <w:outlineLvl w:val="0"/>
              <w:rPr>
                <w:rFonts w:ascii="Calibri" w:hAnsi="Calibri"/>
                <w:b/>
              </w:rPr>
            </w:pPr>
            <w:r>
              <w:rPr>
                <w:rFonts w:ascii="Calibri" w:hAnsi="Calibri"/>
                <w:b/>
                <w:szCs w:val="22"/>
              </w:rPr>
              <w:t xml:space="preserve">Top five primary issues in all complaints </w:t>
            </w:r>
            <w:r>
              <w:rPr>
                <w:rFonts w:ascii="Calibri" w:hAnsi="Calibri"/>
                <w:szCs w:val="22"/>
              </w:rPr>
              <w:t>(%)</w:t>
            </w:r>
          </w:p>
        </w:tc>
      </w:tr>
      <w:tr w:rsidR="00EB4A22" w14:paraId="33E6636F" w14:textId="77777777" w:rsidTr="00B12430">
        <w:tc>
          <w:tcPr>
            <w:tcW w:w="1229"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79602E41" w14:textId="77777777" w:rsidR="00EB4A22" w:rsidRDefault="00EB4A22" w:rsidP="00B12430">
            <w:pPr>
              <w:keepNext/>
              <w:keepLines/>
              <w:tabs>
                <w:tab w:val="left" w:pos="1440"/>
                <w:tab w:val="decimal" w:pos="4320"/>
              </w:tabs>
              <w:ind w:firstLine="152"/>
              <w:jc w:val="center"/>
              <w:outlineLvl w:val="0"/>
              <w:rPr>
                <w:rFonts w:ascii="Calibri" w:hAnsi="Calibri"/>
                <w:b/>
              </w:rPr>
            </w:pPr>
            <w:r>
              <w:rPr>
                <w:rFonts w:ascii="Calibri" w:hAnsi="Calibri"/>
                <w:b/>
                <w:szCs w:val="22"/>
              </w:rPr>
              <w:t>Jan–Jun 19</w:t>
            </w:r>
          </w:p>
          <w:p w14:paraId="79DB65E0" w14:textId="77777777" w:rsidR="00EB4A22" w:rsidRDefault="00EB4A22" w:rsidP="00B12430">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n=427</w:t>
            </w:r>
          </w:p>
        </w:tc>
        <w:tc>
          <w:tcPr>
            <w:tcW w:w="1225"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70E042B9" w14:textId="77777777" w:rsidR="00EB4A22" w:rsidRDefault="00EB4A22" w:rsidP="00B12430">
            <w:pPr>
              <w:keepNext/>
              <w:keepLines/>
              <w:tabs>
                <w:tab w:val="left" w:pos="1440"/>
                <w:tab w:val="decimal" w:pos="4320"/>
              </w:tabs>
              <w:ind w:firstLine="152"/>
              <w:jc w:val="center"/>
              <w:outlineLvl w:val="0"/>
              <w:rPr>
                <w:rFonts w:ascii="Calibri" w:hAnsi="Calibri"/>
                <w:b/>
              </w:rPr>
            </w:pPr>
            <w:r>
              <w:rPr>
                <w:rFonts w:ascii="Calibri" w:hAnsi="Calibri"/>
                <w:b/>
                <w:szCs w:val="22"/>
              </w:rPr>
              <w:t>Jul–Dec 19</w:t>
            </w:r>
          </w:p>
          <w:p w14:paraId="666CB940" w14:textId="77777777" w:rsidR="00EB4A22" w:rsidRDefault="00EB4A22" w:rsidP="00B12430">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n=472</w:t>
            </w:r>
          </w:p>
        </w:tc>
        <w:tc>
          <w:tcPr>
            <w:tcW w:w="1228"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740BCACD" w14:textId="77777777" w:rsidR="00EB4A22" w:rsidRDefault="00EB4A22" w:rsidP="00B12430">
            <w:pPr>
              <w:keepNext/>
              <w:keepLines/>
              <w:tabs>
                <w:tab w:val="left" w:pos="1440"/>
                <w:tab w:val="decimal" w:pos="4320"/>
              </w:tabs>
              <w:ind w:firstLine="152"/>
              <w:jc w:val="center"/>
              <w:outlineLvl w:val="0"/>
              <w:rPr>
                <w:rFonts w:ascii="Calibri" w:hAnsi="Calibri"/>
                <w:b/>
              </w:rPr>
            </w:pPr>
            <w:r>
              <w:rPr>
                <w:rFonts w:ascii="Calibri" w:hAnsi="Calibri"/>
                <w:b/>
                <w:szCs w:val="22"/>
              </w:rPr>
              <w:t>Jan–Jun 20</w:t>
            </w:r>
          </w:p>
          <w:p w14:paraId="037012A9" w14:textId="77777777" w:rsidR="00EB4A22" w:rsidRDefault="00EB4A22" w:rsidP="00B12430">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n=392</w:t>
            </w:r>
          </w:p>
        </w:tc>
        <w:tc>
          <w:tcPr>
            <w:tcW w:w="1318"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7D889E5B" w14:textId="77777777" w:rsidR="00EB4A22" w:rsidRDefault="00EB4A22" w:rsidP="00B12430">
            <w:pPr>
              <w:keepNext/>
              <w:keepLines/>
              <w:tabs>
                <w:tab w:val="left" w:pos="1440"/>
                <w:tab w:val="decimal" w:pos="4320"/>
              </w:tabs>
              <w:ind w:firstLine="152"/>
              <w:jc w:val="center"/>
              <w:outlineLvl w:val="0"/>
              <w:rPr>
                <w:rFonts w:ascii="Calibri" w:hAnsi="Calibri"/>
                <w:b/>
              </w:rPr>
            </w:pPr>
            <w:r>
              <w:rPr>
                <w:rFonts w:ascii="Calibri" w:hAnsi="Calibri"/>
                <w:b/>
                <w:szCs w:val="22"/>
              </w:rPr>
              <w:t>Jul–Dec 20</w:t>
            </w:r>
          </w:p>
          <w:p w14:paraId="7D2FF567" w14:textId="77777777" w:rsidR="00EB4A22" w:rsidRDefault="00EB4A22" w:rsidP="00B12430">
            <w:pPr>
              <w:jc w:val="center"/>
              <w:rPr>
                <w:rFonts w:ascii="Calibri" w:hAnsi="Calibri"/>
                <w:b/>
                <w:szCs w:val="22"/>
              </w:rPr>
            </w:pPr>
            <w:r>
              <w:rPr>
                <w:rFonts w:ascii="Calibri" w:hAnsi="Calibri"/>
                <w:b/>
                <w:szCs w:val="22"/>
              </w:rPr>
              <w:t>n=464</w:t>
            </w:r>
          </w:p>
        </w:tc>
      </w:tr>
      <w:tr w:rsidR="00EB4A22" w14:paraId="02235CA5" w14:textId="77777777" w:rsidTr="00B12430">
        <w:trPr>
          <w:trHeight w:val="450"/>
        </w:trPr>
        <w:tc>
          <w:tcPr>
            <w:tcW w:w="914" w:type="pct"/>
            <w:tcBorders>
              <w:top w:val="single" w:sz="4" w:space="0" w:color="auto"/>
              <w:left w:val="single" w:sz="4" w:space="0" w:color="auto"/>
              <w:bottom w:val="single" w:sz="4" w:space="0" w:color="auto"/>
              <w:right w:val="single" w:sz="4" w:space="0" w:color="auto"/>
            </w:tcBorders>
            <w:vAlign w:val="center"/>
            <w:hideMark/>
          </w:tcPr>
          <w:p w14:paraId="28816C46" w14:textId="77777777" w:rsidR="00EB4A22" w:rsidRDefault="00EB4A22" w:rsidP="00B12430">
            <w:pPr>
              <w:jc w:val="left"/>
              <w:rPr>
                <w:rFonts w:ascii="Calibri" w:hAnsi="Calibri"/>
                <w:sz w:val="20"/>
                <w:szCs w:val="20"/>
              </w:rPr>
            </w:pPr>
            <w:r>
              <w:rPr>
                <w:rFonts w:ascii="Calibri" w:hAnsi="Calibri"/>
                <w:sz w:val="20"/>
                <w:szCs w:val="20"/>
              </w:rPr>
              <w:t>Misdiagnosis</w:t>
            </w:r>
          </w:p>
        </w:tc>
        <w:tc>
          <w:tcPr>
            <w:tcW w:w="315" w:type="pct"/>
            <w:tcBorders>
              <w:top w:val="single" w:sz="4" w:space="0" w:color="auto"/>
              <w:left w:val="single" w:sz="4" w:space="0" w:color="auto"/>
              <w:bottom w:val="single" w:sz="4" w:space="0" w:color="auto"/>
              <w:right w:val="single" w:sz="4" w:space="0" w:color="auto"/>
            </w:tcBorders>
            <w:vAlign w:val="center"/>
            <w:hideMark/>
          </w:tcPr>
          <w:p w14:paraId="08236FD5" w14:textId="77777777" w:rsidR="00EB4A22" w:rsidRDefault="00EB4A22" w:rsidP="00B12430">
            <w:pPr>
              <w:jc w:val="center"/>
              <w:rPr>
                <w:rFonts w:ascii="Calibri" w:hAnsi="Calibri"/>
                <w:sz w:val="20"/>
                <w:szCs w:val="20"/>
              </w:rPr>
            </w:pPr>
            <w:r>
              <w:rPr>
                <w:rFonts w:ascii="Calibri" w:hAnsi="Calibri"/>
                <w:sz w:val="20"/>
                <w:szCs w:val="20"/>
              </w:rPr>
              <w:t>16%</w:t>
            </w:r>
          </w:p>
        </w:tc>
        <w:tc>
          <w:tcPr>
            <w:tcW w:w="910" w:type="pct"/>
            <w:tcBorders>
              <w:top w:val="single" w:sz="4" w:space="0" w:color="auto"/>
              <w:left w:val="single" w:sz="4" w:space="0" w:color="auto"/>
              <w:bottom w:val="single" w:sz="4" w:space="0" w:color="auto"/>
              <w:right w:val="single" w:sz="4" w:space="0" w:color="auto"/>
            </w:tcBorders>
            <w:vAlign w:val="center"/>
          </w:tcPr>
          <w:p w14:paraId="5285ECE9" w14:textId="77777777" w:rsidR="00EB4A22" w:rsidRDefault="00EB4A22" w:rsidP="00B12430">
            <w:pPr>
              <w:jc w:val="left"/>
              <w:rPr>
                <w:rFonts w:ascii="Calibri" w:hAnsi="Calibri"/>
                <w:sz w:val="20"/>
                <w:szCs w:val="20"/>
              </w:rPr>
            </w:pPr>
            <w:r>
              <w:rPr>
                <w:rFonts w:ascii="Calibri" w:hAnsi="Calibri"/>
                <w:sz w:val="20"/>
                <w:szCs w:val="20"/>
              </w:rPr>
              <w:t>Misdiagnosis</w:t>
            </w:r>
          </w:p>
        </w:tc>
        <w:tc>
          <w:tcPr>
            <w:tcW w:w="315" w:type="pct"/>
            <w:tcBorders>
              <w:top w:val="single" w:sz="4" w:space="0" w:color="auto"/>
              <w:left w:val="single" w:sz="4" w:space="0" w:color="auto"/>
              <w:bottom w:val="single" w:sz="4" w:space="0" w:color="auto"/>
              <w:right w:val="single" w:sz="4" w:space="0" w:color="auto"/>
            </w:tcBorders>
            <w:vAlign w:val="center"/>
          </w:tcPr>
          <w:p w14:paraId="76DE78C3" w14:textId="77777777" w:rsidR="00EB4A22" w:rsidRDefault="00EB4A22" w:rsidP="00B12430">
            <w:pPr>
              <w:jc w:val="center"/>
              <w:rPr>
                <w:rFonts w:ascii="Calibri" w:hAnsi="Calibri"/>
                <w:sz w:val="20"/>
                <w:szCs w:val="20"/>
              </w:rPr>
            </w:pPr>
            <w:r>
              <w:rPr>
                <w:rFonts w:ascii="Calibri" w:hAnsi="Calibri"/>
                <w:sz w:val="20"/>
                <w:szCs w:val="20"/>
              </w:rPr>
              <w:t>14%</w:t>
            </w:r>
          </w:p>
        </w:tc>
        <w:tc>
          <w:tcPr>
            <w:tcW w:w="913" w:type="pct"/>
            <w:tcBorders>
              <w:top w:val="single" w:sz="4" w:space="0" w:color="auto"/>
              <w:left w:val="single" w:sz="4" w:space="0" w:color="auto"/>
              <w:bottom w:val="single" w:sz="4" w:space="0" w:color="auto"/>
              <w:right w:val="single" w:sz="4" w:space="0" w:color="auto"/>
            </w:tcBorders>
            <w:vAlign w:val="center"/>
          </w:tcPr>
          <w:p w14:paraId="4FCBD40A" w14:textId="77777777" w:rsidR="00EB4A22" w:rsidRDefault="00EB4A22" w:rsidP="00B12430">
            <w:pPr>
              <w:jc w:val="left"/>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tcPr>
          <w:p w14:paraId="59925F92" w14:textId="77777777" w:rsidR="00EB4A22" w:rsidRDefault="00EB4A22" w:rsidP="00B12430">
            <w:pPr>
              <w:jc w:val="center"/>
              <w:rPr>
                <w:rFonts w:ascii="Calibri" w:hAnsi="Calibri"/>
                <w:sz w:val="20"/>
                <w:szCs w:val="20"/>
              </w:rPr>
            </w:pPr>
            <w:r>
              <w:rPr>
                <w:rFonts w:ascii="Calibri" w:hAnsi="Calibri"/>
                <w:sz w:val="20"/>
                <w:szCs w:val="20"/>
              </w:rPr>
              <w:t>12%</w:t>
            </w:r>
          </w:p>
        </w:tc>
        <w:tc>
          <w:tcPr>
            <w:tcW w:w="939" w:type="pct"/>
            <w:tcBorders>
              <w:top w:val="single" w:sz="4" w:space="0" w:color="auto"/>
              <w:left w:val="single" w:sz="4" w:space="0" w:color="auto"/>
              <w:bottom w:val="single" w:sz="4" w:space="0" w:color="auto"/>
              <w:right w:val="single" w:sz="4" w:space="0" w:color="auto"/>
            </w:tcBorders>
            <w:vAlign w:val="center"/>
          </w:tcPr>
          <w:p w14:paraId="5F693902" w14:textId="77777777" w:rsidR="00EB4A22" w:rsidRDefault="00EB4A22" w:rsidP="00B12430">
            <w:pPr>
              <w:jc w:val="left"/>
              <w:rPr>
                <w:rFonts w:ascii="Calibri" w:hAnsi="Calibri"/>
                <w:sz w:val="20"/>
                <w:szCs w:val="20"/>
              </w:rPr>
            </w:pPr>
            <w:r>
              <w:rPr>
                <w:rFonts w:ascii="Calibri" w:hAnsi="Calibri"/>
                <w:sz w:val="20"/>
                <w:szCs w:val="20"/>
              </w:rPr>
              <w:t>Misdiagnosis</w:t>
            </w:r>
          </w:p>
        </w:tc>
        <w:tc>
          <w:tcPr>
            <w:tcW w:w="379" w:type="pct"/>
            <w:tcBorders>
              <w:top w:val="single" w:sz="4" w:space="0" w:color="auto"/>
              <w:left w:val="single" w:sz="4" w:space="0" w:color="auto"/>
              <w:bottom w:val="single" w:sz="4" w:space="0" w:color="auto"/>
              <w:right w:val="single" w:sz="4" w:space="0" w:color="auto"/>
            </w:tcBorders>
            <w:vAlign w:val="center"/>
          </w:tcPr>
          <w:p w14:paraId="62BCDAD1" w14:textId="77777777" w:rsidR="00EB4A22" w:rsidRDefault="00EB4A22" w:rsidP="00B12430">
            <w:pPr>
              <w:jc w:val="center"/>
              <w:rPr>
                <w:rFonts w:ascii="Calibri" w:hAnsi="Calibri"/>
                <w:sz w:val="20"/>
                <w:szCs w:val="20"/>
              </w:rPr>
            </w:pPr>
            <w:r>
              <w:rPr>
                <w:rFonts w:ascii="Calibri" w:hAnsi="Calibri"/>
                <w:sz w:val="20"/>
                <w:szCs w:val="20"/>
              </w:rPr>
              <w:t>13%</w:t>
            </w:r>
          </w:p>
        </w:tc>
      </w:tr>
      <w:tr w:rsidR="00EB4A22" w14:paraId="4F4FF487" w14:textId="77777777" w:rsidTr="00B12430">
        <w:trPr>
          <w:trHeight w:val="400"/>
        </w:trPr>
        <w:tc>
          <w:tcPr>
            <w:tcW w:w="914" w:type="pct"/>
            <w:tcBorders>
              <w:top w:val="single" w:sz="4" w:space="0" w:color="auto"/>
              <w:left w:val="single" w:sz="4" w:space="0" w:color="auto"/>
              <w:bottom w:val="single" w:sz="4" w:space="0" w:color="auto"/>
              <w:right w:val="single" w:sz="4" w:space="0" w:color="auto"/>
            </w:tcBorders>
            <w:vAlign w:val="center"/>
            <w:hideMark/>
          </w:tcPr>
          <w:p w14:paraId="21A5DBD1" w14:textId="77777777" w:rsidR="00EB4A22" w:rsidRDefault="00EB4A22" w:rsidP="00B12430">
            <w:pPr>
              <w:jc w:val="left"/>
              <w:rPr>
                <w:rFonts w:ascii="Calibri" w:hAnsi="Calibri"/>
                <w:sz w:val="20"/>
                <w:szCs w:val="20"/>
              </w:rPr>
            </w:pPr>
            <w:r>
              <w:rPr>
                <w:rFonts w:ascii="Calibri" w:hAnsi="Calibri"/>
                <w:sz w:val="20"/>
                <w:szCs w:val="20"/>
              </w:rPr>
              <w:t>Waiting list/</w:t>
            </w:r>
          </w:p>
          <w:p w14:paraId="72EEAB67" w14:textId="77777777" w:rsidR="00EB4A22" w:rsidRDefault="00EB4A22" w:rsidP="00B12430">
            <w:pPr>
              <w:jc w:val="left"/>
              <w:rPr>
                <w:rFonts w:ascii="Calibri" w:hAnsi="Calibri"/>
                <w:sz w:val="20"/>
                <w:szCs w:val="20"/>
              </w:rPr>
            </w:pPr>
            <w:r>
              <w:rPr>
                <w:rFonts w:ascii="Calibri" w:hAnsi="Calibri"/>
                <w:sz w:val="20"/>
                <w:szCs w:val="20"/>
              </w:rPr>
              <w:t>Prioritisation</w:t>
            </w:r>
          </w:p>
        </w:tc>
        <w:tc>
          <w:tcPr>
            <w:tcW w:w="315" w:type="pct"/>
            <w:tcBorders>
              <w:top w:val="single" w:sz="4" w:space="0" w:color="auto"/>
              <w:left w:val="single" w:sz="4" w:space="0" w:color="auto"/>
              <w:bottom w:val="single" w:sz="4" w:space="0" w:color="auto"/>
              <w:right w:val="single" w:sz="4" w:space="0" w:color="auto"/>
            </w:tcBorders>
            <w:vAlign w:val="center"/>
            <w:hideMark/>
          </w:tcPr>
          <w:p w14:paraId="49329464" w14:textId="77777777" w:rsidR="00EB4A22" w:rsidRDefault="00EB4A22" w:rsidP="00B12430">
            <w:pPr>
              <w:jc w:val="center"/>
              <w:rPr>
                <w:rFonts w:ascii="Calibri" w:hAnsi="Calibri"/>
                <w:sz w:val="20"/>
                <w:szCs w:val="20"/>
              </w:rPr>
            </w:pPr>
            <w:r>
              <w:rPr>
                <w:rFonts w:ascii="Calibri" w:hAnsi="Calibri"/>
                <w:sz w:val="20"/>
                <w:szCs w:val="20"/>
              </w:rPr>
              <w:t>12%</w:t>
            </w:r>
          </w:p>
        </w:tc>
        <w:tc>
          <w:tcPr>
            <w:tcW w:w="910" w:type="pct"/>
            <w:tcBorders>
              <w:top w:val="single" w:sz="4" w:space="0" w:color="auto"/>
              <w:left w:val="single" w:sz="4" w:space="0" w:color="auto"/>
              <w:bottom w:val="single" w:sz="4" w:space="0" w:color="auto"/>
              <w:right w:val="single" w:sz="4" w:space="0" w:color="auto"/>
            </w:tcBorders>
            <w:vAlign w:val="center"/>
          </w:tcPr>
          <w:p w14:paraId="3473917A" w14:textId="77777777" w:rsidR="00EB4A22" w:rsidRDefault="00EB4A22" w:rsidP="00B12430">
            <w:pPr>
              <w:jc w:val="left"/>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tcPr>
          <w:p w14:paraId="50A0C44B" w14:textId="77777777" w:rsidR="00EB4A22" w:rsidRDefault="00EB4A22" w:rsidP="00B12430">
            <w:pPr>
              <w:jc w:val="center"/>
              <w:rPr>
                <w:rFonts w:ascii="Calibri" w:hAnsi="Calibri"/>
                <w:sz w:val="20"/>
                <w:szCs w:val="20"/>
              </w:rPr>
            </w:pPr>
            <w:r>
              <w:rPr>
                <w:rFonts w:ascii="Calibri" w:hAnsi="Calibri"/>
                <w:sz w:val="20"/>
                <w:szCs w:val="20"/>
              </w:rPr>
              <w:t>9%</w:t>
            </w:r>
          </w:p>
        </w:tc>
        <w:tc>
          <w:tcPr>
            <w:tcW w:w="913" w:type="pct"/>
            <w:tcBorders>
              <w:top w:val="single" w:sz="4" w:space="0" w:color="auto"/>
              <w:left w:val="single" w:sz="4" w:space="0" w:color="auto"/>
              <w:bottom w:val="single" w:sz="4" w:space="0" w:color="auto"/>
              <w:right w:val="single" w:sz="4" w:space="0" w:color="auto"/>
            </w:tcBorders>
            <w:vAlign w:val="center"/>
          </w:tcPr>
          <w:p w14:paraId="42975C52" w14:textId="77777777" w:rsidR="00EB4A22" w:rsidRDefault="00EB4A22" w:rsidP="00B12430">
            <w:pPr>
              <w:jc w:val="left"/>
              <w:rPr>
                <w:rFonts w:ascii="Calibri" w:hAnsi="Calibri"/>
                <w:sz w:val="20"/>
                <w:szCs w:val="20"/>
              </w:rPr>
            </w:pPr>
            <w:r>
              <w:rPr>
                <w:rFonts w:ascii="Calibri" w:hAnsi="Calibri"/>
                <w:sz w:val="20"/>
                <w:szCs w:val="20"/>
              </w:rPr>
              <w:t>Misdiagnosis</w:t>
            </w:r>
          </w:p>
        </w:tc>
        <w:tc>
          <w:tcPr>
            <w:tcW w:w="315" w:type="pct"/>
            <w:tcBorders>
              <w:top w:val="single" w:sz="4" w:space="0" w:color="auto"/>
              <w:left w:val="single" w:sz="4" w:space="0" w:color="auto"/>
              <w:bottom w:val="single" w:sz="4" w:space="0" w:color="auto"/>
              <w:right w:val="single" w:sz="4" w:space="0" w:color="auto"/>
            </w:tcBorders>
            <w:vAlign w:val="center"/>
          </w:tcPr>
          <w:p w14:paraId="43BD7EEB" w14:textId="77777777" w:rsidR="00EB4A22" w:rsidRDefault="00EB4A22" w:rsidP="00B12430">
            <w:pPr>
              <w:jc w:val="center"/>
              <w:rPr>
                <w:rFonts w:ascii="Calibri" w:hAnsi="Calibri"/>
                <w:sz w:val="20"/>
                <w:szCs w:val="20"/>
              </w:rPr>
            </w:pPr>
            <w:r>
              <w:rPr>
                <w:rFonts w:ascii="Calibri" w:hAnsi="Calibri"/>
                <w:sz w:val="20"/>
                <w:szCs w:val="20"/>
              </w:rPr>
              <w:t>10%</w:t>
            </w:r>
          </w:p>
        </w:tc>
        <w:tc>
          <w:tcPr>
            <w:tcW w:w="939" w:type="pct"/>
            <w:tcBorders>
              <w:top w:val="single" w:sz="4" w:space="0" w:color="auto"/>
              <w:left w:val="single" w:sz="4" w:space="0" w:color="auto"/>
              <w:bottom w:val="single" w:sz="4" w:space="0" w:color="auto"/>
              <w:right w:val="single" w:sz="4" w:space="0" w:color="auto"/>
            </w:tcBorders>
            <w:vAlign w:val="center"/>
          </w:tcPr>
          <w:p w14:paraId="57BAE200" w14:textId="77777777" w:rsidR="00EB4A22" w:rsidRDefault="00EB4A22" w:rsidP="00B12430">
            <w:pPr>
              <w:jc w:val="left"/>
              <w:rPr>
                <w:rFonts w:ascii="Calibri" w:hAnsi="Calibri"/>
                <w:sz w:val="20"/>
                <w:szCs w:val="20"/>
              </w:rPr>
            </w:pPr>
            <w:r>
              <w:rPr>
                <w:rFonts w:ascii="Calibri" w:hAnsi="Calibri"/>
                <w:sz w:val="20"/>
                <w:szCs w:val="20"/>
              </w:rPr>
              <w:t>Lack of access to services</w:t>
            </w:r>
          </w:p>
        </w:tc>
        <w:tc>
          <w:tcPr>
            <w:tcW w:w="379" w:type="pct"/>
            <w:tcBorders>
              <w:top w:val="single" w:sz="4" w:space="0" w:color="auto"/>
              <w:left w:val="single" w:sz="4" w:space="0" w:color="auto"/>
              <w:bottom w:val="single" w:sz="4" w:space="0" w:color="auto"/>
              <w:right w:val="single" w:sz="4" w:space="0" w:color="auto"/>
            </w:tcBorders>
            <w:vAlign w:val="center"/>
          </w:tcPr>
          <w:p w14:paraId="377CF1AB" w14:textId="77777777" w:rsidR="00EB4A22" w:rsidRDefault="00EB4A22" w:rsidP="00B12430">
            <w:pPr>
              <w:jc w:val="center"/>
              <w:rPr>
                <w:rFonts w:ascii="Calibri" w:hAnsi="Calibri"/>
                <w:sz w:val="20"/>
                <w:szCs w:val="20"/>
              </w:rPr>
            </w:pPr>
            <w:r>
              <w:rPr>
                <w:rFonts w:ascii="Calibri" w:hAnsi="Calibri"/>
                <w:sz w:val="20"/>
                <w:szCs w:val="20"/>
              </w:rPr>
              <w:t>8%</w:t>
            </w:r>
          </w:p>
        </w:tc>
      </w:tr>
      <w:tr w:rsidR="00EB4A22" w14:paraId="6E180E6B" w14:textId="77777777" w:rsidTr="00B12430">
        <w:tc>
          <w:tcPr>
            <w:tcW w:w="914" w:type="pct"/>
            <w:tcBorders>
              <w:top w:val="single" w:sz="4" w:space="0" w:color="auto"/>
              <w:left w:val="single" w:sz="4" w:space="0" w:color="auto"/>
              <w:bottom w:val="single" w:sz="4" w:space="0" w:color="auto"/>
              <w:right w:val="single" w:sz="4" w:space="0" w:color="auto"/>
            </w:tcBorders>
            <w:vAlign w:val="center"/>
            <w:hideMark/>
          </w:tcPr>
          <w:p w14:paraId="4964BCDA" w14:textId="77777777" w:rsidR="00EB4A22" w:rsidRDefault="00EB4A22" w:rsidP="00B12430">
            <w:pPr>
              <w:jc w:val="left"/>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hideMark/>
          </w:tcPr>
          <w:p w14:paraId="38ADE0EB" w14:textId="77777777" w:rsidR="00EB4A22" w:rsidRDefault="00EB4A22" w:rsidP="00B12430">
            <w:pPr>
              <w:jc w:val="center"/>
              <w:rPr>
                <w:rFonts w:ascii="Calibri" w:hAnsi="Calibri"/>
                <w:sz w:val="20"/>
                <w:szCs w:val="20"/>
              </w:rPr>
            </w:pPr>
            <w:r>
              <w:rPr>
                <w:rFonts w:ascii="Calibri" w:hAnsi="Calibri"/>
                <w:sz w:val="20"/>
                <w:szCs w:val="20"/>
              </w:rPr>
              <w:t>9%</w:t>
            </w:r>
          </w:p>
        </w:tc>
        <w:tc>
          <w:tcPr>
            <w:tcW w:w="910" w:type="pct"/>
            <w:tcBorders>
              <w:top w:val="single" w:sz="4" w:space="0" w:color="auto"/>
              <w:left w:val="single" w:sz="4" w:space="0" w:color="auto"/>
              <w:bottom w:val="single" w:sz="4" w:space="0" w:color="auto"/>
              <w:right w:val="single" w:sz="4" w:space="0" w:color="auto"/>
            </w:tcBorders>
            <w:vAlign w:val="center"/>
          </w:tcPr>
          <w:p w14:paraId="019A7C87" w14:textId="77777777" w:rsidR="00EB4A22" w:rsidRDefault="00EB4A22" w:rsidP="00B12430">
            <w:pPr>
              <w:jc w:val="left"/>
              <w:rPr>
                <w:rFonts w:ascii="Calibri" w:hAnsi="Calibri"/>
                <w:sz w:val="20"/>
                <w:szCs w:val="20"/>
              </w:rPr>
            </w:pPr>
            <w:r>
              <w:rPr>
                <w:rFonts w:ascii="Calibri" w:hAnsi="Calibri"/>
                <w:sz w:val="20"/>
                <w:szCs w:val="20"/>
              </w:rPr>
              <w:t>Waiting list/</w:t>
            </w:r>
          </w:p>
          <w:p w14:paraId="1EA802C3" w14:textId="77777777" w:rsidR="00EB4A22" w:rsidRDefault="00EB4A22" w:rsidP="00B12430">
            <w:pPr>
              <w:jc w:val="left"/>
              <w:rPr>
                <w:rFonts w:ascii="Calibri" w:hAnsi="Calibri"/>
                <w:sz w:val="20"/>
                <w:szCs w:val="20"/>
              </w:rPr>
            </w:pPr>
            <w:r>
              <w:rPr>
                <w:rFonts w:ascii="Calibri" w:hAnsi="Calibri"/>
                <w:sz w:val="20"/>
                <w:szCs w:val="20"/>
              </w:rPr>
              <w:t>prioritisation</w:t>
            </w:r>
          </w:p>
        </w:tc>
        <w:tc>
          <w:tcPr>
            <w:tcW w:w="315" w:type="pct"/>
            <w:tcBorders>
              <w:top w:val="single" w:sz="4" w:space="0" w:color="auto"/>
              <w:left w:val="single" w:sz="4" w:space="0" w:color="auto"/>
              <w:bottom w:val="single" w:sz="4" w:space="0" w:color="auto"/>
              <w:right w:val="single" w:sz="4" w:space="0" w:color="auto"/>
            </w:tcBorders>
            <w:vAlign w:val="center"/>
          </w:tcPr>
          <w:p w14:paraId="2E7EC3C4" w14:textId="77777777" w:rsidR="00EB4A22" w:rsidRDefault="00EB4A22" w:rsidP="00B12430">
            <w:pPr>
              <w:jc w:val="center"/>
              <w:rPr>
                <w:rFonts w:ascii="Calibri" w:hAnsi="Calibri"/>
                <w:sz w:val="20"/>
                <w:szCs w:val="20"/>
              </w:rPr>
            </w:pPr>
            <w:r>
              <w:rPr>
                <w:rFonts w:ascii="Calibri" w:hAnsi="Calibri"/>
                <w:sz w:val="20"/>
                <w:szCs w:val="20"/>
              </w:rPr>
              <w:t>8%</w:t>
            </w:r>
          </w:p>
        </w:tc>
        <w:tc>
          <w:tcPr>
            <w:tcW w:w="913" w:type="pct"/>
            <w:tcBorders>
              <w:top w:val="single" w:sz="4" w:space="0" w:color="auto"/>
              <w:left w:val="single" w:sz="4" w:space="0" w:color="auto"/>
              <w:bottom w:val="single" w:sz="4" w:space="0" w:color="auto"/>
              <w:right w:val="single" w:sz="4" w:space="0" w:color="auto"/>
            </w:tcBorders>
            <w:vAlign w:val="center"/>
          </w:tcPr>
          <w:p w14:paraId="5028FBC6" w14:textId="77777777" w:rsidR="00EB4A22" w:rsidRDefault="00EB4A22" w:rsidP="00B12430">
            <w:pPr>
              <w:jc w:val="left"/>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tcPr>
          <w:p w14:paraId="4F4FBAA6" w14:textId="77777777" w:rsidR="00EB4A22" w:rsidRDefault="00EB4A22" w:rsidP="00B12430">
            <w:pPr>
              <w:jc w:val="center"/>
              <w:rPr>
                <w:rFonts w:ascii="Calibri" w:hAnsi="Calibri"/>
                <w:sz w:val="20"/>
                <w:szCs w:val="20"/>
              </w:rPr>
            </w:pPr>
            <w:r>
              <w:rPr>
                <w:rFonts w:ascii="Calibri" w:hAnsi="Calibri"/>
                <w:sz w:val="20"/>
                <w:szCs w:val="20"/>
              </w:rPr>
              <w:t>8%</w:t>
            </w:r>
          </w:p>
        </w:tc>
        <w:tc>
          <w:tcPr>
            <w:tcW w:w="939" w:type="pct"/>
            <w:tcBorders>
              <w:top w:val="single" w:sz="4" w:space="0" w:color="auto"/>
              <w:left w:val="single" w:sz="4" w:space="0" w:color="auto"/>
              <w:bottom w:val="single" w:sz="4" w:space="0" w:color="auto"/>
              <w:right w:val="single" w:sz="4" w:space="0" w:color="auto"/>
            </w:tcBorders>
            <w:vAlign w:val="center"/>
          </w:tcPr>
          <w:p w14:paraId="40B8610D" w14:textId="77777777" w:rsidR="00EB4A22" w:rsidRDefault="00EB4A22" w:rsidP="00B12430">
            <w:pPr>
              <w:jc w:val="left"/>
              <w:rPr>
                <w:rFonts w:ascii="Calibri" w:hAnsi="Calibri"/>
                <w:sz w:val="20"/>
                <w:szCs w:val="20"/>
              </w:rPr>
            </w:pPr>
            <w:r>
              <w:rPr>
                <w:rFonts w:ascii="Calibri" w:hAnsi="Calibri"/>
                <w:sz w:val="20"/>
                <w:szCs w:val="20"/>
              </w:rPr>
              <w:t>Unexpected treatment outcome</w:t>
            </w:r>
          </w:p>
        </w:tc>
        <w:tc>
          <w:tcPr>
            <w:tcW w:w="379" w:type="pct"/>
            <w:tcBorders>
              <w:top w:val="single" w:sz="4" w:space="0" w:color="auto"/>
              <w:left w:val="single" w:sz="4" w:space="0" w:color="auto"/>
              <w:bottom w:val="single" w:sz="4" w:space="0" w:color="auto"/>
              <w:right w:val="single" w:sz="4" w:space="0" w:color="auto"/>
            </w:tcBorders>
            <w:vAlign w:val="center"/>
          </w:tcPr>
          <w:p w14:paraId="7C6FF507" w14:textId="77777777" w:rsidR="00EB4A22" w:rsidRDefault="00EB4A22" w:rsidP="00B12430">
            <w:pPr>
              <w:jc w:val="center"/>
              <w:rPr>
                <w:rFonts w:ascii="Calibri" w:hAnsi="Calibri"/>
                <w:sz w:val="20"/>
                <w:szCs w:val="20"/>
              </w:rPr>
            </w:pPr>
            <w:r>
              <w:rPr>
                <w:rFonts w:ascii="Calibri" w:hAnsi="Calibri"/>
                <w:sz w:val="20"/>
                <w:szCs w:val="20"/>
              </w:rPr>
              <w:t>7%</w:t>
            </w:r>
          </w:p>
        </w:tc>
      </w:tr>
      <w:tr w:rsidR="00EB4A22" w14:paraId="4191F54A" w14:textId="77777777" w:rsidTr="00B12430">
        <w:trPr>
          <w:trHeight w:val="639"/>
        </w:trPr>
        <w:tc>
          <w:tcPr>
            <w:tcW w:w="914" w:type="pct"/>
            <w:tcBorders>
              <w:top w:val="single" w:sz="4" w:space="0" w:color="auto"/>
              <w:left w:val="single" w:sz="4" w:space="0" w:color="auto"/>
              <w:bottom w:val="single" w:sz="4" w:space="0" w:color="auto"/>
              <w:right w:val="single" w:sz="4" w:space="0" w:color="auto"/>
            </w:tcBorders>
            <w:vAlign w:val="center"/>
            <w:hideMark/>
          </w:tcPr>
          <w:p w14:paraId="2BEE08E5" w14:textId="77777777" w:rsidR="00EB4A22" w:rsidRDefault="00EB4A22" w:rsidP="00B12430">
            <w:pPr>
              <w:jc w:val="left"/>
              <w:rPr>
                <w:rFonts w:ascii="Calibri" w:hAnsi="Calibri"/>
                <w:sz w:val="20"/>
                <w:szCs w:val="20"/>
              </w:rPr>
            </w:pPr>
            <w:r>
              <w:rPr>
                <w:rFonts w:ascii="Calibri" w:hAnsi="Calibri"/>
                <w:sz w:val="20"/>
                <w:szCs w:val="20"/>
              </w:rPr>
              <w:t>Inadequate treatment</w:t>
            </w:r>
          </w:p>
        </w:tc>
        <w:tc>
          <w:tcPr>
            <w:tcW w:w="315" w:type="pct"/>
            <w:tcBorders>
              <w:top w:val="single" w:sz="4" w:space="0" w:color="auto"/>
              <w:left w:val="single" w:sz="4" w:space="0" w:color="auto"/>
              <w:bottom w:val="single" w:sz="4" w:space="0" w:color="auto"/>
              <w:right w:val="single" w:sz="4" w:space="0" w:color="auto"/>
            </w:tcBorders>
            <w:vAlign w:val="center"/>
            <w:hideMark/>
          </w:tcPr>
          <w:p w14:paraId="65D813ED" w14:textId="77777777" w:rsidR="00EB4A22" w:rsidRDefault="00EB4A22" w:rsidP="00B12430">
            <w:pPr>
              <w:jc w:val="center"/>
              <w:rPr>
                <w:rFonts w:ascii="Calibri" w:hAnsi="Calibri"/>
                <w:sz w:val="20"/>
                <w:szCs w:val="20"/>
              </w:rPr>
            </w:pPr>
            <w:r>
              <w:rPr>
                <w:rFonts w:ascii="Calibri" w:hAnsi="Calibri"/>
                <w:sz w:val="20"/>
                <w:szCs w:val="20"/>
              </w:rPr>
              <w:t xml:space="preserve">7% </w:t>
            </w:r>
          </w:p>
        </w:tc>
        <w:tc>
          <w:tcPr>
            <w:tcW w:w="910" w:type="pct"/>
            <w:tcBorders>
              <w:top w:val="single" w:sz="4" w:space="0" w:color="auto"/>
              <w:left w:val="single" w:sz="4" w:space="0" w:color="auto"/>
              <w:bottom w:val="single" w:sz="4" w:space="0" w:color="auto"/>
              <w:right w:val="single" w:sz="4" w:space="0" w:color="auto"/>
            </w:tcBorders>
            <w:vAlign w:val="center"/>
          </w:tcPr>
          <w:p w14:paraId="2D816A07" w14:textId="77777777" w:rsidR="00EB4A22" w:rsidRDefault="00EB4A22" w:rsidP="00B12430">
            <w:pPr>
              <w:jc w:val="left"/>
              <w:rPr>
                <w:rFonts w:ascii="Calibri" w:hAnsi="Calibri"/>
                <w:sz w:val="20"/>
                <w:szCs w:val="20"/>
              </w:rPr>
            </w:pPr>
            <w:r>
              <w:rPr>
                <w:rFonts w:ascii="Calibri" w:hAnsi="Calibri"/>
                <w:sz w:val="20"/>
                <w:szCs w:val="20"/>
              </w:rPr>
              <w:t>Inadequate treatment</w:t>
            </w:r>
          </w:p>
        </w:tc>
        <w:tc>
          <w:tcPr>
            <w:tcW w:w="315" w:type="pct"/>
            <w:tcBorders>
              <w:top w:val="single" w:sz="4" w:space="0" w:color="auto"/>
              <w:left w:val="single" w:sz="4" w:space="0" w:color="auto"/>
              <w:bottom w:val="single" w:sz="4" w:space="0" w:color="auto"/>
              <w:right w:val="single" w:sz="4" w:space="0" w:color="auto"/>
            </w:tcBorders>
            <w:vAlign w:val="center"/>
          </w:tcPr>
          <w:p w14:paraId="58CD5CD8" w14:textId="77777777" w:rsidR="00EB4A22" w:rsidRDefault="00EB4A22" w:rsidP="00B12430">
            <w:pPr>
              <w:jc w:val="center"/>
              <w:rPr>
                <w:rFonts w:ascii="Calibri" w:hAnsi="Calibri"/>
                <w:sz w:val="20"/>
                <w:szCs w:val="20"/>
              </w:rPr>
            </w:pPr>
            <w:r>
              <w:rPr>
                <w:rFonts w:ascii="Calibri" w:hAnsi="Calibri"/>
                <w:sz w:val="20"/>
                <w:szCs w:val="20"/>
              </w:rPr>
              <w:t xml:space="preserve">8% </w:t>
            </w:r>
          </w:p>
        </w:tc>
        <w:tc>
          <w:tcPr>
            <w:tcW w:w="913" w:type="pct"/>
            <w:tcBorders>
              <w:top w:val="single" w:sz="4" w:space="0" w:color="auto"/>
              <w:left w:val="single" w:sz="4" w:space="0" w:color="auto"/>
              <w:bottom w:val="single" w:sz="4" w:space="0" w:color="auto"/>
              <w:right w:val="single" w:sz="4" w:space="0" w:color="auto"/>
            </w:tcBorders>
            <w:vAlign w:val="center"/>
          </w:tcPr>
          <w:p w14:paraId="596F9D30" w14:textId="77777777" w:rsidR="00EB4A22" w:rsidRDefault="00EB4A22" w:rsidP="00B12430">
            <w:pPr>
              <w:jc w:val="left"/>
              <w:rPr>
                <w:rFonts w:ascii="Calibri" w:hAnsi="Calibri"/>
                <w:sz w:val="20"/>
                <w:szCs w:val="20"/>
              </w:rPr>
            </w:pPr>
            <w:r>
              <w:rPr>
                <w:rFonts w:ascii="Calibri" w:hAnsi="Calibri"/>
                <w:sz w:val="20"/>
                <w:szCs w:val="20"/>
              </w:rPr>
              <w:t>Waiting list/</w:t>
            </w:r>
          </w:p>
          <w:p w14:paraId="29EE28A9" w14:textId="77777777" w:rsidR="00EB4A22" w:rsidRDefault="00EB4A22" w:rsidP="00B12430">
            <w:pPr>
              <w:jc w:val="left"/>
              <w:rPr>
                <w:rFonts w:ascii="Calibri" w:hAnsi="Calibri"/>
                <w:sz w:val="20"/>
                <w:szCs w:val="20"/>
              </w:rPr>
            </w:pPr>
            <w:r>
              <w:rPr>
                <w:rFonts w:ascii="Calibri" w:hAnsi="Calibri"/>
                <w:sz w:val="20"/>
                <w:szCs w:val="20"/>
              </w:rPr>
              <w:t>prioritisation</w:t>
            </w:r>
          </w:p>
        </w:tc>
        <w:tc>
          <w:tcPr>
            <w:tcW w:w="315" w:type="pct"/>
            <w:tcBorders>
              <w:top w:val="single" w:sz="4" w:space="0" w:color="auto"/>
              <w:left w:val="single" w:sz="4" w:space="0" w:color="auto"/>
              <w:bottom w:val="single" w:sz="4" w:space="0" w:color="auto"/>
              <w:right w:val="single" w:sz="4" w:space="0" w:color="auto"/>
            </w:tcBorders>
            <w:vAlign w:val="center"/>
          </w:tcPr>
          <w:p w14:paraId="309A964A" w14:textId="77777777" w:rsidR="00EB4A22" w:rsidRDefault="00EB4A22" w:rsidP="00B12430">
            <w:pPr>
              <w:jc w:val="center"/>
              <w:rPr>
                <w:rFonts w:ascii="Calibri" w:hAnsi="Calibri"/>
                <w:sz w:val="20"/>
                <w:szCs w:val="20"/>
              </w:rPr>
            </w:pPr>
            <w:r>
              <w:rPr>
                <w:rFonts w:ascii="Calibri" w:hAnsi="Calibri"/>
                <w:sz w:val="20"/>
                <w:szCs w:val="20"/>
              </w:rPr>
              <w:t xml:space="preserve">7% </w:t>
            </w:r>
          </w:p>
        </w:tc>
        <w:tc>
          <w:tcPr>
            <w:tcW w:w="939" w:type="pct"/>
            <w:tcBorders>
              <w:top w:val="single" w:sz="4" w:space="0" w:color="auto"/>
              <w:left w:val="single" w:sz="4" w:space="0" w:color="auto"/>
              <w:bottom w:val="single" w:sz="4" w:space="0" w:color="auto"/>
              <w:right w:val="single" w:sz="4" w:space="0" w:color="auto"/>
            </w:tcBorders>
            <w:vAlign w:val="center"/>
          </w:tcPr>
          <w:p w14:paraId="358465E2" w14:textId="77777777" w:rsidR="00EB4A22" w:rsidRDefault="00EB4A22" w:rsidP="00B12430">
            <w:pPr>
              <w:jc w:val="left"/>
              <w:rPr>
                <w:rFonts w:ascii="Calibri" w:hAnsi="Calibri"/>
                <w:sz w:val="20"/>
                <w:szCs w:val="20"/>
              </w:rPr>
            </w:pPr>
            <w:r>
              <w:rPr>
                <w:rFonts w:ascii="Calibri" w:hAnsi="Calibri"/>
                <w:sz w:val="20"/>
                <w:szCs w:val="20"/>
              </w:rPr>
              <w:t>Waiting list/</w:t>
            </w:r>
          </w:p>
          <w:p w14:paraId="33455024" w14:textId="77777777" w:rsidR="00EB4A22" w:rsidRDefault="00EB4A22" w:rsidP="00B12430">
            <w:pPr>
              <w:jc w:val="left"/>
              <w:rPr>
                <w:rFonts w:ascii="Calibri" w:hAnsi="Calibri"/>
                <w:sz w:val="20"/>
                <w:szCs w:val="20"/>
              </w:rPr>
            </w:pPr>
            <w:r>
              <w:rPr>
                <w:rFonts w:ascii="Calibri" w:hAnsi="Calibri"/>
                <w:sz w:val="20"/>
                <w:szCs w:val="20"/>
              </w:rPr>
              <w:t>prioritisation</w:t>
            </w:r>
          </w:p>
        </w:tc>
        <w:tc>
          <w:tcPr>
            <w:tcW w:w="379" w:type="pct"/>
            <w:tcBorders>
              <w:top w:val="single" w:sz="4" w:space="0" w:color="auto"/>
              <w:left w:val="single" w:sz="4" w:space="0" w:color="auto"/>
              <w:bottom w:val="single" w:sz="4" w:space="0" w:color="auto"/>
              <w:right w:val="single" w:sz="4" w:space="0" w:color="auto"/>
            </w:tcBorders>
            <w:vAlign w:val="center"/>
          </w:tcPr>
          <w:p w14:paraId="05204209" w14:textId="77777777" w:rsidR="00EB4A22" w:rsidRDefault="00EB4A22" w:rsidP="00B12430">
            <w:pPr>
              <w:jc w:val="center"/>
              <w:rPr>
                <w:rFonts w:ascii="Calibri" w:hAnsi="Calibri"/>
                <w:sz w:val="20"/>
                <w:szCs w:val="20"/>
              </w:rPr>
            </w:pPr>
            <w:r>
              <w:rPr>
                <w:rFonts w:ascii="Calibri" w:hAnsi="Calibri"/>
                <w:sz w:val="20"/>
                <w:szCs w:val="20"/>
              </w:rPr>
              <w:t>7%</w:t>
            </w:r>
          </w:p>
        </w:tc>
      </w:tr>
      <w:tr w:rsidR="00EB4A22" w14:paraId="58A45853" w14:textId="77777777" w:rsidTr="00B12430">
        <w:trPr>
          <w:trHeight w:val="561"/>
        </w:trPr>
        <w:tc>
          <w:tcPr>
            <w:tcW w:w="914" w:type="pct"/>
            <w:tcBorders>
              <w:top w:val="single" w:sz="4" w:space="0" w:color="auto"/>
              <w:left w:val="single" w:sz="4" w:space="0" w:color="auto"/>
              <w:bottom w:val="single" w:sz="4" w:space="0" w:color="auto"/>
              <w:right w:val="single" w:sz="4" w:space="0" w:color="auto"/>
            </w:tcBorders>
            <w:vAlign w:val="center"/>
            <w:hideMark/>
          </w:tcPr>
          <w:p w14:paraId="177BDD32" w14:textId="77777777" w:rsidR="00EB4A22" w:rsidRDefault="00EB4A22" w:rsidP="00B12430">
            <w:pPr>
              <w:jc w:val="left"/>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hideMark/>
          </w:tcPr>
          <w:p w14:paraId="05E17B51" w14:textId="77777777" w:rsidR="00EB4A22" w:rsidRDefault="00EB4A22" w:rsidP="00B12430">
            <w:pPr>
              <w:jc w:val="center"/>
              <w:rPr>
                <w:rFonts w:ascii="Calibri" w:hAnsi="Calibri"/>
                <w:sz w:val="20"/>
                <w:szCs w:val="20"/>
              </w:rPr>
            </w:pPr>
            <w:r>
              <w:rPr>
                <w:rFonts w:ascii="Calibri" w:hAnsi="Calibri"/>
                <w:sz w:val="20"/>
                <w:szCs w:val="20"/>
              </w:rPr>
              <w:t xml:space="preserve">6% </w:t>
            </w:r>
          </w:p>
        </w:tc>
        <w:tc>
          <w:tcPr>
            <w:tcW w:w="910" w:type="pct"/>
            <w:tcBorders>
              <w:top w:val="single" w:sz="4" w:space="0" w:color="auto"/>
              <w:left w:val="single" w:sz="4" w:space="0" w:color="auto"/>
              <w:bottom w:val="single" w:sz="4" w:space="0" w:color="auto"/>
              <w:right w:val="single" w:sz="4" w:space="0" w:color="auto"/>
            </w:tcBorders>
            <w:vAlign w:val="center"/>
          </w:tcPr>
          <w:p w14:paraId="36449616" w14:textId="77777777" w:rsidR="00EB4A22" w:rsidRDefault="00EB4A22" w:rsidP="00B12430">
            <w:pPr>
              <w:jc w:val="left"/>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tcPr>
          <w:p w14:paraId="003EA4A9" w14:textId="77777777" w:rsidR="00EB4A22" w:rsidRDefault="00EB4A22" w:rsidP="00B12430">
            <w:pPr>
              <w:jc w:val="center"/>
              <w:rPr>
                <w:rFonts w:ascii="Calibri" w:hAnsi="Calibri"/>
                <w:sz w:val="20"/>
                <w:szCs w:val="20"/>
              </w:rPr>
            </w:pPr>
            <w:r>
              <w:rPr>
                <w:rFonts w:ascii="Calibri" w:hAnsi="Calibri"/>
                <w:sz w:val="20"/>
                <w:szCs w:val="20"/>
              </w:rPr>
              <w:t xml:space="preserve">8% </w:t>
            </w:r>
          </w:p>
        </w:tc>
        <w:tc>
          <w:tcPr>
            <w:tcW w:w="913" w:type="pct"/>
            <w:tcBorders>
              <w:top w:val="single" w:sz="4" w:space="0" w:color="auto"/>
              <w:left w:val="single" w:sz="4" w:space="0" w:color="auto"/>
              <w:bottom w:val="single" w:sz="4" w:space="0" w:color="auto"/>
              <w:right w:val="single" w:sz="4" w:space="0" w:color="auto"/>
            </w:tcBorders>
            <w:vAlign w:val="center"/>
          </w:tcPr>
          <w:p w14:paraId="7E3F92A0" w14:textId="77777777" w:rsidR="00EB4A22" w:rsidRDefault="00EB4A22" w:rsidP="00B12430">
            <w:pPr>
              <w:jc w:val="left"/>
              <w:rPr>
                <w:rFonts w:ascii="Calibri" w:hAnsi="Calibri"/>
                <w:sz w:val="20"/>
                <w:szCs w:val="20"/>
              </w:rPr>
            </w:pPr>
            <w:r>
              <w:rPr>
                <w:rFonts w:ascii="Calibri" w:hAnsi="Calibri"/>
                <w:sz w:val="20"/>
                <w:szCs w:val="20"/>
              </w:rPr>
              <w:t>Inadequate treatment</w:t>
            </w:r>
          </w:p>
        </w:tc>
        <w:tc>
          <w:tcPr>
            <w:tcW w:w="315" w:type="pct"/>
            <w:tcBorders>
              <w:top w:val="single" w:sz="4" w:space="0" w:color="auto"/>
              <w:left w:val="single" w:sz="4" w:space="0" w:color="auto"/>
              <w:bottom w:val="single" w:sz="4" w:space="0" w:color="auto"/>
              <w:right w:val="single" w:sz="4" w:space="0" w:color="auto"/>
            </w:tcBorders>
            <w:vAlign w:val="center"/>
          </w:tcPr>
          <w:p w14:paraId="67E8FCE9" w14:textId="77777777" w:rsidR="00EB4A22" w:rsidRDefault="00EB4A22" w:rsidP="00B12430">
            <w:pPr>
              <w:jc w:val="center"/>
              <w:rPr>
                <w:rFonts w:ascii="Calibri" w:hAnsi="Calibri"/>
                <w:sz w:val="20"/>
                <w:szCs w:val="20"/>
              </w:rPr>
            </w:pPr>
            <w:r>
              <w:rPr>
                <w:rFonts w:ascii="Calibri" w:hAnsi="Calibri"/>
                <w:sz w:val="20"/>
                <w:szCs w:val="20"/>
              </w:rPr>
              <w:t xml:space="preserve">5% </w:t>
            </w:r>
          </w:p>
        </w:tc>
        <w:tc>
          <w:tcPr>
            <w:tcW w:w="939" w:type="pct"/>
            <w:tcBorders>
              <w:top w:val="single" w:sz="4" w:space="0" w:color="auto"/>
              <w:left w:val="single" w:sz="4" w:space="0" w:color="auto"/>
              <w:bottom w:val="single" w:sz="4" w:space="0" w:color="auto"/>
              <w:right w:val="single" w:sz="4" w:space="0" w:color="auto"/>
            </w:tcBorders>
            <w:vAlign w:val="center"/>
          </w:tcPr>
          <w:p w14:paraId="703B5760" w14:textId="77777777" w:rsidR="00EB4A22" w:rsidRDefault="00EB4A22" w:rsidP="00B12430">
            <w:pPr>
              <w:jc w:val="left"/>
              <w:rPr>
                <w:rFonts w:ascii="Calibri" w:hAnsi="Calibri"/>
                <w:sz w:val="20"/>
                <w:szCs w:val="20"/>
              </w:rPr>
            </w:pPr>
            <w:r>
              <w:rPr>
                <w:rFonts w:ascii="Calibri" w:hAnsi="Calibri"/>
                <w:sz w:val="20"/>
                <w:szCs w:val="20"/>
              </w:rPr>
              <w:t>Inadequate treatment</w:t>
            </w:r>
          </w:p>
        </w:tc>
        <w:tc>
          <w:tcPr>
            <w:tcW w:w="379" w:type="pct"/>
            <w:tcBorders>
              <w:top w:val="single" w:sz="4" w:space="0" w:color="auto"/>
              <w:left w:val="single" w:sz="4" w:space="0" w:color="auto"/>
              <w:bottom w:val="single" w:sz="4" w:space="0" w:color="auto"/>
              <w:right w:val="single" w:sz="4" w:space="0" w:color="auto"/>
            </w:tcBorders>
            <w:vAlign w:val="center"/>
          </w:tcPr>
          <w:p w14:paraId="2F93EAD2" w14:textId="77777777" w:rsidR="00EB4A22" w:rsidRDefault="00EB4A22" w:rsidP="00B12430">
            <w:pPr>
              <w:jc w:val="center"/>
              <w:rPr>
                <w:rFonts w:ascii="Calibri" w:hAnsi="Calibri"/>
                <w:sz w:val="20"/>
                <w:szCs w:val="20"/>
              </w:rPr>
            </w:pPr>
            <w:r>
              <w:rPr>
                <w:rFonts w:ascii="Calibri" w:hAnsi="Calibri"/>
                <w:sz w:val="20"/>
                <w:szCs w:val="20"/>
              </w:rPr>
              <w:t>6%</w:t>
            </w:r>
          </w:p>
        </w:tc>
      </w:tr>
    </w:tbl>
    <w:p w14:paraId="33DD406B" w14:textId="77777777" w:rsidR="00EB4A22" w:rsidRDefault="00EB4A22" w:rsidP="00EB4A22">
      <w:pPr>
        <w:spacing w:after="120"/>
        <w:rPr>
          <w:b/>
        </w:rPr>
      </w:pPr>
    </w:p>
    <w:p w14:paraId="49FD21A9" w14:textId="77777777" w:rsidR="00EB4A22" w:rsidRPr="003D2C86" w:rsidRDefault="00EB4A22" w:rsidP="00932E72">
      <w:pPr>
        <w:pStyle w:val="Heading3"/>
      </w:pPr>
      <w:bookmarkStart w:id="61" w:name="_Toc71561658"/>
      <w:bookmarkStart w:id="62" w:name="_Toc74223414"/>
      <w:r>
        <w:t>4.2</w:t>
      </w:r>
      <w:r w:rsidRPr="00666BAC">
        <w:tab/>
      </w:r>
      <w:r>
        <w:t>All i</w:t>
      </w:r>
      <w:r w:rsidRPr="00666BAC">
        <w:t>ssues identified in complaints</w:t>
      </w:r>
      <w:bookmarkEnd w:id="61"/>
      <w:bookmarkEnd w:id="62"/>
      <w:r w:rsidRPr="00666BAC">
        <w:t xml:space="preserve"> </w:t>
      </w:r>
    </w:p>
    <w:p w14:paraId="0F01339A" w14:textId="77777777" w:rsidR="00EB4A22" w:rsidRDefault="00EB4A22" w:rsidP="00EB4A22">
      <w:pPr>
        <w:spacing w:after="480"/>
        <w:rPr>
          <w:rFonts w:ascii="Calibri" w:hAnsi="Calibri"/>
          <w:szCs w:val="22"/>
        </w:rPr>
      </w:pPr>
      <w:r>
        <w:rPr>
          <w:rFonts w:ascii="Calibri" w:hAnsi="Calibri"/>
          <w:szCs w:val="22"/>
        </w:rPr>
        <w:t xml:space="preserve">As well as the primary complaint issue, up to six additional complaint issues are identified for each complaint received by HDC. Table 10 includes these additional complaint issues, as well as the primary complaint issues, to show all issues identified in complaints received. </w:t>
      </w:r>
    </w:p>
    <w:p w14:paraId="3C25614E" w14:textId="77777777" w:rsidR="00EB4A22" w:rsidRDefault="00EB4A22" w:rsidP="00EB4A22">
      <w:pPr>
        <w:spacing w:after="120"/>
        <w:rPr>
          <w:rFonts w:ascii="Calibri" w:hAnsi="Calibri"/>
          <w:szCs w:val="22"/>
        </w:rPr>
      </w:pPr>
      <w:r>
        <w:rPr>
          <w:rFonts w:ascii="Calibri" w:hAnsi="Calibri"/>
          <w:b/>
          <w:szCs w:val="22"/>
        </w:rPr>
        <w:t xml:space="preserve">Table 10. </w:t>
      </w:r>
      <w:r>
        <w:rPr>
          <w:rFonts w:ascii="Calibri" w:hAnsi="Calibri"/>
          <w:szCs w:val="22"/>
        </w:rPr>
        <w:t>All issues identified in complaints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EB4A22" w14:paraId="672AD552" w14:textId="77777777" w:rsidTr="00B12430">
        <w:trPr>
          <w:tblHeader/>
        </w:trPr>
        <w:tc>
          <w:tcPr>
            <w:tcW w:w="5670" w:type="dxa"/>
            <w:tcBorders>
              <w:top w:val="single" w:sz="4" w:space="0" w:color="auto"/>
              <w:left w:val="single" w:sz="4" w:space="0" w:color="auto"/>
              <w:bottom w:val="single" w:sz="4" w:space="0" w:color="auto"/>
              <w:right w:val="single" w:sz="4" w:space="0" w:color="auto"/>
            </w:tcBorders>
            <w:shd w:val="clear" w:color="auto" w:fill="C00000"/>
            <w:hideMark/>
          </w:tcPr>
          <w:p w14:paraId="0112B652" w14:textId="77777777" w:rsidR="00EB4A22" w:rsidRDefault="00EB4A22" w:rsidP="00B12430">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All issues in complaints </w:t>
            </w:r>
          </w:p>
        </w:tc>
        <w:tc>
          <w:tcPr>
            <w:tcW w:w="1701" w:type="dxa"/>
            <w:tcBorders>
              <w:top w:val="single" w:sz="4" w:space="0" w:color="auto"/>
              <w:left w:val="single" w:sz="4" w:space="0" w:color="auto"/>
              <w:bottom w:val="single" w:sz="4" w:space="0" w:color="auto"/>
              <w:right w:val="single" w:sz="4" w:space="0" w:color="auto"/>
            </w:tcBorders>
            <w:shd w:val="clear" w:color="auto" w:fill="C00000"/>
            <w:hideMark/>
          </w:tcPr>
          <w:p w14:paraId="45E9181E" w14:textId="77777777" w:rsidR="00EB4A22" w:rsidRDefault="00EB4A22" w:rsidP="00B12430">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shd w:val="clear" w:color="auto" w:fill="C00000"/>
            <w:hideMark/>
          </w:tcPr>
          <w:p w14:paraId="1A4F16CF" w14:textId="77777777" w:rsidR="00EB4A22" w:rsidRDefault="00EB4A22" w:rsidP="00B12430">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EB4A22" w14:paraId="04D0E29A" w14:textId="77777777" w:rsidTr="00B1243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146879F" w14:textId="77777777" w:rsidR="00EB4A22" w:rsidRDefault="00EB4A22" w:rsidP="00B12430">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DE0FD" w14:textId="77777777" w:rsidR="00EB4A22" w:rsidRDefault="00EB4A22" w:rsidP="00B12430">
            <w:pPr>
              <w:keepNext/>
              <w:keepLines/>
              <w:jc w:val="center"/>
              <w:rPr>
                <w:rFonts w:ascii="Calibri" w:hAnsi="Calibri" w:cs="Calibri"/>
                <w:b/>
                <w:i/>
                <w:color w:val="000000"/>
                <w:szCs w:val="22"/>
              </w:rPr>
            </w:pPr>
            <w:r>
              <w:rPr>
                <w:rFonts w:ascii="Calibri" w:hAnsi="Calibri" w:cs="Calibri"/>
                <w:b/>
                <w:i/>
                <w:color w:val="000000"/>
                <w:szCs w:val="22"/>
              </w:rPr>
              <w:t>104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D1810" w14:textId="77777777" w:rsidR="00EB4A22" w:rsidRDefault="00EB4A22" w:rsidP="00B12430">
            <w:pPr>
              <w:keepNext/>
              <w:keepLines/>
              <w:jc w:val="center"/>
              <w:rPr>
                <w:rFonts w:ascii="Calibri" w:hAnsi="Calibri" w:cs="Calibri"/>
                <w:b/>
                <w:i/>
                <w:color w:val="000000"/>
                <w:szCs w:val="22"/>
              </w:rPr>
            </w:pPr>
            <w:r>
              <w:rPr>
                <w:rFonts w:ascii="Calibri" w:hAnsi="Calibri" w:cs="Calibri"/>
                <w:b/>
                <w:i/>
                <w:color w:val="000000"/>
                <w:szCs w:val="22"/>
              </w:rPr>
              <w:t>22.4%</w:t>
            </w:r>
          </w:p>
        </w:tc>
      </w:tr>
      <w:tr w:rsidR="00EB4A22" w14:paraId="4C664859"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5C91D7AE" w14:textId="77777777" w:rsidR="00EB4A22" w:rsidRDefault="00EB4A22" w:rsidP="00B12430">
            <w:pPr>
              <w:keepNext/>
              <w:keepLines/>
              <w:tabs>
                <w:tab w:val="left" w:pos="176"/>
              </w:tabs>
              <w:ind w:left="176"/>
              <w:jc w:val="left"/>
              <w:rPr>
                <w:rFonts w:ascii="Calibri" w:hAnsi="Calibri" w:cs="Calibri"/>
                <w:color w:val="000000"/>
                <w:szCs w:val="22"/>
              </w:rPr>
            </w:pPr>
            <w:r>
              <w:rPr>
                <w:rFonts w:ascii="Calibri" w:hAnsi="Calibri" w:cs="Calibri"/>
                <w:color w:val="000000"/>
                <w:szCs w:val="22"/>
              </w:rPr>
              <w:t xml:space="preserve">Lack of access to services </w:t>
            </w:r>
          </w:p>
        </w:tc>
        <w:tc>
          <w:tcPr>
            <w:tcW w:w="1701" w:type="dxa"/>
            <w:tcBorders>
              <w:top w:val="single" w:sz="4" w:space="0" w:color="auto"/>
              <w:left w:val="single" w:sz="4" w:space="0" w:color="auto"/>
              <w:bottom w:val="single" w:sz="4" w:space="0" w:color="auto"/>
              <w:right w:val="single" w:sz="4" w:space="0" w:color="auto"/>
            </w:tcBorders>
            <w:vAlign w:val="center"/>
          </w:tcPr>
          <w:p w14:paraId="620C0EB8"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61</w:t>
            </w:r>
          </w:p>
        </w:tc>
        <w:tc>
          <w:tcPr>
            <w:tcW w:w="1418" w:type="dxa"/>
            <w:tcBorders>
              <w:top w:val="single" w:sz="4" w:space="0" w:color="auto"/>
              <w:left w:val="single" w:sz="4" w:space="0" w:color="auto"/>
              <w:bottom w:val="single" w:sz="4" w:space="0" w:color="auto"/>
              <w:right w:val="single" w:sz="4" w:space="0" w:color="auto"/>
            </w:tcBorders>
            <w:vAlign w:val="center"/>
          </w:tcPr>
          <w:p w14:paraId="039D80E3"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13.1%</w:t>
            </w:r>
          </w:p>
        </w:tc>
      </w:tr>
      <w:tr w:rsidR="00EB4A22" w14:paraId="5A822F43"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0AF26DE7" w14:textId="77777777" w:rsidR="00EB4A22" w:rsidRDefault="00EB4A22" w:rsidP="00B12430">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14:paraId="116EFC28"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69CC37B6"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1.7%</w:t>
            </w:r>
          </w:p>
        </w:tc>
      </w:tr>
      <w:tr w:rsidR="00EB4A22" w14:paraId="32C8E0B7"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4F5BF7A1" w14:textId="77777777" w:rsidR="00EB4A22" w:rsidRDefault="00EB4A22" w:rsidP="00B12430">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14:paraId="1637B09C"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41</w:t>
            </w:r>
          </w:p>
        </w:tc>
        <w:tc>
          <w:tcPr>
            <w:tcW w:w="1418" w:type="dxa"/>
            <w:tcBorders>
              <w:top w:val="single" w:sz="4" w:space="0" w:color="auto"/>
              <w:left w:val="single" w:sz="4" w:space="0" w:color="auto"/>
              <w:bottom w:val="single" w:sz="4" w:space="0" w:color="auto"/>
              <w:right w:val="single" w:sz="4" w:space="0" w:color="auto"/>
            </w:tcBorders>
            <w:vAlign w:val="center"/>
          </w:tcPr>
          <w:p w14:paraId="717F1155"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8.8%</w:t>
            </w:r>
          </w:p>
        </w:tc>
      </w:tr>
      <w:tr w:rsidR="00EB4A22" w14:paraId="7BB9541F" w14:textId="77777777" w:rsidTr="00B1243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61A99D" w14:textId="77777777" w:rsidR="00EB4A22" w:rsidRDefault="00EB4A22" w:rsidP="00B12430">
            <w:pPr>
              <w:keepNext/>
              <w:keepLines/>
              <w:tabs>
                <w:tab w:val="left" w:pos="176"/>
              </w:tabs>
              <w:jc w:val="left"/>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4E3C5" w14:textId="77777777" w:rsidR="00EB4A22" w:rsidRDefault="00EB4A22" w:rsidP="00B12430">
            <w:pPr>
              <w:keepNext/>
              <w:keepLines/>
              <w:jc w:val="center"/>
              <w:rPr>
                <w:rFonts w:ascii="Calibri" w:hAnsi="Calibri" w:cs="Calibri"/>
                <w:b/>
                <w:i/>
                <w:color w:val="000000"/>
                <w:szCs w:val="22"/>
              </w:rPr>
            </w:pPr>
            <w:r>
              <w:rPr>
                <w:rFonts w:ascii="Calibri" w:hAnsi="Calibri" w:cs="Calibri"/>
                <w:b/>
                <w: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2E071" w14:textId="77777777" w:rsidR="00EB4A22" w:rsidRDefault="00EB4A22" w:rsidP="00B12430">
            <w:pPr>
              <w:keepNext/>
              <w:keepLines/>
              <w:jc w:val="center"/>
              <w:rPr>
                <w:rFonts w:ascii="Calibri" w:hAnsi="Calibri" w:cs="Calibri"/>
                <w:b/>
                <w:i/>
                <w:color w:val="000000"/>
                <w:szCs w:val="22"/>
              </w:rPr>
            </w:pPr>
            <w:r>
              <w:rPr>
                <w:rFonts w:ascii="Calibri" w:hAnsi="Calibri" w:cs="Calibri"/>
                <w:b/>
                <w:i/>
                <w:color w:val="000000"/>
                <w:szCs w:val="22"/>
              </w:rPr>
              <w:t>1.3%</w:t>
            </w:r>
          </w:p>
        </w:tc>
      </w:tr>
      <w:tr w:rsidR="00EB4A22" w14:paraId="6F3E42A3" w14:textId="77777777" w:rsidTr="00B1243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FDD19E2" w14:textId="77777777" w:rsidR="00EB4A22" w:rsidRDefault="00EB4A22" w:rsidP="00B12430">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6A6E1" w14:textId="77777777" w:rsidR="00EB4A22" w:rsidRDefault="00EB4A22" w:rsidP="00B12430">
            <w:pPr>
              <w:keepNext/>
              <w:keepLines/>
              <w:jc w:val="center"/>
              <w:rPr>
                <w:rFonts w:ascii="Calibri" w:hAnsi="Calibri" w:cs="Calibri"/>
                <w:b/>
                <w:i/>
                <w:color w:val="000000"/>
                <w:szCs w:val="22"/>
              </w:rPr>
            </w:pPr>
            <w:r>
              <w:rPr>
                <w:rFonts w:ascii="Calibri" w:hAnsi="Calibri" w:cs="Calibri"/>
                <w:b/>
                <w:i/>
                <w:color w:val="000000"/>
                <w:szCs w:val="22"/>
              </w:rPr>
              <w:t>351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ACCCEC" w14:textId="77777777" w:rsidR="00EB4A22" w:rsidRDefault="00EB4A22" w:rsidP="00B12430">
            <w:pPr>
              <w:keepNext/>
              <w:keepLines/>
              <w:jc w:val="center"/>
              <w:rPr>
                <w:rFonts w:ascii="Calibri" w:hAnsi="Calibri" w:cs="Calibri"/>
                <w:b/>
                <w:i/>
                <w:color w:val="000000"/>
                <w:szCs w:val="22"/>
              </w:rPr>
            </w:pPr>
            <w:r>
              <w:rPr>
                <w:rFonts w:ascii="Calibri" w:hAnsi="Calibri" w:cs="Calibri"/>
                <w:b/>
                <w:i/>
                <w:color w:val="000000"/>
                <w:szCs w:val="22"/>
              </w:rPr>
              <w:t>75.6%</w:t>
            </w:r>
          </w:p>
        </w:tc>
      </w:tr>
      <w:tr w:rsidR="00EB4A22" w14:paraId="2FB88D51"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428F5D4D" w14:textId="77777777" w:rsidR="00EB4A22" w:rsidRDefault="00EB4A22" w:rsidP="00B12430">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14:paraId="10FB3701"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104</w:t>
            </w:r>
          </w:p>
        </w:tc>
        <w:tc>
          <w:tcPr>
            <w:tcW w:w="1418" w:type="dxa"/>
            <w:tcBorders>
              <w:top w:val="single" w:sz="4" w:space="0" w:color="auto"/>
              <w:left w:val="single" w:sz="4" w:space="0" w:color="auto"/>
              <w:bottom w:val="single" w:sz="4" w:space="0" w:color="auto"/>
              <w:right w:val="single" w:sz="4" w:space="0" w:color="auto"/>
            </w:tcBorders>
            <w:vAlign w:val="center"/>
          </w:tcPr>
          <w:p w14:paraId="1079E7A6" w14:textId="77777777" w:rsidR="00EB4A22" w:rsidRDefault="00EB4A22" w:rsidP="00B12430">
            <w:pPr>
              <w:keepNext/>
              <w:keepLines/>
              <w:jc w:val="center"/>
              <w:rPr>
                <w:rFonts w:ascii="Calibri" w:hAnsi="Calibri" w:cs="Calibri"/>
                <w:color w:val="000000"/>
                <w:szCs w:val="22"/>
              </w:rPr>
            </w:pPr>
            <w:r>
              <w:rPr>
                <w:rFonts w:ascii="Calibri" w:hAnsi="Calibri" w:cs="Calibri"/>
                <w:color w:val="000000"/>
                <w:szCs w:val="22"/>
              </w:rPr>
              <w:t>22.4%</w:t>
            </w:r>
          </w:p>
        </w:tc>
      </w:tr>
      <w:tr w:rsidR="00EB4A22" w14:paraId="53D97D90" w14:textId="77777777" w:rsidTr="00B12430">
        <w:tc>
          <w:tcPr>
            <w:tcW w:w="5670" w:type="dxa"/>
            <w:tcBorders>
              <w:top w:val="single" w:sz="4" w:space="0" w:color="auto"/>
              <w:left w:val="single" w:sz="4" w:space="0" w:color="auto"/>
              <w:bottom w:val="single" w:sz="4" w:space="0" w:color="auto"/>
              <w:right w:val="single" w:sz="4" w:space="0" w:color="auto"/>
            </w:tcBorders>
            <w:vAlign w:val="bottom"/>
          </w:tcPr>
          <w:p w14:paraId="5612373D" w14:textId="77777777" w:rsidR="00EB4A22" w:rsidRDefault="00EB4A22" w:rsidP="00B12430">
            <w:pPr>
              <w:tabs>
                <w:tab w:val="left" w:pos="204"/>
              </w:tabs>
              <w:ind w:firstLine="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14:paraId="13DDFEB2" w14:textId="77777777" w:rsidR="00EB4A22" w:rsidRDefault="00EB4A22" w:rsidP="00B12430">
            <w:pPr>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14:paraId="4680BCD8" w14:textId="77777777" w:rsidR="00EB4A22" w:rsidRDefault="00EB4A22" w:rsidP="00B12430">
            <w:pPr>
              <w:jc w:val="center"/>
              <w:rPr>
                <w:rFonts w:ascii="Calibri" w:hAnsi="Calibri" w:cs="Calibri"/>
                <w:color w:val="000000"/>
                <w:szCs w:val="22"/>
              </w:rPr>
            </w:pPr>
            <w:r>
              <w:rPr>
                <w:rFonts w:ascii="Calibri" w:hAnsi="Calibri" w:cs="Calibri"/>
                <w:color w:val="000000"/>
                <w:szCs w:val="22"/>
              </w:rPr>
              <w:t>2.6%</w:t>
            </w:r>
          </w:p>
        </w:tc>
      </w:tr>
      <w:tr w:rsidR="00EB4A22" w14:paraId="5DF964FC"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59B2E802" w14:textId="77777777" w:rsidR="00EB4A22" w:rsidRDefault="00EB4A22" w:rsidP="00B12430">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14:paraId="3F7B87BE" w14:textId="77777777" w:rsidR="00EB4A22" w:rsidRDefault="00EB4A22" w:rsidP="00B12430">
            <w:pPr>
              <w:jc w:val="center"/>
              <w:rPr>
                <w:rFonts w:ascii="Calibri" w:hAnsi="Calibri" w:cs="Calibri"/>
                <w:color w:val="000000"/>
                <w:szCs w:val="22"/>
              </w:rPr>
            </w:pPr>
            <w:r>
              <w:rPr>
                <w:rFonts w:ascii="Calibri" w:hAnsi="Calibri" w:cs="Calibri"/>
                <w:color w:val="000000"/>
                <w:szCs w:val="22"/>
              </w:rPr>
              <w:t>90</w:t>
            </w:r>
          </w:p>
        </w:tc>
        <w:tc>
          <w:tcPr>
            <w:tcW w:w="1418" w:type="dxa"/>
            <w:tcBorders>
              <w:top w:val="single" w:sz="4" w:space="0" w:color="auto"/>
              <w:left w:val="single" w:sz="4" w:space="0" w:color="auto"/>
              <w:bottom w:val="single" w:sz="4" w:space="0" w:color="auto"/>
              <w:right w:val="single" w:sz="4" w:space="0" w:color="auto"/>
            </w:tcBorders>
            <w:vAlign w:val="center"/>
          </w:tcPr>
          <w:p w14:paraId="011356E6" w14:textId="77777777" w:rsidR="00EB4A22" w:rsidRDefault="00EB4A22" w:rsidP="00B12430">
            <w:pPr>
              <w:jc w:val="center"/>
              <w:rPr>
                <w:rFonts w:ascii="Calibri" w:hAnsi="Calibri" w:cs="Calibri"/>
                <w:color w:val="000000"/>
                <w:szCs w:val="22"/>
              </w:rPr>
            </w:pPr>
            <w:r>
              <w:rPr>
                <w:rFonts w:ascii="Calibri" w:hAnsi="Calibri" w:cs="Calibri"/>
                <w:color w:val="000000"/>
                <w:szCs w:val="22"/>
              </w:rPr>
              <w:t>19.4%</w:t>
            </w:r>
          </w:p>
        </w:tc>
      </w:tr>
      <w:tr w:rsidR="00EB4A22" w14:paraId="195D2194"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43A3F090" w14:textId="77777777" w:rsidR="00EB4A22" w:rsidRDefault="00EB4A22" w:rsidP="00B12430">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14:paraId="0350A187" w14:textId="77777777" w:rsidR="00EB4A22" w:rsidRDefault="00EB4A22" w:rsidP="00B12430">
            <w:pPr>
              <w:jc w:val="center"/>
              <w:rPr>
                <w:rFonts w:ascii="Calibri" w:hAnsi="Calibri" w:cs="Calibri"/>
                <w:color w:val="000000"/>
                <w:szCs w:val="22"/>
              </w:rPr>
            </w:pPr>
            <w:r>
              <w:rPr>
                <w:rFonts w:ascii="Calibri" w:hAnsi="Calibri" w:cs="Calibri"/>
                <w:color w:val="000000"/>
                <w:szCs w:val="22"/>
              </w:rPr>
              <w:t>125</w:t>
            </w:r>
          </w:p>
        </w:tc>
        <w:tc>
          <w:tcPr>
            <w:tcW w:w="1418" w:type="dxa"/>
            <w:tcBorders>
              <w:top w:val="single" w:sz="4" w:space="0" w:color="auto"/>
              <w:left w:val="single" w:sz="4" w:space="0" w:color="auto"/>
              <w:bottom w:val="single" w:sz="4" w:space="0" w:color="auto"/>
              <w:right w:val="single" w:sz="4" w:space="0" w:color="auto"/>
            </w:tcBorders>
            <w:vAlign w:val="center"/>
          </w:tcPr>
          <w:p w14:paraId="47516A05" w14:textId="77777777" w:rsidR="00EB4A22" w:rsidRDefault="00EB4A22" w:rsidP="00B12430">
            <w:pPr>
              <w:jc w:val="center"/>
              <w:rPr>
                <w:rFonts w:ascii="Calibri" w:hAnsi="Calibri" w:cs="Calibri"/>
                <w:color w:val="000000"/>
                <w:szCs w:val="22"/>
              </w:rPr>
            </w:pPr>
            <w:r>
              <w:rPr>
                <w:rFonts w:ascii="Calibri" w:hAnsi="Calibri" w:cs="Calibri"/>
                <w:color w:val="000000"/>
                <w:szCs w:val="22"/>
              </w:rPr>
              <w:t>26.9%</w:t>
            </w:r>
          </w:p>
        </w:tc>
      </w:tr>
      <w:tr w:rsidR="00EB4A22" w14:paraId="549F1F67"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24DDFA7E" w14:textId="77777777" w:rsidR="00EB4A22" w:rsidRDefault="00EB4A22" w:rsidP="00B12430">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14:paraId="72DF7170" w14:textId="77777777" w:rsidR="00EB4A22" w:rsidRDefault="00EB4A22" w:rsidP="00B12430">
            <w:pPr>
              <w:jc w:val="center"/>
              <w:rPr>
                <w:rFonts w:ascii="Calibri" w:hAnsi="Calibri" w:cs="Calibri"/>
                <w:color w:val="000000"/>
                <w:szCs w:val="22"/>
              </w:rPr>
            </w:pPr>
            <w:r>
              <w:rPr>
                <w:rFonts w:ascii="Calibri" w:hAnsi="Calibri" w:cs="Calibri"/>
                <w:color w:val="000000"/>
                <w:szCs w:val="22"/>
              </w:rPr>
              <w:t>127</w:t>
            </w:r>
          </w:p>
        </w:tc>
        <w:tc>
          <w:tcPr>
            <w:tcW w:w="1418" w:type="dxa"/>
            <w:tcBorders>
              <w:top w:val="single" w:sz="4" w:space="0" w:color="auto"/>
              <w:left w:val="single" w:sz="4" w:space="0" w:color="auto"/>
              <w:bottom w:val="single" w:sz="4" w:space="0" w:color="auto"/>
              <w:right w:val="single" w:sz="4" w:space="0" w:color="auto"/>
            </w:tcBorders>
            <w:vAlign w:val="center"/>
          </w:tcPr>
          <w:p w14:paraId="010FC256" w14:textId="77777777" w:rsidR="00EB4A22" w:rsidRDefault="00EB4A22" w:rsidP="00B12430">
            <w:pPr>
              <w:jc w:val="center"/>
              <w:rPr>
                <w:rFonts w:ascii="Calibri" w:hAnsi="Calibri" w:cs="Calibri"/>
                <w:color w:val="000000"/>
                <w:szCs w:val="22"/>
              </w:rPr>
            </w:pPr>
            <w:r>
              <w:rPr>
                <w:rFonts w:ascii="Calibri" w:hAnsi="Calibri" w:cs="Calibri"/>
                <w:color w:val="000000"/>
                <w:szCs w:val="22"/>
              </w:rPr>
              <w:t>27.4%</w:t>
            </w:r>
          </w:p>
        </w:tc>
      </w:tr>
      <w:tr w:rsidR="00EB4A22" w14:paraId="642AEA40"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77849B2A"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14:paraId="3541A361" w14:textId="77777777" w:rsidR="00EB4A22" w:rsidRDefault="00EB4A22" w:rsidP="00B12430">
            <w:pPr>
              <w:jc w:val="center"/>
              <w:rPr>
                <w:rFonts w:ascii="Calibri" w:hAnsi="Calibri" w:cs="Calibri"/>
                <w:color w:val="000000"/>
                <w:szCs w:val="22"/>
              </w:rPr>
            </w:pPr>
            <w:r>
              <w:rPr>
                <w:rFonts w:ascii="Calibri" w:hAnsi="Calibri" w:cs="Calibri"/>
                <w:color w:val="000000"/>
                <w:szCs w:val="22"/>
              </w:rPr>
              <w:t>52</w:t>
            </w:r>
          </w:p>
        </w:tc>
        <w:tc>
          <w:tcPr>
            <w:tcW w:w="1418" w:type="dxa"/>
            <w:tcBorders>
              <w:top w:val="single" w:sz="4" w:space="0" w:color="auto"/>
              <w:left w:val="single" w:sz="4" w:space="0" w:color="auto"/>
              <w:bottom w:val="single" w:sz="4" w:space="0" w:color="auto"/>
              <w:right w:val="single" w:sz="4" w:space="0" w:color="auto"/>
            </w:tcBorders>
            <w:vAlign w:val="center"/>
          </w:tcPr>
          <w:p w14:paraId="3225834D" w14:textId="77777777" w:rsidR="00EB4A22" w:rsidRDefault="00EB4A22" w:rsidP="00B12430">
            <w:pPr>
              <w:jc w:val="center"/>
              <w:rPr>
                <w:rFonts w:ascii="Calibri" w:hAnsi="Calibri" w:cs="Calibri"/>
                <w:color w:val="000000"/>
                <w:szCs w:val="22"/>
              </w:rPr>
            </w:pPr>
            <w:r>
              <w:rPr>
                <w:rFonts w:ascii="Calibri" w:hAnsi="Calibri" w:cs="Calibri"/>
                <w:color w:val="000000"/>
                <w:szCs w:val="22"/>
              </w:rPr>
              <w:t>11.2%</w:t>
            </w:r>
          </w:p>
        </w:tc>
      </w:tr>
      <w:tr w:rsidR="00EB4A22" w14:paraId="3B7AD5F7"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5D698BD0"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14:paraId="3525A05A" w14:textId="77777777" w:rsidR="00EB4A22" w:rsidRDefault="00EB4A22" w:rsidP="00B12430">
            <w:pPr>
              <w:jc w:val="center"/>
              <w:rPr>
                <w:rFonts w:ascii="Calibri" w:hAnsi="Calibri" w:cs="Calibri"/>
                <w:color w:val="000000"/>
                <w:szCs w:val="22"/>
              </w:rPr>
            </w:pPr>
            <w:r>
              <w:rPr>
                <w:rFonts w:ascii="Calibri" w:hAnsi="Calibri" w:cs="Calibri"/>
                <w:color w:val="000000"/>
                <w:szCs w:val="22"/>
              </w:rPr>
              <w:t>44</w:t>
            </w:r>
          </w:p>
        </w:tc>
        <w:tc>
          <w:tcPr>
            <w:tcW w:w="1418" w:type="dxa"/>
            <w:tcBorders>
              <w:top w:val="single" w:sz="4" w:space="0" w:color="auto"/>
              <w:left w:val="single" w:sz="4" w:space="0" w:color="auto"/>
              <w:bottom w:val="single" w:sz="4" w:space="0" w:color="auto"/>
              <w:right w:val="single" w:sz="4" w:space="0" w:color="auto"/>
            </w:tcBorders>
            <w:vAlign w:val="center"/>
          </w:tcPr>
          <w:p w14:paraId="7F8564D9" w14:textId="77777777" w:rsidR="00EB4A22" w:rsidRDefault="00EB4A22" w:rsidP="00B12430">
            <w:pPr>
              <w:jc w:val="center"/>
              <w:rPr>
                <w:rFonts w:ascii="Calibri" w:hAnsi="Calibri" w:cs="Calibri"/>
                <w:color w:val="000000"/>
                <w:szCs w:val="22"/>
              </w:rPr>
            </w:pPr>
            <w:r>
              <w:rPr>
                <w:rFonts w:ascii="Calibri" w:hAnsi="Calibri" w:cs="Calibri"/>
                <w:color w:val="000000"/>
                <w:szCs w:val="22"/>
              </w:rPr>
              <w:t>9.5%</w:t>
            </w:r>
          </w:p>
        </w:tc>
      </w:tr>
      <w:tr w:rsidR="00EB4A22" w14:paraId="116E0011"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726F2564"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14:paraId="2CFA642A" w14:textId="77777777" w:rsidR="00EB4A22" w:rsidRDefault="00EB4A22" w:rsidP="00B12430">
            <w:pPr>
              <w:jc w:val="center"/>
              <w:rPr>
                <w:rFonts w:ascii="Calibri" w:hAnsi="Calibri" w:cs="Calibri"/>
                <w:color w:val="000000"/>
                <w:szCs w:val="22"/>
              </w:rPr>
            </w:pPr>
            <w:r>
              <w:rPr>
                <w:rFonts w:ascii="Calibri" w:hAnsi="Calibri" w:cs="Calibri"/>
                <w:color w:val="000000"/>
                <w:szCs w:val="22"/>
              </w:rPr>
              <w:t>36</w:t>
            </w:r>
          </w:p>
        </w:tc>
        <w:tc>
          <w:tcPr>
            <w:tcW w:w="1418" w:type="dxa"/>
            <w:tcBorders>
              <w:top w:val="single" w:sz="4" w:space="0" w:color="auto"/>
              <w:left w:val="single" w:sz="4" w:space="0" w:color="auto"/>
              <w:bottom w:val="single" w:sz="4" w:space="0" w:color="auto"/>
              <w:right w:val="single" w:sz="4" w:space="0" w:color="auto"/>
            </w:tcBorders>
            <w:vAlign w:val="center"/>
          </w:tcPr>
          <w:p w14:paraId="1CE17C65" w14:textId="77777777" w:rsidR="00EB4A22" w:rsidRDefault="00EB4A22" w:rsidP="00B12430">
            <w:pPr>
              <w:jc w:val="center"/>
              <w:rPr>
                <w:rFonts w:ascii="Calibri" w:hAnsi="Calibri" w:cs="Calibri"/>
                <w:color w:val="000000"/>
                <w:szCs w:val="22"/>
              </w:rPr>
            </w:pPr>
            <w:r>
              <w:rPr>
                <w:rFonts w:ascii="Calibri" w:hAnsi="Calibri" w:cs="Calibri"/>
                <w:color w:val="000000"/>
                <w:szCs w:val="22"/>
              </w:rPr>
              <w:t>7.8%</w:t>
            </w:r>
          </w:p>
        </w:tc>
      </w:tr>
      <w:tr w:rsidR="00EB4A22" w14:paraId="4898ED08" w14:textId="77777777" w:rsidTr="00B12430">
        <w:tc>
          <w:tcPr>
            <w:tcW w:w="5670" w:type="dxa"/>
            <w:tcBorders>
              <w:top w:val="single" w:sz="4" w:space="0" w:color="auto"/>
              <w:left w:val="single" w:sz="4" w:space="0" w:color="auto"/>
              <w:bottom w:val="single" w:sz="4" w:space="0" w:color="auto"/>
              <w:right w:val="single" w:sz="4" w:space="0" w:color="auto"/>
            </w:tcBorders>
            <w:vAlign w:val="bottom"/>
          </w:tcPr>
          <w:p w14:paraId="440549B1"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14:paraId="19E8EA03" w14:textId="77777777" w:rsidR="00EB4A22" w:rsidRDefault="00EB4A22" w:rsidP="00B12430">
            <w:pPr>
              <w:jc w:val="center"/>
              <w:rPr>
                <w:rFonts w:ascii="Calibri" w:hAnsi="Calibri" w:cs="Calibri"/>
                <w:color w:val="000000"/>
                <w:szCs w:val="22"/>
              </w:rPr>
            </w:pPr>
            <w:r>
              <w:rPr>
                <w:rFonts w:ascii="Calibri" w:hAnsi="Calibri" w:cs="Calibri"/>
                <w:color w:val="000000"/>
                <w:szCs w:val="22"/>
              </w:rPr>
              <w:t>53</w:t>
            </w:r>
          </w:p>
        </w:tc>
        <w:tc>
          <w:tcPr>
            <w:tcW w:w="1418" w:type="dxa"/>
            <w:tcBorders>
              <w:top w:val="single" w:sz="4" w:space="0" w:color="auto"/>
              <w:left w:val="single" w:sz="4" w:space="0" w:color="auto"/>
              <w:bottom w:val="single" w:sz="4" w:space="0" w:color="auto"/>
              <w:right w:val="single" w:sz="4" w:space="0" w:color="auto"/>
            </w:tcBorders>
            <w:vAlign w:val="center"/>
          </w:tcPr>
          <w:p w14:paraId="17663F59" w14:textId="77777777" w:rsidR="00EB4A22" w:rsidRDefault="00EB4A22" w:rsidP="00B12430">
            <w:pPr>
              <w:jc w:val="center"/>
              <w:rPr>
                <w:rFonts w:ascii="Calibri" w:hAnsi="Calibri" w:cs="Calibri"/>
                <w:color w:val="000000"/>
                <w:szCs w:val="22"/>
              </w:rPr>
            </w:pPr>
            <w:r>
              <w:rPr>
                <w:rFonts w:ascii="Calibri" w:hAnsi="Calibri" w:cs="Calibri"/>
                <w:color w:val="000000"/>
                <w:szCs w:val="22"/>
              </w:rPr>
              <w:t>11.4%</w:t>
            </w:r>
          </w:p>
        </w:tc>
      </w:tr>
      <w:tr w:rsidR="00EB4A22" w14:paraId="69B772CC" w14:textId="77777777" w:rsidTr="00B12430">
        <w:tc>
          <w:tcPr>
            <w:tcW w:w="5670" w:type="dxa"/>
            <w:tcBorders>
              <w:top w:val="single" w:sz="4" w:space="0" w:color="auto"/>
              <w:left w:val="single" w:sz="4" w:space="0" w:color="auto"/>
              <w:bottom w:val="single" w:sz="4" w:space="0" w:color="auto"/>
              <w:right w:val="single" w:sz="4" w:space="0" w:color="auto"/>
            </w:tcBorders>
          </w:tcPr>
          <w:p w14:paraId="2DCA327C"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14:paraId="40FF8C13"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14:paraId="26AD8441"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1.9%</w:t>
            </w:r>
          </w:p>
        </w:tc>
      </w:tr>
      <w:tr w:rsidR="00EB4A22" w14:paraId="4C140C13"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3DBBFD5C"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14:paraId="6FF398EC"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48</w:t>
            </w:r>
          </w:p>
        </w:tc>
        <w:tc>
          <w:tcPr>
            <w:tcW w:w="1418" w:type="dxa"/>
            <w:tcBorders>
              <w:top w:val="single" w:sz="4" w:space="0" w:color="auto"/>
              <w:left w:val="single" w:sz="4" w:space="0" w:color="auto"/>
              <w:bottom w:val="single" w:sz="4" w:space="0" w:color="auto"/>
              <w:right w:val="single" w:sz="4" w:space="0" w:color="auto"/>
            </w:tcBorders>
            <w:vAlign w:val="center"/>
          </w:tcPr>
          <w:p w14:paraId="6F3E8227"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10.3%</w:t>
            </w:r>
          </w:p>
        </w:tc>
      </w:tr>
      <w:tr w:rsidR="00EB4A22" w14:paraId="0A012C78"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3820231F"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14:paraId="43F03D85" w14:textId="77777777" w:rsidR="00EB4A22" w:rsidRDefault="00EB4A22" w:rsidP="00B12430">
            <w:pPr>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7274E850" w14:textId="77777777" w:rsidR="00EB4A22" w:rsidRDefault="00EB4A22" w:rsidP="00B12430">
            <w:pPr>
              <w:jc w:val="center"/>
              <w:rPr>
                <w:rFonts w:ascii="Calibri" w:hAnsi="Calibri" w:cs="Calibri"/>
                <w:color w:val="000000"/>
                <w:szCs w:val="22"/>
              </w:rPr>
            </w:pPr>
            <w:r>
              <w:rPr>
                <w:rFonts w:ascii="Calibri" w:hAnsi="Calibri" w:cs="Calibri"/>
                <w:color w:val="000000"/>
                <w:szCs w:val="22"/>
              </w:rPr>
              <w:t>0.6%</w:t>
            </w:r>
          </w:p>
        </w:tc>
      </w:tr>
      <w:tr w:rsidR="00EB4A22" w14:paraId="66C5C013"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6A139E2E"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14:paraId="0DA83975"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92</w:t>
            </w:r>
          </w:p>
        </w:tc>
        <w:tc>
          <w:tcPr>
            <w:tcW w:w="1418" w:type="dxa"/>
            <w:tcBorders>
              <w:top w:val="single" w:sz="4" w:space="0" w:color="auto"/>
              <w:left w:val="single" w:sz="4" w:space="0" w:color="auto"/>
              <w:bottom w:val="single" w:sz="4" w:space="0" w:color="auto"/>
              <w:right w:val="single" w:sz="4" w:space="0" w:color="auto"/>
            </w:tcBorders>
            <w:vAlign w:val="center"/>
          </w:tcPr>
          <w:p w14:paraId="09B102D1"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19.8%</w:t>
            </w:r>
          </w:p>
        </w:tc>
      </w:tr>
      <w:tr w:rsidR="00EB4A22" w14:paraId="1BCF951C" w14:textId="77777777" w:rsidTr="00B12430">
        <w:tc>
          <w:tcPr>
            <w:tcW w:w="5670" w:type="dxa"/>
            <w:tcBorders>
              <w:top w:val="single" w:sz="4" w:space="0" w:color="auto"/>
              <w:left w:val="single" w:sz="4" w:space="0" w:color="auto"/>
              <w:bottom w:val="single" w:sz="4" w:space="0" w:color="auto"/>
              <w:right w:val="single" w:sz="4" w:space="0" w:color="auto"/>
            </w:tcBorders>
          </w:tcPr>
          <w:p w14:paraId="4B6682ED" w14:textId="77777777" w:rsidR="00EB4A22" w:rsidRDefault="00EB4A22" w:rsidP="00B12430">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Personal privacy not respected</w:t>
            </w:r>
          </w:p>
        </w:tc>
        <w:tc>
          <w:tcPr>
            <w:tcW w:w="1701" w:type="dxa"/>
            <w:tcBorders>
              <w:top w:val="single" w:sz="4" w:space="0" w:color="auto"/>
              <w:left w:val="single" w:sz="4" w:space="0" w:color="auto"/>
              <w:bottom w:val="single" w:sz="4" w:space="0" w:color="auto"/>
              <w:right w:val="single" w:sz="4" w:space="0" w:color="auto"/>
            </w:tcBorders>
            <w:vAlign w:val="center"/>
          </w:tcPr>
          <w:p w14:paraId="36B998C3"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09264271"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0.9%</w:t>
            </w:r>
          </w:p>
        </w:tc>
      </w:tr>
      <w:tr w:rsidR="00EB4A22" w14:paraId="48FA2062" w14:textId="77777777" w:rsidTr="00B12430">
        <w:tc>
          <w:tcPr>
            <w:tcW w:w="5670" w:type="dxa"/>
            <w:tcBorders>
              <w:top w:val="single" w:sz="4" w:space="0" w:color="auto"/>
              <w:left w:val="single" w:sz="4" w:space="0" w:color="auto"/>
              <w:bottom w:val="single" w:sz="4" w:space="0" w:color="auto"/>
              <w:right w:val="single" w:sz="4" w:space="0" w:color="auto"/>
            </w:tcBorders>
          </w:tcPr>
          <w:p w14:paraId="05982586" w14:textId="77777777" w:rsidR="00EB4A22" w:rsidRDefault="00EB4A22" w:rsidP="00B12430">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14:paraId="38E42AB2"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14:paraId="2446BE2A"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1.9%</w:t>
            </w:r>
          </w:p>
        </w:tc>
      </w:tr>
      <w:tr w:rsidR="00EB4A22" w14:paraId="6FB03F57"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3EB9223F" w14:textId="77777777" w:rsidR="00EB4A22" w:rsidRDefault="00EB4A22" w:rsidP="00B12430">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treat</w:t>
            </w:r>
            <w:r>
              <w:rPr>
                <w:rFonts w:ascii="Calibri" w:hAnsi="Calibri"/>
                <w:szCs w:val="22"/>
              </w:rPr>
              <w:tab/>
            </w:r>
          </w:p>
        </w:tc>
        <w:tc>
          <w:tcPr>
            <w:tcW w:w="1701" w:type="dxa"/>
            <w:tcBorders>
              <w:top w:val="single" w:sz="4" w:space="0" w:color="auto"/>
              <w:left w:val="single" w:sz="4" w:space="0" w:color="auto"/>
              <w:bottom w:val="single" w:sz="4" w:space="0" w:color="auto"/>
              <w:right w:val="single" w:sz="4" w:space="0" w:color="auto"/>
            </w:tcBorders>
            <w:vAlign w:val="center"/>
          </w:tcPr>
          <w:p w14:paraId="5F63B223"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0EB5CE19"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1.1%</w:t>
            </w:r>
          </w:p>
        </w:tc>
      </w:tr>
      <w:tr w:rsidR="00EB4A22" w14:paraId="3CD003F3"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577AD787"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14:paraId="1EAB37AD"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14:paraId="2983B553"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5.2%</w:t>
            </w:r>
          </w:p>
        </w:tc>
      </w:tr>
      <w:tr w:rsidR="00EB4A22" w14:paraId="3A4A6561"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1334501B"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14:paraId="58F1D294"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56</w:t>
            </w:r>
          </w:p>
        </w:tc>
        <w:tc>
          <w:tcPr>
            <w:tcW w:w="1418" w:type="dxa"/>
            <w:tcBorders>
              <w:top w:val="single" w:sz="4" w:space="0" w:color="auto"/>
              <w:left w:val="single" w:sz="4" w:space="0" w:color="auto"/>
              <w:bottom w:val="single" w:sz="4" w:space="0" w:color="auto"/>
              <w:right w:val="single" w:sz="4" w:space="0" w:color="auto"/>
            </w:tcBorders>
            <w:vAlign w:val="center"/>
          </w:tcPr>
          <w:p w14:paraId="50286F80"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12.1%</w:t>
            </w:r>
          </w:p>
        </w:tc>
      </w:tr>
      <w:tr w:rsidR="00EB4A22" w14:paraId="58599D2B" w14:textId="77777777" w:rsidTr="00B12430">
        <w:tc>
          <w:tcPr>
            <w:tcW w:w="5670" w:type="dxa"/>
            <w:tcBorders>
              <w:top w:val="single" w:sz="4" w:space="0" w:color="auto"/>
              <w:left w:val="single" w:sz="4" w:space="0" w:color="auto"/>
              <w:bottom w:val="single" w:sz="4" w:space="0" w:color="auto"/>
              <w:right w:val="single" w:sz="4" w:space="0" w:color="auto"/>
            </w:tcBorders>
          </w:tcPr>
          <w:p w14:paraId="532018F2"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w:t>
            </w:r>
          </w:p>
        </w:tc>
        <w:tc>
          <w:tcPr>
            <w:tcW w:w="1701" w:type="dxa"/>
            <w:tcBorders>
              <w:top w:val="single" w:sz="4" w:space="0" w:color="auto"/>
              <w:left w:val="single" w:sz="4" w:space="0" w:color="auto"/>
              <w:bottom w:val="single" w:sz="4" w:space="0" w:color="auto"/>
              <w:right w:val="single" w:sz="4" w:space="0" w:color="auto"/>
            </w:tcBorders>
            <w:vAlign w:val="center"/>
          </w:tcPr>
          <w:p w14:paraId="1169EC89"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27A3F779"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0.6%</w:t>
            </w:r>
          </w:p>
        </w:tc>
      </w:tr>
      <w:tr w:rsidR="00EB4A22" w14:paraId="5EBEF296" w14:textId="77777777" w:rsidTr="00B1243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F6E04" w14:textId="77777777" w:rsidR="00EB4A22" w:rsidRDefault="00EB4A22" w:rsidP="00B12430">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C3870"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326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E083D"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70.3%</w:t>
            </w:r>
          </w:p>
        </w:tc>
      </w:tr>
      <w:tr w:rsidR="00EB4A22" w14:paraId="6591BAE4"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5E6D4A05"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14:paraId="21BD8061"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75</w:t>
            </w:r>
          </w:p>
        </w:tc>
        <w:tc>
          <w:tcPr>
            <w:tcW w:w="1418" w:type="dxa"/>
            <w:tcBorders>
              <w:top w:val="single" w:sz="4" w:space="0" w:color="auto"/>
              <w:left w:val="single" w:sz="4" w:space="0" w:color="auto"/>
              <w:bottom w:val="single" w:sz="4" w:space="0" w:color="auto"/>
              <w:right w:val="single" w:sz="4" w:space="0" w:color="auto"/>
            </w:tcBorders>
            <w:vAlign w:val="center"/>
          </w:tcPr>
          <w:p w14:paraId="7DF2C58D"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16.2%</w:t>
            </w:r>
          </w:p>
        </w:tc>
      </w:tr>
      <w:tr w:rsidR="00EB4A22" w14:paraId="542FE562" w14:textId="77777777" w:rsidTr="00B12430">
        <w:tc>
          <w:tcPr>
            <w:tcW w:w="5670" w:type="dxa"/>
            <w:tcBorders>
              <w:top w:val="single" w:sz="4" w:space="0" w:color="auto"/>
              <w:left w:val="single" w:sz="4" w:space="0" w:color="auto"/>
              <w:bottom w:val="single" w:sz="4" w:space="0" w:color="auto"/>
              <w:right w:val="single" w:sz="4" w:space="0" w:color="auto"/>
            </w:tcBorders>
          </w:tcPr>
          <w:p w14:paraId="22BBA2A8"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cultural/language needs</w:t>
            </w:r>
          </w:p>
        </w:tc>
        <w:tc>
          <w:tcPr>
            <w:tcW w:w="1701" w:type="dxa"/>
            <w:tcBorders>
              <w:top w:val="single" w:sz="4" w:space="0" w:color="auto"/>
              <w:left w:val="single" w:sz="4" w:space="0" w:color="auto"/>
              <w:bottom w:val="single" w:sz="4" w:space="0" w:color="auto"/>
              <w:right w:val="single" w:sz="4" w:space="0" w:color="auto"/>
            </w:tcBorders>
            <w:vAlign w:val="center"/>
          </w:tcPr>
          <w:p w14:paraId="135BDB1B"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14:paraId="45F146A4"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2.4%</w:t>
            </w:r>
          </w:p>
        </w:tc>
      </w:tr>
      <w:tr w:rsidR="00EB4A22" w14:paraId="391E6221"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4C7FB858"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14:paraId="5ACFD658"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173</w:t>
            </w:r>
          </w:p>
        </w:tc>
        <w:tc>
          <w:tcPr>
            <w:tcW w:w="1418" w:type="dxa"/>
            <w:tcBorders>
              <w:top w:val="single" w:sz="4" w:space="0" w:color="auto"/>
              <w:left w:val="single" w:sz="4" w:space="0" w:color="auto"/>
              <w:bottom w:val="single" w:sz="4" w:space="0" w:color="auto"/>
              <w:right w:val="single" w:sz="4" w:space="0" w:color="auto"/>
            </w:tcBorders>
            <w:vAlign w:val="center"/>
          </w:tcPr>
          <w:p w14:paraId="725EC7A8"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37.3%</w:t>
            </w:r>
          </w:p>
        </w:tc>
      </w:tr>
      <w:tr w:rsidR="00EB4A22" w14:paraId="26BC6DE8"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5DA76D9E"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14:paraId="7B253A3C"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132</w:t>
            </w:r>
          </w:p>
        </w:tc>
        <w:tc>
          <w:tcPr>
            <w:tcW w:w="1418" w:type="dxa"/>
            <w:tcBorders>
              <w:top w:val="single" w:sz="4" w:space="0" w:color="auto"/>
              <w:left w:val="single" w:sz="4" w:space="0" w:color="auto"/>
              <w:bottom w:val="single" w:sz="4" w:space="0" w:color="auto"/>
              <w:right w:val="single" w:sz="4" w:space="0" w:color="auto"/>
            </w:tcBorders>
            <w:vAlign w:val="center"/>
          </w:tcPr>
          <w:p w14:paraId="5E3808F4"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28.4%</w:t>
            </w:r>
          </w:p>
        </w:tc>
      </w:tr>
      <w:tr w:rsidR="00EB4A22" w14:paraId="14170B2C"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11B06"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6826E"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83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69A37"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17.9%</w:t>
            </w:r>
          </w:p>
        </w:tc>
      </w:tr>
      <w:tr w:rsidR="00EB4A22" w14:paraId="16A5F5CA"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53144CA2" w14:textId="5D4E1478" w:rsidR="00EB4A22" w:rsidRDefault="00B12430" w:rsidP="00B12430">
            <w:pPr>
              <w:widowControl w:val="0"/>
              <w:tabs>
                <w:tab w:val="left" w:pos="176"/>
                <w:tab w:val="left" w:pos="1440"/>
                <w:tab w:val="decimal" w:pos="4320"/>
              </w:tabs>
              <w:jc w:val="left"/>
              <w:outlineLvl w:val="0"/>
              <w:rPr>
                <w:rFonts w:ascii="Calibri" w:hAnsi="Calibri"/>
                <w:szCs w:val="22"/>
              </w:rPr>
            </w:pPr>
            <w:r>
              <w:rPr>
                <w:rFonts w:ascii="Calibri" w:hAnsi="Calibri"/>
                <w:szCs w:val="22"/>
              </w:rPr>
              <w:t xml:space="preserve">  </w:t>
            </w:r>
            <w:r w:rsidR="00EB4A22">
              <w:rPr>
                <w:rFonts w:ascii="Calibri" w:hAnsi="Calibri"/>
                <w:szCs w:val="22"/>
              </w:rPr>
              <w:t>Inadequate information provided re 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CCBECA" w14:textId="77777777" w:rsidR="00EB4A22" w:rsidRPr="00905A9C" w:rsidRDefault="00EB4A22"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C02059" w14:textId="77777777" w:rsidR="00EB4A22" w:rsidRPr="009E78BF" w:rsidRDefault="00EB4A22" w:rsidP="00B12430">
            <w:pPr>
              <w:widowControl w:val="0"/>
              <w:jc w:val="center"/>
              <w:rPr>
                <w:rFonts w:ascii="Calibri" w:hAnsi="Calibri" w:cs="Calibri"/>
                <w:color w:val="000000"/>
                <w:szCs w:val="22"/>
              </w:rPr>
            </w:pPr>
            <w:r w:rsidRPr="009E78BF">
              <w:rPr>
                <w:rFonts w:ascii="Calibri" w:hAnsi="Calibri" w:cs="Calibri"/>
                <w:color w:val="000000"/>
                <w:szCs w:val="22"/>
              </w:rPr>
              <w:t>0.2%</w:t>
            </w:r>
          </w:p>
        </w:tc>
      </w:tr>
      <w:tr w:rsidR="00EB4A22" w14:paraId="0F5E29C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77D2F8BB" w14:textId="5DFA723C" w:rsidR="00EB4A22" w:rsidRDefault="00B12430" w:rsidP="00B12430">
            <w:pPr>
              <w:widowControl w:val="0"/>
              <w:tabs>
                <w:tab w:val="left" w:pos="176"/>
                <w:tab w:val="left" w:pos="1440"/>
                <w:tab w:val="decimal" w:pos="4320"/>
              </w:tabs>
              <w:jc w:val="left"/>
              <w:outlineLvl w:val="0"/>
              <w:rPr>
                <w:rFonts w:ascii="Calibri" w:hAnsi="Calibri"/>
                <w:b/>
                <w:i/>
                <w:szCs w:val="22"/>
              </w:rPr>
            </w:pPr>
            <w:r>
              <w:rPr>
                <w:rFonts w:ascii="Calibri" w:hAnsi="Calibri"/>
                <w:szCs w:val="22"/>
              </w:rPr>
              <w:t xml:space="preserve">  </w:t>
            </w:r>
            <w:r w:rsidR="00EB4A22">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D2088" w14:textId="77777777" w:rsidR="00EB4A22" w:rsidRPr="00905A9C" w:rsidRDefault="00EB4A22" w:rsidP="00B12430">
            <w:pPr>
              <w:widowControl w:val="0"/>
              <w:jc w:val="center"/>
              <w:rPr>
                <w:rFonts w:ascii="Calibri" w:hAnsi="Calibri" w:cs="Calibri"/>
                <w:color w:val="000000"/>
                <w:szCs w:val="22"/>
              </w:rPr>
            </w:pPr>
            <w:r>
              <w:rPr>
                <w:rFonts w:ascii="Calibri" w:hAnsi="Calibri" w:cs="Calibri"/>
                <w:color w:val="000000"/>
                <w:szCs w:val="22"/>
              </w:rPr>
              <w:t>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F5F252" w14:textId="77777777" w:rsidR="00EB4A22" w:rsidRPr="009E78BF" w:rsidRDefault="00EB4A22" w:rsidP="00B12430">
            <w:pPr>
              <w:widowControl w:val="0"/>
              <w:jc w:val="center"/>
              <w:rPr>
                <w:rFonts w:ascii="Calibri" w:hAnsi="Calibri" w:cs="Calibri"/>
                <w:color w:val="000000"/>
                <w:szCs w:val="22"/>
              </w:rPr>
            </w:pPr>
            <w:r w:rsidRPr="009E78BF">
              <w:rPr>
                <w:rFonts w:ascii="Calibri" w:hAnsi="Calibri" w:cs="Calibri"/>
                <w:color w:val="000000"/>
                <w:szCs w:val="22"/>
              </w:rPr>
              <w:t>17.7%</w:t>
            </w:r>
          </w:p>
        </w:tc>
      </w:tr>
      <w:tr w:rsidR="00EB4A22" w14:paraId="5FC1D915"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67A9C"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A840C"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108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87DE1"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23.3%</w:t>
            </w:r>
          </w:p>
        </w:tc>
      </w:tr>
      <w:tr w:rsidR="00EB4A22" w14:paraId="432B5F96"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2AB1EB3F"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14:paraId="069AA9F4"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33</w:t>
            </w:r>
          </w:p>
        </w:tc>
        <w:tc>
          <w:tcPr>
            <w:tcW w:w="1418" w:type="dxa"/>
            <w:tcBorders>
              <w:top w:val="single" w:sz="4" w:space="0" w:color="auto"/>
              <w:left w:val="single" w:sz="4" w:space="0" w:color="auto"/>
              <w:bottom w:val="single" w:sz="4" w:space="0" w:color="auto"/>
              <w:right w:val="single" w:sz="4" w:space="0" w:color="auto"/>
            </w:tcBorders>
            <w:vAlign w:val="center"/>
          </w:tcPr>
          <w:p w14:paraId="7676B5DA"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7.1%</w:t>
            </w:r>
          </w:p>
        </w:tc>
      </w:tr>
      <w:tr w:rsidR="00EB4A22" w14:paraId="51BABB9D"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71FECCD7"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14:paraId="57053BA8"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tcPr>
          <w:p w14:paraId="7ECE7711" w14:textId="77777777" w:rsidR="00EB4A22" w:rsidRDefault="00EB4A22" w:rsidP="00B12430">
            <w:pPr>
              <w:jc w:val="center"/>
            </w:pPr>
            <w:r>
              <w:t>1.9%</w:t>
            </w:r>
          </w:p>
        </w:tc>
      </w:tr>
      <w:tr w:rsidR="00EB4A22" w14:paraId="2A9DA770"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03BC5A5E"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14:paraId="6BE383F0"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tcPr>
          <w:p w14:paraId="12498C72" w14:textId="77777777" w:rsidR="00EB4A22" w:rsidRDefault="00EB4A22" w:rsidP="00B12430">
            <w:pPr>
              <w:jc w:val="center"/>
            </w:pPr>
            <w:r>
              <w:t>2.4%</w:t>
            </w:r>
          </w:p>
        </w:tc>
      </w:tr>
      <w:tr w:rsidR="00EB4A22" w14:paraId="283F2342"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7D2D4C19"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tcPr>
          <w:p w14:paraId="4DCD682C"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14:paraId="5C223B05" w14:textId="77777777" w:rsidR="00EB4A22" w:rsidRDefault="00EB4A22" w:rsidP="00B12430">
            <w:pPr>
              <w:jc w:val="center"/>
            </w:pPr>
            <w:r>
              <w:t>2.2%</w:t>
            </w:r>
          </w:p>
        </w:tc>
      </w:tr>
      <w:tr w:rsidR="00EB4A22" w14:paraId="32509FD9"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193858CC"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provider</w:t>
            </w:r>
          </w:p>
        </w:tc>
        <w:tc>
          <w:tcPr>
            <w:tcW w:w="1701" w:type="dxa"/>
            <w:tcBorders>
              <w:top w:val="single" w:sz="4" w:space="0" w:color="auto"/>
              <w:left w:val="single" w:sz="4" w:space="0" w:color="auto"/>
              <w:bottom w:val="single" w:sz="4" w:space="0" w:color="auto"/>
              <w:right w:val="single" w:sz="4" w:space="0" w:color="auto"/>
            </w:tcBorders>
            <w:vAlign w:val="center"/>
          </w:tcPr>
          <w:p w14:paraId="21B337F8"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14:paraId="7376DEDC" w14:textId="77777777" w:rsidR="00EB4A22" w:rsidRDefault="00EB4A22" w:rsidP="00B12430">
            <w:pPr>
              <w:jc w:val="center"/>
            </w:pPr>
            <w:r>
              <w:rPr>
                <w:rFonts w:ascii="Calibri" w:hAnsi="Calibri" w:cs="Calibri"/>
                <w:color w:val="000000"/>
                <w:szCs w:val="22"/>
              </w:rPr>
              <w:t>0.9%</w:t>
            </w:r>
          </w:p>
        </w:tc>
      </w:tr>
      <w:tr w:rsidR="00EB4A22" w14:paraId="16D040B8"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5A112079"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14:paraId="5E179739"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tcPr>
          <w:p w14:paraId="4A115AAB" w14:textId="77777777" w:rsidR="00EB4A22" w:rsidRDefault="00EB4A22" w:rsidP="00B12430">
            <w:pPr>
              <w:jc w:val="center"/>
            </w:pPr>
            <w:r>
              <w:t>3.0%</w:t>
            </w:r>
          </w:p>
        </w:tc>
      </w:tr>
      <w:tr w:rsidR="00EB4A22" w14:paraId="37C135BF"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4E4F8A37"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14:paraId="5C7642BC"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39</w:t>
            </w:r>
          </w:p>
        </w:tc>
        <w:tc>
          <w:tcPr>
            <w:tcW w:w="1418" w:type="dxa"/>
            <w:tcBorders>
              <w:top w:val="single" w:sz="4" w:space="0" w:color="auto"/>
              <w:left w:val="single" w:sz="4" w:space="0" w:color="auto"/>
              <w:bottom w:val="single" w:sz="4" w:space="0" w:color="auto"/>
              <w:right w:val="single" w:sz="4" w:space="0" w:color="auto"/>
            </w:tcBorders>
          </w:tcPr>
          <w:p w14:paraId="3FEB0F92" w14:textId="77777777" w:rsidR="00EB4A22" w:rsidRDefault="00EB4A22" w:rsidP="00B12430">
            <w:pPr>
              <w:jc w:val="center"/>
            </w:pPr>
            <w:r>
              <w:t>8.4%</w:t>
            </w:r>
          </w:p>
        </w:tc>
      </w:tr>
      <w:tr w:rsidR="00EB4A22" w14:paraId="5B18A022"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0A37B4D6"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tcPr>
          <w:p w14:paraId="16211E0E"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14:paraId="0F8ACE4A"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1.3%</w:t>
            </w:r>
          </w:p>
        </w:tc>
      </w:tr>
      <w:tr w:rsidR="00EB4A22" w14:paraId="2D91B7B4"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5AC41B7B"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regarding consent when consumer not competent</w:t>
            </w:r>
          </w:p>
        </w:tc>
        <w:tc>
          <w:tcPr>
            <w:tcW w:w="1701" w:type="dxa"/>
            <w:tcBorders>
              <w:top w:val="single" w:sz="4" w:space="0" w:color="auto"/>
              <w:left w:val="single" w:sz="4" w:space="0" w:color="auto"/>
              <w:bottom w:val="single" w:sz="4" w:space="0" w:color="auto"/>
              <w:right w:val="single" w:sz="4" w:space="0" w:color="auto"/>
            </w:tcBorders>
            <w:vAlign w:val="center"/>
          </w:tcPr>
          <w:p w14:paraId="305F2370"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4CDF4CCA"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1.5%</w:t>
            </w:r>
          </w:p>
        </w:tc>
      </w:tr>
      <w:tr w:rsidR="00EB4A22" w14:paraId="1ABA8CE5"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4A413175"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14:paraId="421330C4"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7542B22E"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3.7%</w:t>
            </w:r>
          </w:p>
        </w:tc>
      </w:tr>
      <w:tr w:rsidR="00EB4A22" w14:paraId="116C81C8"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BBDC2D"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A598E"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32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4A60B4"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6.9%</w:t>
            </w:r>
          </w:p>
        </w:tc>
      </w:tr>
      <w:tr w:rsidR="00EB4A22" w14:paraId="0C641F55"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0ABB8577"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tcPr>
          <w:p w14:paraId="56FBD55C"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16350DEE"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0.6%</w:t>
            </w:r>
          </w:p>
        </w:tc>
      </w:tr>
      <w:tr w:rsidR="00EB4A22" w14:paraId="3FA6B1D6"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7812B85F"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14:paraId="01381312"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27</w:t>
            </w:r>
          </w:p>
        </w:tc>
        <w:tc>
          <w:tcPr>
            <w:tcW w:w="1418" w:type="dxa"/>
            <w:tcBorders>
              <w:top w:val="single" w:sz="4" w:space="0" w:color="auto"/>
              <w:left w:val="single" w:sz="4" w:space="0" w:color="auto"/>
              <w:bottom w:val="single" w:sz="4" w:space="0" w:color="auto"/>
              <w:right w:val="single" w:sz="4" w:space="0" w:color="auto"/>
            </w:tcBorders>
            <w:vAlign w:val="center"/>
          </w:tcPr>
          <w:p w14:paraId="5F404512"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5.8%</w:t>
            </w:r>
          </w:p>
        </w:tc>
      </w:tr>
      <w:tr w:rsidR="00EB4A22" w14:paraId="1F714C85"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79012C11"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14:paraId="3D047366"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6ECBE732"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0.6%</w:t>
            </w:r>
          </w:p>
        </w:tc>
      </w:tr>
      <w:tr w:rsidR="00EB4A22" w14:paraId="26C4E1C9"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915EC2"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D2D83"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76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7F027"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16.4%</w:t>
            </w:r>
          </w:p>
        </w:tc>
      </w:tr>
      <w:tr w:rsidR="00EB4A22" w14:paraId="5B5D1A4C"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6A1698C9"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Accreditation/statutory obligations not met</w:t>
            </w:r>
          </w:p>
        </w:tc>
        <w:tc>
          <w:tcPr>
            <w:tcW w:w="1701" w:type="dxa"/>
            <w:tcBorders>
              <w:top w:val="single" w:sz="4" w:space="0" w:color="auto"/>
              <w:left w:val="single" w:sz="4" w:space="0" w:color="auto"/>
              <w:bottom w:val="single" w:sz="4" w:space="0" w:color="auto"/>
              <w:right w:val="single" w:sz="4" w:space="0" w:color="auto"/>
            </w:tcBorders>
            <w:vAlign w:val="center"/>
          </w:tcPr>
          <w:p w14:paraId="7FF03CC5"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14:paraId="3E584508" w14:textId="77777777" w:rsidR="00EB4A22" w:rsidRDefault="00EB4A22" w:rsidP="00B12430">
            <w:pPr>
              <w:jc w:val="center"/>
            </w:pPr>
            <w:r>
              <w:t>1.1%</w:t>
            </w:r>
          </w:p>
        </w:tc>
      </w:tr>
      <w:tr w:rsidR="00EB4A22" w14:paraId="7CCABDC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1DC6C003"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Cleanliness/hygiene issue</w:t>
            </w:r>
          </w:p>
        </w:tc>
        <w:tc>
          <w:tcPr>
            <w:tcW w:w="1701" w:type="dxa"/>
            <w:tcBorders>
              <w:top w:val="single" w:sz="4" w:space="0" w:color="auto"/>
              <w:left w:val="single" w:sz="4" w:space="0" w:color="auto"/>
              <w:bottom w:val="single" w:sz="4" w:space="0" w:color="auto"/>
              <w:right w:val="single" w:sz="4" w:space="0" w:color="auto"/>
            </w:tcBorders>
            <w:vAlign w:val="center"/>
          </w:tcPr>
          <w:p w14:paraId="6CC0E3DE"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tcPr>
          <w:p w14:paraId="3EF29F01" w14:textId="77777777" w:rsidR="00EB4A22" w:rsidRDefault="00EB4A22" w:rsidP="00B12430">
            <w:pPr>
              <w:jc w:val="center"/>
            </w:pPr>
            <w:r>
              <w:t>1.7%</w:t>
            </w:r>
          </w:p>
        </w:tc>
      </w:tr>
      <w:tr w:rsidR="00EB4A22" w14:paraId="7637D95D"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08E07CE1"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follow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27236CBA"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14:paraId="150EDCC3" w14:textId="77777777" w:rsidR="00EB4A22" w:rsidRDefault="00EB4A22" w:rsidP="00B12430">
            <w:pPr>
              <w:jc w:val="center"/>
            </w:pPr>
            <w:r>
              <w:t>1.1%</w:t>
            </w:r>
          </w:p>
        </w:tc>
      </w:tr>
      <w:tr w:rsidR="00EB4A22" w14:paraId="436046F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579AAB49"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14:paraId="63A9FBF0"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17</w:t>
            </w:r>
          </w:p>
        </w:tc>
        <w:tc>
          <w:tcPr>
            <w:tcW w:w="1418" w:type="dxa"/>
            <w:tcBorders>
              <w:top w:val="single" w:sz="4" w:space="0" w:color="auto"/>
              <w:left w:val="single" w:sz="4" w:space="0" w:color="auto"/>
              <w:bottom w:val="single" w:sz="4" w:space="0" w:color="auto"/>
              <w:right w:val="single" w:sz="4" w:space="0" w:color="auto"/>
            </w:tcBorders>
          </w:tcPr>
          <w:p w14:paraId="0B332006" w14:textId="77777777" w:rsidR="00EB4A22" w:rsidRDefault="00EB4A22" w:rsidP="00B12430">
            <w:pPr>
              <w:jc w:val="center"/>
            </w:pPr>
            <w:r>
              <w:t>3.7%</w:t>
            </w:r>
          </w:p>
        </w:tc>
      </w:tr>
      <w:tr w:rsidR="00EB4A22" w14:paraId="3DEBB889"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5F905CAE"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40407A52"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34</w:t>
            </w:r>
          </w:p>
        </w:tc>
        <w:tc>
          <w:tcPr>
            <w:tcW w:w="1418" w:type="dxa"/>
            <w:tcBorders>
              <w:top w:val="single" w:sz="4" w:space="0" w:color="auto"/>
              <w:left w:val="single" w:sz="4" w:space="0" w:color="auto"/>
              <w:bottom w:val="single" w:sz="4" w:space="0" w:color="auto"/>
              <w:right w:val="single" w:sz="4" w:space="0" w:color="auto"/>
            </w:tcBorders>
          </w:tcPr>
          <w:p w14:paraId="04A15FFA" w14:textId="77777777" w:rsidR="00EB4A22" w:rsidRDefault="00EB4A22" w:rsidP="00B12430">
            <w:pPr>
              <w:jc w:val="center"/>
            </w:pPr>
            <w:r>
              <w:t>7.3%</w:t>
            </w:r>
          </w:p>
        </w:tc>
      </w:tr>
      <w:tr w:rsidR="00EB4A22" w14:paraId="52348F18"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17133AE3"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quality of aids/equipment</w:t>
            </w:r>
          </w:p>
        </w:tc>
        <w:tc>
          <w:tcPr>
            <w:tcW w:w="1701" w:type="dxa"/>
            <w:tcBorders>
              <w:top w:val="single" w:sz="4" w:space="0" w:color="auto"/>
              <w:left w:val="single" w:sz="4" w:space="0" w:color="auto"/>
              <w:bottom w:val="single" w:sz="4" w:space="0" w:color="auto"/>
              <w:right w:val="single" w:sz="4" w:space="0" w:color="auto"/>
            </w:tcBorders>
            <w:vAlign w:val="center"/>
          </w:tcPr>
          <w:p w14:paraId="57C6C525"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14:paraId="7F85FC7F" w14:textId="77777777" w:rsidR="00EB4A22" w:rsidRDefault="00EB4A22" w:rsidP="00B12430">
            <w:pPr>
              <w:jc w:val="center"/>
            </w:pPr>
            <w:r>
              <w:t>1.5%</w:t>
            </w:r>
          </w:p>
        </w:tc>
      </w:tr>
      <w:tr w:rsidR="00EB4A22" w14:paraId="76A1D72C"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45626868"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sharing facility with other consumers</w:t>
            </w:r>
          </w:p>
        </w:tc>
        <w:tc>
          <w:tcPr>
            <w:tcW w:w="1701" w:type="dxa"/>
            <w:tcBorders>
              <w:top w:val="single" w:sz="4" w:space="0" w:color="auto"/>
              <w:left w:val="single" w:sz="4" w:space="0" w:color="auto"/>
              <w:bottom w:val="single" w:sz="4" w:space="0" w:color="auto"/>
              <w:right w:val="single" w:sz="4" w:space="0" w:color="auto"/>
            </w:tcBorders>
            <w:vAlign w:val="center"/>
          </w:tcPr>
          <w:p w14:paraId="6B4C2BB4"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643594FF" w14:textId="77777777" w:rsidR="00EB4A22" w:rsidRDefault="00EB4A22" w:rsidP="00B12430">
            <w:pPr>
              <w:jc w:val="center"/>
            </w:pPr>
            <w:r>
              <w:t>0.4%</w:t>
            </w:r>
          </w:p>
        </w:tc>
      </w:tr>
      <w:tr w:rsidR="00EB4A22" w14:paraId="1E5AF95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39C89956"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Staffing/rostering/other HR issue</w:t>
            </w:r>
          </w:p>
        </w:tc>
        <w:tc>
          <w:tcPr>
            <w:tcW w:w="1701" w:type="dxa"/>
            <w:tcBorders>
              <w:top w:val="single" w:sz="4" w:space="0" w:color="auto"/>
              <w:left w:val="single" w:sz="4" w:space="0" w:color="auto"/>
              <w:bottom w:val="single" w:sz="4" w:space="0" w:color="auto"/>
              <w:right w:val="single" w:sz="4" w:space="0" w:color="auto"/>
            </w:tcBorders>
            <w:vAlign w:val="center"/>
          </w:tcPr>
          <w:p w14:paraId="5FAF56E0"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14:paraId="64A4B906" w14:textId="77777777" w:rsidR="00EB4A22" w:rsidRDefault="00EB4A22" w:rsidP="00B12430">
            <w:pPr>
              <w:jc w:val="center"/>
            </w:pPr>
            <w:r>
              <w:t>2.2%</w:t>
            </w:r>
          </w:p>
        </w:tc>
      </w:tr>
      <w:tr w:rsidR="00EB4A22" w14:paraId="1CBC262F"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231D4AFD"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14:paraId="35D29C76"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14:paraId="6BC91875" w14:textId="77777777" w:rsidR="00EB4A22" w:rsidRDefault="00EB4A22" w:rsidP="00B12430">
            <w:pPr>
              <w:jc w:val="center"/>
            </w:pPr>
            <w:r>
              <w:rPr>
                <w:rFonts w:ascii="Calibri" w:hAnsi="Calibri" w:cs="Calibri"/>
                <w:color w:val="000000"/>
                <w:szCs w:val="22"/>
              </w:rPr>
              <w:t>0.9%</w:t>
            </w:r>
          </w:p>
        </w:tc>
      </w:tr>
      <w:tr w:rsidR="00EB4A22" w14:paraId="1610750C"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119F47"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86E90"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51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66940"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11.0%</w:t>
            </w:r>
          </w:p>
        </w:tc>
      </w:tr>
      <w:tr w:rsidR="00EB4A22" w14:paraId="5B8F16BF"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10671B10"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14:paraId="5E85F626"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14:paraId="5440F8A1" w14:textId="77777777" w:rsidR="00EB4A22" w:rsidRDefault="00EB4A22" w:rsidP="00B12430">
            <w:pPr>
              <w:jc w:val="center"/>
            </w:pPr>
            <w:r>
              <w:t>1.3%</w:t>
            </w:r>
          </w:p>
        </w:tc>
      </w:tr>
      <w:tr w:rsidR="00EB4A22" w14:paraId="4C13B40C"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1B688A8F"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Dispensing error</w:t>
            </w:r>
          </w:p>
        </w:tc>
        <w:tc>
          <w:tcPr>
            <w:tcW w:w="1701" w:type="dxa"/>
            <w:tcBorders>
              <w:top w:val="single" w:sz="4" w:space="0" w:color="auto"/>
              <w:left w:val="single" w:sz="4" w:space="0" w:color="auto"/>
              <w:bottom w:val="single" w:sz="4" w:space="0" w:color="auto"/>
              <w:right w:val="single" w:sz="4" w:space="0" w:color="auto"/>
            </w:tcBorders>
            <w:vAlign w:val="center"/>
          </w:tcPr>
          <w:p w14:paraId="14985C61"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341CB334"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0.4%</w:t>
            </w:r>
          </w:p>
        </w:tc>
      </w:tr>
      <w:tr w:rsidR="00EB4A22" w14:paraId="63192153"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2AEF0840"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14:paraId="2F1C5B90"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6DF174C2"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1.1%</w:t>
            </w:r>
          </w:p>
        </w:tc>
      </w:tr>
      <w:tr w:rsidR="00EB4A22" w14:paraId="4F32D0F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562047E4"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14:paraId="2F72CE65"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31</w:t>
            </w:r>
          </w:p>
        </w:tc>
        <w:tc>
          <w:tcPr>
            <w:tcW w:w="1418" w:type="dxa"/>
            <w:tcBorders>
              <w:top w:val="single" w:sz="4" w:space="0" w:color="auto"/>
              <w:left w:val="single" w:sz="4" w:space="0" w:color="auto"/>
              <w:bottom w:val="single" w:sz="4" w:space="0" w:color="auto"/>
              <w:right w:val="single" w:sz="4" w:space="0" w:color="auto"/>
            </w:tcBorders>
            <w:vAlign w:val="center"/>
          </w:tcPr>
          <w:p w14:paraId="6264C6FD"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6.7%</w:t>
            </w:r>
          </w:p>
        </w:tc>
      </w:tr>
      <w:tr w:rsidR="00EB4A22" w14:paraId="12403D23"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6B888E7E"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tcPr>
          <w:p w14:paraId="70CF5907"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14:paraId="5D97590D" w14:textId="77777777" w:rsidR="00EB4A22" w:rsidRDefault="00EB4A22" w:rsidP="00B12430">
            <w:pPr>
              <w:jc w:val="center"/>
            </w:pPr>
            <w:r w:rsidRPr="009E78BF">
              <w:rPr>
                <w:rFonts w:ascii="Calibri" w:hAnsi="Calibri" w:cs="Calibri"/>
                <w:color w:val="000000"/>
                <w:szCs w:val="22"/>
              </w:rPr>
              <w:t>0.2%</w:t>
            </w:r>
          </w:p>
        </w:tc>
      </w:tr>
      <w:tr w:rsidR="00EB4A22" w14:paraId="55663D0D"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45763364"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14:paraId="629E6EB3"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14:paraId="7309AE07" w14:textId="77777777" w:rsidR="00EB4A22" w:rsidRDefault="00EB4A22" w:rsidP="00B12430">
            <w:pPr>
              <w:jc w:val="center"/>
            </w:pPr>
            <w:r>
              <w:t>1.5%</w:t>
            </w:r>
          </w:p>
        </w:tc>
      </w:tr>
      <w:tr w:rsidR="00EB4A22" w14:paraId="289805CB"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0F4F6"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026805"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11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D5BCF"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2.4%</w:t>
            </w:r>
          </w:p>
        </w:tc>
      </w:tr>
      <w:tr w:rsidR="00EB4A22" w14:paraId="50941A93"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6B22FE4E"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82F411" w14:textId="77777777" w:rsidR="00EB4A22" w:rsidRPr="004D62A7" w:rsidRDefault="00EB4A22" w:rsidP="00B12430">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DA023A" w14:textId="77777777" w:rsidR="00EB4A22" w:rsidRPr="00F16F2F" w:rsidRDefault="00EB4A22" w:rsidP="00B12430">
            <w:pPr>
              <w:widowControl w:val="0"/>
              <w:jc w:val="center"/>
              <w:rPr>
                <w:rFonts w:ascii="Calibri" w:hAnsi="Calibri" w:cs="Calibri"/>
                <w:color w:val="000000"/>
                <w:szCs w:val="22"/>
              </w:rPr>
            </w:pPr>
            <w:r>
              <w:rPr>
                <w:rFonts w:ascii="Calibri" w:hAnsi="Calibri" w:cs="Calibri"/>
                <w:color w:val="000000"/>
                <w:szCs w:val="22"/>
              </w:rPr>
              <w:t>2.4%</w:t>
            </w:r>
          </w:p>
        </w:tc>
      </w:tr>
      <w:tr w:rsidR="00EB4A22" w14:paraId="59BEFC70"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C5962"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Teamwork/supervision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DF898"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69997"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1.1%</w:t>
            </w:r>
          </w:p>
        </w:tc>
      </w:tr>
      <w:tr w:rsidR="00EB4A22" w14:paraId="1C688730"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0EE73293" w14:textId="6E449674" w:rsidR="00EB4A22" w:rsidRPr="00210961" w:rsidRDefault="00B12430" w:rsidP="00B12430">
            <w:pPr>
              <w:widowControl w:val="0"/>
              <w:tabs>
                <w:tab w:val="left" w:pos="176"/>
                <w:tab w:val="left" w:pos="1440"/>
                <w:tab w:val="decimal" w:pos="4320"/>
              </w:tabs>
              <w:jc w:val="left"/>
              <w:outlineLvl w:val="0"/>
              <w:rPr>
                <w:rFonts w:ascii="Calibri" w:hAnsi="Calibri"/>
                <w:szCs w:val="22"/>
              </w:rPr>
            </w:pPr>
            <w:r>
              <w:rPr>
                <w:rFonts w:ascii="Calibri" w:hAnsi="Calibri"/>
                <w:szCs w:val="22"/>
              </w:rPr>
              <w:t xml:space="preserve">  </w:t>
            </w:r>
            <w:r w:rsidR="00EB4A22" w:rsidRPr="00210961">
              <w:rPr>
                <w:rFonts w:ascii="Calibri" w:hAnsi="Calibri"/>
                <w:szCs w:val="22"/>
              </w:rPr>
              <w:t>Inadequate supervision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8BFBBB" w14:textId="77777777" w:rsidR="00EB4A22" w:rsidRPr="00210961" w:rsidRDefault="00EB4A22" w:rsidP="00B1243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4515F7" w14:textId="77777777" w:rsidR="00EB4A22" w:rsidRPr="00210961" w:rsidRDefault="00EB4A22" w:rsidP="00B12430">
            <w:pPr>
              <w:widowControl w:val="0"/>
              <w:jc w:val="center"/>
              <w:rPr>
                <w:rFonts w:ascii="Calibri" w:hAnsi="Calibri" w:cs="Calibri"/>
                <w:color w:val="000000"/>
                <w:szCs w:val="22"/>
              </w:rPr>
            </w:pPr>
            <w:r>
              <w:rPr>
                <w:rFonts w:ascii="Calibri" w:hAnsi="Calibri" w:cs="Calibri"/>
                <w:color w:val="000000"/>
                <w:szCs w:val="22"/>
              </w:rPr>
              <w:t>1.1%</w:t>
            </w:r>
          </w:p>
        </w:tc>
      </w:tr>
      <w:tr w:rsidR="00EB4A22" w14:paraId="22112154"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709D6"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E148EF"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48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7CBC5"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10.3%</w:t>
            </w:r>
          </w:p>
        </w:tc>
      </w:tr>
      <w:tr w:rsidR="00EB4A22" w14:paraId="170AC8FF"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0638686A"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Assault</w:t>
            </w:r>
          </w:p>
        </w:tc>
        <w:tc>
          <w:tcPr>
            <w:tcW w:w="1701" w:type="dxa"/>
            <w:tcBorders>
              <w:top w:val="single" w:sz="4" w:space="0" w:color="auto"/>
              <w:left w:val="single" w:sz="4" w:space="0" w:color="auto"/>
              <w:bottom w:val="single" w:sz="4" w:space="0" w:color="auto"/>
              <w:right w:val="single" w:sz="4" w:space="0" w:color="auto"/>
            </w:tcBorders>
            <w:vAlign w:val="center"/>
          </w:tcPr>
          <w:p w14:paraId="3D0A5644"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14:paraId="509C4B8A"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1.3%</w:t>
            </w:r>
          </w:p>
        </w:tc>
      </w:tr>
      <w:tr w:rsidR="00EB4A22" w14:paraId="2CC5A5F3"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13CDACA4"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tcPr>
          <w:p w14:paraId="5464C66D"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14:paraId="391D1BF0"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2.8%</w:t>
            </w:r>
          </w:p>
        </w:tc>
      </w:tr>
      <w:tr w:rsidR="00EB4A22" w14:paraId="69113BA3"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357C1400"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14:paraId="74180ABB"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25</w:t>
            </w:r>
          </w:p>
        </w:tc>
        <w:tc>
          <w:tcPr>
            <w:tcW w:w="1418" w:type="dxa"/>
            <w:tcBorders>
              <w:top w:val="single" w:sz="4" w:space="0" w:color="auto"/>
              <w:left w:val="single" w:sz="4" w:space="0" w:color="auto"/>
              <w:bottom w:val="single" w:sz="4" w:space="0" w:color="auto"/>
              <w:right w:val="single" w:sz="4" w:space="0" w:color="auto"/>
            </w:tcBorders>
          </w:tcPr>
          <w:p w14:paraId="596093C1" w14:textId="77777777" w:rsidR="00EB4A22" w:rsidRDefault="00EB4A22" w:rsidP="00B12430">
            <w:pPr>
              <w:jc w:val="center"/>
            </w:pPr>
            <w:r>
              <w:t>5.4%</w:t>
            </w:r>
          </w:p>
        </w:tc>
      </w:tr>
      <w:tr w:rsidR="00EB4A22" w14:paraId="5C151239"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5529C4F7"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 xml:space="preserve">Other </w:t>
            </w:r>
          </w:p>
        </w:tc>
        <w:tc>
          <w:tcPr>
            <w:tcW w:w="1701" w:type="dxa"/>
            <w:tcBorders>
              <w:top w:val="single" w:sz="4" w:space="0" w:color="auto"/>
              <w:left w:val="single" w:sz="4" w:space="0" w:color="auto"/>
              <w:bottom w:val="single" w:sz="4" w:space="0" w:color="auto"/>
              <w:right w:val="single" w:sz="4" w:space="0" w:color="auto"/>
            </w:tcBorders>
            <w:vAlign w:val="center"/>
          </w:tcPr>
          <w:p w14:paraId="3E760F06" w14:textId="77777777" w:rsidR="00EB4A22" w:rsidRDefault="00EB4A22" w:rsidP="00B12430">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tcPr>
          <w:p w14:paraId="522B241B" w14:textId="77777777" w:rsidR="00EB4A22" w:rsidRDefault="00EB4A22" w:rsidP="00B12430">
            <w:pPr>
              <w:jc w:val="center"/>
            </w:pPr>
            <w:r>
              <w:t>1.9%</w:t>
            </w:r>
          </w:p>
        </w:tc>
      </w:tr>
      <w:tr w:rsidR="00EB4A22" w14:paraId="53B9DA40"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68FC8F" w14:textId="77777777" w:rsidR="00EB4A22" w:rsidRDefault="00EB4A22" w:rsidP="00B12430">
            <w:pPr>
              <w:widowControl w:val="0"/>
              <w:tabs>
                <w:tab w:val="left" w:pos="176"/>
                <w:tab w:val="left" w:pos="1440"/>
                <w:tab w:val="decimal" w:pos="4320"/>
              </w:tabs>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DCA58"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88E59" w14:textId="77777777" w:rsidR="00EB4A22" w:rsidRPr="00756A8F" w:rsidRDefault="00EB4A22" w:rsidP="00B12430">
            <w:pPr>
              <w:widowControl w:val="0"/>
              <w:jc w:val="center"/>
              <w:rPr>
                <w:rFonts w:ascii="Calibri" w:hAnsi="Calibri" w:cs="Calibri"/>
                <w:b/>
                <w:i/>
                <w:color w:val="000000"/>
                <w:szCs w:val="22"/>
              </w:rPr>
            </w:pPr>
          </w:p>
        </w:tc>
      </w:tr>
      <w:tr w:rsidR="00EB4A22" w14:paraId="259C4383"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B500" w14:textId="77777777" w:rsidR="00EB4A22" w:rsidRDefault="00EB4A22" w:rsidP="00B12430">
            <w:pPr>
              <w:widowControl w:val="0"/>
              <w:tabs>
                <w:tab w:val="left" w:pos="176"/>
                <w:tab w:val="left" w:pos="1440"/>
                <w:tab w:val="decimal" w:pos="4320"/>
              </w:tabs>
              <w:outlineLvl w:val="0"/>
              <w:rPr>
                <w:rFonts w:ascii="Calibri" w:hAnsi="Calibri"/>
                <w:b/>
                <w:i/>
                <w:szCs w:val="22"/>
              </w:rPr>
            </w:pPr>
            <w:r>
              <w:rPr>
                <w:rFonts w:ascii="Calibri" w:hAnsi="Calibri"/>
                <w:b/>
                <w:i/>
                <w:szCs w:val="22"/>
              </w:rPr>
              <w:t>Other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A7C1E" w14:textId="77777777" w:rsidR="00EB4A22" w:rsidRDefault="00EB4A22" w:rsidP="00B12430">
            <w:pPr>
              <w:widowControl w:val="0"/>
              <w:jc w:val="center"/>
              <w:rPr>
                <w:rFonts w:ascii="Calibri" w:hAnsi="Calibri" w:cs="Calibri"/>
                <w:b/>
                <w:i/>
                <w:color w:val="000000"/>
                <w:szCs w:val="22"/>
              </w:rPr>
            </w:pPr>
            <w:r>
              <w:rPr>
                <w:rFonts w:ascii="Calibri" w:hAnsi="Calibri" w:cs="Calibri"/>
                <w:b/>
                <w:i/>
                <w:color w:val="000000"/>
                <w:szCs w:val="22"/>
              </w:rPr>
              <w:t>16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870CC" w14:textId="77777777" w:rsidR="00EB4A22" w:rsidRDefault="00EB4A22" w:rsidP="00B12430">
            <w:pPr>
              <w:widowControl w:val="0"/>
              <w:jc w:val="center"/>
              <w:rPr>
                <w:rFonts w:ascii="Calibri" w:hAnsi="Calibri" w:cs="Calibri"/>
                <w:b/>
                <w:i/>
                <w:color w:val="000000"/>
                <w:szCs w:val="22"/>
              </w:rPr>
            </w:pPr>
          </w:p>
        </w:tc>
      </w:tr>
    </w:tbl>
    <w:p w14:paraId="76D6C6BD" w14:textId="77777777" w:rsidR="00EB4A22" w:rsidRPr="009E78BF" w:rsidRDefault="00EB4A22" w:rsidP="00EB4A22">
      <w:pPr>
        <w:spacing w:before="480" w:after="240"/>
      </w:pPr>
      <w:r>
        <w:br w:type="page"/>
      </w:r>
    </w:p>
    <w:p w14:paraId="28932BCF" w14:textId="77777777" w:rsidR="00EB4A22" w:rsidRPr="009E78BF" w:rsidRDefault="00EB4A22" w:rsidP="00EB4A22">
      <w:pPr>
        <w:spacing w:after="120"/>
        <w:rPr>
          <w:b/>
          <w:szCs w:val="26"/>
        </w:rPr>
      </w:pPr>
      <w:r w:rsidRPr="00AF3542">
        <w:t xml:space="preserve">On analysis of all issues identified in complaints about DHBs, the most common complaint issue categories were: </w:t>
      </w:r>
    </w:p>
    <w:p w14:paraId="31047473" w14:textId="77777777" w:rsidR="00EB4A22" w:rsidRPr="00AF3542" w:rsidRDefault="00EB4A22" w:rsidP="001E3CF1">
      <w:pPr>
        <w:pStyle w:val="ListParagraph"/>
        <w:numPr>
          <w:ilvl w:val="0"/>
          <w:numId w:val="5"/>
        </w:numPr>
        <w:ind w:left="284" w:hanging="284"/>
        <w:rPr>
          <w:rFonts w:ascii="Calibri" w:hAnsi="Calibri"/>
          <w:szCs w:val="22"/>
        </w:rPr>
      </w:pPr>
      <w:r w:rsidRPr="00AF3542">
        <w:rPr>
          <w:rFonts w:ascii="Calibri" w:hAnsi="Calibri"/>
          <w:szCs w:val="22"/>
        </w:rPr>
        <w:t xml:space="preserve">Care/treatment (present for </w:t>
      </w:r>
      <w:r>
        <w:rPr>
          <w:rFonts w:ascii="Calibri" w:hAnsi="Calibri"/>
          <w:szCs w:val="22"/>
        </w:rPr>
        <w:t>76</w:t>
      </w:r>
      <w:r w:rsidRPr="00AF3542">
        <w:rPr>
          <w:rFonts w:ascii="Calibri" w:hAnsi="Calibri"/>
          <w:szCs w:val="22"/>
        </w:rPr>
        <w:t xml:space="preserve">% of all complaints) </w:t>
      </w:r>
    </w:p>
    <w:p w14:paraId="12F427DD" w14:textId="77777777" w:rsidR="00EB4A22" w:rsidRDefault="00EB4A22" w:rsidP="001E3CF1">
      <w:pPr>
        <w:pStyle w:val="ListParagraph"/>
        <w:numPr>
          <w:ilvl w:val="0"/>
          <w:numId w:val="5"/>
        </w:numPr>
        <w:ind w:left="284" w:hanging="284"/>
        <w:rPr>
          <w:rFonts w:ascii="Calibri" w:hAnsi="Calibri"/>
          <w:szCs w:val="22"/>
        </w:rPr>
      </w:pPr>
      <w:r w:rsidRPr="00AF3542">
        <w:rPr>
          <w:rFonts w:ascii="Calibri" w:hAnsi="Calibri"/>
          <w:szCs w:val="22"/>
        </w:rPr>
        <w:t xml:space="preserve">Communication (present for </w:t>
      </w:r>
      <w:r>
        <w:rPr>
          <w:rFonts w:ascii="Calibri" w:hAnsi="Calibri"/>
          <w:szCs w:val="22"/>
        </w:rPr>
        <w:t>70</w:t>
      </w:r>
      <w:r w:rsidRPr="00AF3542">
        <w:rPr>
          <w:rFonts w:ascii="Calibri" w:hAnsi="Calibri"/>
          <w:szCs w:val="22"/>
        </w:rPr>
        <w:t>% of all complaints)</w:t>
      </w:r>
    </w:p>
    <w:p w14:paraId="3BA9F2B9" w14:textId="77777777" w:rsidR="00EB4A22" w:rsidRPr="00EE6433" w:rsidRDefault="00EB4A22" w:rsidP="001E3CF1">
      <w:pPr>
        <w:pStyle w:val="ListParagraph"/>
        <w:numPr>
          <w:ilvl w:val="0"/>
          <w:numId w:val="5"/>
        </w:numPr>
        <w:ind w:left="284" w:hanging="284"/>
        <w:rPr>
          <w:rFonts w:ascii="Calibri" w:hAnsi="Calibri"/>
          <w:szCs w:val="22"/>
        </w:rPr>
      </w:pPr>
      <w:r w:rsidRPr="00AF3542">
        <w:rPr>
          <w:rFonts w:ascii="Calibri" w:hAnsi="Calibri"/>
          <w:szCs w:val="22"/>
        </w:rPr>
        <w:t xml:space="preserve">Consent/information (present for </w:t>
      </w:r>
      <w:r>
        <w:rPr>
          <w:rFonts w:ascii="Calibri" w:hAnsi="Calibri"/>
          <w:szCs w:val="22"/>
        </w:rPr>
        <w:t>23% of all complaints)</w:t>
      </w:r>
    </w:p>
    <w:p w14:paraId="01D167D8" w14:textId="77777777" w:rsidR="00EB4A22" w:rsidRPr="00AF3542" w:rsidRDefault="00EB4A22" w:rsidP="001E3CF1">
      <w:pPr>
        <w:pStyle w:val="ListParagraph"/>
        <w:numPr>
          <w:ilvl w:val="0"/>
          <w:numId w:val="5"/>
        </w:numPr>
        <w:ind w:left="284" w:hanging="284"/>
        <w:rPr>
          <w:rFonts w:ascii="Calibri" w:hAnsi="Calibri"/>
          <w:szCs w:val="22"/>
        </w:rPr>
      </w:pPr>
      <w:r w:rsidRPr="00AF3542">
        <w:rPr>
          <w:rFonts w:ascii="Calibri" w:hAnsi="Calibri"/>
          <w:szCs w:val="22"/>
        </w:rPr>
        <w:t xml:space="preserve">Access/funding (present for </w:t>
      </w:r>
      <w:r>
        <w:rPr>
          <w:rFonts w:ascii="Calibri" w:hAnsi="Calibri"/>
          <w:szCs w:val="22"/>
        </w:rPr>
        <w:t>22</w:t>
      </w:r>
      <w:r w:rsidRPr="00AF3542">
        <w:rPr>
          <w:rFonts w:ascii="Calibri" w:hAnsi="Calibri"/>
          <w:szCs w:val="22"/>
        </w:rPr>
        <w:t xml:space="preserve">% of all complaints) </w:t>
      </w:r>
    </w:p>
    <w:p w14:paraId="59898BA1" w14:textId="77777777" w:rsidR="00EB4A22" w:rsidRDefault="00EB4A22" w:rsidP="00EB4A22">
      <w:pPr>
        <w:rPr>
          <w:rFonts w:ascii="Calibri" w:hAnsi="Calibri"/>
          <w:szCs w:val="22"/>
        </w:rPr>
      </w:pPr>
    </w:p>
    <w:p w14:paraId="0CBE883E" w14:textId="77777777" w:rsidR="00EB4A22" w:rsidRDefault="00EB4A22" w:rsidP="004D22EA">
      <w:pPr>
        <w:keepNext/>
        <w:spacing w:after="120"/>
        <w:rPr>
          <w:rFonts w:ascii="Calibri" w:hAnsi="Calibri"/>
          <w:szCs w:val="22"/>
        </w:rPr>
      </w:pPr>
      <w:r>
        <w:rPr>
          <w:rFonts w:ascii="Calibri" w:hAnsi="Calibri"/>
          <w:szCs w:val="22"/>
        </w:rPr>
        <w:t xml:space="preserve">The most common </w:t>
      </w:r>
      <w:r w:rsidRPr="00AF3542">
        <w:rPr>
          <w:rFonts w:ascii="Calibri" w:hAnsi="Calibri"/>
          <w:i/>
          <w:szCs w:val="22"/>
        </w:rPr>
        <w:t>specific</w:t>
      </w:r>
      <w:r>
        <w:rPr>
          <w:rFonts w:ascii="Calibri" w:hAnsi="Calibri"/>
          <w:szCs w:val="22"/>
        </w:rPr>
        <w:t xml:space="preserve"> issues were: </w:t>
      </w:r>
    </w:p>
    <w:p w14:paraId="047D7A75" w14:textId="77777777" w:rsidR="00EB4A22" w:rsidRPr="009E78BF" w:rsidRDefault="00EB4A22" w:rsidP="001E3CF1">
      <w:pPr>
        <w:pStyle w:val="ListParagraph"/>
        <w:keepNext/>
        <w:numPr>
          <w:ilvl w:val="0"/>
          <w:numId w:val="6"/>
        </w:numPr>
        <w:ind w:left="284" w:hanging="284"/>
        <w:rPr>
          <w:lang w:eastAsia="en-NZ" w:bidi="ar-SA"/>
        </w:rPr>
      </w:pPr>
      <w:r>
        <w:rPr>
          <w:rFonts w:ascii="Calibri" w:hAnsi="Calibri"/>
          <w:szCs w:val="22"/>
        </w:rPr>
        <w:t>F</w:t>
      </w:r>
      <w:r w:rsidRPr="00064B53">
        <w:rPr>
          <w:rFonts w:ascii="Calibri" w:hAnsi="Calibri"/>
          <w:szCs w:val="22"/>
        </w:rPr>
        <w:t>ailure to communicate effectively with consumer</w:t>
      </w:r>
      <w:r>
        <w:rPr>
          <w:rFonts w:ascii="Calibri" w:hAnsi="Calibri"/>
          <w:szCs w:val="22"/>
        </w:rPr>
        <w:t xml:space="preserve"> (37%)</w:t>
      </w:r>
    </w:p>
    <w:p w14:paraId="5CCF9C5D" w14:textId="77777777" w:rsidR="00EB4A22" w:rsidRPr="00B32D14" w:rsidRDefault="00EB4A22" w:rsidP="001E3CF1">
      <w:pPr>
        <w:pStyle w:val="ListParagraph"/>
        <w:numPr>
          <w:ilvl w:val="0"/>
          <w:numId w:val="6"/>
        </w:numPr>
        <w:ind w:left="284" w:hanging="284"/>
        <w:rPr>
          <w:lang w:eastAsia="en-NZ" w:bidi="ar-SA"/>
        </w:rPr>
      </w:pPr>
      <w:r>
        <w:rPr>
          <w:rFonts w:ascii="Calibri" w:hAnsi="Calibri"/>
          <w:szCs w:val="22"/>
        </w:rPr>
        <w:t>Failure to communicate effectively with family (28%)</w:t>
      </w:r>
    </w:p>
    <w:p w14:paraId="23AE8F07" w14:textId="77777777" w:rsidR="00EB4A22" w:rsidRPr="00A4472F" w:rsidRDefault="00EB4A22" w:rsidP="001E3CF1">
      <w:pPr>
        <w:pStyle w:val="ListParagraph"/>
        <w:numPr>
          <w:ilvl w:val="0"/>
          <w:numId w:val="6"/>
        </w:numPr>
        <w:ind w:left="284" w:hanging="284"/>
        <w:rPr>
          <w:lang w:eastAsia="en-NZ" w:bidi="ar-SA"/>
        </w:rPr>
      </w:pPr>
      <w:r>
        <w:rPr>
          <w:rFonts w:ascii="Calibri" w:hAnsi="Calibri"/>
          <w:szCs w:val="22"/>
        </w:rPr>
        <w:t>I</w:t>
      </w:r>
      <w:r w:rsidRPr="00064B53">
        <w:rPr>
          <w:rFonts w:ascii="Calibri" w:hAnsi="Calibri"/>
          <w:szCs w:val="22"/>
        </w:rPr>
        <w:t>nadequate/inappropriate examination/a</w:t>
      </w:r>
      <w:r>
        <w:rPr>
          <w:rFonts w:ascii="Calibri" w:hAnsi="Calibri"/>
          <w:szCs w:val="22"/>
        </w:rPr>
        <w:t>ssessment (27%)</w:t>
      </w:r>
    </w:p>
    <w:p w14:paraId="7AB1C0F4" w14:textId="77777777" w:rsidR="00EB4A22" w:rsidRPr="00A4472F" w:rsidRDefault="00EB4A22" w:rsidP="001E3CF1">
      <w:pPr>
        <w:pStyle w:val="ListParagraph"/>
        <w:numPr>
          <w:ilvl w:val="0"/>
          <w:numId w:val="6"/>
        </w:numPr>
        <w:ind w:left="284" w:hanging="284"/>
        <w:rPr>
          <w:lang w:eastAsia="en-NZ" w:bidi="ar-SA"/>
        </w:rPr>
      </w:pPr>
      <w:r w:rsidRPr="00064B53">
        <w:rPr>
          <w:rFonts w:ascii="Calibri" w:hAnsi="Calibri"/>
          <w:szCs w:val="22"/>
        </w:rPr>
        <w:t>Inadequate/i</w:t>
      </w:r>
      <w:r>
        <w:rPr>
          <w:rFonts w:ascii="Calibri" w:hAnsi="Calibri"/>
          <w:szCs w:val="22"/>
        </w:rPr>
        <w:t>nappropriate clinical treatment (27%)</w:t>
      </w:r>
    </w:p>
    <w:p w14:paraId="10444070" w14:textId="77777777" w:rsidR="00EB4A22" w:rsidRPr="009E78BF" w:rsidRDefault="00EB4A22" w:rsidP="001E3CF1">
      <w:pPr>
        <w:pStyle w:val="ListParagraph"/>
        <w:keepNext/>
        <w:numPr>
          <w:ilvl w:val="0"/>
          <w:numId w:val="6"/>
        </w:numPr>
        <w:ind w:left="284" w:hanging="284"/>
        <w:rPr>
          <w:lang w:eastAsia="en-NZ" w:bidi="ar-SA"/>
        </w:rPr>
      </w:pPr>
      <w:r>
        <w:rPr>
          <w:rFonts w:ascii="Calibri" w:hAnsi="Calibri"/>
          <w:szCs w:val="22"/>
        </w:rPr>
        <w:t>Delay in treatment (22%)</w:t>
      </w:r>
    </w:p>
    <w:p w14:paraId="2568BC77" w14:textId="77777777" w:rsidR="00EB4A22" w:rsidRPr="00A4472F" w:rsidRDefault="00EB4A22" w:rsidP="001E3CF1">
      <w:pPr>
        <w:pStyle w:val="ListParagraph"/>
        <w:numPr>
          <w:ilvl w:val="0"/>
          <w:numId w:val="6"/>
        </w:numPr>
        <w:ind w:left="284" w:hanging="284"/>
        <w:rPr>
          <w:lang w:eastAsia="en-NZ" w:bidi="ar-SA"/>
        </w:rPr>
      </w:pPr>
      <w:r>
        <w:rPr>
          <w:rFonts w:ascii="Calibri" w:hAnsi="Calibri"/>
          <w:szCs w:val="22"/>
        </w:rPr>
        <w:t>M</w:t>
      </w:r>
      <w:r w:rsidRPr="00064B53">
        <w:rPr>
          <w:rFonts w:ascii="Calibri" w:hAnsi="Calibri"/>
          <w:szCs w:val="22"/>
        </w:rPr>
        <w:t>issed/incorrect/delay</w:t>
      </w:r>
      <w:r>
        <w:rPr>
          <w:rFonts w:ascii="Calibri" w:hAnsi="Calibri"/>
          <w:szCs w:val="22"/>
        </w:rPr>
        <w:t>ed diagnosis (20%)</w:t>
      </w:r>
    </w:p>
    <w:p w14:paraId="3E12E86A" w14:textId="77777777" w:rsidR="00EB4A22" w:rsidRPr="009E78BF" w:rsidRDefault="00EB4A22" w:rsidP="001E3CF1">
      <w:pPr>
        <w:pStyle w:val="ListParagraph"/>
        <w:numPr>
          <w:ilvl w:val="0"/>
          <w:numId w:val="6"/>
        </w:numPr>
        <w:ind w:left="284" w:hanging="284"/>
        <w:rPr>
          <w:lang w:eastAsia="en-NZ" w:bidi="ar-SA"/>
        </w:rPr>
      </w:pPr>
      <w:r>
        <w:rPr>
          <w:rFonts w:ascii="Calibri" w:hAnsi="Calibri"/>
          <w:szCs w:val="22"/>
        </w:rPr>
        <w:t>I</w:t>
      </w:r>
      <w:r w:rsidRPr="00064B53">
        <w:rPr>
          <w:rFonts w:ascii="Calibri" w:hAnsi="Calibri"/>
          <w:szCs w:val="22"/>
        </w:rPr>
        <w:t>nadequate coordinatio</w:t>
      </w:r>
      <w:r>
        <w:rPr>
          <w:rFonts w:ascii="Calibri" w:hAnsi="Calibri"/>
          <w:szCs w:val="22"/>
        </w:rPr>
        <w:t>n of care/treatment</w:t>
      </w:r>
      <w:r w:rsidRPr="00064B53">
        <w:rPr>
          <w:rFonts w:ascii="Calibri" w:hAnsi="Calibri"/>
          <w:szCs w:val="22"/>
        </w:rPr>
        <w:t xml:space="preserve"> </w:t>
      </w:r>
      <w:r>
        <w:rPr>
          <w:rFonts w:ascii="Calibri" w:hAnsi="Calibri"/>
          <w:szCs w:val="22"/>
        </w:rPr>
        <w:t>(19%)</w:t>
      </w:r>
    </w:p>
    <w:p w14:paraId="766AF369" w14:textId="77777777" w:rsidR="00EB4A22" w:rsidRPr="009E78BF" w:rsidRDefault="00EB4A22" w:rsidP="001E3CF1">
      <w:pPr>
        <w:pStyle w:val="ListParagraph"/>
        <w:numPr>
          <w:ilvl w:val="0"/>
          <w:numId w:val="6"/>
        </w:numPr>
        <w:ind w:left="284" w:hanging="284"/>
        <w:rPr>
          <w:lang w:eastAsia="en-NZ" w:bidi="ar-SA"/>
        </w:rPr>
      </w:pPr>
      <w:r>
        <w:rPr>
          <w:rFonts w:ascii="Calibri" w:hAnsi="Calibri"/>
          <w:szCs w:val="22"/>
        </w:rPr>
        <w:t>Inadequate response to complaint (18%)</w:t>
      </w:r>
    </w:p>
    <w:p w14:paraId="0008F93C" w14:textId="77777777" w:rsidR="00EB4A22" w:rsidRPr="00A4472F" w:rsidRDefault="00EB4A22" w:rsidP="001E3CF1">
      <w:pPr>
        <w:pStyle w:val="ListParagraph"/>
        <w:numPr>
          <w:ilvl w:val="0"/>
          <w:numId w:val="6"/>
        </w:numPr>
        <w:ind w:left="284" w:hanging="284"/>
        <w:rPr>
          <w:lang w:eastAsia="en-NZ" w:bidi="ar-SA"/>
        </w:rPr>
      </w:pPr>
      <w:r>
        <w:rPr>
          <w:rFonts w:ascii="Calibri" w:hAnsi="Calibri"/>
          <w:szCs w:val="22"/>
        </w:rPr>
        <w:t>Disrespectful manner/attitude (16%)</w:t>
      </w:r>
    </w:p>
    <w:p w14:paraId="734E3076" w14:textId="77777777" w:rsidR="00EB4A22" w:rsidRPr="00A4472F" w:rsidRDefault="00EB4A22" w:rsidP="001E3CF1">
      <w:pPr>
        <w:pStyle w:val="ListParagraph"/>
        <w:numPr>
          <w:ilvl w:val="0"/>
          <w:numId w:val="6"/>
        </w:numPr>
        <w:ind w:left="284" w:hanging="284"/>
        <w:rPr>
          <w:lang w:eastAsia="en-NZ" w:bidi="ar-SA"/>
        </w:rPr>
      </w:pPr>
      <w:r>
        <w:rPr>
          <w:rFonts w:ascii="Calibri" w:hAnsi="Calibri"/>
          <w:szCs w:val="22"/>
        </w:rPr>
        <w:t>Lack of access to services (13%)</w:t>
      </w:r>
    </w:p>
    <w:p w14:paraId="19A60B84" w14:textId="77777777" w:rsidR="00EB4A22" w:rsidRDefault="00EB4A22" w:rsidP="00EB4A22">
      <w:pPr>
        <w:rPr>
          <w:rFonts w:ascii="Calibri" w:hAnsi="Calibri"/>
          <w:szCs w:val="22"/>
        </w:rPr>
      </w:pPr>
    </w:p>
    <w:p w14:paraId="121496C1" w14:textId="77777777" w:rsidR="00EB4A22" w:rsidRDefault="00EB4A22" w:rsidP="00EB4A22">
      <w:pPr>
        <w:spacing w:after="480"/>
        <w:rPr>
          <w:rFonts w:ascii="Calibri" w:hAnsi="Calibri"/>
          <w:szCs w:val="22"/>
        </w:rPr>
      </w:pPr>
      <w:r>
        <w:rPr>
          <w:rFonts w:ascii="Calibri" w:hAnsi="Calibri"/>
          <w:szCs w:val="22"/>
        </w:rPr>
        <w:t>This is broadly similar to what was seen in the last period. However, there was a small increase in complaints about communication issues.</w:t>
      </w:r>
    </w:p>
    <w:tbl>
      <w:tblPr>
        <w:tblStyle w:val="TableGrid"/>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8980"/>
      </w:tblGrid>
      <w:tr w:rsidR="00EB4A22" w14:paraId="7CE391EB" w14:textId="77777777" w:rsidTr="00B12430">
        <w:tc>
          <w:tcPr>
            <w:tcW w:w="9016" w:type="dxa"/>
          </w:tcPr>
          <w:p w14:paraId="3AE82EC0" w14:textId="77777777" w:rsidR="00EB4A22" w:rsidRPr="00EB4A22" w:rsidRDefault="00EB4A22" w:rsidP="00B12430">
            <w:pPr>
              <w:spacing w:before="240" w:after="120"/>
              <w:rPr>
                <w:rFonts w:asciiTheme="minorHAnsi" w:hAnsiTheme="minorHAnsi"/>
                <w:b/>
                <w:sz w:val="22"/>
                <w:szCs w:val="22"/>
              </w:rPr>
            </w:pPr>
            <w:r w:rsidRPr="00EB4A22">
              <w:rPr>
                <w:rFonts w:asciiTheme="minorHAnsi" w:hAnsiTheme="minorHAnsi"/>
                <w:b/>
                <w:sz w:val="22"/>
                <w:szCs w:val="22"/>
              </w:rPr>
              <w:t>Issues complained about in relation to COVID-19</w:t>
            </w:r>
          </w:p>
          <w:p w14:paraId="78563DE9" w14:textId="15450461" w:rsidR="00EB4A22" w:rsidRPr="00EB4A22" w:rsidRDefault="00EB4A22" w:rsidP="00B12430">
            <w:pPr>
              <w:rPr>
                <w:rFonts w:asciiTheme="minorHAnsi" w:hAnsiTheme="minorHAnsi"/>
                <w:sz w:val="22"/>
                <w:szCs w:val="22"/>
              </w:rPr>
            </w:pPr>
            <w:r w:rsidRPr="00EB4A22">
              <w:rPr>
                <w:rFonts w:asciiTheme="minorHAnsi" w:hAnsiTheme="minorHAnsi"/>
                <w:sz w:val="22"/>
                <w:szCs w:val="22"/>
              </w:rPr>
              <w:t>HDC received 44 complaints about COVID-19</w:t>
            </w:r>
            <w:r w:rsidR="00817376">
              <w:rPr>
                <w:rFonts w:asciiTheme="minorHAnsi" w:hAnsiTheme="minorHAnsi"/>
                <w:sz w:val="22"/>
                <w:szCs w:val="22"/>
              </w:rPr>
              <w:t>-</w:t>
            </w:r>
            <w:r w:rsidRPr="00EB4A22">
              <w:rPr>
                <w:rFonts w:asciiTheme="minorHAnsi" w:hAnsiTheme="minorHAnsi"/>
                <w:sz w:val="22"/>
                <w:szCs w:val="22"/>
              </w:rPr>
              <w:t>related issues at DHBs in Jul–Dec 2020. This represents 35% of all complaints about COVID-19 received by HDC during this time period, and is a small decrease on the 53 COVID-19</w:t>
            </w:r>
            <w:r w:rsidR="00817376">
              <w:rPr>
                <w:rFonts w:asciiTheme="minorHAnsi" w:hAnsiTheme="minorHAnsi"/>
                <w:sz w:val="22"/>
                <w:szCs w:val="22"/>
              </w:rPr>
              <w:t>-</w:t>
            </w:r>
            <w:r w:rsidRPr="00EB4A22">
              <w:rPr>
                <w:rFonts w:asciiTheme="minorHAnsi" w:hAnsiTheme="minorHAnsi"/>
                <w:sz w:val="22"/>
                <w:szCs w:val="22"/>
              </w:rPr>
              <w:t>related complaints received in Jan–Jun 2020</w:t>
            </w:r>
            <w:r w:rsidR="00817376">
              <w:rPr>
                <w:rFonts w:asciiTheme="minorHAnsi" w:hAnsiTheme="minorHAnsi"/>
                <w:sz w:val="22"/>
                <w:szCs w:val="22"/>
              </w:rPr>
              <w:t>.</w:t>
            </w:r>
          </w:p>
          <w:p w14:paraId="1F91FC66" w14:textId="77777777" w:rsidR="00EB4A22" w:rsidRPr="00EB4A22" w:rsidRDefault="00EB4A22" w:rsidP="00B12430">
            <w:pPr>
              <w:rPr>
                <w:rFonts w:asciiTheme="minorHAnsi" w:hAnsiTheme="minorHAnsi"/>
                <w:sz w:val="22"/>
                <w:szCs w:val="22"/>
              </w:rPr>
            </w:pPr>
          </w:p>
          <w:p w14:paraId="3E8C8622" w14:textId="13C5AF25" w:rsidR="00EB4A22" w:rsidRPr="00EB4A22" w:rsidRDefault="00EB4A22" w:rsidP="00B12430">
            <w:pPr>
              <w:spacing w:after="120"/>
              <w:rPr>
                <w:rFonts w:asciiTheme="minorHAnsi" w:hAnsiTheme="minorHAnsi"/>
                <w:sz w:val="22"/>
                <w:szCs w:val="22"/>
              </w:rPr>
            </w:pPr>
            <w:r w:rsidRPr="00EB4A22">
              <w:rPr>
                <w:rFonts w:asciiTheme="minorHAnsi" w:hAnsiTheme="minorHAnsi"/>
                <w:sz w:val="22"/>
                <w:szCs w:val="22"/>
              </w:rPr>
              <w:t>Similar to what was seen in the previous six</w:t>
            </w:r>
            <w:r w:rsidR="00817376">
              <w:rPr>
                <w:rFonts w:asciiTheme="minorHAnsi" w:hAnsiTheme="minorHAnsi"/>
                <w:sz w:val="22"/>
                <w:szCs w:val="22"/>
              </w:rPr>
              <w:t>-</w:t>
            </w:r>
            <w:r w:rsidRPr="00EB4A22">
              <w:rPr>
                <w:rFonts w:asciiTheme="minorHAnsi" w:hAnsiTheme="minorHAnsi"/>
                <w:sz w:val="22"/>
                <w:szCs w:val="22"/>
              </w:rPr>
              <w:t>month period, the most common issues complained about for DHBs in regard to COVID-19 in Jul–Dec 2020 were:</w:t>
            </w:r>
          </w:p>
          <w:p w14:paraId="30029F38" w14:textId="77777777" w:rsidR="00EB4A22" w:rsidRPr="00EB4A22" w:rsidRDefault="00EB4A22" w:rsidP="00EB4A22">
            <w:pPr>
              <w:pStyle w:val="ListParagraph"/>
              <w:numPr>
                <w:ilvl w:val="0"/>
                <w:numId w:val="12"/>
              </w:numPr>
              <w:spacing w:after="120"/>
              <w:ind w:left="301" w:hanging="284"/>
              <w:rPr>
                <w:rFonts w:asciiTheme="minorHAnsi" w:hAnsiTheme="minorHAnsi"/>
                <w:sz w:val="22"/>
                <w:szCs w:val="22"/>
              </w:rPr>
            </w:pPr>
            <w:r w:rsidRPr="00EB4A22">
              <w:rPr>
                <w:rFonts w:asciiTheme="minorHAnsi" w:hAnsiTheme="minorHAnsi"/>
                <w:sz w:val="22"/>
                <w:szCs w:val="22"/>
              </w:rPr>
              <w:t>Lack of access to services/delayed treatment (43%)</w:t>
            </w:r>
          </w:p>
          <w:p w14:paraId="6FA2EB27" w14:textId="77777777" w:rsidR="00EB4A22" w:rsidRPr="00EB4A22" w:rsidRDefault="00EB4A22" w:rsidP="00EB4A22">
            <w:pPr>
              <w:pStyle w:val="ListParagraph"/>
              <w:numPr>
                <w:ilvl w:val="0"/>
                <w:numId w:val="12"/>
              </w:numPr>
              <w:spacing w:after="120"/>
              <w:ind w:left="300" w:hanging="284"/>
              <w:rPr>
                <w:rFonts w:asciiTheme="minorHAnsi" w:hAnsiTheme="minorHAnsi"/>
                <w:sz w:val="22"/>
                <w:szCs w:val="22"/>
              </w:rPr>
            </w:pPr>
            <w:r w:rsidRPr="00EB4A22">
              <w:rPr>
                <w:rFonts w:asciiTheme="minorHAnsi" w:hAnsiTheme="minorHAnsi"/>
                <w:sz w:val="22"/>
                <w:szCs w:val="22"/>
              </w:rPr>
              <w:t>Policies regarding visitor restrictions/support people (18%)</w:t>
            </w:r>
          </w:p>
          <w:p w14:paraId="58241FC4" w14:textId="77777777" w:rsidR="00EB4A22" w:rsidRPr="00B234D2" w:rsidRDefault="00EB4A22" w:rsidP="004D22EA">
            <w:pPr>
              <w:pStyle w:val="ListParagraph"/>
              <w:numPr>
                <w:ilvl w:val="0"/>
                <w:numId w:val="12"/>
              </w:numPr>
              <w:spacing w:after="360"/>
              <w:ind w:left="301" w:hanging="284"/>
              <w:rPr>
                <w:szCs w:val="22"/>
              </w:rPr>
            </w:pPr>
            <w:r w:rsidRPr="00EB4A22">
              <w:rPr>
                <w:rFonts w:asciiTheme="minorHAnsi" w:hAnsiTheme="minorHAnsi"/>
                <w:sz w:val="22"/>
                <w:szCs w:val="22"/>
              </w:rPr>
              <w:t>Inadequate/failure to follow infection control policies (7%)</w:t>
            </w:r>
          </w:p>
        </w:tc>
      </w:tr>
    </w:tbl>
    <w:p w14:paraId="4161DDE8" w14:textId="77777777" w:rsidR="00EB4A22" w:rsidRDefault="00EB4A22" w:rsidP="00EB4A22">
      <w:pPr>
        <w:rPr>
          <w:lang w:eastAsia="en-NZ" w:bidi="ar-SA"/>
        </w:rPr>
      </w:pPr>
    </w:p>
    <w:p w14:paraId="628AD8BB" w14:textId="77777777" w:rsidR="00EB4A22" w:rsidRDefault="00EB4A22" w:rsidP="00EB4A22"/>
    <w:p w14:paraId="03A97AC5" w14:textId="77777777" w:rsidR="00EB4A22" w:rsidRPr="003D2C86" w:rsidRDefault="00EB4A22" w:rsidP="00932E72">
      <w:pPr>
        <w:pStyle w:val="Heading3"/>
      </w:pPr>
      <w:bookmarkStart w:id="63" w:name="_Toc71561659"/>
      <w:bookmarkStart w:id="64" w:name="_Toc74223415"/>
      <w:r>
        <w:t>4.3</w:t>
      </w:r>
      <w:r w:rsidRPr="00666BAC">
        <w:tab/>
      </w:r>
      <w:r>
        <w:t xml:space="preserve">Primary issues by </w:t>
      </w:r>
      <w:r w:rsidRPr="004D22EA">
        <w:t>service</w:t>
      </w:r>
      <w:r>
        <w:t xml:space="preserve"> type</w:t>
      </w:r>
      <w:bookmarkEnd w:id="63"/>
      <w:bookmarkEnd w:id="64"/>
      <w:r w:rsidRPr="00666BAC">
        <w:t xml:space="preserve"> </w:t>
      </w:r>
    </w:p>
    <w:p w14:paraId="17D77C36" w14:textId="77777777" w:rsidR="00EB4A22" w:rsidRDefault="00EB4A22" w:rsidP="00EB4A22">
      <w:pPr>
        <w:keepNext/>
        <w:keepLines/>
        <w:spacing w:after="240"/>
      </w:pPr>
      <w:r>
        <w:t xml:space="preserve">Table 11 shows the top three primary issues in complaints concerning the most commonly complained about service types. </w:t>
      </w:r>
    </w:p>
    <w:p w14:paraId="40C4D046" w14:textId="77777777" w:rsidR="00EB4A22" w:rsidRDefault="00EB4A22" w:rsidP="004D22EA">
      <w:pPr>
        <w:keepNext/>
        <w:keepLines/>
        <w:spacing w:after="240"/>
      </w:pPr>
      <w:r>
        <w:t>This is broadly similar to what was seen in previous periods.</w:t>
      </w:r>
    </w:p>
    <w:p w14:paraId="5976F128" w14:textId="77777777" w:rsidR="00EB4A22" w:rsidRDefault="00EB4A22" w:rsidP="00EB4A22">
      <w:pPr>
        <w:keepNext/>
        <w:keepLines/>
      </w:pPr>
    </w:p>
    <w:p w14:paraId="430E82AB" w14:textId="77777777" w:rsidR="00EB4A22" w:rsidRPr="0069410F" w:rsidRDefault="00EB4A22" w:rsidP="00EB4A22">
      <w:pPr>
        <w:keepNext/>
        <w:keepLines/>
        <w:spacing w:after="120"/>
      </w:pPr>
      <w:r>
        <w:rPr>
          <w:b/>
          <w:szCs w:val="22"/>
        </w:rPr>
        <w:t xml:space="preserve">Table 11. </w:t>
      </w:r>
      <w:r>
        <w:rPr>
          <w:szCs w:val="22"/>
        </w:rPr>
        <w:t>Three most common primary issues in complaints by service type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562"/>
        <w:gridCol w:w="1617"/>
        <w:gridCol w:w="602"/>
        <w:gridCol w:w="1623"/>
        <w:gridCol w:w="562"/>
        <w:gridCol w:w="1667"/>
        <w:gridCol w:w="668"/>
      </w:tblGrid>
      <w:tr w:rsidR="00EB4A22" w14:paraId="53A238AF" w14:textId="77777777" w:rsidTr="00B12430">
        <w:tc>
          <w:tcPr>
            <w:tcW w:w="1225"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1EB7AC9F" w14:textId="77777777" w:rsidR="00EB4A22" w:rsidRPr="00E30917" w:rsidRDefault="00EB4A22" w:rsidP="00B12430">
            <w:pPr>
              <w:keepNext/>
              <w:keepLines/>
              <w:tabs>
                <w:tab w:val="left" w:pos="1440"/>
                <w:tab w:val="decimal" w:pos="4320"/>
              </w:tabs>
              <w:ind w:firstLine="152"/>
              <w:jc w:val="center"/>
              <w:outlineLvl w:val="0"/>
              <w:rPr>
                <w:rFonts w:ascii="Calibri" w:hAnsi="Calibri"/>
                <w:b/>
                <w:sz w:val="20"/>
                <w:szCs w:val="20"/>
              </w:rPr>
            </w:pPr>
            <w:r>
              <w:rPr>
                <w:rFonts w:ascii="Calibri" w:hAnsi="Calibri"/>
                <w:b/>
                <w:sz w:val="20"/>
                <w:szCs w:val="20"/>
              </w:rPr>
              <w:t>Mental health</w:t>
            </w:r>
          </w:p>
          <w:p w14:paraId="076602B7" w14:textId="77777777" w:rsidR="00EB4A22" w:rsidRPr="00E30917" w:rsidRDefault="00EB4A22" w:rsidP="00B12430">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n=118</w:t>
            </w:r>
          </w:p>
        </w:tc>
        <w:tc>
          <w:tcPr>
            <w:tcW w:w="1242"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6F82EDBC" w14:textId="77777777" w:rsidR="00EB4A22" w:rsidRPr="00E30917" w:rsidRDefault="00EB4A22" w:rsidP="00B12430">
            <w:pPr>
              <w:keepNext/>
              <w:keepLines/>
              <w:tabs>
                <w:tab w:val="left" w:pos="1440"/>
                <w:tab w:val="decimal" w:pos="4320"/>
              </w:tabs>
              <w:ind w:firstLine="152"/>
              <w:jc w:val="center"/>
              <w:outlineLvl w:val="0"/>
              <w:rPr>
                <w:rFonts w:ascii="Calibri" w:hAnsi="Calibri"/>
                <w:b/>
                <w:sz w:val="20"/>
                <w:szCs w:val="20"/>
              </w:rPr>
            </w:pPr>
            <w:r>
              <w:rPr>
                <w:rFonts w:ascii="Calibri" w:hAnsi="Calibri"/>
                <w:b/>
                <w:sz w:val="20"/>
                <w:szCs w:val="20"/>
              </w:rPr>
              <w:t>Surgery</w:t>
            </w:r>
          </w:p>
          <w:p w14:paraId="0CE73B8A" w14:textId="77777777" w:rsidR="00EB4A22" w:rsidRPr="00E30917" w:rsidRDefault="00EB4A22" w:rsidP="00B12430">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w:t>
            </w:r>
            <w:r>
              <w:rPr>
                <w:rFonts w:ascii="Calibri" w:hAnsi="Calibri"/>
                <w:b/>
                <w:sz w:val="20"/>
                <w:szCs w:val="20"/>
              </w:rPr>
              <w:t>111</w:t>
            </w:r>
          </w:p>
        </w:tc>
        <w:tc>
          <w:tcPr>
            <w:tcW w:w="1223"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1DE3C286" w14:textId="77777777" w:rsidR="00EB4A22" w:rsidRPr="00E30917" w:rsidRDefault="00EB4A22" w:rsidP="00B12430">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Medicine</w:t>
            </w:r>
          </w:p>
          <w:p w14:paraId="45AA5AA8" w14:textId="77777777" w:rsidR="00EB4A22" w:rsidRPr="00E30917" w:rsidRDefault="00EB4A22" w:rsidP="00B12430">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w:t>
            </w:r>
            <w:r>
              <w:rPr>
                <w:rFonts w:ascii="Calibri" w:hAnsi="Calibri"/>
                <w:b/>
                <w:sz w:val="20"/>
                <w:szCs w:val="20"/>
              </w:rPr>
              <w:t>93</w:t>
            </w:r>
          </w:p>
        </w:tc>
        <w:tc>
          <w:tcPr>
            <w:tcW w:w="1310"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3364BFEA" w14:textId="77777777" w:rsidR="00EB4A22" w:rsidRPr="00E30917" w:rsidRDefault="00EB4A22" w:rsidP="00B12430">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Emergency department</w:t>
            </w:r>
          </w:p>
          <w:p w14:paraId="3B234887" w14:textId="77777777" w:rsidR="00EB4A22" w:rsidRPr="00E30917" w:rsidRDefault="00EB4A22" w:rsidP="00B12430">
            <w:pPr>
              <w:jc w:val="center"/>
              <w:rPr>
                <w:rFonts w:ascii="Calibri" w:hAnsi="Calibri"/>
                <w:b/>
                <w:sz w:val="20"/>
                <w:szCs w:val="20"/>
              </w:rPr>
            </w:pPr>
            <w:r>
              <w:rPr>
                <w:rFonts w:ascii="Calibri" w:hAnsi="Calibri"/>
                <w:b/>
                <w:sz w:val="20"/>
                <w:szCs w:val="20"/>
              </w:rPr>
              <w:t>n=72</w:t>
            </w:r>
          </w:p>
        </w:tc>
      </w:tr>
      <w:tr w:rsidR="00EB4A22" w14:paraId="11F30DEB" w14:textId="77777777" w:rsidTr="00B12430">
        <w:trPr>
          <w:trHeight w:val="450"/>
        </w:trPr>
        <w:tc>
          <w:tcPr>
            <w:tcW w:w="910" w:type="pct"/>
            <w:tcBorders>
              <w:top w:val="single" w:sz="4" w:space="0" w:color="auto"/>
              <w:left w:val="single" w:sz="4" w:space="0" w:color="auto"/>
              <w:bottom w:val="single" w:sz="4" w:space="0" w:color="auto"/>
              <w:right w:val="single" w:sz="4" w:space="0" w:color="auto"/>
            </w:tcBorders>
            <w:vAlign w:val="center"/>
            <w:hideMark/>
          </w:tcPr>
          <w:p w14:paraId="11658305"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Issues with involuntary admission/</w:t>
            </w:r>
          </w:p>
          <w:p w14:paraId="7E600A70"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treatment</w:t>
            </w:r>
          </w:p>
        </w:tc>
        <w:tc>
          <w:tcPr>
            <w:tcW w:w="315" w:type="pct"/>
            <w:tcBorders>
              <w:top w:val="single" w:sz="4" w:space="0" w:color="auto"/>
              <w:left w:val="single" w:sz="4" w:space="0" w:color="auto"/>
              <w:bottom w:val="single" w:sz="4" w:space="0" w:color="auto"/>
              <w:right w:val="single" w:sz="4" w:space="0" w:color="auto"/>
            </w:tcBorders>
            <w:vAlign w:val="center"/>
            <w:hideMark/>
          </w:tcPr>
          <w:p w14:paraId="457D70A9" w14:textId="77777777" w:rsidR="00EB4A22" w:rsidRDefault="00EB4A22" w:rsidP="00B12430">
            <w:pPr>
              <w:keepNext/>
              <w:keepLines/>
              <w:tabs>
                <w:tab w:val="left" w:pos="1440"/>
                <w:tab w:val="decimal" w:pos="4320"/>
              </w:tabs>
              <w:jc w:val="center"/>
              <w:outlineLvl w:val="0"/>
              <w:rPr>
                <w:rFonts w:ascii="Calibri" w:hAnsi="Calibri"/>
                <w:sz w:val="20"/>
                <w:szCs w:val="20"/>
              </w:rPr>
            </w:pPr>
            <w:r>
              <w:rPr>
                <w:rFonts w:ascii="Calibri" w:hAnsi="Calibri"/>
                <w:sz w:val="20"/>
                <w:szCs w:val="20"/>
              </w:rPr>
              <w:t>13%</w:t>
            </w:r>
          </w:p>
        </w:tc>
        <w:tc>
          <w:tcPr>
            <w:tcW w:w="906" w:type="pct"/>
            <w:tcBorders>
              <w:top w:val="single" w:sz="4" w:space="0" w:color="auto"/>
              <w:left w:val="single" w:sz="4" w:space="0" w:color="auto"/>
              <w:bottom w:val="single" w:sz="4" w:space="0" w:color="auto"/>
              <w:right w:val="single" w:sz="4" w:space="0" w:color="auto"/>
            </w:tcBorders>
            <w:vAlign w:val="center"/>
          </w:tcPr>
          <w:p w14:paraId="7857D48A"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Unexpected treatment outcome</w:t>
            </w:r>
          </w:p>
        </w:tc>
        <w:tc>
          <w:tcPr>
            <w:tcW w:w="337" w:type="pct"/>
            <w:tcBorders>
              <w:top w:val="single" w:sz="4" w:space="0" w:color="auto"/>
              <w:left w:val="single" w:sz="4" w:space="0" w:color="auto"/>
              <w:bottom w:val="single" w:sz="4" w:space="0" w:color="auto"/>
              <w:right w:val="single" w:sz="4" w:space="0" w:color="auto"/>
            </w:tcBorders>
            <w:vAlign w:val="center"/>
          </w:tcPr>
          <w:p w14:paraId="5C81A778" w14:textId="77777777" w:rsidR="00EB4A22" w:rsidRDefault="00EB4A22" w:rsidP="00B12430">
            <w:pPr>
              <w:keepNext/>
              <w:keepLines/>
              <w:tabs>
                <w:tab w:val="left" w:pos="1440"/>
                <w:tab w:val="decimal" w:pos="4320"/>
              </w:tabs>
              <w:jc w:val="center"/>
              <w:outlineLvl w:val="0"/>
              <w:rPr>
                <w:rFonts w:ascii="Calibri" w:hAnsi="Calibri"/>
                <w:sz w:val="20"/>
                <w:szCs w:val="20"/>
              </w:rPr>
            </w:pPr>
            <w:r>
              <w:rPr>
                <w:rFonts w:ascii="Calibri" w:hAnsi="Calibri"/>
                <w:sz w:val="20"/>
                <w:szCs w:val="20"/>
              </w:rPr>
              <w:t>19%</w:t>
            </w:r>
          </w:p>
        </w:tc>
        <w:tc>
          <w:tcPr>
            <w:tcW w:w="909" w:type="pct"/>
            <w:tcBorders>
              <w:top w:val="single" w:sz="4" w:space="0" w:color="auto"/>
              <w:left w:val="single" w:sz="4" w:space="0" w:color="auto"/>
              <w:bottom w:val="single" w:sz="4" w:space="0" w:color="auto"/>
              <w:right w:val="single" w:sz="4" w:space="0" w:color="auto"/>
            </w:tcBorders>
            <w:vAlign w:val="center"/>
          </w:tcPr>
          <w:p w14:paraId="750291D0"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14:paraId="7EA0D5FD"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14:paraId="7B3E4DCE"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15" w:type="pct"/>
            <w:tcBorders>
              <w:top w:val="single" w:sz="4" w:space="0" w:color="auto"/>
              <w:left w:val="single" w:sz="4" w:space="0" w:color="auto"/>
              <w:bottom w:val="single" w:sz="4" w:space="0" w:color="auto"/>
              <w:right w:val="single" w:sz="4" w:space="0" w:color="auto"/>
            </w:tcBorders>
            <w:vAlign w:val="center"/>
          </w:tcPr>
          <w:p w14:paraId="203BE4A1" w14:textId="77777777" w:rsidR="00EB4A22" w:rsidRDefault="00EB4A22" w:rsidP="00B12430">
            <w:pPr>
              <w:keepNext/>
              <w:keepLines/>
              <w:tabs>
                <w:tab w:val="left" w:pos="1440"/>
                <w:tab w:val="decimal" w:pos="4320"/>
              </w:tabs>
              <w:jc w:val="center"/>
              <w:outlineLvl w:val="0"/>
              <w:rPr>
                <w:rFonts w:ascii="Calibri" w:hAnsi="Calibri"/>
                <w:sz w:val="20"/>
                <w:szCs w:val="20"/>
              </w:rPr>
            </w:pPr>
            <w:r>
              <w:rPr>
                <w:rFonts w:ascii="Calibri" w:hAnsi="Calibri"/>
                <w:sz w:val="20"/>
                <w:szCs w:val="20"/>
              </w:rPr>
              <w:t>17%</w:t>
            </w:r>
          </w:p>
        </w:tc>
        <w:tc>
          <w:tcPr>
            <w:tcW w:w="934" w:type="pct"/>
            <w:tcBorders>
              <w:top w:val="single" w:sz="4" w:space="0" w:color="auto"/>
              <w:left w:val="single" w:sz="4" w:space="0" w:color="auto"/>
              <w:bottom w:val="single" w:sz="4" w:space="0" w:color="auto"/>
              <w:right w:val="single" w:sz="4" w:space="0" w:color="auto"/>
            </w:tcBorders>
            <w:vAlign w:val="center"/>
          </w:tcPr>
          <w:p w14:paraId="34BEB3A7"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14:paraId="12FEEC3B"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14:paraId="58B94FC0"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75" w:type="pct"/>
            <w:tcBorders>
              <w:top w:val="single" w:sz="4" w:space="0" w:color="auto"/>
              <w:left w:val="single" w:sz="4" w:space="0" w:color="auto"/>
              <w:bottom w:val="single" w:sz="4" w:space="0" w:color="auto"/>
              <w:right w:val="single" w:sz="4" w:space="0" w:color="auto"/>
            </w:tcBorders>
            <w:vAlign w:val="center"/>
          </w:tcPr>
          <w:p w14:paraId="58355B0E" w14:textId="77777777" w:rsidR="00EB4A22" w:rsidRDefault="00EB4A22" w:rsidP="00B12430">
            <w:pPr>
              <w:keepNext/>
              <w:keepLines/>
              <w:tabs>
                <w:tab w:val="left" w:pos="1440"/>
                <w:tab w:val="decimal" w:pos="4320"/>
              </w:tabs>
              <w:jc w:val="center"/>
              <w:outlineLvl w:val="0"/>
              <w:rPr>
                <w:rFonts w:ascii="Calibri" w:hAnsi="Calibri"/>
                <w:sz w:val="20"/>
                <w:szCs w:val="20"/>
              </w:rPr>
            </w:pPr>
            <w:r>
              <w:rPr>
                <w:rFonts w:ascii="Calibri" w:hAnsi="Calibri"/>
                <w:sz w:val="20"/>
                <w:szCs w:val="20"/>
              </w:rPr>
              <w:t>28%</w:t>
            </w:r>
          </w:p>
        </w:tc>
      </w:tr>
      <w:tr w:rsidR="00EB4A22" w14:paraId="43EB373B" w14:textId="77777777" w:rsidTr="00B12430">
        <w:trPr>
          <w:trHeight w:val="400"/>
        </w:trPr>
        <w:tc>
          <w:tcPr>
            <w:tcW w:w="910" w:type="pct"/>
            <w:tcBorders>
              <w:top w:val="single" w:sz="4" w:space="0" w:color="auto"/>
              <w:left w:val="single" w:sz="4" w:space="0" w:color="auto"/>
              <w:bottom w:val="single" w:sz="4" w:space="0" w:color="auto"/>
              <w:right w:val="single" w:sz="4" w:space="0" w:color="auto"/>
            </w:tcBorders>
            <w:vAlign w:val="center"/>
            <w:hideMark/>
          </w:tcPr>
          <w:p w14:paraId="34699E14"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hideMark/>
          </w:tcPr>
          <w:p w14:paraId="52E23776" w14:textId="77777777" w:rsidR="00EB4A22" w:rsidRDefault="00EB4A22" w:rsidP="00B12430">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p>
        </w:tc>
        <w:tc>
          <w:tcPr>
            <w:tcW w:w="906" w:type="pct"/>
            <w:tcBorders>
              <w:top w:val="single" w:sz="4" w:space="0" w:color="auto"/>
              <w:left w:val="single" w:sz="4" w:space="0" w:color="auto"/>
              <w:bottom w:val="single" w:sz="4" w:space="0" w:color="auto"/>
              <w:right w:val="single" w:sz="4" w:space="0" w:color="auto"/>
            </w:tcBorders>
            <w:vAlign w:val="center"/>
          </w:tcPr>
          <w:p w14:paraId="4B768DAC"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 &amp; waiting list/ prioritisation issue</w:t>
            </w:r>
          </w:p>
        </w:tc>
        <w:tc>
          <w:tcPr>
            <w:tcW w:w="337" w:type="pct"/>
            <w:tcBorders>
              <w:top w:val="single" w:sz="4" w:space="0" w:color="auto"/>
              <w:left w:val="single" w:sz="4" w:space="0" w:color="auto"/>
              <w:bottom w:val="single" w:sz="4" w:space="0" w:color="auto"/>
              <w:right w:val="single" w:sz="4" w:space="0" w:color="auto"/>
            </w:tcBorders>
            <w:vAlign w:val="center"/>
          </w:tcPr>
          <w:p w14:paraId="1E25D73A" w14:textId="77777777" w:rsidR="00EB4A22" w:rsidRDefault="00EB4A22" w:rsidP="00B12430">
            <w:pPr>
              <w:keepNext/>
              <w:keepLines/>
              <w:tabs>
                <w:tab w:val="left" w:pos="1440"/>
                <w:tab w:val="decimal" w:pos="4320"/>
              </w:tabs>
              <w:jc w:val="center"/>
              <w:outlineLvl w:val="0"/>
              <w:rPr>
                <w:rFonts w:ascii="Calibri" w:hAnsi="Calibri"/>
                <w:sz w:val="20"/>
                <w:szCs w:val="20"/>
              </w:rPr>
            </w:pPr>
            <w:r>
              <w:rPr>
                <w:rFonts w:ascii="Calibri" w:hAnsi="Calibri"/>
                <w:sz w:val="20"/>
                <w:szCs w:val="20"/>
              </w:rPr>
              <w:t>14%</w:t>
            </w:r>
          </w:p>
          <w:p w14:paraId="2CBE9A72" w14:textId="77777777" w:rsidR="00EB4A22" w:rsidRDefault="00EB4A22" w:rsidP="00B12430">
            <w:pPr>
              <w:keepNext/>
              <w:keepLines/>
              <w:tabs>
                <w:tab w:val="left" w:pos="1440"/>
                <w:tab w:val="decimal" w:pos="4320"/>
              </w:tabs>
              <w:jc w:val="center"/>
              <w:outlineLvl w:val="0"/>
              <w:rPr>
                <w:rFonts w:ascii="Calibri" w:hAnsi="Calibri"/>
                <w:sz w:val="20"/>
                <w:szCs w:val="20"/>
              </w:rPr>
            </w:pPr>
            <w:r>
              <w:rPr>
                <w:rFonts w:ascii="Calibri" w:hAnsi="Calibri"/>
                <w:sz w:val="20"/>
                <w:szCs w:val="20"/>
              </w:rPr>
              <w:t>each</w:t>
            </w:r>
          </w:p>
        </w:tc>
        <w:tc>
          <w:tcPr>
            <w:tcW w:w="909" w:type="pct"/>
            <w:tcBorders>
              <w:top w:val="single" w:sz="4" w:space="0" w:color="auto"/>
              <w:left w:val="single" w:sz="4" w:space="0" w:color="auto"/>
              <w:bottom w:val="single" w:sz="4" w:space="0" w:color="auto"/>
              <w:right w:val="single" w:sz="4" w:space="0" w:color="auto"/>
            </w:tcBorders>
            <w:vAlign w:val="center"/>
          </w:tcPr>
          <w:p w14:paraId="2737E11B"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14:paraId="25C38C8C"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 treatment</w:t>
            </w:r>
          </w:p>
        </w:tc>
        <w:tc>
          <w:tcPr>
            <w:tcW w:w="315" w:type="pct"/>
            <w:tcBorders>
              <w:top w:val="single" w:sz="4" w:space="0" w:color="auto"/>
              <w:left w:val="single" w:sz="4" w:space="0" w:color="auto"/>
              <w:bottom w:val="single" w:sz="4" w:space="0" w:color="auto"/>
              <w:right w:val="single" w:sz="4" w:space="0" w:color="auto"/>
            </w:tcBorders>
            <w:vAlign w:val="center"/>
          </w:tcPr>
          <w:p w14:paraId="59F39220" w14:textId="77777777" w:rsidR="00EB4A22" w:rsidRDefault="00EB4A22" w:rsidP="00B12430">
            <w:pPr>
              <w:keepNext/>
              <w:keepLines/>
              <w:tabs>
                <w:tab w:val="left" w:pos="1440"/>
                <w:tab w:val="decimal" w:pos="4320"/>
              </w:tabs>
              <w:jc w:val="center"/>
              <w:outlineLvl w:val="0"/>
              <w:rPr>
                <w:rFonts w:ascii="Calibri" w:hAnsi="Calibri"/>
                <w:sz w:val="20"/>
                <w:szCs w:val="20"/>
              </w:rPr>
            </w:pPr>
            <w:r>
              <w:rPr>
                <w:rFonts w:ascii="Calibri" w:hAnsi="Calibri"/>
                <w:sz w:val="20"/>
                <w:szCs w:val="20"/>
              </w:rPr>
              <w:t>10%</w:t>
            </w:r>
          </w:p>
        </w:tc>
        <w:tc>
          <w:tcPr>
            <w:tcW w:w="934" w:type="pct"/>
            <w:tcBorders>
              <w:top w:val="single" w:sz="4" w:space="0" w:color="auto"/>
              <w:left w:val="single" w:sz="4" w:space="0" w:color="auto"/>
              <w:bottom w:val="single" w:sz="4" w:space="0" w:color="auto"/>
              <w:right w:val="single" w:sz="4" w:space="0" w:color="auto"/>
            </w:tcBorders>
            <w:vAlign w:val="center"/>
          </w:tcPr>
          <w:p w14:paraId="7039C976"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14:paraId="73F2AD06"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 issue</w:t>
            </w:r>
          </w:p>
        </w:tc>
        <w:tc>
          <w:tcPr>
            <w:tcW w:w="375" w:type="pct"/>
            <w:tcBorders>
              <w:top w:val="single" w:sz="4" w:space="0" w:color="auto"/>
              <w:left w:val="single" w:sz="4" w:space="0" w:color="auto"/>
              <w:bottom w:val="single" w:sz="4" w:space="0" w:color="auto"/>
              <w:right w:val="single" w:sz="4" w:space="0" w:color="auto"/>
            </w:tcBorders>
            <w:vAlign w:val="center"/>
          </w:tcPr>
          <w:p w14:paraId="3FE4B471" w14:textId="77777777" w:rsidR="00EB4A22" w:rsidRDefault="00EB4A22" w:rsidP="00B12430">
            <w:pPr>
              <w:keepNext/>
              <w:keepLines/>
              <w:tabs>
                <w:tab w:val="left" w:pos="1440"/>
                <w:tab w:val="decimal" w:pos="4320"/>
              </w:tabs>
              <w:jc w:val="center"/>
              <w:outlineLvl w:val="0"/>
              <w:rPr>
                <w:rFonts w:ascii="Calibri" w:hAnsi="Calibri"/>
                <w:sz w:val="20"/>
                <w:szCs w:val="20"/>
              </w:rPr>
            </w:pPr>
            <w:r>
              <w:rPr>
                <w:rFonts w:ascii="Calibri" w:hAnsi="Calibri"/>
                <w:sz w:val="20"/>
                <w:szCs w:val="20"/>
              </w:rPr>
              <w:t>14%</w:t>
            </w:r>
          </w:p>
        </w:tc>
      </w:tr>
      <w:tr w:rsidR="00EB4A22" w14:paraId="1E409BDA" w14:textId="77777777" w:rsidTr="00B12430">
        <w:tc>
          <w:tcPr>
            <w:tcW w:w="910" w:type="pct"/>
            <w:tcBorders>
              <w:top w:val="single" w:sz="4" w:space="0" w:color="auto"/>
              <w:left w:val="single" w:sz="4" w:space="0" w:color="auto"/>
              <w:bottom w:val="single" w:sz="4" w:space="0" w:color="auto"/>
              <w:right w:val="single" w:sz="4" w:space="0" w:color="auto"/>
            </w:tcBorders>
            <w:vAlign w:val="center"/>
            <w:hideMark/>
          </w:tcPr>
          <w:p w14:paraId="31B2A6A7"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General safety issue for consumer in facility</w:t>
            </w:r>
          </w:p>
        </w:tc>
        <w:tc>
          <w:tcPr>
            <w:tcW w:w="315" w:type="pct"/>
            <w:tcBorders>
              <w:top w:val="single" w:sz="4" w:space="0" w:color="auto"/>
              <w:left w:val="single" w:sz="4" w:space="0" w:color="auto"/>
              <w:bottom w:val="single" w:sz="4" w:space="0" w:color="auto"/>
              <w:right w:val="single" w:sz="4" w:space="0" w:color="auto"/>
            </w:tcBorders>
            <w:vAlign w:val="center"/>
            <w:hideMark/>
          </w:tcPr>
          <w:p w14:paraId="2DB034CD" w14:textId="77777777" w:rsidR="00EB4A22" w:rsidRDefault="00EB4A22" w:rsidP="00B12430">
            <w:pPr>
              <w:keepNext/>
              <w:keepLines/>
              <w:tabs>
                <w:tab w:val="left" w:pos="1440"/>
                <w:tab w:val="decimal" w:pos="4320"/>
              </w:tabs>
              <w:jc w:val="center"/>
              <w:outlineLvl w:val="0"/>
              <w:rPr>
                <w:rFonts w:ascii="Calibri" w:hAnsi="Calibri"/>
                <w:sz w:val="20"/>
                <w:szCs w:val="20"/>
              </w:rPr>
            </w:pPr>
            <w:r>
              <w:rPr>
                <w:rFonts w:ascii="Calibri" w:hAnsi="Calibri"/>
                <w:sz w:val="20"/>
                <w:szCs w:val="20"/>
              </w:rPr>
              <w:t>8%</w:t>
            </w:r>
          </w:p>
        </w:tc>
        <w:tc>
          <w:tcPr>
            <w:tcW w:w="906" w:type="pct"/>
            <w:tcBorders>
              <w:top w:val="single" w:sz="4" w:space="0" w:color="auto"/>
              <w:left w:val="single" w:sz="4" w:space="0" w:color="auto"/>
              <w:bottom w:val="single" w:sz="4" w:space="0" w:color="auto"/>
              <w:right w:val="single" w:sz="4" w:space="0" w:color="auto"/>
            </w:tcBorders>
            <w:vAlign w:val="center"/>
          </w:tcPr>
          <w:p w14:paraId="5BE67809"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Consent not obtained/ adequate</w:t>
            </w:r>
          </w:p>
        </w:tc>
        <w:tc>
          <w:tcPr>
            <w:tcW w:w="337" w:type="pct"/>
            <w:tcBorders>
              <w:top w:val="single" w:sz="4" w:space="0" w:color="auto"/>
              <w:left w:val="single" w:sz="4" w:space="0" w:color="auto"/>
              <w:bottom w:val="single" w:sz="4" w:space="0" w:color="auto"/>
              <w:right w:val="single" w:sz="4" w:space="0" w:color="auto"/>
            </w:tcBorders>
            <w:vAlign w:val="center"/>
          </w:tcPr>
          <w:p w14:paraId="3397C9C3" w14:textId="77777777" w:rsidR="00EB4A22" w:rsidRDefault="00EB4A22" w:rsidP="00B12430">
            <w:pPr>
              <w:keepNext/>
              <w:keepLines/>
              <w:tabs>
                <w:tab w:val="left" w:pos="1440"/>
                <w:tab w:val="decimal" w:pos="4320"/>
              </w:tabs>
              <w:jc w:val="center"/>
              <w:outlineLvl w:val="0"/>
              <w:rPr>
                <w:rFonts w:ascii="Calibri" w:hAnsi="Calibri"/>
                <w:sz w:val="20"/>
                <w:szCs w:val="20"/>
              </w:rPr>
            </w:pPr>
            <w:r>
              <w:rPr>
                <w:rFonts w:ascii="Calibri" w:hAnsi="Calibri"/>
                <w:sz w:val="20"/>
                <w:szCs w:val="20"/>
              </w:rPr>
              <w:t>9%</w:t>
            </w:r>
          </w:p>
        </w:tc>
        <w:tc>
          <w:tcPr>
            <w:tcW w:w="909" w:type="pct"/>
            <w:tcBorders>
              <w:top w:val="single" w:sz="4" w:space="0" w:color="auto"/>
              <w:left w:val="single" w:sz="4" w:space="0" w:color="auto"/>
              <w:bottom w:val="single" w:sz="4" w:space="0" w:color="auto"/>
              <w:right w:val="single" w:sz="4" w:space="0" w:color="auto"/>
            </w:tcBorders>
            <w:vAlign w:val="center"/>
          </w:tcPr>
          <w:p w14:paraId="6124052B"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tcPr>
          <w:p w14:paraId="3DE73FD4" w14:textId="77777777" w:rsidR="00EB4A22" w:rsidRDefault="00EB4A22" w:rsidP="00B12430">
            <w:pPr>
              <w:keepNext/>
              <w:keepLines/>
              <w:tabs>
                <w:tab w:val="left" w:pos="1440"/>
                <w:tab w:val="decimal" w:pos="4320"/>
              </w:tabs>
              <w:jc w:val="center"/>
              <w:outlineLvl w:val="0"/>
              <w:rPr>
                <w:rFonts w:ascii="Calibri" w:hAnsi="Calibri"/>
                <w:sz w:val="20"/>
                <w:szCs w:val="20"/>
              </w:rPr>
            </w:pPr>
            <w:r>
              <w:rPr>
                <w:rFonts w:ascii="Calibri" w:hAnsi="Calibri"/>
                <w:sz w:val="20"/>
                <w:szCs w:val="20"/>
              </w:rPr>
              <w:t>6%</w:t>
            </w:r>
          </w:p>
          <w:p w14:paraId="6B886F7F" w14:textId="77777777" w:rsidR="00EB4A22" w:rsidRDefault="00EB4A22" w:rsidP="00B12430">
            <w:pPr>
              <w:keepNext/>
              <w:keepLines/>
              <w:tabs>
                <w:tab w:val="left" w:pos="1440"/>
                <w:tab w:val="decimal" w:pos="4320"/>
              </w:tabs>
              <w:jc w:val="center"/>
              <w:outlineLvl w:val="0"/>
              <w:rPr>
                <w:rFonts w:ascii="Calibri" w:hAnsi="Calibri"/>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6C2A3FEA"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14:paraId="2BE2D9B0" w14:textId="77777777" w:rsidR="00EB4A22" w:rsidRDefault="00EB4A22" w:rsidP="00B12430">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 examination/ assessment</w:t>
            </w:r>
          </w:p>
        </w:tc>
        <w:tc>
          <w:tcPr>
            <w:tcW w:w="375" w:type="pct"/>
            <w:tcBorders>
              <w:top w:val="single" w:sz="4" w:space="0" w:color="auto"/>
              <w:left w:val="single" w:sz="4" w:space="0" w:color="auto"/>
              <w:bottom w:val="single" w:sz="4" w:space="0" w:color="auto"/>
              <w:right w:val="single" w:sz="4" w:space="0" w:color="auto"/>
            </w:tcBorders>
            <w:vAlign w:val="center"/>
          </w:tcPr>
          <w:p w14:paraId="38C5FB25" w14:textId="77777777" w:rsidR="00EB4A22" w:rsidRDefault="00EB4A22" w:rsidP="00B12430">
            <w:pPr>
              <w:keepNext/>
              <w:keepLines/>
              <w:tabs>
                <w:tab w:val="left" w:pos="1440"/>
                <w:tab w:val="decimal" w:pos="4320"/>
              </w:tabs>
              <w:jc w:val="center"/>
              <w:outlineLvl w:val="0"/>
              <w:rPr>
                <w:rFonts w:ascii="Calibri" w:hAnsi="Calibri"/>
                <w:sz w:val="20"/>
                <w:szCs w:val="20"/>
              </w:rPr>
            </w:pPr>
            <w:r>
              <w:rPr>
                <w:rFonts w:ascii="Calibri" w:hAnsi="Calibri"/>
                <w:sz w:val="20"/>
                <w:szCs w:val="20"/>
              </w:rPr>
              <w:t>8%</w:t>
            </w:r>
          </w:p>
        </w:tc>
      </w:tr>
    </w:tbl>
    <w:p w14:paraId="2FA7B2C4" w14:textId="77777777" w:rsidR="00EB4A22" w:rsidRDefault="00EB4A22" w:rsidP="00EB4A22">
      <w:pPr>
        <w:keepNext/>
        <w:keepLines/>
        <w:spacing w:after="480"/>
        <w:rPr>
          <w:szCs w:val="22"/>
        </w:rPr>
      </w:pPr>
    </w:p>
    <w:p w14:paraId="4F81E85D" w14:textId="77777777" w:rsidR="00EB4A22" w:rsidRDefault="00EB4A22" w:rsidP="00EB4A22"/>
    <w:p w14:paraId="45BC057C" w14:textId="77777777" w:rsidR="00EB4A22" w:rsidRDefault="00EB4A22" w:rsidP="00EB4A22"/>
    <w:p w14:paraId="592B4DBF" w14:textId="77777777" w:rsidR="00EB4A22" w:rsidRDefault="00EB4A22" w:rsidP="00EB4A22">
      <w:pPr>
        <w:pStyle w:val="Heading2"/>
        <w:spacing w:before="360"/>
      </w:pPr>
      <w:r>
        <w:br w:type="page"/>
      </w:r>
    </w:p>
    <w:p w14:paraId="6D528135" w14:textId="77777777" w:rsidR="00EB4A22" w:rsidRDefault="00EB4A22" w:rsidP="00EB4A22">
      <w:pPr>
        <w:pStyle w:val="Heading2"/>
        <w:spacing w:after="240"/>
        <w:rPr>
          <w:sz w:val="36"/>
          <w:szCs w:val="36"/>
        </w:rPr>
      </w:pPr>
      <w:bookmarkStart w:id="65" w:name="_Toc398125965"/>
      <w:bookmarkStart w:id="66" w:name="_Toc404344435"/>
      <w:bookmarkStart w:id="67" w:name="_Toc506278074"/>
      <w:bookmarkStart w:id="68" w:name="_Toc71561660"/>
      <w:bookmarkStart w:id="69" w:name="_Toc74223416"/>
      <w:bookmarkStart w:id="70" w:name="_Toc426462637"/>
      <w:bookmarkStart w:id="71" w:name="_Toc443992232"/>
      <w:bookmarkStart w:id="72" w:name="_Toc493684133"/>
      <w:r>
        <w:rPr>
          <w:sz w:val="36"/>
          <w:szCs w:val="36"/>
        </w:rPr>
        <w:t>5</w:t>
      </w:r>
      <w:r w:rsidRPr="00666BAC">
        <w:rPr>
          <w:sz w:val="36"/>
          <w:szCs w:val="36"/>
        </w:rPr>
        <w:t>.</w:t>
      </w:r>
      <w:bookmarkEnd w:id="65"/>
      <w:bookmarkEnd w:id="66"/>
      <w:r w:rsidRPr="00666BAC">
        <w:rPr>
          <w:sz w:val="36"/>
          <w:szCs w:val="36"/>
        </w:rPr>
        <w:t xml:space="preserve"> What were the outcomes of the complaints closed?</w:t>
      </w:r>
      <w:bookmarkEnd w:id="67"/>
      <w:bookmarkEnd w:id="68"/>
      <w:bookmarkEnd w:id="69"/>
    </w:p>
    <w:p w14:paraId="1133D2E1" w14:textId="77777777" w:rsidR="00EB4A22" w:rsidRPr="00900CC1" w:rsidRDefault="00EB4A22" w:rsidP="00EB4A22">
      <w:pPr>
        <w:rPr>
          <w:szCs w:val="22"/>
          <w:lang w:val="en-AU" w:bidi="ar-SA"/>
        </w:rPr>
      </w:pPr>
      <w:r w:rsidRPr="00900CC1">
        <w:rPr>
          <w:szCs w:val="22"/>
        </w:rPr>
        <w:t xml:space="preserve">HDC is focused on fair and early resolution of complaints. Each complaint received by HDC is assessed carefully and resolved in the most appropriate manner, bearing in mind the issues raised and the evidence available. The assessment process is thorough and can involve a number of steps, including obtaining a response from the provider/s, seeking </w:t>
      </w:r>
      <w:r>
        <w:rPr>
          <w:szCs w:val="22"/>
        </w:rPr>
        <w:t>clinical</w:t>
      </w:r>
      <w:r w:rsidRPr="00900CC1">
        <w:rPr>
          <w:szCs w:val="22"/>
        </w:rPr>
        <w:t xml:space="preserve"> adv</w:t>
      </w:r>
      <w:r>
        <w:rPr>
          <w:szCs w:val="22"/>
        </w:rPr>
        <w:t xml:space="preserve">ice, and asking for </w:t>
      </w:r>
      <w:r w:rsidRPr="00900CC1">
        <w:rPr>
          <w:szCs w:val="22"/>
        </w:rPr>
        <w:t xml:space="preserve">information from the consumer or other </w:t>
      </w:r>
      <w:r>
        <w:rPr>
          <w:szCs w:val="22"/>
        </w:rPr>
        <w:t>people</w:t>
      </w:r>
      <w:r w:rsidRPr="00900CC1">
        <w:rPr>
          <w:szCs w:val="22"/>
        </w:rPr>
        <w:t>.</w:t>
      </w:r>
    </w:p>
    <w:p w14:paraId="0C2DC8B3" w14:textId="77777777" w:rsidR="00EB4A22" w:rsidRDefault="00EB4A22" w:rsidP="00EB4A22">
      <w:pPr>
        <w:rPr>
          <w:lang w:val="en-AU" w:bidi="ar-SA"/>
        </w:rPr>
      </w:pPr>
    </w:p>
    <w:p w14:paraId="53792F07" w14:textId="5D8001E3" w:rsidR="00EB4A22" w:rsidRPr="00666BAC" w:rsidRDefault="00EB4A22" w:rsidP="00EB4A22">
      <w:pPr>
        <w:rPr>
          <w:lang w:val="en-AU" w:bidi="ar-SA"/>
        </w:rPr>
      </w:pPr>
      <w:r>
        <w:rPr>
          <w:lang w:val="en-AU" w:bidi="ar-SA"/>
        </w:rPr>
        <w:t>A</w:t>
      </w:r>
      <w:r w:rsidRPr="00666BAC">
        <w:rPr>
          <w:lang w:val="en-AU" w:bidi="ar-SA"/>
        </w:rPr>
        <w:t xml:space="preserve"> number of options </w:t>
      </w:r>
      <w:r>
        <w:rPr>
          <w:lang w:val="en-AU" w:bidi="ar-SA"/>
        </w:rPr>
        <w:t xml:space="preserve">are </w:t>
      </w:r>
      <w:r w:rsidRPr="00666BAC">
        <w:rPr>
          <w:lang w:val="en-AU" w:bidi="ar-SA"/>
        </w:rPr>
        <w:t>available</w:t>
      </w:r>
      <w:r>
        <w:rPr>
          <w:lang w:val="en-AU" w:bidi="ar-SA"/>
        </w:rPr>
        <w:t xml:space="preserve"> to the Commissioner</w:t>
      </w:r>
      <w:r w:rsidRPr="00666BAC">
        <w:rPr>
          <w:lang w:val="en-AU" w:bidi="ar-SA"/>
        </w:rPr>
        <w:t xml:space="preserve"> for the resolution of complaints.</w:t>
      </w:r>
      <w:r w:rsidR="00B12430">
        <w:rPr>
          <w:lang w:val="en-AU" w:bidi="ar-SA"/>
        </w:rPr>
        <w:t xml:space="preserve"> </w:t>
      </w:r>
      <w:r w:rsidRPr="00666BAC">
        <w:rPr>
          <w:lang w:val="en-AU" w:bidi="ar-SA"/>
        </w:rPr>
        <w:t>These include referring the complaint to the Advocacy Service, to a professional body, or to another agency.</w:t>
      </w:r>
      <w:r>
        <w:rPr>
          <w:lang w:val="en-AU" w:bidi="ar-SA"/>
        </w:rPr>
        <w:t xml:space="preserve"> </w:t>
      </w:r>
      <w:r w:rsidRPr="00666BAC">
        <w:rPr>
          <w:lang w:val="en-AU" w:bidi="ar-SA"/>
        </w:rPr>
        <w:t>HDC may also refer a complaint back to the provider to resolve directly.</w:t>
      </w:r>
      <w:r w:rsidR="00B12430">
        <w:rPr>
          <w:lang w:val="en-AU" w:bidi="ar-SA"/>
        </w:rPr>
        <w:t xml:space="preserve"> </w:t>
      </w:r>
      <w:r w:rsidRPr="00666BAC">
        <w:rPr>
          <w:lang w:val="en-AU" w:bidi="ar-SA"/>
        </w:rPr>
        <w:t xml:space="preserve">In line with their responsibilities under the Code, DHBs have increasingly developed good systems to address complaints in a timely and appropriate way. </w:t>
      </w:r>
      <w:r>
        <w:rPr>
          <w:lang w:val="en-AU" w:bidi="ar-SA"/>
        </w:rPr>
        <w:t>Where complaints are assessed as suitable for resolution between the parties, i</w:t>
      </w:r>
      <w:r w:rsidRPr="00666BAC">
        <w:rPr>
          <w:lang w:val="en-AU" w:bidi="ar-SA"/>
        </w:rPr>
        <w:t>t is often appropriate for HDC to refer a complaint to the DHB to resolve, with a requirement that the DHB report back to HDC on the outcome of its handling of the complaint.</w:t>
      </w:r>
    </w:p>
    <w:p w14:paraId="6B0DFBA1" w14:textId="77777777" w:rsidR="00EB4A22" w:rsidRPr="00666BAC" w:rsidRDefault="00EB4A22" w:rsidP="00EB4A22">
      <w:pPr>
        <w:rPr>
          <w:lang w:val="en-AU" w:bidi="ar-SA"/>
        </w:rPr>
      </w:pPr>
    </w:p>
    <w:p w14:paraId="127B3266" w14:textId="77777777" w:rsidR="00EB4A22" w:rsidRPr="0073374F" w:rsidRDefault="00EB4A22" w:rsidP="00EB4A22">
      <w:pPr>
        <w:rPr>
          <w:lang w:val="en-US"/>
        </w:rPr>
      </w:pPr>
      <w:r w:rsidRPr="00666BAC">
        <w:rPr>
          <w:lang w:val="en-AU" w:bidi="ar-SA"/>
        </w:rPr>
        <w:t>The Commissioner also has a wide discretion to take no further actio</w:t>
      </w:r>
      <w:r>
        <w:rPr>
          <w:lang w:val="en-AU" w:bidi="ar-SA"/>
        </w:rPr>
        <w:t xml:space="preserve">n on a complaint. </w:t>
      </w:r>
      <w:r w:rsidRPr="00666BAC">
        <w:rPr>
          <w:lang w:val="en-US"/>
        </w:rPr>
        <w:t>For example, the Commissioner may take no further action because careful assessment indicates that a provider’s actions were reasonable in the circumstances</w:t>
      </w:r>
      <w:r>
        <w:rPr>
          <w:lang w:val="en-US"/>
        </w:rPr>
        <w:t>;</w:t>
      </w:r>
      <w:r w:rsidRPr="00666BAC">
        <w:rPr>
          <w:lang w:val="en-US"/>
        </w:rPr>
        <w:t xml:space="preserve"> a more appropriate outcome can be achieved in a more flexible and ti</w:t>
      </w:r>
      <w:r>
        <w:rPr>
          <w:lang w:val="en-US"/>
        </w:rPr>
        <w:t>mely way than by means of</w:t>
      </w:r>
      <w:r w:rsidRPr="00666BAC">
        <w:rPr>
          <w:lang w:val="en-US"/>
        </w:rPr>
        <w:t xml:space="preserve"> investigation</w:t>
      </w:r>
      <w:r>
        <w:rPr>
          <w:lang w:val="en-US"/>
        </w:rPr>
        <w:t>;</w:t>
      </w:r>
      <w:r w:rsidRPr="00666BAC">
        <w:rPr>
          <w:lang w:val="en-US"/>
        </w:rPr>
        <w:t xml:space="preserve"> or the matters that are the subject of the complaint have been, are being, or will be</w:t>
      </w:r>
      <w:r>
        <w:rPr>
          <w:lang w:val="en-US"/>
        </w:rPr>
        <w:t>,</w:t>
      </w:r>
      <w:r w:rsidRPr="00666BAC">
        <w:rPr>
          <w:lang w:val="en-US"/>
        </w:rPr>
        <w:t xml:space="preserve"> addressed appropriately by other means. </w:t>
      </w:r>
      <w:r w:rsidRPr="00666BAC">
        <w:rPr>
          <w:lang w:val="en-AU" w:bidi="ar-SA"/>
        </w:rPr>
        <w:t xml:space="preserve">Often a decision to take no further action will be accompanied by an educational comment or recommendations designed to assist the provider </w:t>
      </w:r>
      <w:r>
        <w:rPr>
          <w:lang w:val="en-AU" w:bidi="ar-SA"/>
        </w:rPr>
        <w:t>to improve services in future</w:t>
      </w:r>
      <w:r w:rsidRPr="00666BAC">
        <w:rPr>
          <w:lang w:val="en-AU" w:bidi="ar-SA"/>
        </w:rPr>
        <w:t>.</w:t>
      </w:r>
    </w:p>
    <w:p w14:paraId="1B491D8B" w14:textId="77777777" w:rsidR="00EB4A22" w:rsidRPr="00666BAC" w:rsidRDefault="00EB4A22" w:rsidP="00EB4A22">
      <w:pPr>
        <w:rPr>
          <w:lang w:val="en-AU" w:bidi="ar-SA"/>
        </w:rPr>
      </w:pPr>
    </w:p>
    <w:p w14:paraId="5EFF1098" w14:textId="77777777" w:rsidR="00EB4A22" w:rsidRDefault="00EB4A22" w:rsidP="004D22EA">
      <w:pPr>
        <w:spacing w:after="240"/>
        <w:rPr>
          <w:szCs w:val="22"/>
        </w:rPr>
      </w:pPr>
      <w:r w:rsidRPr="002E14D1">
        <w:rPr>
          <w:szCs w:val="22"/>
          <w:lang w:val="en-AU" w:bidi="ar-SA"/>
        </w:rPr>
        <w:t>Where appropriate, the Commissioner may investigate a complaint</w:t>
      </w:r>
      <w:r>
        <w:rPr>
          <w:szCs w:val="22"/>
          <w:lang w:val="en-AU" w:bidi="ar-SA"/>
        </w:rPr>
        <w:t>,</w:t>
      </w:r>
      <w:r w:rsidRPr="002E14D1">
        <w:rPr>
          <w:szCs w:val="22"/>
          <w:lang w:val="en-AU" w:bidi="ar-SA"/>
        </w:rPr>
        <w:t xml:space="preserve"> which may result in a DHB being found in breach of the Code. </w:t>
      </w:r>
      <w:r w:rsidRPr="002E14D1">
        <w:rPr>
          <w:szCs w:val="22"/>
        </w:rPr>
        <w:t>Notification of investigation generally indicates more serious issues.</w:t>
      </w:r>
    </w:p>
    <w:p w14:paraId="7A2C92C6" w14:textId="77777777" w:rsidR="00EB4A22" w:rsidRDefault="00EB4A22" w:rsidP="00EB4A22"/>
    <w:p w14:paraId="1B07A3ED" w14:textId="77777777" w:rsidR="00EB4A22" w:rsidRPr="00666BAC" w:rsidRDefault="00EB4A22" w:rsidP="00932E72">
      <w:pPr>
        <w:pStyle w:val="Heading3"/>
        <w:rPr>
          <w:lang w:val="en-AU" w:bidi="ar-SA"/>
        </w:rPr>
      </w:pPr>
      <w:bookmarkStart w:id="73" w:name="_Toc404344436"/>
      <w:bookmarkStart w:id="74" w:name="_Toc506278075"/>
      <w:bookmarkStart w:id="75" w:name="_Toc71561661"/>
      <w:bookmarkStart w:id="76" w:name="_Toc74223417"/>
      <w:r>
        <w:rPr>
          <w:lang w:val="en-AU" w:bidi="ar-SA"/>
        </w:rPr>
        <w:t>5</w:t>
      </w:r>
      <w:r w:rsidRPr="00666BAC">
        <w:rPr>
          <w:lang w:val="en-AU" w:bidi="ar-SA"/>
        </w:rPr>
        <w:t xml:space="preserve">.1 </w:t>
      </w:r>
      <w:r w:rsidRPr="00666BAC">
        <w:rPr>
          <w:lang w:val="en-AU" w:bidi="ar-SA"/>
        </w:rPr>
        <w:tab/>
      </w:r>
      <w:bookmarkEnd w:id="73"/>
      <w:bookmarkEnd w:id="74"/>
      <w:r>
        <w:rPr>
          <w:lang w:val="en-AU" w:bidi="ar-SA"/>
        </w:rPr>
        <w:t>Number of complaints closed</w:t>
      </w:r>
      <w:bookmarkEnd w:id="75"/>
      <w:bookmarkEnd w:id="76"/>
    </w:p>
    <w:bookmarkEnd w:id="70"/>
    <w:bookmarkEnd w:id="71"/>
    <w:bookmarkEnd w:id="72"/>
    <w:p w14:paraId="20E12424" w14:textId="77777777" w:rsidR="00EB4A22" w:rsidRPr="00605F09" w:rsidRDefault="00EB4A22" w:rsidP="00EB4A22">
      <w:pPr>
        <w:spacing w:after="480"/>
      </w:pPr>
      <w:r>
        <w:t xml:space="preserve">In the period Jul–Dec 2020, </w:t>
      </w:r>
      <w:r w:rsidRPr="00605F09">
        <w:t xml:space="preserve">HDC closed </w:t>
      </w:r>
      <w:r>
        <w:rPr>
          <w:b/>
        </w:rPr>
        <w:t>390</w:t>
      </w:r>
      <w:r w:rsidRPr="003E5338">
        <w:rPr>
          <w:rStyle w:val="FootnoteReference"/>
        </w:rPr>
        <w:footnoteReference w:id="4"/>
      </w:r>
      <w:r w:rsidRPr="00605F09">
        <w:rPr>
          <w:b/>
        </w:rPr>
        <w:t xml:space="preserve"> </w:t>
      </w:r>
      <w:r w:rsidRPr="00605F09">
        <w:t xml:space="preserve">complaints </w:t>
      </w:r>
      <w:r>
        <w:t>involving DHBs. Table 12</w:t>
      </w:r>
      <w:r w:rsidRPr="00605F09">
        <w:t xml:space="preserve"> shows the number of complaints closed in previous six-month periods.</w:t>
      </w:r>
    </w:p>
    <w:p w14:paraId="783438FD" w14:textId="77777777" w:rsidR="00EB4A22" w:rsidRDefault="00EB4A22" w:rsidP="00EB4A22">
      <w:pPr>
        <w:spacing w:after="120"/>
      </w:pPr>
      <w:r>
        <w:rPr>
          <w:b/>
        </w:rPr>
        <w:t>Table 12</w:t>
      </w:r>
      <w:r w:rsidRPr="00605F09">
        <w:rPr>
          <w:b/>
        </w:rPr>
        <w:t>.</w:t>
      </w:r>
      <w:r w:rsidRPr="00605F09">
        <w:t xml:space="preserve"> Number of complaints about DHBs closed in the last five years</w:t>
      </w:r>
    </w:p>
    <w:tbl>
      <w:tblPr>
        <w:tblStyle w:val="TableGrid"/>
        <w:tblpPr w:leftFromText="180" w:rightFromText="180" w:vertAnchor="text" w:horzAnchor="margin" w:tblpY="105"/>
        <w:tblW w:w="4899" w:type="pct"/>
        <w:tblLook w:val="04A0" w:firstRow="1" w:lastRow="0" w:firstColumn="1" w:lastColumn="0" w:noHBand="0" w:noVBand="1"/>
      </w:tblPr>
      <w:tblGrid>
        <w:gridCol w:w="1188"/>
        <w:gridCol w:w="679"/>
        <w:gridCol w:w="588"/>
        <w:gridCol w:w="675"/>
        <w:gridCol w:w="680"/>
        <w:gridCol w:w="680"/>
        <w:gridCol w:w="680"/>
        <w:gridCol w:w="680"/>
        <w:gridCol w:w="680"/>
        <w:gridCol w:w="680"/>
        <w:gridCol w:w="965"/>
        <w:gridCol w:w="659"/>
      </w:tblGrid>
      <w:tr w:rsidR="00EB4A22" w14:paraId="588CAF4D" w14:textId="77777777" w:rsidTr="00B12430">
        <w:tc>
          <w:tcPr>
            <w:tcW w:w="672" w:type="pct"/>
            <w:tcBorders>
              <w:top w:val="single" w:sz="4" w:space="0" w:color="auto"/>
              <w:left w:val="single" w:sz="4" w:space="0" w:color="auto"/>
              <w:bottom w:val="single" w:sz="4" w:space="0" w:color="auto"/>
              <w:right w:val="single" w:sz="4" w:space="0" w:color="auto"/>
            </w:tcBorders>
            <w:vAlign w:val="center"/>
          </w:tcPr>
          <w:p w14:paraId="067B3FCB" w14:textId="77777777" w:rsidR="00EB4A22" w:rsidRPr="00217EB1" w:rsidRDefault="00EB4A22" w:rsidP="00B12430">
            <w:pPr>
              <w:keepNext/>
              <w:keepLines/>
              <w:jc w:val="left"/>
              <w:rPr>
                <w:rFonts w:ascii="Calibri" w:hAnsi="Calibri"/>
                <w:b/>
                <w:szCs w:val="20"/>
              </w:rPr>
            </w:pPr>
          </w:p>
          <w:p w14:paraId="414B0837" w14:textId="77777777" w:rsidR="00EB4A22" w:rsidRPr="00217EB1" w:rsidRDefault="00EB4A22" w:rsidP="00B12430">
            <w:pPr>
              <w:keepNext/>
              <w:keepLines/>
              <w:jc w:val="left"/>
              <w:rPr>
                <w:rFonts w:ascii="Calibri" w:hAnsi="Calibri"/>
                <w:b/>
                <w:szCs w:val="20"/>
              </w:rPr>
            </w:pPr>
          </w:p>
        </w:tc>
        <w:tc>
          <w:tcPr>
            <w:tcW w:w="384" w:type="pct"/>
            <w:tcBorders>
              <w:top w:val="single" w:sz="4" w:space="0" w:color="auto"/>
              <w:left w:val="single" w:sz="4" w:space="0" w:color="auto"/>
              <w:bottom w:val="single" w:sz="4" w:space="0" w:color="auto"/>
              <w:right w:val="single" w:sz="4" w:space="0" w:color="auto"/>
            </w:tcBorders>
            <w:vAlign w:val="center"/>
          </w:tcPr>
          <w:p w14:paraId="76870C08" w14:textId="77777777" w:rsidR="00EB4A22" w:rsidRPr="00217EB1" w:rsidRDefault="00EB4A22" w:rsidP="00B12430">
            <w:pPr>
              <w:keepNext/>
              <w:keepLines/>
              <w:jc w:val="center"/>
              <w:rPr>
                <w:rFonts w:ascii="Calibri" w:hAnsi="Calibri"/>
                <w:b/>
                <w:szCs w:val="20"/>
              </w:rPr>
            </w:pPr>
          </w:p>
          <w:p w14:paraId="35E577E2" w14:textId="77777777" w:rsidR="00EB4A22" w:rsidRPr="00217EB1" w:rsidRDefault="00EB4A22" w:rsidP="00B12430">
            <w:pPr>
              <w:keepNext/>
              <w:keepLines/>
              <w:jc w:val="center"/>
              <w:rPr>
                <w:rFonts w:ascii="Calibri" w:hAnsi="Calibri"/>
                <w:b/>
                <w:szCs w:val="20"/>
              </w:rPr>
            </w:pPr>
            <w:r w:rsidRPr="00217EB1">
              <w:rPr>
                <w:rFonts w:ascii="Calibri" w:hAnsi="Calibri"/>
                <w:b/>
                <w:szCs w:val="20"/>
              </w:rPr>
              <w:t>Jan–Jun</w:t>
            </w:r>
            <w:r w:rsidRPr="00217EB1">
              <w:rPr>
                <w:rFonts w:ascii="Calibri" w:hAnsi="Calibri"/>
                <w:b/>
                <w:szCs w:val="20"/>
              </w:rPr>
              <w:br/>
              <w:t>16</w:t>
            </w:r>
          </w:p>
        </w:tc>
        <w:tc>
          <w:tcPr>
            <w:tcW w:w="333" w:type="pct"/>
            <w:tcBorders>
              <w:top w:val="single" w:sz="4" w:space="0" w:color="auto"/>
              <w:left w:val="single" w:sz="4" w:space="0" w:color="auto"/>
              <w:bottom w:val="single" w:sz="4" w:space="0" w:color="auto"/>
              <w:right w:val="single" w:sz="4" w:space="0" w:color="auto"/>
            </w:tcBorders>
            <w:vAlign w:val="center"/>
            <w:hideMark/>
          </w:tcPr>
          <w:p w14:paraId="3F34DF03" w14:textId="77777777" w:rsidR="00EB4A22" w:rsidRPr="00217EB1" w:rsidRDefault="00EB4A22" w:rsidP="00B12430">
            <w:pPr>
              <w:keepNext/>
              <w:keepLines/>
              <w:spacing w:before="180"/>
              <w:jc w:val="center"/>
              <w:rPr>
                <w:rFonts w:ascii="Calibri" w:hAnsi="Calibri"/>
                <w:b/>
                <w:szCs w:val="20"/>
              </w:rPr>
            </w:pPr>
            <w:r w:rsidRPr="00217EB1">
              <w:rPr>
                <w:rFonts w:ascii="Calibri" w:hAnsi="Calibri"/>
                <w:b/>
                <w:szCs w:val="20"/>
              </w:rPr>
              <w:t>Jul–Dec</w:t>
            </w:r>
            <w:r w:rsidRPr="00217EB1">
              <w:rPr>
                <w:rFonts w:ascii="Calibri" w:hAnsi="Calibri"/>
                <w:b/>
                <w:szCs w:val="20"/>
              </w:rPr>
              <w:br/>
              <w:t>16</w:t>
            </w:r>
          </w:p>
        </w:tc>
        <w:tc>
          <w:tcPr>
            <w:tcW w:w="382" w:type="pct"/>
            <w:tcBorders>
              <w:top w:val="single" w:sz="4" w:space="0" w:color="auto"/>
              <w:left w:val="single" w:sz="4" w:space="0" w:color="auto"/>
              <w:bottom w:val="single" w:sz="4" w:space="0" w:color="auto"/>
              <w:right w:val="single" w:sz="4" w:space="0" w:color="auto"/>
            </w:tcBorders>
            <w:vAlign w:val="center"/>
            <w:hideMark/>
          </w:tcPr>
          <w:p w14:paraId="6A5C3B9F" w14:textId="77777777" w:rsidR="00EB4A22" w:rsidRPr="00217EB1" w:rsidRDefault="00EB4A22" w:rsidP="00B12430">
            <w:pPr>
              <w:keepNext/>
              <w:keepLines/>
              <w:spacing w:before="180"/>
              <w:jc w:val="center"/>
              <w:rPr>
                <w:rFonts w:ascii="Calibri" w:hAnsi="Calibri"/>
                <w:b/>
                <w:szCs w:val="20"/>
              </w:rPr>
            </w:pPr>
            <w:r w:rsidRPr="00217EB1">
              <w:rPr>
                <w:rFonts w:ascii="Calibri" w:hAnsi="Calibri"/>
                <w:b/>
                <w:szCs w:val="20"/>
              </w:rPr>
              <w:t>Jan–Jun</w:t>
            </w:r>
            <w:r w:rsidRPr="00217EB1">
              <w:rPr>
                <w:rFonts w:ascii="Calibri" w:hAnsi="Calibri"/>
                <w:b/>
                <w:szCs w:val="20"/>
              </w:rPr>
              <w:br/>
              <w:t>17</w:t>
            </w:r>
          </w:p>
        </w:tc>
        <w:tc>
          <w:tcPr>
            <w:tcW w:w="385" w:type="pct"/>
            <w:tcBorders>
              <w:top w:val="single" w:sz="4" w:space="0" w:color="auto"/>
              <w:left w:val="single" w:sz="4" w:space="0" w:color="auto"/>
              <w:bottom w:val="single" w:sz="4" w:space="0" w:color="auto"/>
              <w:right w:val="single" w:sz="4" w:space="0" w:color="auto"/>
            </w:tcBorders>
            <w:vAlign w:val="center"/>
            <w:hideMark/>
          </w:tcPr>
          <w:p w14:paraId="6F68322D" w14:textId="77777777" w:rsidR="00EB4A22" w:rsidRPr="00217EB1" w:rsidRDefault="00EB4A22" w:rsidP="00B12430">
            <w:pPr>
              <w:keepNext/>
              <w:keepLines/>
              <w:spacing w:before="180"/>
              <w:jc w:val="center"/>
              <w:rPr>
                <w:rFonts w:ascii="Calibri" w:hAnsi="Calibri"/>
                <w:b/>
                <w:szCs w:val="20"/>
              </w:rPr>
            </w:pPr>
            <w:r w:rsidRPr="00217EB1">
              <w:rPr>
                <w:rFonts w:ascii="Calibri" w:hAnsi="Calibri"/>
                <w:b/>
                <w:szCs w:val="20"/>
              </w:rPr>
              <w:t>Jul–Dec</w:t>
            </w:r>
            <w:r w:rsidRPr="00217EB1">
              <w:rPr>
                <w:rFonts w:ascii="Calibri" w:hAnsi="Calibri"/>
                <w:b/>
                <w:szCs w:val="20"/>
              </w:rPr>
              <w:br/>
              <w:t>17</w:t>
            </w:r>
          </w:p>
        </w:tc>
        <w:tc>
          <w:tcPr>
            <w:tcW w:w="385" w:type="pct"/>
            <w:tcBorders>
              <w:top w:val="single" w:sz="4" w:space="0" w:color="auto"/>
              <w:left w:val="single" w:sz="4" w:space="0" w:color="auto"/>
              <w:bottom w:val="single" w:sz="4" w:space="0" w:color="auto"/>
              <w:right w:val="single" w:sz="4" w:space="0" w:color="auto"/>
            </w:tcBorders>
            <w:vAlign w:val="center"/>
            <w:hideMark/>
          </w:tcPr>
          <w:p w14:paraId="0B59EC60" w14:textId="77777777" w:rsidR="00EB4A22" w:rsidRPr="00217EB1" w:rsidRDefault="00EB4A22" w:rsidP="00B12430">
            <w:pPr>
              <w:keepNext/>
              <w:keepLines/>
              <w:spacing w:before="180"/>
              <w:jc w:val="center"/>
              <w:rPr>
                <w:rFonts w:ascii="Calibri" w:hAnsi="Calibri"/>
                <w:b/>
                <w:szCs w:val="20"/>
              </w:rPr>
            </w:pPr>
            <w:r w:rsidRPr="00217EB1">
              <w:rPr>
                <w:rFonts w:ascii="Calibri" w:hAnsi="Calibri"/>
                <w:b/>
                <w:szCs w:val="20"/>
              </w:rPr>
              <w:t>Jan–Jun</w:t>
            </w:r>
            <w:r w:rsidRPr="00217EB1">
              <w:rPr>
                <w:rFonts w:ascii="Calibri" w:hAnsi="Calibri"/>
                <w:b/>
                <w:szCs w:val="20"/>
              </w:rPr>
              <w:br/>
              <w:t>18</w:t>
            </w:r>
          </w:p>
        </w:tc>
        <w:tc>
          <w:tcPr>
            <w:tcW w:w="385" w:type="pct"/>
            <w:tcBorders>
              <w:top w:val="single" w:sz="4" w:space="0" w:color="auto"/>
              <w:left w:val="single" w:sz="4" w:space="0" w:color="auto"/>
              <w:bottom w:val="single" w:sz="4" w:space="0" w:color="auto"/>
              <w:right w:val="single" w:sz="4" w:space="0" w:color="auto"/>
            </w:tcBorders>
            <w:vAlign w:val="center"/>
            <w:hideMark/>
          </w:tcPr>
          <w:p w14:paraId="13CDD474" w14:textId="77777777" w:rsidR="00EB4A22" w:rsidRPr="00217EB1" w:rsidRDefault="00EB4A22" w:rsidP="00B12430">
            <w:pPr>
              <w:keepNext/>
              <w:keepLines/>
              <w:spacing w:before="180"/>
              <w:jc w:val="center"/>
              <w:rPr>
                <w:rFonts w:ascii="Calibri" w:hAnsi="Calibri"/>
                <w:b/>
                <w:szCs w:val="20"/>
              </w:rPr>
            </w:pPr>
            <w:r w:rsidRPr="00217EB1">
              <w:rPr>
                <w:rFonts w:ascii="Calibri" w:hAnsi="Calibri"/>
                <w:b/>
                <w:szCs w:val="20"/>
              </w:rPr>
              <w:t>Jul–Dec</w:t>
            </w:r>
            <w:r w:rsidRPr="00217EB1">
              <w:rPr>
                <w:rFonts w:ascii="Calibri" w:hAnsi="Calibri"/>
                <w:b/>
                <w:szCs w:val="20"/>
              </w:rPr>
              <w:br/>
              <w:t>18</w:t>
            </w:r>
          </w:p>
        </w:tc>
        <w:tc>
          <w:tcPr>
            <w:tcW w:w="385" w:type="pct"/>
            <w:tcBorders>
              <w:top w:val="single" w:sz="4" w:space="0" w:color="auto"/>
              <w:left w:val="single" w:sz="4" w:space="0" w:color="auto"/>
              <w:bottom w:val="single" w:sz="4" w:space="0" w:color="auto"/>
              <w:right w:val="single" w:sz="4" w:space="0" w:color="auto"/>
            </w:tcBorders>
            <w:vAlign w:val="center"/>
            <w:hideMark/>
          </w:tcPr>
          <w:p w14:paraId="5A5C14BF" w14:textId="77777777" w:rsidR="00EB4A22" w:rsidRPr="00217EB1" w:rsidRDefault="00EB4A22" w:rsidP="00B12430">
            <w:pPr>
              <w:keepNext/>
              <w:keepLines/>
              <w:spacing w:before="180"/>
              <w:jc w:val="center"/>
              <w:rPr>
                <w:rFonts w:ascii="Calibri" w:hAnsi="Calibri"/>
                <w:b/>
                <w:szCs w:val="20"/>
              </w:rPr>
            </w:pPr>
            <w:r w:rsidRPr="00217EB1">
              <w:rPr>
                <w:rFonts w:ascii="Calibri" w:hAnsi="Calibri"/>
                <w:b/>
                <w:szCs w:val="20"/>
              </w:rPr>
              <w:t>Jan–Jun</w:t>
            </w:r>
            <w:r w:rsidRPr="00217EB1">
              <w:rPr>
                <w:rFonts w:ascii="Calibri" w:hAnsi="Calibri"/>
                <w:b/>
                <w:szCs w:val="20"/>
              </w:rPr>
              <w:br/>
              <w:t>19</w:t>
            </w:r>
          </w:p>
        </w:tc>
        <w:tc>
          <w:tcPr>
            <w:tcW w:w="385" w:type="pct"/>
            <w:tcBorders>
              <w:top w:val="single" w:sz="4" w:space="0" w:color="auto"/>
              <w:left w:val="single" w:sz="4" w:space="0" w:color="auto"/>
              <w:bottom w:val="single" w:sz="4" w:space="0" w:color="auto"/>
              <w:right w:val="single" w:sz="4" w:space="0" w:color="auto"/>
            </w:tcBorders>
            <w:vAlign w:val="center"/>
            <w:hideMark/>
          </w:tcPr>
          <w:p w14:paraId="1994BC7B" w14:textId="77777777" w:rsidR="00EB4A22" w:rsidRPr="00217EB1" w:rsidRDefault="00EB4A22" w:rsidP="00B12430">
            <w:pPr>
              <w:keepNext/>
              <w:keepLines/>
              <w:spacing w:before="180"/>
              <w:jc w:val="center"/>
              <w:rPr>
                <w:rFonts w:ascii="Calibri" w:hAnsi="Calibri"/>
                <w:b/>
                <w:szCs w:val="20"/>
              </w:rPr>
            </w:pPr>
            <w:r w:rsidRPr="00217EB1">
              <w:rPr>
                <w:rFonts w:ascii="Calibri" w:hAnsi="Calibri"/>
                <w:b/>
                <w:szCs w:val="20"/>
              </w:rPr>
              <w:t>Jul–Dec</w:t>
            </w:r>
            <w:r w:rsidRPr="00217EB1">
              <w:rPr>
                <w:rFonts w:ascii="Calibri" w:hAnsi="Calibri"/>
                <w:b/>
                <w:szCs w:val="20"/>
              </w:rPr>
              <w:br/>
              <w:t>19</w:t>
            </w:r>
          </w:p>
        </w:tc>
        <w:tc>
          <w:tcPr>
            <w:tcW w:w="385" w:type="pct"/>
            <w:tcBorders>
              <w:top w:val="single" w:sz="4" w:space="0" w:color="auto"/>
              <w:left w:val="single" w:sz="4" w:space="0" w:color="auto"/>
              <w:bottom w:val="single" w:sz="4" w:space="0" w:color="auto"/>
              <w:right w:val="single" w:sz="4" w:space="0" w:color="auto"/>
            </w:tcBorders>
            <w:vAlign w:val="center"/>
          </w:tcPr>
          <w:p w14:paraId="7A0F6D08" w14:textId="77777777" w:rsidR="00EB4A22" w:rsidRPr="00217EB1" w:rsidRDefault="00EB4A22" w:rsidP="00B12430">
            <w:pPr>
              <w:keepNext/>
              <w:keepLines/>
              <w:spacing w:before="180"/>
              <w:jc w:val="center"/>
              <w:rPr>
                <w:rFonts w:ascii="Calibri" w:hAnsi="Calibri"/>
                <w:b/>
                <w:szCs w:val="20"/>
              </w:rPr>
            </w:pPr>
            <w:r w:rsidRPr="00217EB1">
              <w:rPr>
                <w:rFonts w:ascii="Calibri" w:hAnsi="Calibri"/>
                <w:b/>
                <w:szCs w:val="20"/>
              </w:rPr>
              <w:t>Jan–Jun</w:t>
            </w:r>
          </w:p>
          <w:p w14:paraId="3CD6CE82" w14:textId="77777777" w:rsidR="00EB4A22" w:rsidRPr="00217EB1" w:rsidRDefault="00EB4A22" w:rsidP="00B12430">
            <w:pPr>
              <w:keepNext/>
              <w:keepLines/>
              <w:jc w:val="center"/>
              <w:rPr>
                <w:rFonts w:ascii="Calibri" w:hAnsi="Calibri"/>
                <w:b/>
                <w:szCs w:val="20"/>
              </w:rPr>
            </w:pPr>
            <w:r w:rsidRPr="00217EB1">
              <w:rPr>
                <w:rFonts w:ascii="Calibri" w:hAnsi="Calibri"/>
                <w:b/>
                <w:szCs w:val="20"/>
              </w:rPr>
              <w:t>20</w:t>
            </w:r>
          </w:p>
        </w:tc>
        <w:tc>
          <w:tcPr>
            <w:tcW w:w="546" w:type="pct"/>
            <w:tcBorders>
              <w:top w:val="single" w:sz="4" w:space="0" w:color="auto"/>
              <w:left w:val="single" w:sz="4" w:space="0" w:color="auto"/>
              <w:bottom w:val="single" w:sz="4" w:space="0" w:color="auto"/>
              <w:right w:val="single" w:sz="4" w:space="0" w:color="auto"/>
            </w:tcBorders>
            <w:vAlign w:val="center"/>
            <w:hideMark/>
          </w:tcPr>
          <w:p w14:paraId="17BD1BC8" w14:textId="77777777" w:rsidR="00EB4A22" w:rsidRPr="00217EB1" w:rsidRDefault="00EB4A22" w:rsidP="00B12430">
            <w:pPr>
              <w:keepNext/>
              <w:keepLines/>
              <w:spacing w:before="120"/>
              <w:jc w:val="center"/>
              <w:rPr>
                <w:rFonts w:ascii="Calibri" w:hAnsi="Calibri"/>
                <w:b/>
                <w:szCs w:val="20"/>
              </w:rPr>
            </w:pPr>
            <w:r w:rsidRPr="00217EB1">
              <w:rPr>
                <w:rFonts w:ascii="Calibri" w:hAnsi="Calibri"/>
                <w:b/>
                <w:szCs w:val="20"/>
              </w:rPr>
              <w:t>Average of last 4</w:t>
            </w:r>
          </w:p>
          <w:p w14:paraId="4CDF973B" w14:textId="77777777" w:rsidR="00EB4A22" w:rsidRPr="00217EB1" w:rsidRDefault="00EB4A22" w:rsidP="00B12430">
            <w:pPr>
              <w:keepNext/>
              <w:keepLines/>
              <w:jc w:val="center"/>
              <w:rPr>
                <w:rFonts w:ascii="Calibri" w:hAnsi="Calibri"/>
                <w:b/>
                <w:szCs w:val="20"/>
              </w:rPr>
            </w:pPr>
            <w:r w:rsidRPr="00217EB1">
              <w:rPr>
                <w:rFonts w:ascii="Calibri" w:hAnsi="Calibri"/>
                <w:b/>
                <w:szCs w:val="20"/>
              </w:rPr>
              <w:t>6-month periods</w:t>
            </w:r>
          </w:p>
        </w:tc>
        <w:tc>
          <w:tcPr>
            <w:tcW w:w="373" w:type="pct"/>
            <w:tcBorders>
              <w:top w:val="single" w:sz="4" w:space="0" w:color="auto"/>
              <w:left w:val="single" w:sz="4" w:space="0" w:color="auto"/>
              <w:bottom w:val="single" w:sz="4" w:space="0" w:color="auto"/>
              <w:right w:val="single" w:sz="4" w:space="0" w:color="auto"/>
            </w:tcBorders>
            <w:vAlign w:val="center"/>
            <w:hideMark/>
          </w:tcPr>
          <w:p w14:paraId="38B98887" w14:textId="77777777" w:rsidR="00EB4A22" w:rsidRPr="00217EB1" w:rsidRDefault="00EB4A22" w:rsidP="00B12430">
            <w:pPr>
              <w:keepNext/>
              <w:keepLines/>
              <w:spacing w:before="180"/>
              <w:jc w:val="center"/>
              <w:rPr>
                <w:rFonts w:ascii="Calibri" w:hAnsi="Calibri"/>
                <w:b/>
                <w:szCs w:val="20"/>
              </w:rPr>
            </w:pPr>
            <w:r w:rsidRPr="00217EB1">
              <w:rPr>
                <w:rFonts w:ascii="Calibri" w:hAnsi="Calibri"/>
                <w:b/>
                <w:szCs w:val="20"/>
              </w:rPr>
              <w:t>Jul–Dec</w:t>
            </w:r>
          </w:p>
          <w:p w14:paraId="40B77191" w14:textId="77777777" w:rsidR="00EB4A22" w:rsidRPr="00217EB1" w:rsidRDefault="00EB4A22" w:rsidP="00B12430">
            <w:pPr>
              <w:keepNext/>
              <w:keepLines/>
              <w:jc w:val="center"/>
              <w:rPr>
                <w:rFonts w:ascii="Calibri" w:hAnsi="Calibri"/>
                <w:b/>
                <w:szCs w:val="20"/>
              </w:rPr>
            </w:pPr>
            <w:r w:rsidRPr="00217EB1">
              <w:rPr>
                <w:rFonts w:ascii="Calibri" w:hAnsi="Calibri"/>
                <w:b/>
                <w:szCs w:val="20"/>
              </w:rPr>
              <w:t>20</w:t>
            </w:r>
          </w:p>
        </w:tc>
      </w:tr>
      <w:tr w:rsidR="00EB4A22" w14:paraId="15253E88" w14:textId="77777777" w:rsidTr="00B12430">
        <w:tc>
          <w:tcPr>
            <w:tcW w:w="672" w:type="pct"/>
            <w:tcBorders>
              <w:top w:val="single" w:sz="4" w:space="0" w:color="auto"/>
              <w:left w:val="single" w:sz="4" w:space="0" w:color="auto"/>
              <w:bottom w:val="single" w:sz="4" w:space="0" w:color="auto"/>
              <w:right w:val="single" w:sz="4" w:space="0" w:color="auto"/>
            </w:tcBorders>
            <w:vAlign w:val="center"/>
            <w:hideMark/>
          </w:tcPr>
          <w:p w14:paraId="282DFED5" w14:textId="77777777" w:rsidR="00EB4A22" w:rsidRPr="00217EB1" w:rsidRDefault="00EB4A22" w:rsidP="00B12430">
            <w:pPr>
              <w:keepNext/>
              <w:keepLines/>
              <w:spacing w:after="40"/>
              <w:jc w:val="left"/>
              <w:rPr>
                <w:rFonts w:ascii="Calibri" w:hAnsi="Calibri"/>
                <w:b/>
                <w:szCs w:val="20"/>
              </w:rPr>
            </w:pPr>
            <w:r w:rsidRPr="00217EB1">
              <w:rPr>
                <w:rFonts w:ascii="Calibri" w:hAnsi="Calibri"/>
                <w:b/>
                <w:szCs w:val="20"/>
              </w:rPr>
              <w:t>Number of complaints closed</w:t>
            </w:r>
          </w:p>
        </w:tc>
        <w:tc>
          <w:tcPr>
            <w:tcW w:w="384" w:type="pct"/>
            <w:tcBorders>
              <w:top w:val="single" w:sz="4" w:space="0" w:color="auto"/>
              <w:left w:val="single" w:sz="4" w:space="0" w:color="auto"/>
              <w:bottom w:val="single" w:sz="4" w:space="0" w:color="auto"/>
              <w:right w:val="single" w:sz="4" w:space="0" w:color="auto"/>
            </w:tcBorders>
            <w:vAlign w:val="center"/>
          </w:tcPr>
          <w:p w14:paraId="0795ED66" w14:textId="77777777" w:rsidR="00EB4A22" w:rsidRPr="00217EB1" w:rsidRDefault="00EB4A22" w:rsidP="00B12430">
            <w:pPr>
              <w:keepNext/>
              <w:keepLines/>
              <w:jc w:val="center"/>
              <w:rPr>
                <w:rFonts w:ascii="Calibri" w:hAnsi="Calibri"/>
                <w:szCs w:val="20"/>
              </w:rPr>
            </w:pPr>
            <w:r w:rsidRPr="00217EB1">
              <w:rPr>
                <w:rFonts w:ascii="Calibri" w:hAnsi="Calibri"/>
                <w:szCs w:val="20"/>
              </w:rPr>
              <w:t>482</w:t>
            </w:r>
          </w:p>
        </w:tc>
        <w:tc>
          <w:tcPr>
            <w:tcW w:w="333" w:type="pct"/>
            <w:tcBorders>
              <w:top w:val="single" w:sz="4" w:space="0" w:color="auto"/>
              <w:left w:val="single" w:sz="4" w:space="0" w:color="auto"/>
              <w:bottom w:val="single" w:sz="4" w:space="0" w:color="auto"/>
              <w:right w:val="single" w:sz="4" w:space="0" w:color="auto"/>
            </w:tcBorders>
            <w:vAlign w:val="center"/>
            <w:hideMark/>
          </w:tcPr>
          <w:p w14:paraId="1DC1287D" w14:textId="77777777" w:rsidR="00EB4A22" w:rsidRPr="00217EB1" w:rsidRDefault="00EB4A22" w:rsidP="00B12430">
            <w:pPr>
              <w:keepNext/>
              <w:keepLines/>
              <w:jc w:val="center"/>
              <w:rPr>
                <w:rFonts w:ascii="Calibri" w:hAnsi="Calibri"/>
                <w:szCs w:val="20"/>
              </w:rPr>
            </w:pPr>
            <w:r w:rsidRPr="00217EB1">
              <w:rPr>
                <w:rFonts w:ascii="Calibri" w:hAnsi="Calibri"/>
                <w:szCs w:val="20"/>
              </w:rPr>
              <w:t>316</w:t>
            </w:r>
          </w:p>
        </w:tc>
        <w:tc>
          <w:tcPr>
            <w:tcW w:w="382" w:type="pct"/>
            <w:tcBorders>
              <w:top w:val="single" w:sz="4" w:space="0" w:color="auto"/>
              <w:left w:val="single" w:sz="4" w:space="0" w:color="auto"/>
              <w:bottom w:val="single" w:sz="4" w:space="0" w:color="auto"/>
              <w:right w:val="single" w:sz="4" w:space="0" w:color="auto"/>
            </w:tcBorders>
            <w:vAlign w:val="center"/>
            <w:hideMark/>
          </w:tcPr>
          <w:p w14:paraId="163B135D" w14:textId="77777777" w:rsidR="00EB4A22" w:rsidRPr="00217EB1" w:rsidRDefault="00EB4A22" w:rsidP="00B12430">
            <w:pPr>
              <w:keepNext/>
              <w:keepLines/>
              <w:jc w:val="center"/>
              <w:rPr>
                <w:rFonts w:ascii="Calibri" w:hAnsi="Calibri"/>
                <w:szCs w:val="20"/>
              </w:rPr>
            </w:pPr>
            <w:r w:rsidRPr="00217EB1">
              <w:rPr>
                <w:rFonts w:ascii="Calibri" w:hAnsi="Calibri"/>
                <w:szCs w:val="20"/>
              </w:rPr>
              <w:t>465</w:t>
            </w:r>
          </w:p>
        </w:tc>
        <w:tc>
          <w:tcPr>
            <w:tcW w:w="385" w:type="pct"/>
            <w:tcBorders>
              <w:top w:val="single" w:sz="4" w:space="0" w:color="auto"/>
              <w:left w:val="single" w:sz="4" w:space="0" w:color="auto"/>
              <w:bottom w:val="single" w:sz="4" w:space="0" w:color="auto"/>
              <w:right w:val="single" w:sz="4" w:space="0" w:color="auto"/>
            </w:tcBorders>
            <w:vAlign w:val="center"/>
            <w:hideMark/>
          </w:tcPr>
          <w:p w14:paraId="736282FD" w14:textId="77777777" w:rsidR="00EB4A22" w:rsidRPr="00217EB1" w:rsidRDefault="00EB4A22" w:rsidP="00B12430">
            <w:pPr>
              <w:keepNext/>
              <w:keepLines/>
              <w:jc w:val="center"/>
              <w:rPr>
                <w:rFonts w:ascii="Calibri" w:hAnsi="Calibri"/>
                <w:szCs w:val="20"/>
              </w:rPr>
            </w:pPr>
            <w:r w:rsidRPr="00217EB1">
              <w:rPr>
                <w:rFonts w:ascii="Calibri" w:hAnsi="Calibri"/>
                <w:szCs w:val="20"/>
              </w:rPr>
              <w:t>383</w:t>
            </w:r>
          </w:p>
        </w:tc>
        <w:tc>
          <w:tcPr>
            <w:tcW w:w="385" w:type="pct"/>
            <w:tcBorders>
              <w:top w:val="single" w:sz="4" w:space="0" w:color="auto"/>
              <w:left w:val="single" w:sz="4" w:space="0" w:color="auto"/>
              <w:bottom w:val="single" w:sz="4" w:space="0" w:color="auto"/>
              <w:right w:val="single" w:sz="4" w:space="0" w:color="auto"/>
            </w:tcBorders>
            <w:vAlign w:val="center"/>
            <w:hideMark/>
          </w:tcPr>
          <w:p w14:paraId="25482A8F" w14:textId="77777777" w:rsidR="00EB4A22" w:rsidRPr="00217EB1" w:rsidRDefault="00EB4A22" w:rsidP="00B12430">
            <w:pPr>
              <w:keepNext/>
              <w:keepLines/>
              <w:jc w:val="center"/>
              <w:rPr>
                <w:rFonts w:ascii="Calibri" w:hAnsi="Calibri"/>
                <w:szCs w:val="20"/>
              </w:rPr>
            </w:pPr>
            <w:r w:rsidRPr="00217EB1">
              <w:rPr>
                <w:rFonts w:ascii="Calibri" w:hAnsi="Calibri"/>
                <w:szCs w:val="20"/>
              </w:rPr>
              <w:t>476</w:t>
            </w:r>
          </w:p>
        </w:tc>
        <w:tc>
          <w:tcPr>
            <w:tcW w:w="385" w:type="pct"/>
            <w:tcBorders>
              <w:top w:val="single" w:sz="4" w:space="0" w:color="auto"/>
              <w:left w:val="single" w:sz="4" w:space="0" w:color="auto"/>
              <w:bottom w:val="single" w:sz="4" w:space="0" w:color="auto"/>
              <w:right w:val="single" w:sz="4" w:space="0" w:color="auto"/>
            </w:tcBorders>
            <w:vAlign w:val="center"/>
            <w:hideMark/>
          </w:tcPr>
          <w:p w14:paraId="5C957329" w14:textId="77777777" w:rsidR="00EB4A22" w:rsidRPr="00217EB1" w:rsidRDefault="00EB4A22" w:rsidP="00B12430">
            <w:pPr>
              <w:keepNext/>
              <w:keepLines/>
              <w:jc w:val="center"/>
              <w:rPr>
                <w:rFonts w:ascii="Calibri" w:hAnsi="Calibri"/>
                <w:szCs w:val="20"/>
              </w:rPr>
            </w:pPr>
            <w:r w:rsidRPr="00217EB1">
              <w:rPr>
                <w:rFonts w:ascii="Calibri" w:hAnsi="Calibri"/>
                <w:szCs w:val="20"/>
              </w:rPr>
              <w:t>449</w:t>
            </w:r>
          </w:p>
        </w:tc>
        <w:tc>
          <w:tcPr>
            <w:tcW w:w="385" w:type="pct"/>
            <w:tcBorders>
              <w:top w:val="single" w:sz="4" w:space="0" w:color="auto"/>
              <w:left w:val="single" w:sz="4" w:space="0" w:color="auto"/>
              <w:bottom w:val="single" w:sz="4" w:space="0" w:color="auto"/>
              <w:right w:val="single" w:sz="4" w:space="0" w:color="auto"/>
            </w:tcBorders>
            <w:vAlign w:val="center"/>
            <w:hideMark/>
          </w:tcPr>
          <w:p w14:paraId="6C6FC31C" w14:textId="77777777" w:rsidR="00EB4A22" w:rsidRPr="00217EB1" w:rsidRDefault="00EB4A22" w:rsidP="00B12430">
            <w:pPr>
              <w:keepNext/>
              <w:keepLines/>
              <w:jc w:val="center"/>
              <w:rPr>
                <w:rFonts w:ascii="Calibri" w:hAnsi="Calibri"/>
                <w:szCs w:val="20"/>
              </w:rPr>
            </w:pPr>
            <w:r w:rsidRPr="00217EB1">
              <w:rPr>
                <w:rFonts w:ascii="Calibri" w:hAnsi="Calibri"/>
                <w:szCs w:val="20"/>
              </w:rPr>
              <w:t>444</w:t>
            </w:r>
          </w:p>
        </w:tc>
        <w:tc>
          <w:tcPr>
            <w:tcW w:w="385" w:type="pct"/>
            <w:tcBorders>
              <w:top w:val="single" w:sz="4" w:space="0" w:color="auto"/>
              <w:left w:val="single" w:sz="4" w:space="0" w:color="auto"/>
              <w:bottom w:val="single" w:sz="4" w:space="0" w:color="auto"/>
              <w:right w:val="single" w:sz="4" w:space="0" w:color="auto"/>
            </w:tcBorders>
            <w:vAlign w:val="center"/>
            <w:hideMark/>
          </w:tcPr>
          <w:p w14:paraId="169CF37F" w14:textId="77777777" w:rsidR="00EB4A22" w:rsidRPr="00217EB1" w:rsidRDefault="00EB4A22" w:rsidP="00B12430">
            <w:pPr>
              <w:keepNext/>
              <w:keepLines/>
              <w:jc w:val="center"/>
              <w:rPr>
                <w:rFonts w:ascii="Calibri" w:hAnsi="Calibri"/>
                <w:szCs w:val="20"/>
              </w:rPr>
            </w:pPr>
            <w:r w:rsidRPr="00217EB1">
              <w:rPr>
                <w:rFonts w:ascii="Calibri" w:hAnsi="Calibri"/>
                <w:szCs w:val="20"/>
              </w:rPr>
              <w:t>423</w:t>
            </w:r>
          </w:p>
        </w:tc>
        <w:tc>
          <w:tcPr>
            <w:tcW w:w="385" w:type="pct"/>
            <w:tcBorders>
              <w:top w:val="single" w:sz="4" w:space="0" w:color="auto"/>
              <w:left w:val="single" w:sz="4" w:space="0" w:color="auto"/>
              <w:bottom w:val="single" w:sz="4" w:space="0" w:color="auto"/>
              <w:right w:val="single" w:sz="4" w:space="0" w:color="auto"/>
            </w:tcBorders>
            <w:vAlign w:val="center"/>
          </w:tcPr>
          <w:p w14:paraId="1E361F63" w14:textId="77777777" w:rsidR="00EB4A22" w:rsidRPr="00217EB1" w:rsidRDefault="00EB4A22" w:rsidP="00B12430">
            <w:pPr>
              <w:keepNext/>
              <w:keepLines/>
              <w:jc w:val="center"/>
              <w:rPr>
                <w:rFonts w:ascii="Calibri" w:hAnsi="Calibri"/>
                <w:szCs w:val="20"/>
              </w:rPr>
            </w:pPr>
            <w:r w:rsidRPr="00217EB1">
              <w:rPr>
                <w:rFonts w:ascii="Calibri" w:hAnsi="Calibri"/>
                <w:szCs w:val="20"/>
              </w:rPr>
              <w:t>428</w:t>
            </w:r>
          </w:p>
        </w:tc>
        <w:tc>
          <w:tcPr>
            <w:tcW w:w="546" w:type="pct"/>
            <w:tcBorders>
              <w:top w:val="single" w:sz="4" w:space="0" w:color="auto"/>
              <w:left w:val="single" w:sz="4" w:space="0" w:color="auto"/>
              <w:bottom w:val="single" w:sz="4" w:space="0" w:color="auto"/>
              <w:right w:val="single" w:sz="4" w:space="0" w:color="auto"/>
            </w:tcBorders>
            <w:vAlign w:val="center"/>
            <w:hideMark/>
          </w:tcPr>
          <w:p w14:paraId="1D5EE10C" w14:textId="77777777" w:rsidR="00EB4A22" w:rsidRPr="00217EB1" w:rsidRDefault="00EB4A22" w:rsidP="00B12430">
            <w:pPr>
              <w:keepNext/>
              <w:keepLines/>
              <w:jc w:val="center"/>
              <w:rPr>
                <w:rFonts w:ascii="Calibri" w:hAnsi="Calibri"/>
                <w:b/>
                <w:szCs w:val="20"/>
              </w:rPr>
            </w:pPr>
            <w:r w:rsidRPr="00217EB1">
              <w:rPr>
                <w:rFonts w:ascii="Calibri" w:hAnsi="Calibri"/>
                <w:b/>
                <w:szCs w:val="20"/>
              </w:rPr>
              <w:t>436</w:t>
            </w:r>
          </w:p>
        </w:tc>
        <w:tc>
          <w:tcPr>
            <w:tcW w:w="373" w:type="pct"/>
            <w:tcBorders>
              <w:top w:val="single" w:sz="4" w:space="0" w:color="auto"/>
              <w:left w:val="single" w:sz="4" w:space="0" w:color="auto"/>
              <w:bottom w:val="single" w:sz="4" w:space="0" w:color="auto"/>
              <w:right w:val="single" w:sz="4" w:space="0" w:color="auto"/>
            </w:tcBorders>
            <w:vAlign w:val="center"/>
            <w:hideMark/>
          </w:tcPr>
          <w:p w14:paraId="5BEC5928" w14:textId="77777777" w:rsidR="00EB4A22" w:rsidRPr="00217EB1" w:rsidRDefault="00EB4A22" w:rsidP="00B12430">
            <w:pPr>
              <w:keepNext/>
              <w:keepLines/>
              <w:jc w:val="center"/>
              <w:rPr>
                <w:rFonts w:ascii="Calibri" w:hAnsi="Calibri"/>
                <w:b/>
                <w:szCs w:val="20"/>
              </w:rPr>
            </w:pPr>
            <w:r w:rsidRPr="00217EB1">
              <w:rPr>
                <w:rFonts w:ascii="Calibri" w:hAnsi="Calibri"/>
                <w:b/>
                <w:szCs w:val="20"/>
              </w:rPr>
              <w:t>390</w:t>
            </w:r>
          </w:p>
        </w:tc>
      </w:tr>
    </w:tbl>
    <w:p w14:paraId="50DCA991" w14:textId="77777777" w:rsidR="00EB4A22" w:rsidRDefault="00EB4A22" w:rsidP="00EB4A22">
      <w:bookmarkStart w:id="77" w:name="_Toc415221219"/>
      <w:bookmarkStart w:id="78" w:name="_Toc415153518"/>
      <w:bookmarkStart w:id="79" w:name="_Toc415147244"/>
      <w:bookmarkStart w:id="80" w:name="_Toc415135530"/>
      <w:bookmarkStart w:id="81" w:name="_Toc415046458"/>
      <w:bookmarkStart w:id="82" w:name="_Toc415039802"/>
      <w:bookmarkStart w:id="83" w:name="_Toc414952831"/>
      <w:bookmarkStart w:id="84" w:name="_Toc414886546"/>
      <w:bookmarkStart w:id="85" w:name="_Toc414875836"/>
      <w:bookmarkStart w:id="86" w:name="_Toc414461838"/>
      <w:bookmarkStart w:id="87" w:name="_Toc414442657"/>
    </w:p>
    <w:p w14:paraId="3C62086D" w14:textId="77777777" w:rsidR="00EB4A22" w:rsidRDefault="00EB4A22" w:rsidP="00EB4A22"/>
    <w:p w14:paraId="17EA14E4" w14:textId="77777777" w:rsidR="00EB4A22" w:rsidRDefault="00EB4A22" w:rsidP="00EB4A22"/>
    <w:p w14:paraId="0A3039C3" w14:textId="77777777" w:rsidR="00EB4A22" w:rsidRDefault="00EB4A22" w:rsidP="00EB4A22"/>
    <w:p w14:paraId="77249387" w14:textId="77777777" w:rsidR="00EB4A22" w:rsidRPr="00666BAC" w:rsidRDefault="00EB4A22" w:rsidP="004D22EA">
      <w:pPr>
        <w:pStyle w:val="Heading3"/>
        <w:rPr>
          <w:lang w:val="en-AU" w:bidi="ar-SA"/>
        </w:rPr>
      </w:pPr>
      <w:bookmarkStart w:id="88" w:name="_Toc71561662"/>
      <w:bookmarkStart w:id="89" w:name="_Toc74223418"/>
      <w:bookmarkEnd w:id="77"/>
      <w:bookmarkEnd w:id="78"/>
      <w:bookmarkEnd w:id="79"/>
      <w:bookmarkEnd w:id="80"/>
      <w:bookmarkEnd w:id="81"/>
      <w:bookmarkEnd w:id="82"/>
      <w:bookmarkEnd w:id="83"/>
      <w:bookmarkEnd w:id="84"/>
      <w:bookmarkEnd w:id="85"/>
      <w:bookmarkEnd w:id="86"/>
      <w:bookmarkEnd w:id="87"/>
      <w:r>
        <w:rPr>
          <w:lang w:val="en-AU" w:bidi="ar-SA"/>
        </w:rPr>
        <w:t>5.2</w:t>
      </w:r>
      <w:r w:rsidRPr="00666BAC">
        <w:rPr>
          <w:lang w:val="en-AU" w:bidi="ar-SA"/>
        </w:rPr>
        <w:t xml:space="preserve"> </w:t>
      </w:r>
      <w:r w:rsidRPr="00666BAC">
        <w:rPr>
          <w:lang w:val="en-AU" w:bidi="ar-SA"/>
        </w:rPr>
        <w:tab/>
      </w:r>
      <w:r>
        <w:rPr>
          <w:lang w:val="en-AU" w:bidi="ar-SA"/>
        </w:rPr>
        <w:t>Outcomes of complaints closed</w:t>
      </w:r>
      <w:bookmarkEnd w:id="88"/>
      <w:bookmarkEnd w:id="89"/>
    </w:p>
    <w:p w14:paraId="1A82E6BE" w14:textId="1269D123" w:rsidR="00EB4A22" w:rsidRPr="008565E0" w:rsidRDefault="00EB4A22" w:rsidP="00EB4A22">
      <w:pPr>
        <w:rPr>
          <w:lang w:eastAsia="en-NZ"/>
        </w:rPr>
      </w:pPr>
      <w:r w:rsidRPr="0029389C">
        <w:rPr>
          <w:lang w:eastAsia="en-NZ"/>
        </w:rPr>
        <w:t xml:space="preserve">In the </w:t>
      </w:r>
      <w:r>
        <w:t>Jul–Dec 2020</w:t>
      </w:r>
      <w:r w:rsidRPr="0029389C">
        <w:t xml:space="preserve"> </w:t>
      </w:r>
      <w:r>
        <w:rPr>
          <w:lang w:eastAsia="en-NZ"/>
        </w:rPr>
        <w:t>period, three</w:t>
      </w:r>
      <w:r w:rsidRPr="0029389C">
        <w:rPr>
          <w:lang w:eastAsia="en-NZ"/>
        </w:rPr>
        <w:t xml:space="preserve"> DHBs</w:t>
      </w:r>
      <w:r>
        <w:rPr>
          <w:lang w:eastAsia="en-NZ"/>
        </w:rPr>
        <w:t xml:space="preserve"> had no investigations closed, nine</w:t>
      </w:r>
      <w:r w:rsidRPr="0029389C">
        <w:rPr>
          <w:lang w:eastAsia="en-NZ"/>
        </w:rPr>
        <w:t xml:space="preserve"> DHBs</w:t>
      </w:r>
      <w:r>
        <w:rPr>
          <w:lang w:eastAsia="en-NZ"/>
        </w:rPr>
        <w:t xml:space="preserve"> had one investigation closed, four</w:t>
      </w:r>
      <w:r w:rsidRPr="0029389C">
        <w:rPr>
          <w:lang w:eastAsia="en-NZ"/>
        </w:rPr>
        <w:t xml:space="preserve"> DHBs </w:t>
      </w:r>
      <w:r>
        <w:rPr>
          <w:lang w:eastAsia="en-NZ"/>
        </w:rPr>
        <w:t>had two investigations closed</w:t>
      </w:r>
      <w:r w:rsidR="00932E72">
        <w:rPr>
          <w:lang w:eastAsia="en-NZ"/>
        </w:rPr>
        <w:t>,</w:t>
      </w:r>
      <w:r>
        <w:rPr>
          <w:lang w:eastAsia="en-NZ"/>
        </w:rPr>
        <w:t xml:space="preserve"> and four</w:t>
      </w:r>
      <w:r w:rsidRPr="0029389C">
        <w:rPr>
          <w:lang w:eastAsia="en-NZ"/>
        </w:rPr>
        <w:t xml:space="preserve"> DHB</w:t>
      </w:r>
      <w:r w:rsidR="00932E72">
        <w:rPr>
          <w:lang w:eastAsia="en-NZ"/>
        </w:rPr>
        <w:t>s</w:t>
      </w:r>
      <w:r w:rsidRPr="0029389C">
        <w:rPr>
          <w:lang w:eastAsia="en-NZ"/>
        </w:rPr>
        <w:t xml:space="preserve"> ha</w:t>
      </w:r>
      <w:r>
        <w:rPr>
          <w:lang w:eastAsia="en-NZ"/>
        </w:rPr>
        <w:t>d three investigations closed.</w:t>
      </w:r>
    </w:p>
    <w:p w14:paraId="2ADAC49E" w14:textId="77777777" w:rsidR="00EB4A22" w:rsidRDefault="00EB4A22" w:rsidP="004D22EA">
      <w:pPr>
        <w:spacing w:after="360"/>
        <w:rPr>
          <w:rFonts w:ascii="Calibri" w:hAnsi="Calibri"/>
        </w:rPr>
      </w:pPr>
      <w:r>
        <w:rPr>
          <w:rFonts w:ascii="Calibri" w:hAnsi="Calibri"/>
          <w:lang w:eastAsia="en-NZ"/>
        </w:rPr>
        <w:br/>
      </w:r>
      <w:r>
        <w:rPr>
          <w:rFonts w:ascii="Calibri" w:hAnsi="Calibri"/>
        </w:rPr>
        <w:t xml:space="preserve">The manner of resolution </w:t>
      </w:r>
      <w:r>
        <w:rPr>
          <w:rFonts w:ascii="Calibri" w:hAnsi="Calibri" w:cs="Calibri"/>
        </w:rPr>
        <w:t>and</w:t>
      </w:r>
      <w:r>
        <w:rPr>
          <w:rFonts w:ascii="Calibri" w:hAnsi="Calibri"/>
        </w:rPr>
        <w:t xml:space="preserve"> outcomes of all complaints about DHBs closed in </w:t>
      </w:r>
      <w:r>
        <w:t xml:space="preserve">Jul–Dec 2020 </w:t>
      </w:r>
      <w:r>
        <w:rPr>
          <w:rFonts w:ascii="Calibri" w:hAnsi="Calibri"/>
        </w:rPr>
        <w:t xml:space="preserve">is shown in Table 13. </w:t>
      </w:r>
    </w:p>
    <w:p w14:paraId="25B5A0B7" w14:textId="77777777" w:rsidR="00EB4A22" w:rsidRDefault="00EB4A22" w:rsidP="00EB4A22">
      <w:pPr>
        <w:keepNext/>
        <w:keepLines/>
        <w:spacing w:after="120"/>
        <w:rPr>
          <w:lang w:eastAsia="en-NZ"/>
        </w:rPr>
      </w:pPr>
      <w:r>
        <w:rPr>
          <w:rFonts w:ascii="Calibri" w:hAnsi="Calibri"/>
          <w:b/>
          <w:szCs w:val="22"/>
        </w:rPr>
        <w:t xml:space="preserve">Table 13. </w:t>
      </w:r>
      <w:r>
        <w:rPr>
          <w:rFonts w:ascii="Calibri" w:hAnsi="Calibri"/>
          <w:szCs w:val="22"/>
        </w:rPr>
        <w:t>Outcome for DHBs of complaints closed by complaint type</w:t>
      </w:r>
      <w:r w:rsidRPr="003E5338">
        <w:rPr>
          <w:rStyle w:val="FootnoteReference"/>
        </w:rPr>
        <w:footnoteReference w:id="5"/>
      </w:r>
    </w:p>
    <w:tbl>
      <w:tblPr>
        <w:tblStyle w:val="TableGrid"/>
        <w:tblW w:w="9178" w:type="dxa"/>
        <w:tblLook w:val="04A0" w:firstRow="1" w:lastRow="0" w:firstColumn="1" w:lastColumn="0" w:noHBand="0" w:noVBand="1"/>
      </w:tblPr>
      <w:tblGrid>
        <w:gridCol w:w="7090"/>
        <w:gridCol w:w="2088"/>
      </w:tblGrid>
      <w:tr w:rsidR="00EB4A22" w14:paraId="2CC1A404" w14:textId="77777777" w:rsidTr="00B12430">
        <w:trPr>
          <w:trHeight w:val="386"/>
        </w:trPr>
        <w:tc>
          <w:tcPr>
            <w:tcW w:w="709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3E3529D" w14:textId="77777777" w:rsidR="00EB4A22" w:rsidRPr="00EB4A22" w:rsidRDefault="00EB4A22" w:rsidP="00B12430">
            <w:pPr>
              <w:keepNext/>
              <w:keepLines/>
              <w:tabs>
                <w:tab w:val="left" w:pos="1440"/>
                <w:tab w:val="decimal" w:pos="4320"/>
              </w:tabs>
              <w:jc w:val="left"/>
              <w:outlineLvl w:val="0"/>
              <w:rPr>
                <w:rFonts w:ascii="Calibri" w:hAnsi="Calibri"/>
                <w:b/>
                <w:sz w:val="22"/>
                <w:szCs w:val="22"/>
              </w:rPr>
            </w:pPr>
            <w:r w:rsidRPr="00EB4A22">
              <w:rPr>
                <w:rFonts w:ascii="Calibri" w:hAnsi="Calibri"/>
                <w:b/>
                <w:sz w:val="22"/>
                <w:szCs w:val="22"/>
              </w:rPr>
              <w:br w:type="page"/>
              <w:t>Outcome for DHBs</w:t>
            </w:r>
          </w:p>
        </w:tc>
        <w:tc>
          <w:tcPr>
            <w:tcW w:w="2088" w:type="dxa"/>
            <w:tcBorders>
              <w:top w:val="single" w:sz="4" w:space="0" w:color="auto"/>
              <w:left w:val="single" w:sz="4" w:space="0" w:color="auto"/>
              <w:bottom w:val="single" w:sz="4" w:space="0" w:color="auto"/>
              <w:right w:val="single" w:sz="4" w:space="0" w:color="auto"/>
            </w:tcBorders>
            <w:shd w:val="clear" w:color="auto" w:fill="C00000"/>
          </w:tcPr>
          <w:p w14:paraId="02E52B7A" w14:textId="77777777" w:rsidR="00EB4A22" w:rsidRPr="00EB4A22" w:rsidRDefault="00EB4A22" w:rsidP="00B12430">
            <w:pPr>
              <w:keepNext/>
              <w:keepLines/>
              <w:tabs>
                <w:tab w:val="left" w:pos="1440"/>
                <w:tab w:val="decimal" w:pos="4320"/>
              </w:tabs>
              <w:spacing w:before="60" w:after="60"/>
              <w:jc w:val="center"/>
              <w:outlineLvl w:val="0"/>
              <w:rPr>
                <w:rFonts w:ascii="Calibri" w:hAnsi="Calibri"/>
                <w:b/>
                <w:sz w:val="22"/>
                <w:szCs w:val="22"/>
              </w:rPr>
            </w:pPr>
            <w:r w:rsidRPr="00EB4A22">
              <w:rPr>
                <w:rFonts w:ascii="Calibri" w:hAnsi="Calibri"/>
                <w:b/>
                <w:sz w:val="22"/>
                <w:szCs w:val="22"/>
              </w:rPr>
              <w:t>Number of complaints closed</w:t>
            </w:r>
          </w:p>
        </w:tc>
      </w:tr>
      <w:tr w:rsidR="00EB4A22" w14:paraId="3625A2D3"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BDE5E1" w14:textId="77777777" w:rsidR="00EB4A22" w:rsidRPr="00EB4A22" w:rsidRDefault="00EB4A22" w:rsidP="00B12430">
            <w:pPr>
              <w:keepNext/>
              <w:keepLines/>
              <w:tabs>
                <w:tab w:val="left" w:pos="1440"/>
                <w:tab w:val="decimal" w:pos="4320"/>
              </w:tabs>
              <w:jc w:val="left"/>
              <w:outlineLvl w:val="0"/>
              <w:rPr>
                <w:rFonts w:ascii="Calibri" w:hAnsi="Calibri"/>
                <w:b/>
                <w:i/>
                <w:sz w:val="22"/>
                <w:szCs w:val="22"/>
              </w:rPr>
            </w:pPr>
            <w:r w:rsidRPr="00EB4A22">
              <w:rPr>
                <w:rFonts w:ascii="Calibri" w:hAnsi="Calibri"/>
                <w:b/>
                <w:i/>
                <w:sz w:val="22"/>
                <w:szCs w:val="22"/>
              </w:rPr>
              <w:t>Investigation</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8AA99" w14:textId="77777777" w:rsidR="00EB4A22" w:rsidRPr="00EB4A22" w:rsidRDefault="00EB4A22" w:rsidP="00B12430">
            <w:pPr>
              <w:keepNext/>
              <w:keepLines/>
              <w:tabs>
                <w:tab w:val="left" w:pos="1440"/>
                <w:tab w:val="decimal" w:pos="4320"/>
              </w:tabs>
              <w:jc w:val="center"/>
              <w:outlineLvl w:val="0"/>
              <w:rPr>
                <w:rFonts w:ascii="Calibri" w:hAnsi="Calibri"/>
                <w:b/>
                <w:i/>
                <w:sz w:val="22"/>
                <w:szCs w:val="22"/>
              </w:rPr>
            </w:pPr>
            <w:r w:rsidRPr="00EB4A22">
              <w:rPr>
                <w:rFonts w:ascii="Calibri" w:hAnsi="Calibri"/>
                <w:b/>
                <w:i/>
                <w:sz w:val="22"/>
                <w:szCs w:val="22"/>
              </w:rPr>
              <w:t>27</w:t>
            </w:r>
          </w:p>
        </w:tc>
      </w:tr>
      <w:tr w:rsidR="00EB4A22" w14:paraId="6A577F72"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5CE43A10" w14:textId="1FA1C51F" w:rsidR="00EB4A22" w:rsidRPr="00EB4A22" w:rsidRDefault="00EB4A22">
            <w:pPr>
              <w:keepNext/>
              <w:keepLines/>
              <w:tabs>
                <w:tab w:val="left" w:pos="1440"/>
                <w:tab w:val="decimal" w:pos="4320"/>
              </w:tabs>
              <w:jc w:val="left"/>
              <w:outlineLvl w:val="0"/>
              <w:rPr>
                <w:rFonts w:ascii="Calibri" w:hAnsi="Calibri"/>
                <w:color w:val="000000"/>
                <w:sz w:val="22"/>
                <w:szCs w:val="22"/>
              </w:rPr>
            </w:pPr>
            <w:r w:rsidRPr="00EB4A22">
              <w:rPr>
                <w:rFonts w:ascii="Calibri" w:hAnsi="Calibri"/>
                <w:color w:val="000000"/>
                <w:sz w:val="22"/>
                <w:szCs w:val="22"/>
              </w:rPr>
              <w:t xml:space="preserve">Breach finding </w:t>
            </w:r>
            <w:r w:rsidR="00B72710">
              <w:rPr>
                <w:rFonts w:ascii="Calibri" w:hAnsi="Calibri"/>
                <w:color w:val="000000"/>
                <w:sz w:val="22"/>
                <w:szCs w:val="22"/>
              </w:rPr>
              <w:t>—</w:t>
            </w:r>
            <w:r w:rsidRPr="00EB4A22">
              <w:rPr>
                <w:rFonts w:ascii="Calibri" w:hAnsi="Calibri"/>
                <w:color w:val="000000"/>
                <w:sz w:val="22"/>
                <w:szCs w:val="22"/>
              </w:rPr>
              <w:t xml:space="preserve"> referred to Director of Proceedings</w:t>
            </w:r>
          </w:p>
        </w:tc>
        <w:tc>
          <w:tcPr>
            <w:tcW w:w="2088" w:type="dxa"/>
            <w:tcBorders>
              <w:top w:val="single" w:sz="4" w:space="0" w:color="auto"/>
              <w:left w:val="single" w:sz="4" w:space="0" w:color="auto"/>
              <w:bottom w:val="single" w:sz="4" w:space="0" w:color="auto"/>
              <w:right w:val="single" w:sz="4" w:space="0" w:color="auto"/>
            </w:tcBorders>
            <w:vAlign w:val="bottom"/>
          </w:tcPr>
          <w:p w14:paraId="3A94679B" w14:textId="77777777" w:rsidR="00EB4A22" w:rsidRPr="00EB4A22" w:rsidRDefault="00EB4A22" w:rsidP="00B12430">
            <w:pPr>
              <w:keepNext/>
              <w:keepLines/>
              <w:tabs>
                <w:tab w:val="left" w:pos="1440"/>
                <w:tab w:val="decimal" w:pos="4320"/>
              </w:tabs>
              <w:jc w:val="center"/>
              <w:outlineLvl w:val="0"/>
              <w:rPr>
                <w:rFonts w:ascii="Calibri" w:hAnsi="Calibri"/>
                <w:sz w:val="22"/>
                <w:szCs w:val="22"/>
              </w:rPr>
            </w:pPr>
            <w:r w:rsidRPr="00EB4A22">
              <w:rPr>
                <w:rFonts w:ascii="Calibri" w:hAnsi="Calibri"/>
                <w:sz w:val="22"/>
                <w:szCs w:val="22"/>
              </w:rPr>
              <w:t>1</w:t>
            </w:r>
          </w:p>
        </w:tc>
      </w:tr>
      <w:tr w:rsidR="00EB4A22" w14:paraId="66BBA827"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39C125F6" w14:textId="77777777" w:rsidR="00EB4A22" w:rsidRPr="00EB4A22" w:rsidRDefault="00EB4A22" w:rsidP="00B12430">
            <w:pPr>
              <w:keepNext/>
              <w:keepLines/>
              <w:tabs>
                <w:tab w:val="left" w:pos="1440"/>
                <w:tab w:val="decimal" w:pos="4320"/>
              </w:tabs>
              <w:jc w:val="left"/>
              <w:outlineLvl w:val="0"/>
              <w:rPr>
                <w:rFonts w:ascii="Calibri" w:hAnsi="Calibri"/>
                <w:sz w:val="22"/>
                <w:szCs w:val="22"/>
              </w:rPr>
            </w:pPr>
            <w:r w:rsidRPr="00EB4A22">
              <w:rPr>
                <w:rFonts w:ascii="Calibri" w:hAnsi="Calibri"/>
                <w:color w:val="000000"/>
                <w:sz w:val="22"/>
                <w:szCs w:val="22"/>
              </w:rPr>
              <w:t>Breach finding</w:t>
            </w:r>
          </w:p>
        </w:tc>
        <w:tc>
          <w:tcPr>
            <w:tcW w:w="2088" w:type="dxa"/>
            <w:tcBorders>
              <w:top w:val="single" w:sz="4" w:space="0" w:color="auto"/>
              <w:left w:val="single" w:sz="4" w:space="0" w:color="auto"/>
              <w:bottom w:val="single" w:sz="4" w:space="0" w:color="auto"/>
              <w:right w:val="single" w:sz="4" w:space="0" w:color="auto"/>
            </w:tcBorders>
            <w:vAlign w:val="bottom"/>
          </w:tcPr>
          <w:p w14:paraId="41DA1746" w14:textId="77777777" w:rsidR="00EB4A22" w:rsidRPr="00EB4A22" w:rsidRDefault="00EB4A22" w:rsidP="00B12430">
            <w:pPr>
              <w:keepNext/>
              <w:keepLines/>
              <w:tabs>
                <w:tab w:val="left" w:pos="1440"/>
                <w:tab w:val="decimal" w:pos="4320"/>
              </w:tabs>
              <w:jc w:val="center"/>
              <w:outlineLvl w:val="0"/>
              <w:rPr>
                <w:rFonts w:ascii="Calibri" w:hAnsi="Calibri"/>
                <w:sz w:val="22"/>
                <w:szCs w:val="22"/>
              </w:rPr>
            </w:pPr>
            <w:r w:rsidRPr="00EB4A22">
              <w:rPr>
                <w:rFonts w:ascii="Calibri" w:hAnsi="Calibri"/>
                <w:sz w:val="22"/>
                <w:szCs w:val="22"/>
              </w:rPr>
              <w:t>18</w:t>
            </w:r>
          </w:p>
        </w:tc>
      </w:tr>
      <w:tr w:rsidR="00EB4A22" w14:paraId="68BE5392"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482EC432" w14:textId="77777777" w:rsidR="00EB4A22" w:rsidRPr="00EB4A22" w:rsidRDefault="00EB4A22" w:rsidP="00B12430">
            <w:pPr>
              <w:keepNext/>
              <w:keepLines/>
              <w:tabs>
                <w:tab w:val="left" w:pos="1440"/>
                <w:tab w:val="decimal" w:pos="4320"/>
              </w:tabs>
              <w:jc w:val="left"/>
              <w:outlineLvl w:val="0"/>
              <w:rPr>
                <w:rFonts w:ascii="Calibri" w:hAnsi="Calibri"/>
                <w:sz w:val="22"/>
                <w:szCs w:val="22"/>
              </w:rPr>
            </w:pPr>
            <w:r w:rsidRPr="00EB4A22">
              <w:rPr>
                <w:rFonts w:ascii="Calibri" w:hAnsi="Calibri"/>
                <w:color w:val="000000"/>
                <w:sz w:val="22"/>
                <w:szCs w:val="22"/>
              </w:rPr>
              <w:t>No breach finding — with adverse comment and recommendations</w:t>
            </w:r>
          </w:p>
        </w:tc>
        <w:tc>
          <w:tcPr>
            <w:tcW w:w="2088" w:type="dxa"/>
            <w:tcBorders>
              <w:top w:val="single" w:sz="4" w:space="0" w:color="auto"/>
              <w:left w:val="single" w:sz="4" w:space="0" w:color="auto"/>
              <w:bottom w:val="single" w:sz="4" w:space="0" w:color="auto"/>
              <w:right w:val="single" w:sz="4" w:space="0" w:color="auto"/>
            </w:tcBorders>
            <w:vAlign w:val="bottom"/>
          </w:tcPr>
          <w:p w14:paraId="45299ECF" w14:textId="77777777" w:rsidR="00EB4A22" w:rsidRPr="00EB4A22" w:rsidRDefault="00EB4A22" w:rsidP="00B12430">
            <w:pPr>
              <w:keepNext/>
              <w:keepLines/>
              <w:tabs>
                <w:tab w:val="left" w:pos="1440"/>
                <w:tab w:val="decimal" w:pos="4320"/>
              </w:tabs>
              <w:jc w:val="center"/>
              <w:outlineLvl w:val="0"/>
              <w:rPr>
                <w:rFonts w:ascii="Calibri" w:hAnsi="Calibri"/>
                <w:sz w:val="22"/>
                <w:szCs w:val="22"/>
              </w:rPr>
            </w:pPr>
            <w:r w:rsidRPr="00EB4A22">
              <w:rPr>
                <w:rFonts w:ascii="Calibri" w:hAnsi="Calibri"/>
                <w:sz w:val="22"/>
                <w:szCs w:val="22"/>
              </w:rPr>
              <w:t>4</w:t>
            </w:r>
          </w:p>
        </w:tc>
      </w:tr>
      <w:tr w:rsidR="00EB4A22" w14:paraId="66E72C21"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68990937" w14:textId="77777777" w:rsidR="00EB4A22" w:rsidRPr="00EB4A22" w:rsidRDefault="00EB4A22" w:rsidP="00B12430">
            <w:pPr>
              <w:keepNext/>
              <w:keepLines/>
              <w:tabs>
                <w:tab w:val="left" w:pos="1440"/>
                <w:tab w:val="decimal" w:pos="4320"/>
              </w:tabs>
              <w:jc w:val="left"/>
              <w:outlineLvl w:val="0"/>
              <w:rPr>
                <w:rFonts w:ascii="Calibri" w:hAnsi="Calibri"/>
                <w:color w:val="000000"/>
                <w:sz w:val="22"/>
                <w:szCs w:val="22"/>
              </w:rPr>
            </w:pPr>
            <w:r w:rsidRPr="00EB4A22">
              <w:rPr>
                <w:rFonts w:ascii="Calibri" w:hAnsi="Calibri"/>
                <w:color w:val="000000"/>
                <w:sz w:val="22"/>
                <w:szCs w:val="22"/>
              </w:rPr>
              <w:t>No breach finding with recommendations</w:t>
            </w:r>
          </w:p>
        </w:tc>
        <w:tc>
          <w:tcPr>
            <w:tcW w:w="2088" w:type="dxa"/>
            <w:tcBorders>
              <w:top w:val="single" w:sz="4" w:space="0" w:color="auto"/>
              <w:left w:val="single" w:sz="4" w:space="0" w:color="auto"/>
              <w:bottom w:val="single" w:sz="4" w:space="0" w:color="auto"/>
              <w:right w:val="single" w:sz="4" w:space="0" w:color="auto"/>
            </w:tcBorders>
            <w:vAlign w:val="bottom"/>
          </w:tcPr>
          <w:p w14:paraId="52036283" w14:textId="77777777" w:rsidR="00EB4A22" w:rsidRPr="00EB4A22" w:rsidRDefault="00EB4A22" w:rsidP="00B12430">
            <w:pPr>
              <w:keepNext/>
              <w:keepLines/>
              <w:tabs>
                <w:tab w:val="left" w:pos="1440"/>
                <w:tab w:val="decimal" w:pos="4320"/>
              </w:tabs>
              <w:jc w:val="center"/>
              <w:outlineLvl w:val="0"/>
              <w:rPr>
                <w:rFonts w:ascii="Calibri" w:hAnsi="Calibri"/>
                <w:sz w:val="22"/>
                <w:szCs w:val="22"/>
              </w:rPr>
            </w:pPr>
            <w:r w:rsidRPr="00EB4A22">
              <w:rPr>
                <w:rFonts w:ascii="Calibri" w:hAnsi="Calibri"/>
                <w:sz w:val="22"/>
                <w:szCs w:val="22"/>
              </w:rPr>
              <w:t>3</w:t>
            </w:r>
          </w:p>
        </w:tc>
      </w:tr>
      <w:tr w:rsidR="00EB4A22" w14:paraId="1A6B8430"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4D94E772" w14:textId="77777777" w:rsidR="00EB4A22" w:rsidRPr="00EB4A22" w:rsidRDefault="00EB4A22" w:rsidP="00B12430">
            <w:pPr>
              <w:keepNext/>
              <w:keepLines/>
              <w:tabs>
                <w:tab w:val="left" w:pos="1440"/>
                <w:tab w:val="decimal" w:pos="4320"/>
              </w:tabs>
              <w:jc w:val="left"/>
              <w:outlineLvl w:val="0"/>
              <w:rPr>
                <w:rFonts w:ascii="Calibri" w:hAnsi="Calibri"/>
                <w:sz w:val="22"/>
                <w:szCs w:val="22"/>
              </w:rPr>
            </w:pPr>
            <w:r w:rsidRPr="00EB4A22">
              <w:rPr>
                <w:rFonts w:ascii="Calibri" w:hAnsi="Calibri"/>
                <w:color w:val="000000"/>
                <w:sz w:val="22"/>
                <w:szCs w:val="22"/>
              </w:rPr>
              <w:t>No breach finding</w:t>
            </w:r>
          </w:p>
        </w:tc>
        <w:tc>
          <w:tcPr>
            <w:tcW w:w="2088" w:type="dxa"/>
            <w:tcBorders>
              <w:top w:val="single" w:sz="4" w:space="0" w:color="auto"/>
              <w:left w:val="single" w:sz="4" w:space="0" w:color="auto"/>
              <w:bottom w:val="single" w:sz="4" w:space="0" w:color="auto"/>
              <w:right w:val="single" w:sz="4" w:space="0" w:color="auto"/>
            </w:tcBorders>
            <w:vAlign w:val="bottom"/>
          </w:tcPr>
          <w:p w14:paraId="647FEB1C" w14:textId="77777777" w:rsidR="00EB4A22" w:rsidRPr="00EB4A22" w:rsidRDefault="00EB4A22" w:rsidP="00B12430">
            <w:pPr>
              <w:keepNext/>
              <w:keepLines/>
              <w:tabs>
                <w:tab w:val="left" w:pos="1440"/>
                <w:tab w:val="decimal" w:pos="4320"/>
              </w:tabs>
              <w:jc w:val="center"/>
              <w:outlineLvl w:val="0"/>
              <w:rPr>
                <w:rFonts w:ascii="Calibri" w:hAnsi="Calibri"/>
                <w:sz w:val="22"/>
                <w:szCs w:val="22"/>
              </w:rPr>
            </w:pPr>
            <w:r w:rsidRPr="00EB4A22">
              <w:rPr>
                <w:rFonts w:ascii="Calibri" w:hAnsi="Calibri"/>
                <w:sz w:val="22"/>
                <w:szCs w:val="22"/>
              </w:rPr>
              <w:t>1</w:t>
            </w:r>
          </w:p>
        </w:tc>
      </w:tr>
      <w:tr w:rsidR="00EB4A22" w14:paraId="7182EEC9"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BAF84F" w14:textId="77777777" w:rsidR="00EB4A22" w:rsidRPr="00EB4A22" w:rsidRDefault="00EB4A22" w:rsidP="00B12430">
            <w:pPr>
              <w:keepNext/>
              <w:keepLines/>
              <w:tabs>
                <w:tab w:val="left" w:pos="1440"/>
                <w:tab w:val="decimal" w:pos="4320"/>
              </w:tabs>
              <w:jc w:val="left"/>
              <w:outlineLvl w:val="0"/>
              <w:rPr>
                <w:rFonts w:ascii="Calibri" w:hAnsi="Calibri"/>
                <w:b/>
                <w:i/>
                <w:sz w:val="22"/>
                <w:szCs w:val="22"/>
              </w:rPr>
            </w:pPr>
            <w:r w:rsidRPr="00EB4A22">
              <w:rPr>
                <w:rFonts w:ascii="Calibri" w:hAnsi="Calibri"/>
                <w:b/>
                <w:i/>
                <w:sz w:val="22"/>
                <w:szCs w:val="22"/>
              </w:rPr>
              <w:t>Other resolution following assessment</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4C47F" w14:textId="77777777" w:rsidR="00EB4A22" w:rsidRPr="00EB4A22" w:rsidRDefault="00EB4A22" w:rsidP="00B12430">
            <w:pPr>
              <w:keepNext/>
              <w:keepLines/>
              <w:tabs>
                <w:tab w:val="left" w:pos="1440"/>
                <w:tab w:val="decimal" w:pos="4320"/>
              </w:tabs>
              <w:jc w:val="center"/>
              <w:outlineLvl w:val="0"/>
              <w:rPr>
                <w:rFonts w:ascii="Calibri" w:hAnsi="Calibri"/>
                <w:b/>
                <w:i/>
                <w:sz w:val="22"/>
                <w:szCs w:val="22"/>
              </w:rPr>
            </w:pPr>
            <w:r w:rsidRPr="00EB4A22">
              <w:rPr>
                <w:rFonts w:ascii="Calibri" w:hAnsi="Calibri"/>
                <w:b/>
                <w:i/>
                <w:sz w:val="22"/>
                <w:szCs w:val="22"/>
              </w:rPr>
              <w:t>361</w:t>
            </w:r>
          </w:p>
        </w:tc>
      </w:tr>
      <w:tr w:rsidR="00EB4A22" w14:paraId="0F10FF4F"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470F8D21" w14:textId="77777777" w:rsidR="00EB4A22" w:rsidRPr="00EB4A22" w:rsidRDefault="00EB4A22" w:rsidP="00B12430">
            <w:pPr>
              <w:keepNext/>
              <w:keepLines/>
              <w:tabs>
                <w:tab w:val="left" w:pos="1440"/>
                <w:tab w:val="decimal" w:pos="4320"/>
              </w:tabs>
              <w:jc w:val="left"/>
              <w:outlineLvl w:val="0"/>
              <w:rPr>
                <w:rFonts w:ascii="Calibri" w:hAnsi="Calibri" w:cs="Arial"/>
                <w:sz w:val="22"/>
                <w:szCs w:val="22"/>
                <w:lang w:bidi="ar-SA"/>
              </w:rPr>
            </w:pPr>
            <w:r w:rsidRPr="00EB4A22">
              <w:rPr>
                <w:rFonts w:ascii="Calibri" w:hAnsi="Calibri"/>
                <w:color w:val="000000"/>
                <w:sz w:val="22"/>
                <w:szCs w:val="22"/>
              </w:rPr>
              <w:t>No further action</w:t>
            </w:r>
            <w:r w:rsidRPr="00EB4A22">
              <w:rPr>
                <w:sz w:val="22"/>
                <w:szCs w:val="22"/>
              </w:rPr>
              <w:t xml:space="preserve"> </w:t>
            </w:r>
            <w:r w:rsidRPr="00EB4A22">
              <w:rPr>
                <w:rFonts w:ascii="Calibri" w:hAnsi="Calibri"/>
                <w:color w:val="000000"/>
                <w:sz w:val="22"/>
                <w:szCs w:val="22"/>
              </w:rPr>
              <w:t>with recommendations or educational comment</w:t>
            </w:r>
          </w:p>
        </w:tc>
        <w:tc>
          <w:tcPr>
            <w:tcW w:w="2088" w:type="dxa"/>
            <w:tcBorders>
              <w:top w:val="single" w:sz="4" w:space="0" w:color="auto"/>
              <w:left w:val="single" w:sz="4" w:space="0" w:color="auto"/>
              <w:bottom w:val="single" w:sz="4" w:space="0" w:color="auto"/>
              <w:right w:val="single" w:sz="4" w:space="0" w:color="auto"/>
            </w:tcBorders>
            <w:vAlign w:val="bottom"/>
          </w:tcPr>
          <w:p w14:paraId="3AA60B6C" w14:textId="77777777" w:rsidR="00EB4A22" w:rsidRPr="00EB4A22" w:rsidDel="00B8523B" w:rsidRDefault="00EB4A22" w:rsidP="00B12430">
            <w:pPr>
              <w:jc w:val="center"/>
              <w:rPr>
                <w:rFonts w:ascii="Calibri" w:hAnsi="Calibri" w:cs="Calibri"/>
                <w:color w:val="000000"/>
                <w:sz w:val="22"/>
                <w:szCs w:val="22"/>
              </w:rPr>
            </w:pPr>
            <w:r w:rsidRPr="00EB4A22">
              <w:rPr>
                <w:rFonts w:ascii="Calibri" w:hAnsi="Calibri" w:cs="Calibri"/>
                <w:color w:val="000000"/>
                <w:sz w:val="22"/>
                <w:szCs w:val="22"/>
              </w:rPr>
              <w:t>35</w:t>
            </w:r>
          </w:p>
        </w:tc>
      </w:tr>
      <w:tr w:rsidR="00EB4A22" w14:paraId="7999943F"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1A1F41B5" w14:textId="77777777" w:rsidR="00EB4A22" w:rsidRPr="00EB4A22" w:rsidRDefault="00EB4A22" w:rsidP="00B12430">
            <w:pPr>
              <w:rPr>
                <w:rFonts w:ascii="Calibri" w:hAnsi="Calibri"/>
                <w:color w:val="000000"/>
                <w:sz w:val="22"/>
                <w:szCs w:val="22"/>
              </w:rPr>
            </w:pPr>
            <w:r w:rsidRPr="00EB4A22">
              <w:rPr>
                <w:rFonts w:ascii="Calibri" w:hAnsi="Calibri"/>
                <w:color w:val="000000"/>
                <w:sz w:val="22"/>
                <w:szCs w:val="22"/>
              </w:rPr>
              <w:t>Referred to Ministry of Health</w:t>
            </w:r>
          </w:p>
        </w:tc>
        <w:tc>
          <w:tcPr>
            <w:tcW w:w="2088" w:type="dxa"/>
            <w:tcBorders>
              <w:top w:val="single" w:sz="4" w:space="0" w:color="auto"/>
              <w:left w:val="single" w:sz="4" w:space="0" w:color="auto"/>
              <w:bottom w:val="single" w:sz="4" w:space="0" w:color="auto"/>
              <w:right w:val="single" w:sz="4" w:space="0" w:color="auto"/>
            </w:tcBorders>
            <w:vAlign w:val="bottom"/>
          </w:tcPr>
          <w:p w14:paraId="3C288596" w14:textId="77777777" w:rsidR="00EB4A22" w:rsidRPr="00EB4A22" w:rsidRDefault="00EB4A22" w:rsidP="00B12430">
            <w:pPr>
              <w:jc w:val="center"/>
              <w:rPr>
                <w:rFonts w:ascii="Calibri" w:hAnsi="Calibri" w:cs="Calibri"/>
                <w:color w:val="000000"/>
                <w:sz w:val="22"/>
                <w:szCs w:val="22"/>
              </w:rPr>
            </w:pPr>
            <w:r w:rsidRPr="00EB4A22">
              <w:rPr>
                <w:rFonts w:ascii="Calibri" w:hAnsi="Calibri" w:cs="Calibri"/>
                <w:color w:val="000000"/>
                <w:sz w:val="22"/>
                <w:szCs w:val="22"/>
              </w:rPr>
              <w:t>2</w:t>
            </w:r>
          </w:p>
        </w:tc>
      </w:tr>
      <w:tr w:rsidR="00EB4A22" w14:paraId="10752FC6"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13D91D0A" w14:textId="77777777" w:rsidR="00EB4A22" w:rsidRPr="00EB4A22" w:rsidRDefault="00EB4A22" w:rsidP="00B12430">
            <w:pPr>
              <w:rPr>
                <w:rFonts w:ascii="Calibri" w:hAnsi="Calibri" w:cs="Calibri"/>
                <w:color w:val="000000"/>
                <w:sz w:val="22"/>
                <w:szCs w:val="22"/>
              </w:rPr>
            </w:pPr>
            <w:r w:rsidRPr="00EB4A22">
              <w:rPr>
                <w:rFonts w:ascii="Calibri" w:hAnsi="Calibri"/>
                <w:color w:val="000000"/>
                <w:sz w:val="22"/>
                <w:szCs w:val="22"/>
              </w:rPr>
              <w:t>Referred to District Inspector</w:t>
            </w:r>
          </w:p>
        </w:tc>
        <w:tc>
          <w:tcPr>
            <w:tcW w:w="2088" w:type="dxa"/>
            <w:tcBorders>
              <w:top w:val="single" w:sz="4" w:space="0" w:color="auto"/>
              <w:left w:val="single" w:sz="4" w:space="0" w:color="auto"/>
              <w:bottom w:val="single" w:sz="4" w:space="0" w:color="auto"/>
              <w:right w:val="single" w:sz="4" w:space="0" w:color="auto"/>
            </w:tcBorders>
            <w:vAlign w:val="bottom"/>
          </w:tcPr>
          <w:p w14:paraId="0B3BCEB2" w14:textId="77777777" w:rsidR="00EB4A22" w:rsidRPr="00EB4A22" w:rsidRDefault="00EB4A22" w:rsidP="00B12430">
            <w:pPr>
              <w:jc w:val="center"/>
              <w:rPr>
                <w:rFonts w:ascii="Calibri" w:hAnsi="Calibri" w:cs="Calibri"/>
                <w:color w:val="000000"/>
                <w:sz w:val="22"/>
                <w:szCs w:val="22"/>
              </w:rPr>
            </w:pPr>
            <w:r w:rsidRPr="00EB4A22">
              <w:rPr>
                <w:rFonts w:ascii="Calibri" w:hAnsi="Calibri" w:cs="Calibri"/>
                <w:color w:val="000000"/>
                <w:sz w:val="22"/>
                <w:szCs w:val="22"/>
              </w:rPr>
              <w:t>16</w:t>
            </w:r>
          </w:p>
        </w:tc>
      </w:tr>
      <w:tr w:rsidR="00EB4A22" w14:paraId="7218C911"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7AB67FBD" w14:textId="77777777" w:rsidR="00EB4A22" w:rsidRPr="00EB4A22" w:rsidRDefault="00EB4A22" w:rsidP="00B12430">
            <w:pPr>
              <w:rPr>
                <w:rFonts w:ascii="Calibri" w:hAnsi="Calibri" w:cs="Calibri"/>
                <w:color w:val="000000"/>
                <w:sz w:val="22"/>
                <w:szCs w:val="22"/>
              </w:rPr>
            </w:pPr>
            <w:r w:rsidRPr="00EB4A22">
              <w:rPr>
                <w:rFonts w:ascii="Calibri" w:hAnsi="Calibri"/>
                <w:color w:val="000000"/>
                <w:sz w:val="22"/>
                <w:szCs w:val="22"/>
              </w:rPr>
              <w:t xml:space="preserve">Referred to other agency </w:t>
            </w:r>
          </w:p>
        </w:tc>
        <w:tc>
          <w:tcPr>
            <w:tcW w:w="2088" w:type="dxa"/>
            <w:tcBorders>
              <w:top w:val="single" w:sz="4" w:space="0" w:color="auto"/>
              <w:left w:val="single" w:sz="4" w:space="0" w:color="auto"/>
              <w:bottom w:val="single" w:sz="4" w:space="0" w:color="auto"/>
              <w:right w:val="single" w:sz="4" w:space="0" w:color="auto"/>
            </w:tcBorders>
            <w:vAlign w:val="bottom"/>
          </w:tcPr>
          <w:p w14:paraId="464F7A6F" w14:textId="77777777" w:rsidR="00EB4A22" w:rsidRPr="00EB4A22" w:rsidRDefault="00EB4A22" w:rsidP="00B12430">
            <w:pPr>
              <w:jc w:val="center"/>
              <w:rPr>
                <w:rFonts w:ascii="Calibri" w:hAnsi="Calibri" w:cs="Calibri"/>
                <w:color w:val="000000"/>
                <w:sz w:val="22"/>
                <w:szCs w:val="22"/>
              </w:rPr>
            </w:pPr>
            <w:r w:rsidRPr="00EB4A22">
              <w:rPr>
                <w:rFonts w:ascii="Calibri" w:hAnsi="Calibri" w:cs="Calibri"/>
                <w:color w:val="000000"/>
                <w:sz w:val="22"/>
                <w:szCs w:val="22"/>
              </w:rPr>
              <w:t>2</w:t>
            </w:r>
          </w:p>
        </w:tc>
      </w:tr>
      <w:tr w:rsidR="00EB4A22" w14:paraId="7618845F"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3BE67BB9" w14:textId="77777777" w:rsidR="00EB4A22" w:rsidRPr="00EB4A22" w:rsidRDefault="00EB4A22" w:rsidP="00B12430">
            <w:pPr>
              <w:keepNext/>
              <w:keepLines/>
              <w:tabs>
                <w:tab w:val="left" w:pos="1440"/>
                <w:tab w:val="decimal" w:pos="4320"/>
              </w:tabs>
              <w:jc w:val="left"/>
              <w:outlineLvl w:val="0"/>
              <w:rPr>
                <w:rFonts w:ascii="Calibri" w:hAnsi="Calibri" w:cs="Arial"/>
                <w:sz w:val="22"/>
                <w:szCs w:val="22"/>
                <w:lang w:bidi="ar-SA"/>
              </w:rPr>
            </w:pPr>
            <w:r w:rsidRPr="00EB4A22">
              <w:rPr>
                <w:rFonts w:ascii="Calibri" w:hAnsi="Calibri"/>
                <w:color w:val="000000"/>
                <w:sz w:val="22"/>
                <w:szCs w:val="22"/>
              </w:rPr>
              <w:t>Referred to DHB</w:t>
            </w:r>
          </w:p>
        </w:tc>
        <w:tc>
          <w:tcPr>
            <w:tcW w:w="2088" w:type="dxa"/>
            <w:tcBorders>
              <w:top w:val="single" w:sz="4" w:space="0" w:color="auto"/>
              <w:left w:val="single" w:sz="4" w:space="0" w:color="auto"/>
              <w:bottom w:val="single" w:sz="4" w:space="0" w:color="auto"/>
              <w:right w:val="single" w:sz="4" w:space="0" w:color="auto"/>
            </w:tcBorders>
            <w:vAlign w:val="bottom"/>
          </w:tcPr>
          <w:p w14:paraId="14254D70" w14:textId="77777777" w:rsidR="00EB4A22" w:rsidRPr="00EB4A22" w:rsidRDefault="00EB4A22" w:rsidP="00B12430">
            <w:pPr>
              <w:keepNext/>
              <w:keepLines/>
              <w:tabs>
                <w:tab w:val="left" w:pos="1440"/>
                <w:tab w:val="decimal" w:pos="4320"/>
              </w:tabs>
              <w:jc w:val="center"/>
              <w:outlineLvl w:val="0"/>
              <w:rPr>
                <w:rFonts w:ascii="Calibri" w:hAnsi="Calibri"/>
                <w:sz w:val="22"/>
                <w:szCs w:val="22"/>
              </w:rPr>
            </w:pPr>
            <w:r w:rsidRPr="00EB4A22">
              <w:rPr>
                <w:rFonts w:ascii="Calibri" w:hAnsi="Calibri"/>
                <w:sz w:val="22"/>
                <w:szCs w:val="22"/>
              </w:rPr>
              <w:t>97</w:t>
            </w:r>
          </w:p>
        </w:tc>
      </w:tr>
      <w:tr w:rsidR="00EB4A22" w14:paraId="6754CE73"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259B23AE" w14:textId="77777777" w:rsidR="00EB4A22" w:rsidRPr="00EB4A22" w:rsidRDefault="00EB4A22" w:rsidP="00B12430">
            <w:pPr>
              <w:keepNext/>
              <w:keepLines/>
              <w:tabs>
                <w:tab w:val="left" w:pos="1440"/>
                <w:tab w:val="decimal" w:pos="4320"/>
              </w:tabs>
              <w:jc w:val="left"/>
              <w:outlineLvl w:val="0"/>
              <w:rPr>
                <w:rFonts w:ascii="Calibri" w:hAnsi="Calibri"/>
                <w:sz w:val="22"/>
                <w:szCs w:val="22"/>
              </w:rPr>
            </w:pPr>
            <w:r w:rsidRPr="00EB4A22">
              <w:rPr>
                <w:rFonts w:ascii="Calibri" w:hAnsi="Calibri"/>
                <w:color w:val="000000"/>
                <w:sz w:val="22"/>
                <w:szCs w:val="22"/>
              </w:rPr>
              <w:t>Referred to Advocacy</w:t>
            </w:r>
          </w:p>
        </w:tc>
        <w:tc>
          <w:tcPr>
            <w:tcW w:w="2088" w:type="dxa"/>
            <w:tcBorders>
              <w:top w:val="single" w:sz="4" w:space="0" w:color="auto"/>
              <w:left w:val="single" w:sz="4" w:space="0" w:color="auto"/>
              <w:bottom w:val="single" w:sz="4" w:space="0" w:color="auto"/>
              <w:right w:val="single" w:sz="4" w:space="0" w:color="auto"/>
            </w:tcBorders>
            <w:vAlign w:val="bottom"/>
          </w:tcPr>
          <w:p w14:paraId="4BB484BB" w14:textId="77777777" w:rsidR="00EB4A22" w:rsidRPr="00EB4A22" w:rsidRDefault="00EB4A22" w:rsidP="00B12430">
            <w:pPr>
              <w:keepNext/>
              <w:keepLines/>
              <w:tabs>
                <w:tab w:val="left" w:pos="1440"/>
                <w:tab w:val="decimal" w:pos="4320"/>
              </w:tabs>
              <w:jc w:val="center"/>
              <w:outlineLvl w:val="0"/>
              <w:rPr>
                <w:rFonts w:ascii="Calibri" w:hAnsi="Calibri"/>
                <w:sz w:val="22"/>
                <w:szCs w:val="22"/>
              </w:rPr>
            </w:pPr>
            <w:r w:rsidRPr="00EB4A22">
              <w:rPr>
                <w:rFonts w:ascii="Calibri" w:hAnsi="Calibri"/>
                <w:sz w:val="22"/>
                <w:szCs w:val="22"/>
              </w:rPr>
              <w:t>70</w:t>
            </w:r>
          </w:p>
        </w:tc>
      </w:tr>
      <w:tr w:rsidR="00EB4A22" w14:paraId="0A4FD013"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3B810DC9" w14:textId="77777777" w:rsidR="00EB4A22" w:rsidRPr="00EB4A22" w:rsidRDefault="00EB4A22" w:rsidP="00B12430">
            <w:pPr>
              <w:keepNext/>
              <w:keepLines/>
              <w:tabs>
                <w:tab w:val="left" w:pos="1440"/>
                <w:tab w:val="decimal" w:pos="4320"/>
              </w:tabs>
              <w:jc w:val="left"/>
              <w:outlineLvl w:val="0"/>
              <w:rPr>
                <w:rFonts w:ascii="Calibri" w:hAnsi="Calibri" w:cs="Arial"/>
                <w:sz w:val="22"/>
                <w:szCs w:val="22"/>
                <w:lang w:bidi="ar-SA"/>
              </w:rPr>
            </w:pPr>
            <w:r w:rsidRPr="00EB4A22">
              <w:rPr>
                <w:rFonts w:ascii="Calibri" w:hAnsi="Calibri"/>
                <w:color w:val="000000"/>
                <w:sz w:val="22"/>
                <w:szCs w:val="22"/>
              </w:rPr>
              <w:t>No further action</w:t>
            </w:r>
          </w:p>
        </w:tc>
        <w:tc>
          <w:tcPr>
            <w:tcW w:w="2088" w:type="dxa"/>
            <w:tcBorders>
              <w:top w:val="single" w:sz="4" w:space="0" w:color="auto"/>
              <w:left w:val="single" w:sz="4" w:space="0" w:color="auto"/>
              <w:bottom w:val="single" w:sz="4" w:space="0" w:color="auto"/>
              <w:right w:val="single" w:sz="4" w:space="0" w:color="auto"/>
            </w:tcBorders>
            <w:vAlign w:val="bottom"/>
          </w:tcPr>
          <w:p w14:paraId="60FAA319" w14:textId="77777777" w:rsidR="00EB4A22" w:rsidRPr="00EB4A22" w:rsidRDefault="00EB4A22" w:rsidP="00B12430">
            <w:pPr>
              <w:jc w:val="center"/>
              <w:rPr>
                <w:rFonts w:ascii="Calibri" w:hAnsi="Calibri" w:cs="Calibri"/>
                <w:color w:val="000000"/>
                <w:sz w:val="22"/>
                <w:szCs w:val="22"/>
              </w:rPr>
            </w:pPr>
            <w:r w:rsidRPr="00EB4A22">
              <w:rPr>
                <w:rFonts w:ascii="Calibri" w:hAnsi="Calibri" w:cs="Calibri"/>
                <w:color w:val="000000"/>
                <w:sz w:val="22"/>
                <w:szCs w:val="22"/>
              </w:rPr>
              <w:t>132</w:t>
            </w:r>
          </w:p>
        </w:tc>
      </w:tr>
      <w:tr w:rsidR="00EB4A22" w14:paraId="5A494B9D"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32EE2226" w14:textId="77777777" w:rsidR="00EB4A22" w:rsidRPr="00EB4A22" w:rsidRDefault="00EB4A22" w:rsidP="00B12430">
            <w:pPr>
              <w:keepNext/>
              <w:keepLines/>
              <w:tabs>
                <w:tab w:val="left" w:pos="1440"/>
                <w:tab w:val="decimal" w:pos="4320"/>
              </w:tabs>
              <w:jc w:val="left"/>
              <w:outlineLvl w:val="0"/>
              <w:rPr>
                <w:rFonts w:ascii="Calibri" w:hAnsi="Calibri"/>
                <w:color w:val="000000"/>
                <w:sz w:val="22"/>
                <w:szCs w:val="22"/>
              </w:rPr>
            </w:pPr>
            <w:r w:rsidRPr="00EB4A22">
              <w:rPr>
                <w:rFonts w:ascii="Calibri" w:hAnsi="Calibri"/>
                <w:color w:val="000000"/>
                <w:sz w:val="22"/>
                <w:szCs w:val="22"/>
              </w:rPr>
              <w:t>Withdrawn</w:t>
            </w:r>
          </w:p>
        </w:tc>
        <w:tc>
          <w:tcPr>
            <w:tcW w:w="2088" w:type="dxa"/>
            <w:tcBorders>
              <w:top w:val="single" w:sz="4" w:space="0" w:color="auto"/>
              <w:left w:val="single" w:sz="4" w:space="0" w:color="auto"/>
              <w:bottom w:val="single" w:sz="4" w:space="0" w:color="auto"/>
              <w:right w:val="single" w:sz="4" w:space="0" w:color="auto"/>
            </w:tcBorders>
            <w:vAlign w:val="bottom"/>
          </w:tcPr>
          <w:p w14:paraId="74A0DCF3" w14:textId="77777777" w:rsidR="00EB4A22" w:rsidRPr="00EB4A22" w:rsidRDefault="00EB4A22" w:rsidP="00B12430">
            <w:pPr>
              <w:jc w:val="center"/>
              <w:rPr>
                <w:rFonts w:ascii="Calibri" w:hAnsi="Calibri"/>
                <w:color w:val="000000"/>
                <w:sz w:val="22"/>
                <w:szCs w:val="22"/>
              </w:rPr>
            </w:pPr>
            <w:r w:rsidRPr="00EB4A22">
              <w:rPr>
                <w:rFonts w:ascii="Calibri" w:hAnsi="Calibri"/>
                <w:color w:val="000000"/>
                <w:sz w:val="22"/>
                <w:szCs w:val="22"/>
              </w:rPr>
              <w:t>7</w:t>
            </w:r>
          </w:p>
        </w:tc>
      </w:tr>
      <w:tr w:rsidR="00EB4A22" w14:paraId="6EE06A61"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6B142" w14:textId="77777777" w:rsidR="00EB4A22" w:rsidRPr="00EB4A22" w:rsidRDefault="00EB4A22" w:rsidP="00B12430">
            <w:pPr>
              <w:keepNext/>
              <w:keepLines/>
              <w:tabs>
                <w:tab w:val="left" w:pos="1440"/>
                <w:tab w:val="decimal" w:pos="4320"/>
              </w:tabs>
              <w:jc w:val="left"/>
              <w:outlineLvl w:val="0"/>
              <w:rPr>
                <w:rFonts w:ascii="Calibri" w:hAnsi="Calibri"/>
                <w:b/>
                <w:i/>
                <w:sz w:val="22"/>
                <w:szCs w:val="22"/>
              </w:rPr>
            </w:pPr>
            <w:r w:rsidRPr="00EB4A22">
              <w:rPr>
                <w:rFonts w:ascii="Calibri" w:hAnsi="Calibri"/>
                <w:b/>
                <w:i/>
                <w:sz w:val="22"/>
                <w:szCs w:val="22"/>
              </w:rPr>
              <w:t xml:space="preserve">Outside jurisdiction </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B080B" w14:textId="77777777" w:rsidR="00EB4A22" w:rsidRPr="00EB4A22" w:rsidRDefault="00EB4A22" w:rsidP="00B12430">
            <w:pPr>
              <w:keepNext/>
              <w:keepLines/>
              <w:tabs>
                <w:tab w:val="left" w:pos="1440"/>
                <w:tab w:val="decimal" w:pos="4320"/>
              </w:tabs>
              <w:jc w:val="center"/>
              <w:outlineLvl w:val="0"/>
              <w:rPr>
                <w:rFonts w:ascii="Calibri" w:hAnsi="Calibri"/>
                <w:b/>
                <w:i/>
                <w:sz w:val="22"/>
                <w:szCs w:val="22"/>
              </w:rPr>
            </w:pPr>
            <w:r w:rsidRPr="00EB4A22">
              <w:rPr>
                <w:rFonts w:ascii="Calibri" w:hAnsi="Calibri"/>
                <w:b/>
                <w:i/>
                <w:sz w:val="22"/>
                <w:szCs w:val="22"/>
              </w:rPr>
              <w:t>2</w:t>
            </w:r>
          </w:p>
        </w:tc>
      </w:tr>
      <w:tr w:rsidR="00EB4A22" w14:paraId="5F3319AC"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C00000"/>
            <w:hideMark/>
          </w:tcPr>
          <w:p w14:paraId="325E0A05" w14:textId="77777777" w:rsidR="00EB4A22" w:rsidRPr="00EB4A22" w:rsidRDefault="00EB4A22" w:rsidP="00B12430">
            <w:pPr>
              <w:keepNext/>
              <w:keepLines/>
              <w:tabs>
                <w:tab w:val="left" w:pos="1440"/>
                <w:tab w:val="decimal" w:pos="4320"/>
              </w:tabs>
              <w:jc w:val="left"/>
              <w:outlineLvl w:val="0"/>
              <w:rPr>
                <w:rFonts w:ascii="Calibri" w:hAnsi="Calibri" w:cs="Arial"/>
                <w:b/>
                <w:sz w:val="22"/>
                <w:szCs w:val="22"/>
                <w:lang w:bidi="ar-SA"/>
              </w:rPr>
            </w:pPr>
            <w:r w:rsidRPr="00EB4A22">
              <w:rPr>
                <w:rFonts w:ascii="Calibri" w:hAnsi="Calibri" w:cs="Arial"/>
                <w:b/>
                <w:sz w:val="22"/>
                <w:szCs w:val="22"/>
                <w:lang w:bidi="ar-SA"/>
              </w:rPr>
              <w:t>TOTAL</w:t>
            </w:r>
          </w:p>
        </w:tc>
        <w:tc>
          <w:tcPr>
            <w:tcW w:w="2088" w:type="dxa"/>
            <w:tcBorders>
              <w:top w:val="single" w:sz="4" w:space="0" w:color="auto"/>
              <w:left w:val="single" w:sz="4" w:space="0" w:color="auto"/>
              <w:bottom w:val="single" w:sz="4" w:space="0" w:color="auto"/>
              <w:right w:val="single" w:sz="4" w:space="0" w:color="auto"/>
            </w:tcBorders>
            <w:shd w:val="clear" w:color="auto" w:fill="C00000"/>
          </w:tcPr>
          <w:p w14:paraId="5CB3222E" w14:textId="77777777" w:rsidR="00EB4A22" w:rsidRPr="00EB4A22" w:rsidRDefault="00EB4A22" w:rsidP="00B12430">
            <w:pPr>
              <w:jc w:val="center"/>
              <w:rPr>
                <w:rFonts w:ascii="Calibri" w:hAnsi="Calibri" w:cs="Calibri"/>
                <w:b/>
                <w:color w:val="000000"/>
                <w:sz w:val="22"/>
                <w:szCs w:val="22"/>
              </w:rPr>
            </w:pPr>
            <w:r w:rsidRPr="00EB4A22">
              <w:rPr>
                <w:rFonts w:ascii="Calibri" w:hAnsi="Calibri" w:cs="Calibri"/>
                <w:b/>
                <w:color w:val="FFFFFF" w:themeColor="background1"/>
                <w:sz w:val="22"/>
                <w:szCs w:val="22"/>
              </w:rPr>
              <w:t>390</w:t>
            </w:r>
          </w:p>
        </w:tc>
      </w:tr>
    </w:tbl>
    <w:p w14:paraId="466CC8F4" w14:textId="77777777" w:rsidR="00EB4A22" w:rsidRPr="00555018" w:rsidRDefault="00EB4A22" w:rsidP="00EB4A22">
      <w:pPr>
        <w:rPr>
          <w:rFonts w:ascii="Calibri" w:hAnsi="Calibri"/>
        </w:rPr>
      </w:pPr>
      <w:bookmarkStart w:id="90" w:name="_Toc415221220"/>
      <w:bookmarkStart w:id="91" w:name="_Toc415153519"/>
      <w:bookmarkStart w:id="92" w:name="_Toc415147245"/>
      <w:bookmarkStart w:id="93" w:name="_Toc415135531"/>
      <w:bookmarkStart w:id="94" w:name="_Toc415046459"/>
      <w:bookmarkStart w:id="95" w:name="_Toc415039803"/>
      <w:bookmarkStart w:id="96" w:name="_Toc414952832"/>
      <w:bookmarkStart w:id="97" w:name="_Toc414886547"/>
      <w:bookmarkStart w:id="98" w:name="_Toc414875837"/>
      <w:bookmarkStart w:id="99" w:name="_Toc414461839"/>
      <w:bookmarkStart w:id="100" w:name="_Toc414442658"/>
      <w:r>
        <w:rPr>
          <w:lang w:eastAsia="en-NZ"/>
        </w:rPr>
        <w:br w:type="page"/>
      </w:r>
    </w:p>
    <w:p w14:paraId="566620F1" w14:textId="77777777" w:rsidR="00EB4A22" w:rsidRPr="00666BAC" w:rsidRDefault="00EB4A22">
      <w:pPr>
        <w:pStyle w:val="Heading3"/>
        <w:rPr>
          <w:lang w:val="en-AU" w:bidi="ar-SA"/>
        </w:rPr>
      </w:pPr>
      <w:bookmarkStart w:id="101" w:name="_Toc71561663"/>
      <w:bookmarkStart w:id="102" w:name="_Toc74223419"/>
      <w:bookmarkEnd w:id="90"/>
      <w:bookmarkEnd w:id="91"/>
      <w:bookmarkEnd w:id="92"/>
      <w:bookmarkEnd w:id="93"/>
      <w:bookmarkEnd w:id="94"/>
      <w:bookmarkEnd w:id="95"/>
      <w:bookmarkEnd w:id="96"/>
      <w:bookmarkEnd w:id="97"/>
      <w:bookmarkEnd w:id="98"/>
      <w:bookmarkEnd w:id="99"/>
      <w:bookmarkEnd w:id="100"/>
      <w:r>
        <w:rPr>
          <w:lang w:val="en-AU" w:bidi="ar-SA"/>
        </w:rPr>
        <w:t>5.3</w:t>
      </w:r>
      <w:r w:rsidRPr="00666BAC">
        <w:rPr>
          <w:lang w:val="en-AU" w:bidi="ar-SA"/>
        </w:rPr>
        <w:t xml:space="preserve"> </w:t>
      </w:r>
      <w:r w:rsidRPr="00666BAC">
        <w:rPr>
          <w:lang w:val="en-AU" w:bidi="ar-SA"/>
        </w:rPr>
        <w:tab/>
      </w:r>
      <w:r>
        <w:rPr>
          <w:lang w:val="en-AU" w:bidi="ar-SA"/>
        </w:rPr>
        <w:t>Recommendations made to DHBs by HDC</w:t>
      </w:r>
      <w:bookmarkEnd w:id="101"/>
      <w:bookmarkEnd w:id="102"/>
    </w:p>
    <w:p w14:paraId="5B78B358" w14:textId="77777777" w:rsidR="00EB4A22" w:rsidRDefault="00EB4A22" w:rsidP="00EB4A22">
      <w:pPr>
        <w:pStyle w:val="NoSpacing"/>
        <w:spacing w:after="360"/>
        <w:rPr>
          <w:lang w:val="en-NZ" w:eastAsia="en-NZ"/>
        </w:rPr>
      </w:pPr>
      <w:r>
        <w:rPr>
          <w:lang w:val="en-NZ" w:eastAsia="en-NZ"/>
        </w:rPr>
        <w:t>Regardless of whether or not a complaint has been investigated, the Commissioner may make recommendations to a DHB. HDC then follows up with the DHB to ensure that these recommendations have been acted upon.</w:t>
      </w:r>
    </w:p>
    <w:p w14:paraId="40852723" w14:textId="77777777" w:rsidR="00EB4A22" w:rsidRDefault="00EB4A22" w:rsidP="00EB4A22">
      <w:pPr>
        <w:pStyle w:val="NoSpacing"/>
        <w:spacing w:after="480"/>
        <w:rPr>
          <w:lang w:val="en-NZ" w:eastAsia="en-NZ"/>
        </w:rPr>
      </w:pPr>
      <w:r>
        <w:rPr>
          <w:lang w:val="en-NZ" w:eastAsia="en-NZ"/>
        </w:rPr>
        <w:t xml:space="preserve">Table 14 shows the recommendations made to DHBs for complaints closed in </w:t>
      </w:r>
      <w:r>
        <w:t>Jul–Dec 2020</w:t>
      </w:r>
      <w:r>
        <w:rPr>
          <w:lang w:val="en-NZ" w:eastAsia="en-NZ"/>
        </w:rPr>
        <w:t xml:space="preserve">. Please note that more than one recommendation may be made in relation to a single complaint. </w:t>
      </w:r>
    </w:p>
    <w:p w14:paraId="4F3B4055" w14:textId="77777777" w:rsidR="00EB4A22" w:rsidRDefault="00EB4A22" w:rsidP="00EB4A22">
      <w:pPr>
        <w:pStyle w:val="NoSpacing"/>
        <w:keepNext/>
        <w:keepLines/>
        <w:spacing w:after="120"/>
        <w:rPr>
          <w:b/>
          <w:lang w:val="en-NZ" w:eastAsia="en-NZ"/>
        </w:rPr>
      </w:pPr>
      <w:r>
        <w:rPr>
          <w:b/>
          <w:lang w:val="en-NZ" w:eastAsia="en-NZ"/>
        </w:rPr>
        <w:t xml:space="preserve">Table 14. </w:t>
      </w:r>
      <w:r>
        <w:rPr>
          <w:lang w:val="en-NZ" w:eastAsia="en-NZ"/>
        </w:rPr>
        <w:t>Recommendations made to DHBs following a complaint</w:t>
      </w:r>
    </w:p>
    <w:tbl>
      <w:tblPr>
        <w:tblStyle w:val="TableGrid"/>
        <w:tblW w:w="9336" w:type="dxa"/>
        <w:tblLayout w:type="fixed"/>
        <w:tblLook w:val="04A0" w:firstRow="1" w:lastRow="0" w:firstColumn="1" w:lastColumn="0" w:noHBand="0" w:noVBand="1"/>
      </w:tblPr>
      <w:tblGrid>
        <w:gridCol w:w="6069"/>
        <w:gridCol w:w="3267"/>
      </w:tblGrid>
      <w:tr w:rsidR="00EB4A22" w:rsidRPr="007B09E9" w14:paraId="775504A7" w14:textId="77777777" w:rsidTr="00B12430">
        <w:trPr>
          <w:trHeight w:val="386"/>
        </w:trPr>
        <w:tc>
          <w:tcPr>
            <w:tcW w:w="6069"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F1FD5D2" w14:textId="77777777" w:rsidR="00EB4A22" w:rsidRPr="00EB4A22" w:rsidRDefault="00EB4A22" w:rsidP="00B12430">
            <w:pPr>
              <w:pStyle w:val="NoSpacing"/>
              <w:keepNext/>
              <w:keepLines/>
              <w:jc w:val="center"/>
              <w:rPr>
                <w:rFonts w:asciiTheme="minorHAnsi" w:hAnsiTheme="minorHAnsi"/>
                <w:b/>
                <w:sz w:val="22"/>
                <w:szCs w:val="22"/>
                <w:lang w:val="en-NZ"/>
              </w:rPr>
            </w:pPr>
            <w:r w:rsidRPr="00EB4A22">
              <w:rPr>
                <w:rFonts w:asciiTheme="minorHAnsi" w:hAnsiTheme="minorHAnsi"/>
                <w:b/>
                <w:sz w:val="22"/>
                <w:szCs w:val="22"/>
                <w:lang w:val="en-NZ"/>
              </w:rPr>
              <w:t>Recommendation</w:t>
            </w:r>
          </w:p>
        </w:tc>
        <w:tc>
          <w:tcPr>
            <w:tcW w:w="3267" w:type="dxa"/>
            <w:tcBorders>
              <w:top w:val="single" w:sz="4" w:space="0" w:color="auto"/>
              <w:left w:val="single" w:sz="4" w:space="0" w:color="auto"/>
              <w:bottom w:val="single" w:sz="4" w:space="0" w:color="auto"/>
              <w:right w:val="single" w:sz="4" w:space="0" w:color="auto"/>
            </w:tcBorders>
            <w:shd w:val="clear" w:color="auto" w:fill="C00000"/>
            <w:hideMark/>
          </w:tcPr>
          <w:p w14:paraId="735AA411" w14:textId="77777777" w:rsidR="00EB4A22" w:rsidRPr="00EB4A22" w:rsidRDefault="00EB4A22" w:rsidP="00B12430">
            <w:pPr>
              <w:pStyle w:val="NoSpacing"/>
              <w:keepNext/>
              <w:keepLines/>
              <w:jc w:val="center"/>
              <w:rPr>
                <w:rFonts w:asciiTheme="minorHAnsi" w:hAnsiTheme="minorHAnsi"/>
                <w:b/>
                <w:sz w:val="22"/>
                <w:szCs w:val="22"/>
                <w:lang w:val="en-NZ"/>
              </w:rPr>
            </w:pPr>
            <w:r w:rsidRPr="00EB4A22">
              <w:rPr>
                <w:rFonts w:asciiTheme="minorHAnsi" w:hAnsiTheme="minorHAnsi"/>
                <w:b/>
                <w:sz w:val="22"/>
                <w:szCs w:val="22"/>
                <w:lang w:val="en-NZ"/>
              </w:rPr>
              <w:t xml:space="preserve">Number of </w:t>
            </w:r>
            <w:r w:rsidRPr="00EB4A22">
              <w:rPr>
                <w:rFonts w:asciiTheme="minorHAnsi" w:hAnsiTheme="minorHAnsi"/>
                <w:b/>
                <w:sz w:val="22"/>
                <w:szCs w:val="22"/>
                <w:lang w:val="en-NZ"/>
              </w:rPr>
              <w:br/>
              <w:t>recommendations made</w:t>
            </w:r>
          </w:p>
        </w:tc>
      </w:tr>
      <w:tr w:rsidR="00EB4A22" w:rsidRPr="007B09E9" w14:paraId="1213043C" w14:textId="77777777" w:rsidTr="00B12430">
        <w:trPr>
          <w:trHeight w:val="272"/>
        </w:trPr>
        <w:tc>
          <w:tcPr>
            <w:tcW w:w="6069" w:type="dxa"/>
            <w:tcBorders>
              <w:top w:val="single" w:sz="4" w:space="0" w:color="auto"/>
              <w:left w:val="single" w:sz="4" w:space="0" w:color="auto"/>
              <w:bottom w:val="single" w:sz="4" w:space="0" w:color="auto"/>
              <w:right w:val="single" w:sz="4" w:space="0" w:color="auto"/>
            </w:tcBorders>
            <w:hideMark/>
          </w:tcPr>
          <w:p w14:paraId="13A06AD7" w14:textId="77777777" w:rsidR="00EB4A22" w:rsidRPr="00EB4A22" w:rsidRDefault="00EB4A22" w:rsidP="00B12430">
            <w:pPr>
              <w:pStyle w:val="NoSpacing"/>
              <w:keepNext/>
              <w:keepLines/>
              <w:jc w:val="left"/>
              <w:rPr>
                <w:rFonts w:asciiTheme="minorHAnsi" w:hAnsiTheme="minorHAnsi"/>
                <w:sz w:val="22"/>
                <w:szCs w:val="22"/>
                <w:lang w:val="en-NZ"/>
              </w:rPr>
            </w:pPr>
            <w:r w:rsidRPr="00EB4A22">
              <w:rPr>
                <w:rFonts w:asciiTheme="minorHAnsi" w:hAnsiTheme="minorHAnsi"/>
                <w:sz w:val="22"/>
                <w:szCs w:val="22"/>
                <w:lang w:val="en-NZ"/>
              </w:rPr>
              <w:t>Apology</w:t>
            </w:r>
          </w:p>
        </w:tc>
        <w:tc>
          <w:tcPr>
            <w:tcW w:w="3267" w:type="dxa"/>
            <w:tcBorders>
              <w:top w:val="single" w:sz="4" w:space="0" w:color="auto"/>
              <w:left w:val="single" w:sz="4" w:space="0" w:color="auto"/>
              <w:bottom w:val="single" w:sz="4" w:space="0" w:color="auto"/>
              <w:right w:val="single" w:sz="4" w:space="0" w:color="auto"/>
            </w:tcBorders>
          </w:tcPr>
          <w:p w14:paraId="0C2F6A70" w14:textId="77777777" w:rsidR="00EB4A22" w:rsidRPr="00EB4A22" w:rsidRDefault="00EB4A22" w:rsidP="00B12430">
            <w:pPr>
              <w:pStyle w:val="NoSpacing"/>
              <w:keepNext/>
              <w:keepLines/>
              <w:jc w:val="center"/>
              <w:rPr>
                <w:rFonts w:asciiTheme="minorHAnsi" w:hAnsiTheme="minorHAnsi"/>
                <w:sz w:val="22"/>
                <w:szCs w:val="22"/>
                <w:lang w:val="en-NZ"/>
              </w:rPr>
            </w:pPr>
            <w:r w:rsidRPr="00EB4A22">
              <w:rPr>
                <w:rFonts w:asciiTheme="minorHAnsi" w:hAnsiTheme="minorHAnsi"/>
                <w:sz w:val="22"/>
                <w:szCs w:val="22"/>
                <w:lang w:val="en-NZ"/>
              </w:rPr>
              <w:t>19</w:t>
            </w:r>
          </w:p>
        </w:tc>
      </w:tr>
      <w:tr w:rsidR="00EB4A22" w:rsidRPr="007B09E9" w14:paraId="06E06300" w14:textId="77777777" w:rsidTr="00B12430">
        <w:trPr>
          <w:trHeight w:val="272"/>
        </w:trPr>
        <w:tc>
          <w:tcPr>
            <w:tcW w:w="6069" w:type="dxa"/>
            <w:tcBorders>
              <w:top w:val="single" w:sz="4" w:space="0" w:color="auto"/>
              <w:left w:val="single" w:sz="4" w:space="0" w:color="auto"/>
              <w:bottom w:val="single" w:sz="4" w:space="0" w:color="auto"/>
              <w:right w:val="single" w:sz="4" w:space="0" w:color="auto"/>
            </w:tcBorders>
            <w:hideMark/>
          </w:tcPr>
          <w:p w14:paraId="7E963873" w14:textId="77777777" w:rsidR="00EB4A22" w:rsidRPr="00EB4A22" w:rsidRDefault="00EB4A22" w:rsidP="00B12430">
            <w:pPr>
              <w:pStyle w:val="NoSpacing"/>
              <w:keepNext/>
              <w:keepLines/>
              <w:jc w:val="left"/>
              <w:rPr>
                <w:rFonts w:asciiTheme="minorHAnsi" w:hAnsiTheme="minorHAnsi"/>
                <w:sz w:val="22"/>
                <w:szCs w:val="22"/>
                <w:lang w:val="en-NZ"/>
              </w:rPr>
            </w:pPr>
            <w:r w:rsidRPr="00EB4A22">
              <w:rPr>
                <w:rFonts w:asciiTheme="minorHAnsi" w:hAnsiTheme="minorHAnsi"/>
                <w:sz w:val="22"/>
                <w:szCs w:val="22"/>
                <w:lang w:val="en-NZ"/>
              </w:rPr>
              <w:t>Audit</w:t>
            </w:r>
          </w:p>
        </w:tc>
        <w:tc>
          <w:tcPr>
            <w:tcW w:w="3267" w:type="dxa"/>
            <w:tcBorders>
              <w:top w:val="single" w:sz="4" w:space="0" w:color="auto"/>
              <w:left w:val="single" w:sz="4" w:space="0" w:color="auto"/>
              <w:bottom w:val="single" w:sz="4" w:space="0" w:color="auto"/>
              <w:right w:val="single" w:sz="4" w:space="0" w:color="auto"/>
            </w:tcBorders>
          </w:tcPr>
          <w:p w14:paraId="64009EFE" w14:textId="77777777" w:rsidR="00EB4A22" w:rsidRPr="00EB4A22" w:rsidRDefault="00EB4A22" w:rsidP="00B12430">
            <w:pPr>
              <w:pStyle w:val="NoSpacing"/>
              <w:keepNext/>
              <w:keepLines/>
              <w:jc w:val="center"/>
              <w:rPr>
                <w:rFonts w:asciiTheme="minorHAnsi" w:hAnsiTheme="minorHAnsi"/>
                <w:sz w:val="22"/>
                <w:szCs w:val="22"/>
                <w:lang w:val="en-NZ"/>
              </w:rPr>
            </w:pPr>
            <w:r w:rsidRPr="00EB4A22">
              <w:rPr>
                <w:rFonts w:asciiTheme="minorHAnsi" w:hAnsiTheme="minorHAnsi"/>
                <w:sz w:val="22"/>
                <w:szCs w:val="22"/>
                <w:lang w:val="en-NZ"/>
              </w:rPr>
              <w:t>15</w:t>
            </w:r>
          </w:p>
        </w:tc>
      </w:tr>
      <w:tr w:rsidR="00EB4A22" w:rsidRPr="007B09E9" w14:paraId="5A2B6743" w14:textId="77777777" w:rsidTr="00B12430">
        <w:trPr>
          <w:trHeight w:val="272"/>
        </w:trPr>
        <w:tc>
          <w:tcPr>
            <w:tcW w:w="6069" w:type="dxa"/>
            <w:tcBorders>
              <w:top w:val="single" w:sz="4" w:space="0" w:color="auto"/>
              <w:left w:val="single" w:sz="4" w:space="0" w:color="auto"/>
              <w:bottom w:val="single" w:sz="4" w:space="0" w:color="auto"/>
              <w:right w:val="single" w:sz="4" w:space="0" w:color="auto"/>
            </w:tcBorders>
          </w:tcPr>
          <w:p w14:paraId="6942999D" w14:textId="77777777" w:rsidR="00EB4A22" w:rsidRPr="00EB4A22" w:rsidRDefault="00EB4A22" w:rsidP="00B12430">
            <w:pPr>
              <w:pStyle w:val="NoSpacing"/>
              <w:keepNext/>
              <w:keepLines/>
              <w:jc w:val="left"/>
              <w:rPr>
                <w:rFonts w:asciiTheme="minorHAnsi" w:hAnsiTheme="minorHAnsi"/>
                <w:sz w:val="22"/>
                <w:szCs w:val="22"/>
                <w:lang w:val="en-NZ"/>
              </w:rPr>
            </w:pPr>
            <w:r w:rsidRPr="00EB4A22">
              <w:rPr>
                <w:rFonts w:asciiTheme="minorHAnsi" w:hAnsiTheme="minorHAnsi"/>
                <w:sz w:val="22"/>
                <w:szCs w:val="22"/>
                <w:lang w:val="en-NZ"/>
              </w:rPr>
              <w:t>Evaluation of change</w:t>
            </w:r>
          </w:p>
        </w:tc>
        <w:tc>
          <w:tcPr>
            <w:tcW w:w="3267" w:type="dxa"/>
            <w:tcBorders>
              <w:top w:val="single" w:sz="4" w:space="0" w:color="auto"/>
              <w:left w:val="single" w:sz="4" w:space="0" w:color="auto"/>
              <w:bottom w:val="single" w:sz="4" w:space="0" w:color="auto"/>
              <w:right w:val="single" w:sz="4" w:space="0" w:color="auto"/>
            </w:tcBorders>
            <w:vAlign w:val="center"/>
          </w:tcPr>
          <w:p w14:paraId="3B0C1917" w14:textId="77777777" w:rsidR="00EB4A22" w:rsidRPr="00EB4A22" w:rsidRDefault="00EB4A22" w:rsidP="00B12430">
            <w:pPr>
              <w:pStyle w:val="NoSpacing"/>
              <w:keepNext/>
              <w:keepLines/>
              <w:jc w:val="center"/>
              <w:rPr>
                <w:rFonts w:asciiTheme="minorHAnsi" w:hAnsiTheme="minorHAnsi"/>
                <w:sz w:val="22"/>
                <w:szCs w:val="22"/>
                <w:lang w:val="en-NZ"/>
              </w:rPr>
            </w:pPr>
            <w:r w:rsidRPr="00EB4A22">
              <w:rPr>
                <w:rFonts w:asciiTheme="minorHAnsi" w:hAnsiTheme="minorHAnsi"/>
                <w:sz w:val="22"/>
                <w:szCs w:val="22"/>
                <w:lang w:val="en-NZ"/>
              </w:rPr>
              <w:t>8</w:t>
            </w:r>
          </w:p>
        </w:tc>
      </w:tr>
      <w:tr w:rsidR="00EB4A22" w:rsidRPr="007B09E9" w14:paraId="7C5091FF" w14:textId="77777777" w:rsidTr="00B12430">
        <w:trPr>
          <w:trHeight w:val="272"/>
        </w:trPr>
        <w:tc>
          <w:tcPr>
            <w:tcW w:w="6069" w:type="dxa"/>
            <w:tcBorders>
              <w:top w:val="single" w:sz="4" w:space="0" w:color="auto"/>
              <w:left w:val="single" w:sz="4" w:space="0" w:color="auto"/>
              <w:bottom w:val="single" w:sz="4" w:space="0" w:color="auto"/>
              <w:right w:val="single" w:sz="4" w:space="0" w:color="auto"/>
            </w:tcBorders>
          </w:tcPr>
          <w:p w14:paraId="4E25625C" w14:textId="77777777" w:rsidR="00EB4A22" w:rsidRPr="00EB4A22" w:rsidRDefault="00EB4A22" w:rsidP="00B12430">
            <w:pPr>
              <w:pStyle w:val="NoSpacing"/>
              <w:keepNext/>
              <w:keepLines/>
              <w:jc w:val="left"/>
              <w:rPr>
                <w:rFonts w:asciiTheme="minorHAnsi" w:hAnsiTheme="minorHAnsi"/>
                <w:sz w:val="22"/>
                <w:szCs w:val="22"/>
                <w:lang w:val="en-NZ"/>
              </w:rPr>
            </w:pPr>
            <w:r w:rsidRPr="00EB4A22">
              <w:rPr>
                <w:rFonts w:asciiTheme="minorHAnsi" w:hAnsiTheme="minorHAnsi"/>
                <w:sz w:val="22"/>
                <w:szCs w:val="22"/>
                <w:lang w:val="en-NZ"/>
              </w:rPr>
              <w:t>Meeting with consumer/complainant</w:t>
            </w:r>
          </w:p>
        </w:tc>
        <w:tc>
          <w:tcPr>
            <w:tcW w:w="3267" w:type="dxa"/>
            <w:tcBorders>
              <w:top w:val="single" w:sz="4" w:space="0" w:color="auto"/>
              <w:left w:val="single" w:sz="4" w:space="0" w:color="auto"/>
              <w:bottom w:val="single" w:sz="4" w:space="0" w:color="auto"/>
              <w:right w:val="single" w:sz="4" w:space="0" w:color="auto"/>
            </w:tcBorders>
            <w:vAlign w:val="center"/>
          </w:tcPr>
          <w:p w14:paraId="0B3B4847" w14:textId="77777777" w:rsidR="00EB4A22" w:rsidRPr="00EB4A22" w:rsidRDefault="00EB4A22" w:rsidP="00B12430">
            <w:pPr>
              <w:pStyle w:val="NoSpacing"/>
              <w:keepNext/>
              <w:keepLines/>
              <w:jc w:val="center"/>
              <w:rPr>
                <w:rFonts w:asciiTheme="minorHAnsi" w:hAnsiTheme="minorHAnsi"/>
                <w:sz w:val="22"/>
                <w:szCs w:val="22"/>
                <w:lang w:val="en-NZ"/>
              </w:rPr>
            </w:pPr>
            <w:r w:rsidRPr="00EB4A22">
              <w:rPr>
                <w:rFonts w:asciiTheme="minorHAnsi" w:hAnsiTheme="minorHAnsi"/>
                <w:sz w:val="22"/>
                <w:szCs w:val="22"/>
                <w:lang w:val="en-NZ"/>
              </w:rPr>
              <w:t>1</w:t>
            </w:r>
          </w:p>
        </w:tc>
      </w:tr>
      <w:tr w:rsidR="00EB4A22" w:rsidRPr="007B09E9" w14:paraId="0192F2A5" w14:textId="77777777" w:rsidTr="00B12430">
        <w:trPr>
          <w:trHeight w:val="272"/>
        </w:trPr>
        <w:tc>
          <w:tcPr>
            <w:tcW w:w="6069" w:type="dxa"/>
            <w:tcBorders>
              <w:top w:val="single" w:sz="4" w:space="0" w:color="auto"/>
              <w:left w:val="single" w:sz="4" w:space="0" w:color="auto"/>
              <w:bottom w:val="single" w:sz="4" w:space="0" w:color="auto"/>
              <w:right w:val="single" w:sz="4" w:space="0" w:color="auto"/>
            </w:tcBorders>
            <w:hideMark/>
          </w:tcPr>
          <w:p w14:paraId="39FDEB68" w14:textId="77777777" w:rsidR="00EB4A22" w:rsidRPr="00EB4A22" w:rsidRDefault="00EB4A22" w:rsidP="00B12430">
            <w:pPr>
              <w:pStyle w:val="NoSpacing"/>
              <w:keepNext/>
              <w:keepLines/>
              <w:jc w:val="left"/>
              <w:rPr>
                <w:rFonts w:asciiTheme="minorHAnsi" w:hAnsiTheme="minorHAnsi"/>
                <w:sz w:val="22"/>
                <w:szCs w:val="22"/>
                <w:lang w:val="en-NZ"/>
              </w:rPr>
            </w:pPr>
            <w:r w:rsidRPr="00EB4A22">
              <w:rPr>
                <w:rFonts w:asciiTheme="minorHAnsi" w:hAnsiTheme="minorHAnsi"/>
                <w:sz w:val="22"/>
                <w:szCs w:val="22"/>
                <w:lang w:val="en-NZ"/>
              </w:rPr>
              <w:t>Presentation/discussion of complaint with others</w:t>
            </w:r>
          </w:p>
        </w:tc>
        <w:tc>
          <w:tcPr>
            <w:tcW w:w="3267" w:type="dxa"/>
            <w:tcBorders>
              <w:top w:val="single" w:sz="4" w:space="0" w:color="auto"/>
              <w:left w:val="single" w:sz="4" w:space="0" w:color="auto"/>
              <w:bottom w:val="single" w:sz="4" w:space="0" w:color="auto"/>
              <w:right w:val="single" w:sz="4" w:space="0" w:color="auto"/>
            </w:tcBorders>
            <w:vAlign w:val="center"/>
          </w:tcPr>
          <w:p w14:paraId="5D3CD3B7" w14:textId="77777777" w:rsidR="00EB4A22" w:rsidRPr="00EB4A22" w:rsidRDefault="00EB4A22" w:rsidP="00B12430">
            <w:pPr>
              <w:pStyle w:val="NoSpacing"/>
              <w:keepNext/>
              <w:keepLines/>
              <w:jc w:val="center"/>
              <w:rPr>
                <w:rFonts w:asciiTheme="minorHAnsi" w:hAnsiTheme="minorHAnsi"/>
                <w:sz w:val="22"/>
                <w:szCs w:val="22"/>
                <w:lang w:val="en-NZ"/>
              </w:rPr>
            </w:pPr>
            <w:r w:rsidRPr="00EB4A22">
              <w:rPr>
                <w:rFonts w:asciiTheme="minorHAnsi" w:hAnsiTheme="minorHAnsi"/>
                <w:sz w:val="22"/>
                <w:szCs w:val="22"/>
                <w:lang w:val="en-NZ"/>
              </w:rPr>
              <w:t>11</w:t>
            </w:r>
          </w:p>
        </w:tc>
      </w:tr>
      <w:tr w:rsidR="00EB4A22" w:rsidRPr="007B09E9" w14:paraId="04343824" w14:textId="77777777" w:rsidTr="00B12430">
        <w:trPr>
          <w:trHeight w:val="272"/>
        </w:trPr>
        <w:tc>
          <w:tcPr>
            <w:tcW w:w="6069" w:type="dxa"/>
            <w:tcBorders>
              <w:top w:val="single" w:sz="4" w:space="0" w:color="auto"/>
              <w:left w:val="single" w:sz="4" w:space="0" w:color="auto"/>
              <w:bottom w:val="single" w:sz="4" w:space="0" w:color="auto"/>
              <w:right w:val="single" w:sz="4" w:space="0" w:color="auto"/>
            </w:tcBorders>
            <w:hideMark/>
          </w:tcPr>
          <w:p w14:paraId="7D734B46" w14:textId="77777777" w:rsidR="00EB4A22" w:rsidRPr="00EB4A22" w:rsidRDefault="00EB4A22" w:rsidP="00B12430">
            <w:pPr>
              <w:pStyle w:val="NoSpacing"/>
              <w:keepNext/>
              <w:keepLines/>
              <w:jc w:val="left"/>
              <w:rPr>
                <w:rFonts w:asciiTheme="minorHAnsi" w:hAnsiTheme="minorHAnsi"/>
                <w:sz w:val="22"/>
                <w:szCs w:val="22"/>
                <w:lang w:val="en-NZ"/>
              </w:rPr>
            </w:pPr>
            <w:r w:rsidRPr="00EB4A22">
              <w:rPr>
                <w:rFonts w:asciiTheme="minorHAnsi" w:hAnsiTheme="minorHAnsi"/>
                <w:sz w:val="22"/>
                <w:szCs w:val="22"/>
                <w:lang w:val="en-NZ"/>
              </w:rPr>
              <w:t>Provision of evidence of change to HDC</w:t>
            </w:r>
          </w:p>
        </w:tc>
        <w:tc>
          <w:tcPr>
            <w:tcW w:w="3267" w:type="dxa"/>
            <w:tcBorders>
              <w:top w:val="single" w:sz="4" w:space="0" w:color="auto"/>
              <w:left w:val="single" w:sz="4" w:space="0" w:color="auto"/>
              <w:bottom w:val="single" w:sz="4" w:space="0" w:color="auto"/>
              <w:right w:val="single" w:sz="4" w:space="0" w:color="auto"/>
            </w:tcBorders>
            <w:vAlign w:val="center"/>
          </w:tcPr>
          <w:p w14:paraId="4B1BCA7F" w14:textId="77777777" w:rsidR="00EB4A22" w:rsidRPr="00EB4A22" w:rsidRDefault="00EB4A22" w:rsidP="00B12430">
            <w:pPr>
              <w:pStyle w:val="NoSpacing"/>
              <w:keepNext/>
              <w:keepLines/>
              <w:jc w:val="center"/>
              <w:rPr>
                <w:rFonts w:asciiTheme="minorHAnsi" w:hAnsiTheme="minorHAnsi"/>
                <w:sz w:val="22"/>
                <w:szCs w:val="22"/>
                <w:lang w:val="en-NZ"/>
              </w:rPr>
            </w:pPr>
            <w:r w:rsidRPr="00EB4A22">
              <w:rPr>
                <w:rFonts w:asciiTheme="minorHAnsi" w:hAnsiTheme="minorHAnsi"/>
                <w:sz w:val="22"/>
                <w:szCs w:val="22"/>
                <w:lang w:val="en-NZ"/>
              </w:rPr>
              <w:t>21</w:t>
            </w:r>
          </w:p>
        </w:tc>
      </w:tr>
      <w:tr w:rsidR="00EB4A22" w:rsidRPr="007B09E9" w14:paraId="76425F71" w14:textId="77777777" w:rsidTr="00B12430">
        <w:trPr>
          <w:trHeight w:val="272"/>
        </w:trPr>
        <w:tc>
          <w:tcPr>
            <w:tcW w:w="6069" w:type="dxa"/>
            <w:tcBorders>
              <w:top w:val="single" w:sz="4" w:space="0" w:color="auto"/>
              <w:left w:val="single" w:sz="4" w:space="0" w:color="auto"/>
              <w:bottom w:val="single" w:sz="4" w:space="0" w:color="auto"/>
              <w:right w:val="single" w:sz="4" w:space="0" w:color="auto"/>
            </w:tcBorders>
            <w:hideMark/>
          </w:tcPr>
          <w:p w14:paraId="625A73ED" w14:textId="77777777" w:rsidR="00EB4A22" w:rsidRPr="00EB4A22" w:rsidRDefault="00EB4A22" w:rsidP="00B12430">
            <w:pPr>
              <w:pStyle w:val="NoSpacing"/>
              <w:jc w:val="left"/>
              <w:rPr>
                <w:rFonts w:asciiTheme="minorHAnsi" w:hAnsiTheme="minorHAnsi"/>
                <w:sz w:val="22"/>
                <w:szCs w:val="22"/>
                <w:lang w:val="en-NZ"/>
              </w:rPr>
            </w:pPr>
            <w:r w:rsidRPr="00EB4A22">
              <w:rPr>
                <w:rFonts w:asciiTheme="minorHAnsi" w:hAnsiTheme="minorHAnsi"/>
                <w:sz w:val="22"/>
                <w:szCs w:val="22"/>
                <w:lang w:val="en-NZ"/>
              </w:rPr>
              <w:t>Review/implementation of policies/procedures</w:t>
            </w:r>
          </w:p>
        </w:tc>
        <w:tc>
          <w:tcPr>
            <w:tcW w:w="3267" w:type="dxa"/>
            <w:tcBorders>
              <w:top w:val="single" w:sz="4" w:space="0" w:color="auto"/>
              <w:left w:val="single" w:sz="4" w:space="0" w:color="auto"/>
              <w:bottom w:val="single" w:sz="4" w:space="0" w:color="auto"/>
              <w:right w:val="single" w:sz="4" w:space="0" w:color="auto"/>
            </w:tcBorders>
            <w:vAlign w:val="center"/>
          </w:tcPr>
          <w:p w14:paraId="431E2370" w14:textId="77777777" w:rsidR="00EB4A22" w:rsidRPr="00EB4A22" w:rsidRDefault="00EB4A22" w:rsidP="00B12430">
            <w:pPr>
              <w:pStyle w:val="NoSpacing"/>
              <w:jc w:val="center"/>
              <w:rPr>
                <w:rFonts w:asciiTheme="minorHAnsi" w:hAnsiTheme="minorHAnsi"/>
                <w:sz w:val="22"/>
                <w:szCs w:val="22"/>
                <w:lang w:val="en-NZ"/>
              </w:rPr>
            </w:pPr>
            <w:r w:rsidRPr="00EB4A22">
              <w:rPr>
                <w:rFonts w:asciiTheme="minorHAnsi" w:hAnsiTheme="minorHAnsi"/>
                <w:sz w:val="22"/>
                <w:szCs w:val="22"/>
                <w:lang w:val="en-NZ"/>
              </w:rPr>
              <w:t>20</w:t>
            </w:r>
          </w:p>
        </w:tc>
      </w:tr>
      <w:tr w:rsidR="00EB4A22" w:rsidRPr="007B09E9" w14:paraId="1E3F1334" w14:textId="77777777" w:rsidTr="00B12430">
        <w:trPr>
          <w:trHeight w:val="272"/>
        </w:trPr>
        <w:tc>
          <w:tcPr>
            <w:tcW w:w="6069" w:type="dxa"/>
            <w:tcBorders>
              <w:top w:val="single" w:sz="4" w:space="0" w:color="auto"/>
              <w:left w:val="single" w:sz="4" w:space="0" w:color="auto"/>
              <w:bottom w:val="single" w:sz="4" w:space="0" w:color="auto"/>
              <w:right w:val="single" w:sz="4" w:space="0" w:color="auto"/>
            </w:tcBorders>
            <w:hideMark/>
          </w:tcPr>
          <w:p w14:paraId="6B54777F" w14:textId="77777777" w:rsidR="00EB4A22" w:rsidRPr="00EB4A22" w:rsidRDefault="00EB4A22" w:rsidP="00B12430">
            <w:pPr>
              <w:pStyle w:val="NoSpacing"/>
              <w:jc w:val="left"/>
              <w:rPr>
                <w:rFonts w:asciiTheme="minorHAnsi" w:hAnsiTheme="minorHAnsi"/>
                <w:sz w:val="22"/>
                <w:szCs w:val="22"/>
                <w:lang w:val="en-NZ"/>
              </w:rPr>
            </w:pPr>
            <w:r w:rsidRPr="00EB4A22">
              <w:rPr>
                <w:rFonts w:asciiTheme="minorHAnsi" w:hAnsiTheme="minorHAnsi"/>
                <w:sz w:val="22"/>
                <w:szCs w:val="22"/>
                <w:lang w:val="en-NZ"/>
              </w:rPr>
              <w:t>Training/professional development</w:t>
            </w:r>
          </w:p>
        </w:tc>
        <w:tc>
          <w:tcPr>
            <w:tcW w:w="3267" w:type="dxa"/>
            <w:tcBorders>
              <w:top w:val="single" w:sz="4" w:space="0" w:color="auto"/>
              <w:left w:val="single" w:sz="4" w:space="0" w:color="auto"/>
              <w:bottom w:val="single" w:sz="4" w:space="0" w:color="auto"/>
              <w:right w:val="single" w:sz="4" w:space="0" w:color="auto"/>
            </w:tcBorders>
          </w:tcPr>
          <w:p w14:paraId="2279304F" w14:textId="77777777" w:rsidR="00EB4A22" w:rsidRPr="00EB4A22" w:rsidRDefault="00EB4A22" w:rsidP="00B12430">
            <w:pPr>
              <w:pStyle w:val="NoSpacing"/>
              <w:jc w:val="center"/>
              <w:rPr>
                <w:rFonts w:asciiTheme="minorHAnsi" w:hAnsiTheme="minorHAnsi"/>
                <w:sz w:val="22"/>
                <w:szCs w:val="22"/>
                <w:lang w:val="en-NZ"/>
              </w:rPr>
            </w:pPr>
            <w:r w:rsidRPr="00EB4A22">
              <w:rPr>
                <w:rFonts w:asciiTheme="minorHAnsi" w:hAnsiTheme="minorHAnsi"/>
                <w:sz w:val="22"/>
                <w:szCs w:val="22"/>
                <w:lang w:val="en-NZ"/>
              </w:rPr>
              <w:t>22</w:t>
            </w:r>
          </w:p>
        </w:tc>
      </w:tr>
      <w:tr w:rsidR="00EB4A22" w:rsidRPr="007B09E9" w14:paraId="3D82EA47" w14:textId="77777777" w:rsidTr="00B12430">
        <w:trPr>
          <w:trHeight w:val="272"/>
        </w:trPr>
        <w:tc>
          <w:tcPr>
            <w:tcW w:w="6069" w:type="dxa"/>
            <w:tcBorders>
              <w:top w:val="single" w:sz="4" w:space="0" w:color="auto"/>
              <w:left w:val="single" w:sz="4" w:space="0" w:color="auto"/>
              <w:bottom w:val="single" w:sz="4" w:space="0" w:color="auto"/>
              <w:right w:val="single" w:sz="4" w:space="0" w:color="auto"/>
            </w:tcBorders>
            <w:shd w:val="clear" w:color="auto" w:fill="C00000"/>
            <w:hideMark/>
          </w:tcPr>
          <w:p w14:paraId="74D076D2" w14:textId="77777777" w:rsidR="00EB4A22" w:rsidRPr="00EB4A22" w:rsidRDefault="00EB4A22" w:rsidP="00B12430">
            <w:pPr>
              <w:pStyle w:val="NoSpacing"/>
              <w:rPr>
                <w:rFonts w:asciiTheme="minorHAnsi" w:hAnsiTheme="minorHAnsi"/>
                <w:b/>
                <w:sz w:val="22"/>
                <w:szCs w:val="22"/>
                <w:lang w:val="en-NZ"/>
              </w:rPr>
            </w:pPr>
            <w:r w:rsidRPr="00EB4A22">
              <w:rPr>
                <w:rFonts w:asciiTheme="minorHAnsi" w:hAnsiTheme="minorHAnsi"/>
                <w:b/>
                <w:sz w:val="22"/>
                <w:szCs w:val="22"/>
                <w:lang w:val="en-NZ"/>
              </w:rPr>
              <w:t>TOTAL</w:t>
            </w:r>
          </w:p>
        </w:tc>
        <w:tc>
          <w:tcPr>
            <w:tcW w:w="3267" w:type="dxa"/>
            <w:tcBorders>
              <w:top w:val="single" w:sz="4" w:space="0" w:color="auto"/>
              <w:left w:val="single" w:sz="4" w:space="0" w:color="auto"/>
              <w:bottom w:val="single" w:sz="4" w:space="0" w:color="auto"/>
              <w:right w:val="single" w:sz="4" w:space="0" w:color="auto"/>
            </w:tcBorders>
            <w:shd w:val="clear" w:color="auto" w:fill="C00000"/>
          </w:tcPr>
          <w:p w14:paraId="7C6B5AAF" w14:textId="77777777" w:rsidR="00EB4A22" w:rsidRPr="00EB4A22" w:rsidRDefault="00EB4A22" w:rsidP="00B12430">
            <w:pPr>
              <w:pStyle w:val="NoSpacing"/>
              <w:jc w:val="center"/>
              <w:rPr>
                <w:rFonts w:asciiTheme="minorHAnsi" w:hAnsiTheme="minorHAnsi"/>
                <w:b/>
                <w:sz w:val="22"/>
                <w:szCs w:val="22"/>
                <w:lang w:val="en-NZ"/>
              </w:rPr>
            </w:pPr>
            <w:r w:rsidRPr="00EB4A22">
              <w:rPr>
                <w:b/>
                <w:lang w:val="en-NZ"/>
              </w:rPr>
              <w:fldChar w:fldCharType="begin"/>
            </w:r>
            <w:r w:rsidRPr="00EB4A22">
              <w:rPr>
                <w:rFonts w:asciiTheme="minorHAnsi" w:hAnsiTheme="minorHAnsi"/>
                <w:b/>
                <w:sz w:val="22"/>
                <w:szCs w:val="22"/>
                <w:lang w:val="en-NZ"/>
              </w:rPr>
              <w:instrText xml:space="preserve"> =SUM(ABOVE) </w:instrText>
            </w:r>
            <w:r w:rsidRPr="00EB4A22">
              <w:rPr>
                <w:b/>
                <w:lang w:val="en-NZ"/>
              </w:rPr>
              <w:fldChar w:fldCharType="separate"/>
            </w:r>
            <w:r w:rsidRPr="00EB4A22">
              <w:rPr>
                <w:rFonts w:asciiTheme="minorHAnsi" w:hAnsiTheme="minorHAnsi"/>
                <w:b/>
                <w:noProof/>
                <w:sz w:val="22"/>
                <w:szCs w:val="22"/>
                <w:lang w:val="en-NZ"/>
              </w:rPr>
              <w:t>117</w:t>
            </w:r>
            <w:r w:rsidRPr="00EB4A22">
              <w:rPr>
                <w:b/>
                <w:lang w:val="en-NZ"/>
              </w:rPr>
              <w:fldChar w:fldCharType="end"/>
            </w:r>
          </w:p>
        </w:tc>
      </w:tr>
    </w:tbl>
    <w:p w14:paraId="626285A0" w14:textId="2C4EF69D" w:rsidR="00EB4A22" w:rsidRPr="0078382D" w:rsidRDefault="00EB4A22" w:rsidP="00EB4A22">
      <w:pPr>
        <w:spacing w:before="480"/>
        <w:rPr>
          <w:b/>
          <w:spacing w:val="-2"/>
        </w:rPr>
      </w:pPr>
      <w:r w:rsidRPr="0078382D">
        <w:rPr>
          <w:spacing w:val="-2"/>
        </w:rPr>
        <w:t>T</w:t>
      </w:r>
      <w:r w:rsidRPr="0078382D">
        <w:rPr>
          <w:spacing w:val="-2"/>
          <w:lang w:eastAsia="en-NZ"/>
        </w:rPr>
        <w:t>he most common recommendations made to DHBs were that they</w:t>
      </w:r>
      <w:r>
        <w:rPr>
          <w:spacing w:val="-2"/>
          <w:lang w:eastAsia="en-NZ"/>
        </w:rPr>
        <w:t xml:space="preserve"> conduct staff training (22 recommendations),</w:t>
      </w:r>
      <w:r w:rsidRPr="0078382D">
        <w:rPr>
          <w:spacing w:val="-2"/>
          <w:lang w:eastAsia="en-NZ"/>
        </w:rPr>
        <w:t xml:space="preserve"> </w:t>
      </w:r>
      <w:r>
        <w:rPr>
          <w:spacing w:val="-2"/>
          <w:lang w:eastAsia="en-NZ"/>
        </w:rPr>
        <w:t>provide evidence of change made in response to the complaint to HDC (21 recommendations)</w:t>
      </w:r>
      <w:r w:rsidR="00B72710">
        <w:rPr>
          <w:spacing w:val="-2"/>
          <w:lang w:eastAsia="en-NZ"/>
        </w:rPr>
        <w:t>,</w:t>
      </w:r>
      <w:r>
        <w:rPr>
          <w:spacing w:val="-2"/>
          <w:lang w:eastAsia="en-NZ"/>
        </w:rPr>
        <w:t xml:space="preserve"> </w:t>
      </w:r>
      <w:r w:rsidRPr="0078382D">
        <w:rPr>
          <w:spacing w:val="-2"/>
          <w:lang w:eastAsia="en-NZ"/>
        </w:rPr>
        <w:t>review or implement n</w:t>
      </w:r>
      <w:r>
        <w:rPr>
          <w:spacing w:val="-2"/>
          <w:lang w:eastAsia="en-NZ"/>
        </w:rPr>
        <w:t>ew policies and procedures (20</w:t>
      </w:r>
      <w:r w:rsidRPr="0078382D">
        <w:rPr>
          <w:spacing w:val="-2"/>
          <w:lang w:eastAsia="en-NZ"/>
        </w:rPr>
        <w:t xml:space="preserve"> recommendations), apologise</w:t>
      </w:r>
      <w:r>
        <w:rPr>
          <w:spacing w:val="-2"/>
          <w:lang w:eastAsia="en-NZ"/>
        </w:rPr>
        <w:t xml:space="preserve"> to the consumer/complainant (19</w:t>
      </w:r>
      <w:r w:rsidRPr="0078382D">
        <w:rPr>
          <w:spacing w:val="-2"/>
          <w:lang w:eastAsia="en-NZ"/>
        </w:rPr>
        <w:t xml:space="preserve"> recommendations),</w:t>
      </w:r>
      <w:r>
        <w:rPr>
          <w:spacing w:val="-2"/>
          <w:lang w:eastAsia="en-NZ"/>
        </w:rPr>
        <w:t xml:space="preserve"> and conduct an audit (15</w:t>
      </w:r>
      <w:r w:rsidRPr="0078382D">
        <w:rPr>
          <w:spacing w:val="-2"/>
          <w:lang w:eastAsia="en-NZ"/>
        </w:rPr>
        <w:t xml:space="preserve"> recommendations). Recommendations for staff training were most often in regard to clinical issues identified in the complaint, followed by training on communication</w:t>
      </w:r>
      <w:r>
        <w:rPr>
          <w:spacing w:val="-2"/>
          <w:lang w:eastAsia="en-NZ"/>
        </w:rPr>
        <w:t>. Often HDC will ask the DHB to use an anonymised version of the complaint as the basis for the training.</w:t>
      </w:r>
    </w:p>
    <w:p w14:paraId="78AD312D" w14:textId="77777777" w:rsidR="00EB4A22" w:rsidRDefault="00EB4A22" w:rsidP="00EB4A22"/>
    <w:p w14:paraId="27447453" w14:textId="77777777" w:rsidR="00EB4A22" w:rsidRDefault="00EB4A22" w:rsidP="00EB4A22"/>
    <w:p w14:paraId="082F5A10" w14:textId="77777777" w:rsidR="00EB4A22" w:rsidRDefault="00EB4A22" w:rsidP="00EB4A22">
      <w:pPr>
        <w:rPr>
          <w:lang w:bidi="ar-SA"/>
        </w:rPr>
      </w:pPr>
    </w:p>
    <w:p w14:paraId="1B9EDD59" w14:textId="77777777" w:rsidR="00EB4A22" w:rsidRDefault="00EB4A22" w:rsidP="00EB4A22">
      <w:pPr>
        <w:rPr>
          <w:lang w:bidi="ar-SA"/>
        </w:rPr>
      </w:pPr>
    </w:p>
    <w:p w14:paraId="389E6863" w14:textId="77777777" w:rsidR="00EB4A22" w:rsidRDefault="00EB4A22" w:rsidP="00EB4A22">
      <w:pPr>
        <w:rPr>
          <w:lang w:bidi="ar-SA"/>
        </w:rPr>
      </w:pPr>
    </w:p>
    <w:p w14:paraId="30177BA0" w14:textId="77777777" w:rsidR="00EB4A22" w:rsidRDefault="00EB4A22" w:rsidP="00EB4A22">
      <w:pPr>
        <w:rPr>
          <w:lang w:bidi="ar-SA"/>
        </w:rPr>
      </w:pPr>
    </w:p>
    <w:p w14:paraId="0FEE84EA" w14:textId="77777777" w:rsidR="00EB4A22" w:rsidRDefault="00EB4A22" w:rsidP="00EB4A22">
      <w:pPr>
        <w:rPr>
          <w:lang w:bidi="ar-SA"/>
        </w:rPr>
      </w:pPr>
    </w:p>
    <w:p w14:paraId="4C6DCC0A" w14:textId="77777777" w:rsidR="00EB4A22" w:rsidRDefault="00EB4A22" w:rsidP="00EB4A22">
      <w:pPr>
        <w:rPr>
          <w:lang w:bidi="ar-SA"/>
        </w:rPr>
      </w:pPr>
      <w:r>
        <w:rPr>
          <w:lang w:bidi="ar-SA"/>
        </w:rPr>
        <w:br w:type="page"/>
      </w:r>
    </w:p>
    <w:p w14:paraId="2B397CF7" w14:textId="77777777" w:rsidR="00EB4A22" w:rsidRDefault="00EB4A22" w:rsidP="00EB4A22">
      <w:pPr>
        <w:pStyle w:val="Heading2"/>
        <w:spacing w:after="240"/>
        <w:rPr>
          <w:sz w:val="36"/>
          <w:szCs w:val="36"/>
        </w:rPr>
      </w:pPr>
      <w:bookmarkStart w:id="103" w:name="_Toc71561664"/>
      <w:bookmarkStart w:id="104" w:name="_Toc74223420"/>
      <w:r>
        <w:rPr>
          <w:sz w:val="36"/>
          <w:szCs w:val="36"/>
        </w:rPr>
        <w:t>6</w:t>
      </w:r>
      <w:r w:rsidRPr="00666BAC">
        <w:rPr>
          <w:sz w:val="36"/>
          <w:szCs w:val="36"/>
        </w:rPr>
        <w:t xml:space="preserve">. </w:t>
      </w:r>
      <w:r>
        <w:rPr>
          <w:sz w:val="36"/>
          <w:szCs w:val="36"/>
        </w:rPr>
        <w:t>Learning from complaints</w:t>
      </w:r>
      <w:bookmarkEnd w:id="103"/>
      <w:bookmarkEnd w:id="104"/>
    </w:p>
    <w:p w14:paraId="577BE7B2" w14:textId="77777777" w:rsidR="00EB4A22" w:rsidRPr="00666BAC" w:rsidRDefault="00EB4A22" w:rsidP="00932E72">
      <w:pPr>
        <w:pStyle w:val="Heading3"/>
        <w:rPr>
          <w:lang w:val="en-AU" w:bidi="ar-SA"/>
        </w:rPr>
      </w:pPr>
      <w:bookmarkStart w:id="105" w:name="_Toc71561665"/>
      <w:bookmarkStart w:id="106" w:name="_Toc74223421"/>
      <w:r>
        <w:rPr>
          <w:lang w:val="en-AU" w:bidi="ar-SA"/>
        </w:rPr>
        <w:t>6</w:t>
      </w:r>
      <w:r w:rsidRPr="00666BAC">
        <w:rPr>
          <w:lang w:val="en-AU" w:bidi="ar-SA"/>
        </w:rPr>
        <w:t xml:space="preserve">.1 </w:t>
      </w:r>
      <w:r w:rsidRPr="00666BAC">
        <w:rPr>
          <w:lang w:val="en-AU" w:bidi="ar-SA"/>
        </w:rPr>
        <w:tab/>
      </w:r>
      <w:r>
        <w:rPr>
          <w:lang w:val="en-AU" w:bidi="ar-SA"/>
        </w:rPr>
        <w:t>Discharge of woman at risk of stroke</w:t>
      </w:r>
      <w:r>
        <w:rPr>
          <w:rStyle w:val="FootnoteReference"/>
          <w:b w:val="0"/>
          <w:i/>
          <w:lang w:val="en-AU" w:bidi="ar-SA"/>
        </w:rPr>
        <w:footnoteReference w:id="6"/>
      </w:r>
      <w:bookmarkEnd w:id="105"/>
      <w:bookmarkEnd w:id="106"/>
    </w:p>
    <w:p w14:paraId="47747AF2" w14:textId="1C14016B" w:rsidR="00EB4A22" w:rsidRPr="00DB65DD" w:rsidRDefault="00EB4A22" w:rsidP="004D22EA">
      <w:pPr>
        <w:spacing w:after="240"/>
        <w:rPr>
          <w:b/>
          <w:szCs w:val="22"/>
        </w:rPr>
      </w:pPr>
      <w:r>
        <w:rPr>
          <w:b/>
          <w:szCs w:val="22"/>
        </w:rPr>
        <w:t xml:space="preserve">This case reflects a number of themes seen in HDC complaints in regard to discharge planning and anticoagulation management. It highlights the importance of clear decision-making and accurate documentation about medication at discharge, so that clear advice is provided to the consumer and their GP. </w:t>
      </w:r>
    </w:p>
    <w:p w14:paraId="5A9D633D" w14:textId="77777777" w:rsidR="00EB4A22" w:rsidRPr="00CF015B" w:rsidRDefault="00EB4A22" w:rsidP="004D22EA">
      <w:pPr>
        <w:rPr>
          <w:rFonts w:cs="Arial"/>
          <w:i/>
        </w:rPr>
      </w:pPr>
      <w:r w:rsidRPr="00CF015B">
        <w:rPr>
          <w:rFonts w:cs="Arial"/>
          <w:i/>
        </w:rPr>
        <w:t>Background</w:t>
      </w:r>
    </w:p>
    <w:p w14:paraId="62F50661" w14:textId="77777777" w:rsidR="00EB4A22" w:rsidRDefault="00EB4A22" w:rsidP="00EB4A22">
      <w:pPr>
        <w:rPr>
          <w:rFonts w:cs="Arial"/>
        </w:rPr>
      </w:pPr>
      <w:r w:rsidRPr="00CF015B">
        <w:rPr>
          <w:rFonts w:cs="Arial"/>
        </w:rPr>
        <w:t xml:space="preserve">An elderly woman </w:t>
      </w:r>
      <w:r>
        <w:rPr>
          <w:rFonts w:cs="Arial"/>
        </w:rPr>
        <w:t>presented to the Emergency Department (ED) of a public hospital with rectal bleeding. The woman was taking dabigatran (an anticoagulant) for stroke prevention. The woman was assessed in ED and her regular medication was noted. The ED clinician assessed her as having a diverticular bleed (gastrointestinal bleeding).</w:t>
      </w:r>
    </w:p>
    <w:p w14:paraId="6D02B4AA" w14:textId="77777777" w:rsidR="00EB4A22" w:rsidRDefault="00EB4A22" w:rsidP="00EB4A22">
      <w:pPr>
        <w:rPr>
          <w:rFonts w:cs="Arial"/>
        </w:rPr>
      </w:pPr>
    </w:p>
    <w:p w14:paraId="1BD9E083" w14:textId="77777777" w:rsidR="00EB4A22" w:rsidRDefault="00EB4A22" w:rsidP="00EB4A22">
      <w:pPr>
        <w:rPr>
          <w:rFonts w:cs="Arial"/>
        </w:rPr>
      </w:pPr>
      <w:r>
        <w:rPr>
          <w:rFonts w:cs="Arial"/>
        </w:rPr>
        <w:t xml:space="preserve">The woman was then admitted to the Acute Surgical Unit and reviewed by a consultant. A planned gastroscopy and colonoscopy were documented. The consultant also requested that the woman’s dabigatran be withheld to prevent further bleeding during these investigations. Dabigatran was not given to the woman during her admission. </w:t>
      </w:r>
    </w:p>
    <w:p w14:paraId="1086B3B8" w14:textId="77777777" w:rsidR="00EB4A22" w:rsidRDefault="00EB4A22" w:rsidP="00EB4A22">
      <w:pPr>
        <w:rPr>
          <w:rFonts w:cs="Arial"/>
        </w:rPr>
      </w:pPr>
    </w:p>
    <w:p w14:paraId="1AA9612E" w14:textId="46872077" w:rsidR="00EB4A22" w:rsidRDefault="00EB4A22" w:rsidP="00EB4A22">
      <w:pPr>
        <w:rPr>
          <w:rFonts w:cs="Arial"/>
        </w:rPr>
      </w:pPr>
      <w:r>
        <w:rPr>
          <w:rFonts w:cs="Arial"/>
        </w:rPr>
        <w:t>A colonoscopy showed diverticular disease (small bulges/sacs in the wall of the large intestine), as well as haemorrhoids. No active bleeding was found and no further investigation was recommended. A plan was made to discharge the woman. A house officer prepared the woman’s discharge summary. The discharge summary did not state that dabigatran should be re-started or that it had been stopped on admission to hospital. Advice to the consumer’s GP stated “no change to regular medications”, and did not include any guidance regarding if and when to re-start dabigatran.</w:t>
      </w:r>
      <w:r w:rsidR="00B12430">
        <w:rPr>
          <w:rFonts w:cs="Arial"/>
        </w:rPr>
        <w:t xml:space="preserve"> </w:t>
      </w:r>
    </w:p>
    <w:p w14:paraId="6F01D230" w14:textId="77777777" w:rsidR="00EB4A22" w:rsidRDefault="00EB4A22" w:rsidP="00EB4A22">
      <w:pPr>
        <w:rPr>
          <w:rFonts w:cs="Arial"/>
        </w:rPr>
      </w:pPr>
    </w:p>
    <w:p w14:paraId="33E96949" w14:textId="48F550B8" w:rsidR="00EB4A22" w:rsidRDefault="00EB4A22" w:rsidP="00EB4A22">
      <w:pPr>
        <w:rPr>
          <w:rFonts w:cs="Arial"/>
        </w:rPr>
      </w:pPr>
      <w:r>
        <w:rPr>
          <w:rFonts w:cs="Arial"/>
        </w:rPr>
        <w:t xml:space="preserve">The woman sought clarification from a nurse at the hospital about recommencing her dabigatran. The nurse advised the woman </w:t>
      </w:r>
      <w:r w:rsidR="000B019E">
        <w:rPr>
          <w:rFonts w:cs="Arial"/>
        </w:rPr>
        <w:t xml:space="preserve">that </w:t>
      </w:r>
      <w:r>
        <w:rPr>
          <w:rFonts w:cs="Arial"/>
        </w:rPr>
        <w:t>she would consult the medical team and get back to her. The nurse asked the woman to contact her GP if she had not heard back the following day. The nurse did not follow up with the woman. The woman then presented to her GP as instructed. The GP decided to withhold dabigatran for two weeks, and restart it if her haemoglobin remained stable.</w:t>
      </w:r>
      <w:r w:rsidR="00B12430">
        <w:rPr>
          <w:rFonts w:cs="Arial"/>
        </w:rPr>
        <w:t xml:space="preserve"> </w:t>
      </w:r>
    </w:p>
    <w:p w14:paraId="1C78D416" w14:textId="77777777" w:rsidR="00EB4A22" w:rsidRDefault="00EB4A22" w:rsidP="00EB4A22">
      <w:pPr>
        <w:rPr>
          <w:rFonts w:cs="Arial"/>
        </w:rPr>
      </w:pPr>
    </w:p>
    <w:p w14:paraId="626D1D2B" w14:textId="77777777" w:rsidR="00EB4A22" w:rsidRDefault="00EB4A22" w:rsidP="00EB4A22">
      <w:pPr>
        <w:rPr>
          <w:rFonts w:cs="Arial"/>
        </w:rPr>
      </w:pPr>
      <w:r>
        <w:rPr>
          <w:rFonts w:cs="Arial"/>
        </w:rPr>
        <w:t xml:space="preserve">Three days after discharge, and 12 days after her last dose of dabigatran, the woman had a stroke and was re-admitted to hospital. </w:t>
      </w:r>
    </w:p>
    <w:p w14:paraId="0F04D7E9" w14:textId="77777777" w:rsidR="00EB4A22" w:rsidRPr="00CF015B" w:rsidRDefault="00EB4A22" w:rsidP="00EB4A22">
      <w:pPr>
        <w:rPr>
          <w:rFonts w:cs="Arial"/>
        </w:rPr>
      </w:pPr>
    </w:p>
    <w:p w14:paraId="47DBBE97" w14:textId="77777777" w:rsidR="00EB4A22" w:rsidRPr="00CF015B" w:rsidRDefault="00EB4A22" w:rsidP="004D22EA">
      <w:pPr>
        <w:rPr>
          <w:rFonts w:cs="Arial"/>
          <w:i/>
        </w:rPr>
      </w:pPr>
      <w:r w:rsidRPr="00CF015B">
        <w:rPr>
          <w:rFonts w:cs="Arial"/>
          <w:i/>
        </w:rPr>
        <w:t>Findings</w:t>
      </w:r>
    </w:p>
    <w:p w14:paraId="542B827E" w14:textId="77777777" w:rsidR="00EB4A22" w:rsidRDefault="00EB4A22" w:rsidP="00EB4A22">
      <w:pPr>
        <w:rPr>
          <w:rFonts w:cs="Arial"/>
        </w:rPr>
      </w:pPr>
      <w:r>
        <w:rPr>
          <w:rFonts w:cs="Arial"/>
        </w:rPr>
        <w:t xml:space="preserve">HDC’s clinical advisor found the treatment of the woman’s rectal bleeding to be timely and appropriate. The focus of HDC’s investigation was the DHB’s failure to formulate and communicate instructions to the woman about recommencing dabigatran on discharge. </w:t>
      </w:r>
    </w:p>
    <w:p w14:paraId="2439FB3C" w14:textId="77777777" w:rsidR="00EB4A22" w:rsidRDefault="00EB4A22" w:rsidP="00EB4A22">
      <w:pPr>
        <w:rPr>
          <w:rFonts w:cs="Arial"/>
        </w:rPr>
      </w:pPr>
    </w:p>
    <w:p w14:paraId="5F67F002" w14:textId="25795336" w:rsidR="00EB4A22" w:rsidRDefault="00EB4A22" w:rsidP="00EB4A22">
      <w:pPr>
        <w:rPr>
          <w:rFonts w:cs="Arial"/>
        </w:rPr>
      </w:pPr>
      <w:r>
        <w:rPr>
          <w:rFonts w:cs="Arial"/>
        </w:rPr>
        <w:t>The Commissioner noted that the completion of an accurate discharge summary is a basic requirement that should have been met. In this case, the discharge summary lacked essential information, including an accurate record of the woman’s medications, advice to the woman about re-starting dabigatran on discharge, and clear advice to her GP. Additionally, a nurse’s inability to access information regarding the plan for dabigatran management, either from the discharge summary, the clinical notes</w:t>
      </w:r>
      <w:r w:rsidR="000B1AB6">
        <w:rPr>
          <w:rFonts w:cs="Arial"/>
        </w:rPr>
        <w:t>,</w:t>
      </w:r>
      <w:r>
        <w:rPr>
          <w:rFonts w:cs="Arial"/>
        </w:rPr>
        <w:t xml:space="preserve"> or</w:t>
      </w:r>
      <w:r w:rsidR="000B1AB6">
        <w:rPr>
          <w:rFonts w:cs="Arial"/>
        </w:rPr>
        <w:t xml:space="preserve"> by</w:t>
      </w:r>
      <w:r>
        <w:rPr>
          <w:rFonts w:cs="Arial"/>
        </w:rPr>
        <w:t xml:space="preserve"> contacting the medical team</w:t>
      </w:r>
      <w:r w:rsidR="000B1AB6">
        <w:rPr>
          <w:rFonts w:cs="Arial"/>
        </w:rPr>
        <w:t>,</w:t>
      </w:r>
      <w:r>
        <w:rPr>
          <w:rFonts w:cs="Arial"/>
        </w:rPr>
        <w:t xml:space="preserve"> resulted in a lost opportunity to give the woman clear instructions on discharge. Lastly, the lack of information on the discharge summary meant there was insufficient guidance for the woman’s GP. </w:t>
      </w:r>
    </w:p>
    <w:p w14:paraId="316F53F2" w14:textId="77777777" w:rsidR="00EB4A22" w:rsidRDefault="00EB4A22" w:rsidP="00EB4A22">
      <w:pPr>
        <w:rPr>
          <w:rFonts w:cs="Arial"/>
        </w:rPr>
      </w:pPr>
    </w:p>
    <w:p w14:paraId="16F42EE0" w14:textId="3DC456CF" w:rsidR="00EB4A22" w:rsidRDefault="00EB4A22" w:rsidP="00EB4A22">
      <w:pPr>
        <w:rPr>
          <w:rFonts w:cs="Arial"/>
        </w:rPr>
      </w:pPr>
      <w:r>
        <w:rPr>
          <w:rFonts w:cs="Arial"/>
        </w:rPr>
        <w:t>The Commissioner considered that these deficiencies indicated poor discharge planning processes</w:t>
      </w:r>
      <w:r w:rsidR="000B1AB6">
        <w:rPr>
          <w:rFonts w:cs="Arial"/>
        </w:rPr>
        <w:t>,</w:t>
      </w:r>
      <w:r>
        <w:rPr>
          <w:rFonts w:cs="Arial"/>
        </w:rPr>
        <w:t xml:space="preserve"> for which the DHB was responsible. Accordingly, she found that the DHB failed to provide services to the woman with reasonable care and skill, in breach of Right 4(1).</w:t>
      </w:r>
    </w:p>
    <w:p w14:paraId="30B7178D" w14:textId="77777777" w:rsidR="00EB4A22" w:rsidRPr="00CF015B" w:rsidRDefault="00EB4A22" w:rsidP="00EB4A22">
      <w:pPr>
        <w:rPr>
          <w:rFonts w:cs="Arial"/>
        </w:rPr>
      </w:pPr>
    </w:p>
    <w:p w14:paraId="7B0F3D55" w14:textId="77777777" w:rsidR="00EB4A22" w:rsidRPr="00612AB2" w:rsidRDefault="00EB4A22" w:rsidP="004D22EA">
      <w:pPr>
        <w:rPr>
          <w:rFonts w:cs="Arial"/>
          <w:i/>
        </w:rPr>
      </w:pPr>
      <w:r w:rsidRPr="00612AB2">
        <w:rPr>
          <w:rFonts w:cs="Arial"/>
          <w:i/>
        </w:rPr>
        <w:t>Recommendations</w:t>
      </w:r>
    </w:p>
    <w:p w14:paraId="12B0E02A" w14:textId="77777777" w:rsidR="00EB4A22" w:rsidRPr="00CF015B" w:rsidRDefault="00EB4A22" w:rsidP="00EB4A22">
      <w:pPr>
        <w:spacing w:after="240"/>
        <w:rPr>
          <w:rFonts w:cs="Arial"/>
        </w:rPr>
      </w:pPr>
      <w:r w:rsidRPr="00CF015B">
        <w:rPr>
          <w:rFonts w:cs="Arial"/>
        </w:rPr>
        <w:t xml:space="preserve">The </w:t>
      </w:r>
      <w:r>
        <w:rPr>
          <w:rFonts w:cs="Arial"/>
        </w:rPr>
        <w:t xml:space="preserve">Commissioner </w:t>
      </w:r>
      <w:r w:rsidRPr="00CF015B">
        <w:rPr>
          <w:rFonts w:cs="Arial"/>
        </w:rPr>
        <w:t>made a number of recommendations to the DHB, including that it:</w:t>
      </w:r>
    </w:p>
    <w:p w14:paraId="26946F85" w14:textId="77777777" w:rsidR="00EB4A22" w:rsidRPr="0061030B" w:rsidRDefault="00EB4A22" w:rsidP="00EB4A22">
      <w:pPr>
        <w:pStyle w:val="ListParagraph"/>
        <w:numPr>
          <w:ilvl w:val="0"/>
          <w:numId w:val="9"/>
        </w:numPr>
        <w:spacing w:after="120"/>
        <w:ind w:left="284" w:hanging="284"/>
        <w:rPr>
          <w:rFonts w:cs="Arial"/>
        </w:rPr>
      </w:pPr>
      <w:r>
        <w:rPr>
          <w:rFonts w:cs="Arial"/>
        </w:rPr>
        <w:t>Provide a written apology to the woman’s family</w:t>
      </w:r>
    </w:p>
    <w:p w14:paraId="27870700" w14:textId="77777777" w:rsidR="00EB4A22" w:rsidRDefault="00EB4A22" w:rsidP="00EB4A22">
      <w:pPr>
        <w:pStyle w:val="ListParagraph"/>
        <w:numPr>
          <w:ilvl w:val="0"/>
          <w:numId w:val="9"/>
        </w:numPr>
        <w:spacing w:after="120"/>
        <w:ind w:left="284" w:hanging="284"/>
        <w:rPr>
          <w:rFonts w:cs="Arial"/>
        </w:rPr>
      </w:pPr>
      <w:r>
        <w:rPr>
          <w:rFonts w:cs="Arial"/>
        </w:rPr>
        <w:t>Use an anonymised version of this report as a case study to encourage reflection and discussion during education sessions for staff on the importance of communication of discharge plans</w:t>
      </w:r>
    </w:p>
    <w:p w14:paraId="022461FF" w14:textId="77777777" w:rsidR="00EB4A22" w:rsidRDefault="00EB4A22" w:rsidP="00EB4A22">
      <w:pPr>
        <w:pStyle w:val="ListParagraph"/>
        <w:numPr>
          <w:ilvl w:val="0"/>
          <w:numId w:val="9"/>
        </w:numPr>
        <w:spacing w:after="120"/>
        <w:ind w:left="284" w:hanging="284"/>
        <w:rPr>
          <w:rFonts w:cs="Arial"/>
        </w:rPr>
      </w:pPr>
      <w:r>
        <w:rPr>
          <w:rFonts w:cs="Arial"/>
        </w:rPr>
        <w:t>Provide further education to house officers on the discharge summary, with emphasis on the importance of accuracy and the need to seek clarification if there are uncertainties</w:t>
      </w:r>
    </w:p>
    <w:p w14:paraId="48D022B1" w14:textId="0626745F" w:rsidR="00EB4A22" w:rsidRDefault="00EB4A22" w:rsidP="00EB4A22">
      <w:pPr>
        <w:pStyle w:val="ListParagraph"/>
        <w:numPr>
          <w:ilvl w:val="0"/>
          <w:numId w:val="9"/>
        </w:numPr>
        <w:spacing w:after="120"/>
        <w:ind w:left="284" w:hanging="284"/>
        <w:rPr>
          <w:rFonts w:cs="Arial"/>
        </w:rPr>
      </w:pPr>
      <w:r>
        <w:rPr>
          <w:rFonts w:cs="Arial"/>
        </w:rPr>
        <w:t xml:space="preserve">Review the effectiveness of the new electronic medication reconciliation programme and the changes to </w:t>
      </w:r>
      <w:r w:rsidR="00A0562C">
        <w:rPr>
          <w:rFonts w:cs="Arial"/>
        </w:rPr>
        <w:t xml:space="preserve">its </w:t>
      </w:r>
      <w:r>
        <w:rPr>
          <w:rFonts w:cs="Arial"/>
        </w:rPr>
        <w:t>electronic discharge summary</w:t>
      </w:r>
    </w:p>
    <w:p w14:paraId="73CFBCD6" w14:textId="2C266412" w:rsidR="00EB4A22" w:rsidRDefault="00EB4A22" w:rsidP="00EB4A22">
      <w:pPr>
        <w:pStyle w:val="ListParagraph"/>
        <w:numPr>
          <w:ilvl w:val="0"/>
          <w:numId w:val="9"/>
        </w:numPr>
        <w:spacing w:after="120"/>
        <w:ind w:left="284" w:hanging="284"/>
        <w:rPr>
          <w:rFonts w:cs="Arial"/>
        </w:rPr>
      </w:pPr>
      <w:r>
        <w:rPr>
          <w:rFonts w:cs="Arial"/>
        </w:rPr>
        <w:t>Consider developing a multi-disciplinary approach to anticoagulation management</w:t>
      </w:r>
      <w:r w:rsidR="00A0562C">
        <w:rPr>
          <w:rFonts w:cs="Arial"/>
        </w:rPr>
        <w:t>,</w:t>
      </w:r>
      <w:r>
        <w:rPr>
          <w:rFonts w:cs="Arial"/>
        </w:rPr>
        <w:t xml:space="preserve"> particularly in clinical situations where management may not be clear</w:t>
      </w:r>
    </w:p>
    <w:p w14:paraId="038C5B1A" w14:textId="0C4B059B" w:rsidR="00EB4A22" w:rsidRDefault="00EB4A22" w:rsidP="00EB4A22">
      <w:pPr>
        <w:pStyle w:val="ListParagraph"/>
        <w:numPr>
          <w:ilvl w:val="0"/>
          <w:numId w:val="9"/>
        </w:numPr>
        <w:spacing w:after="240"/>
        <w:ind w:left="284" w:hanging="284"/>
        <w:contextualSpacing/>
        <w:rPr>
          <w:rFonts w:cs="Arial"/>
        </w:rPr>
      </w:pPr>
      <w:r>
        <w:rPr>
          <w:rFonts w:cs="Arial"/>
        </w:rPr>
        <w:t xml:space="preserve">Consider sharing </w:t>
      </w:r>
      <w:r w:rsidR="00A0562C">
        <w:rPr>
          <w:rFonts w:cs="Arial"/>
        </w:rPr>
        <w:t xml:space="preserve">its </w:t>
      </w:r>
      <w:r>
        <w:rPr>
          <w:rFonts w:cs="Arial"/>
        </w:rPr>
        <w:t>re-designed electronic discharge summary with other DHBs</w:t>
      </w:r>
    </w:p>
    <w:p w14:paraId="3A8FA393" w14:textId="77777777" w:rsidR="00EB4A22" w:rsidRDefault="00EB4A22" w:rsidP="00EB4A22">
      <w:pPr>
        <w:pStyle w:val="ListParagraph"/>
        <w:spacing w:after="240"/>
        <w:ind w:left="284"/>
        <w:contextualSpacing/>
        <w:rPr>
          <w:rFonts w:cs="Arial"/>
        </w:rPr>
      </w:pPr>
    </w:p>
    <w:p w14:paraId="338321E8" w14:textId="77777777" w:rsidR="00EB4A22" w:rsidRPr="00F666F0" w:rsidRDefault="00EB4A22" w:rsidP="00932E72">
      <w:pPr>
        <w:pStyle w:val="Heading3"/>
        <w:rPr>
          <w:rStyle w:val="Heading2Char"/>
          <w:i/>
          <w:iCs w:val="0"/>
          <w:sz w:val="28"/>
          <w:szCs w:val="28"/>
          <w:lang w:bidi="ar-SA"/>
        </w:rPr>
      </w:pPr>
      <w:bookmarkStart w:id="107" w:name="_Toc71561666"/>
      <w:bookmarkStart w:id="108" w:name="_Toc74223422"/>
      <w:r>
        <w:rPr>
          <w:lang w:val="en-AU" w:bidi="ar-SA"/>
        </w:rPr>
        <w:t>6.2</w:t>
      </w:r>
      <w:r w:rsidRPr="00666BAC">
        <w:rPr>
          <w:lang w:val="en-AU" w:bidi="ar-SA"/>
        </w:rPr>
        <w:t xml:space="preserve"> </w:t>
      </w:r>
      <w:r w:rsidRPr="00666BAC">
        <w:rPr>
          <w:lang w:val="en-AU" w:bidi="ar-SA"/>
        </w:rPr>
        <w:tab/>
      </w:r>
      <w:r>
        <w:rPr>
          <w:lang w:val="en-AU" w:bidi="ar-SA"/>
        </w:rPr>
        <w:t>Care of woman and her baby</w:t>
      </w:r>
      <w:r>
        <w:rPr>
          <w:rStyle w:val="FootnoteReference"/>
          <w:b w:val="0"/>
          <w:i/>
          <w:lang w:val="en-AU" w:bidi="ar-SA"/>
        </w:rPr>
        <w:footnoteReference w:id="7"/>
      </w:r>
      <w:bookmarkEnd w:id="107"/>
      <w:bookmarkEnd w:id="108"/>
    </w:p>
    <w:p w14:paraId="48B8A383" w14:textId="107C9C84" w:rsidR="00EB4A22" w:rsidRPr="00DB65DD" w:rsidRDefault="00EB4A22" w:rsidP="00EB4A22">
      <w:pPr>
        <w:spacing w:after="240"/>
        <w:rPr>
          <w:b/>
        </w:rPr>
      </w:pPr>
      <w:r w:rsidRPr="00DB65DD">
        <w:rPr>
          <w:b/>
        </w:rPr>
        <w:t xml:space="preserve">This case highlights the importance of </w:t>
      </w:r>
      <w:r>
        <w:rPr>
          <w:b/>
        </w:rPr>
        <w:t>the need for comprehensive management plans in complex cases</w:t>
      </w:r>
      <w:r w:rsidR="00A0562C">
        <w:rPr>
          <w:b/>
        </w:rPr>
        <w:t>,</w:t>
      </w:r>
      <w:r>
        <w:rPr>
          <w:b/>
        </w:rPr>
        <w:t xml:space="preserve"> and the need for co-ordinated care planning led by an obstetrician and LMC in consultation with </w:t>
      </w:r>
      <w:r w:rsidR="00A0562C">
        <w:rPr>
          <w:b/>
        </w:rPr>
        <w:t xml:space="preserve">a </w:t>
      </w:r>
      <w:r>
        <w:rPr>
          <w:b/>
        </w:rPr>
        <w:t>multi-disciplinary team.</w:t>
      </w:r>
      <w:r w:rsidR="00B12430">
        <w:rPr>
          <w:b/>
        </w:rPr>
        <w:t xml:space="preserve"> </w:t>
      </w:r>
      <w:r>
        <w:rPr>
          <w:b/>
        </w:rPr>
        <w:t xml:space="preserve">Additionally, it raises issues around the importance of considering a woman’s care holistically, including providing appropriate cultural support. </w:t>
      </w:r>
    </w:p>
    <w:p w14:paraId="6E65B772" w14:textId="77777777" w:rsidR="00EB4A22" w:rsidRDefault="00EB4A22" w:rsidP="00EB4A22">
      <w:pPr>
        <w:spacing w:before="120"/>
        <w:rPr>
          <w:i/>
          <w:szCs w:val="22"/>
        </w:rPr>
      </w:pPr>
      <w:r w:rsidRPr="005A62C7">
        <w:rPr>
          <w:i/>
          <w:szCs w:val="22"/>
        </w:rPr>
        <w:t>Background</w:t>
      </w:r>
    </w:p>
    <w:p w14:paraId="4F3B8EF8" w14:textId="1C28E467" w:rsidR="00EB4A22" w:rsidRDefault="00EB4A22" w:rsidP="004D22EA">
      <w:pPr>
        <w:spacing w:after="240"/>
        <w:rPr>
          <w:szCs w:val="22"/>
        </w:rPr>
      </w:pPr>
      <w:r>
        <w:rPr>
          <w:szCs w:val="22"/>
        </w:rPr>
        <w:t>A woman in her twenties, who was pregnant with her first child, engaged a self-employed registered midwife as her Lead Maternity Carer.</w:t>
      </w:r>
      <w:r w:rsidR="00B12430">
        <w:rPr>
          <w:szCs w:val="22"/>
        </w:rPr>
        <w:t xml:space="preserve"> </w:t>
      </w:r>
      <w:r>
        <w:rPr>
          <w:szCs w:val="22"/>
        </w:rPr>
        <w:t>At 23 weeks</w:t>
      </w:r>
      <w:r w:rsidR="00170781">
        <w:rPr>
          <w:szCs w:val="22"/>
        </w:rPr>
        <w:t>’</w:t>
      </w:r>
      <w:r>
        <w:rPr>
          <w:szCs w:val="22"/>
        </w:rPr>
        <w:t xml:space="preserve"> gestation the woman was admitted to hospital and diagnosed with hyperemesis (severe nausea and vomiting in pregnancy). She then began to receive care from the Obstetrics team for her hyperemesis. The DHB stated that an obstetrician was responsible for her care, </w:t>
      </w:r>
      <w:r w:rsidR="00170781">
        <w:rPr>
          <w:szCs w:val="22"/>
        </w:rPr>
        <w:t xml:space="preserve">but </w:t>
      </w:r>
      <w:r>
        <w:rPr>
          <w:szCs w:val="22"/>
        </w:rPr>
        <w:t xml:space="preserve">there was no record of a formal transfer of the woman’s care from her LMC to Obstetrics. It appears that at times her care was shared between Obstetrics and her LMC. </w:t>
      </w:r>
    </w:p>
    <w:p w14:paraId="3AE891FE" w14:textId="67CF1430" w:rsidR="00EB4A22" w:rsidRDefault="00EB4A22" w:rsidP="004D22EA">
      <w:pPr>
        <w:spacing w:after="240"/>
        <w:rPr>
          <w:szCs w:val="22"/>
        </w:rPr>
      </w:pPr>
      <w:r>
        <w:rPr>
          <w:szCs w:val="22"/>
        </w:rPr>
        <w:t>The woman experienced multiple hospital admissions and was treated for dehydration and malnutrition. The woman lost 7kg during her pregnancy and was seen by a dietician. Further follow-up appointments were made</w:t>
      </w:r>
      <w:r w:rsidR="00170781">
        <w:rPr>
          <w:szCs w:val="22"/>
        </w:rPr>
        <w:t>,</w:t>
      </w:r>
      <w:r>
        <w:rPr>
          <w:szCs w:val="22"/>
        </w:rPr>
        <w:t xml:space="preserve"> but the woman did not attend. The woman also developed iron deficiency and megaloblastic anaemia</w:t>
      </w:r>
      <w:r w:rsidR="00170781">
        <w:rPr>
          <w:szCs w:val="22"/>
        </w:rPr>
        <w:t>,</w:t>
      </w:r>
      <w:r>
        <w:rPr>
          <w:szCs w:val="22"/>
        </w:rPr>
        <w:t xml:space="preserve"> which was managed with iron supplements and blood transfusions. The obstetrician consulted General Medicine about the woman’s anaemia, and was advised to replace any deficiencies until delivery and to undertake investigations at a later time. An ultrasound scan showed that the woman had gallstones, and the General Medicine team arranged for this to be managed following delivery of her baby. A formal multidisciplinary management plan was not developed in response to her complex presentation.</w:t>
      </w:r>
    </w:p>
    <w:p w14:paraId="07358535" w14:textId="3F0232ED" w:rsidR="00EB4A22" w:rsidRDefault="00EB4A22" w:rsidP="004D22EA">
      <w:pPr>
        <w:spacing w:after="240"/>
        <w:rPr>
          <w:szCs w:val="22"/>
        </w:rPr>
      </w:pPr>
      <w:r>
        <w:rPr>
          <w:szCs w:val="22"/>
        </w:rPr>
        <w:t>Scans showed that the woman’s baby was very small for gestational age, and a plan was made to monitor the growth of the woman’s baby closely, including weekly ultrasounds, twice</w:t>
      </w:r>
      <w:r w:rsidR="00170781">
        <w:rPr>
          <w:szCs w:val="22"/>
        </w:rPr>
        <w:t>-</w:t>
      </w:r>
      <w:r>
        <w:rPr>
          <w:szCs w:val="22"/>
        </w:rPr>
        <w:t>weekly monitoring of the baby’s heart rate (CTGs)</w:t>
      </w:r>
      <w:r w:rsidR="00170781">
        <w:rPr>
          <w:szCs w:val="22"/>
        </w:rPr>
        <w:t>,</w:t>
      </w:r>
      <w:r>
        <w:rPr>
          <w:szCs w:val="22"/>
        </w:rPr>
        <w:t xml:space="preserve"> and an induction of labour at 38</w:t>
      </w:r>
      <w:r w:rsidR="00170781">
        <w:rPr>
          <w:szCs w:val="22"/>
        </w:rPr>
        <w:t>–</w:t>
      </w:r>
      <w:r>
        <w:rPr>
          <w:szCs w:val="22"/>
        </w:rPr>
        <w:t>39 weeks</w:t>
      </w:r>
      <w:r w:rsidR="00170781">
        <w:rPr>
          <w:szCs w:val="22"/>
        </w:rPr>
        <w:t>’ gestation</w:t>
      </w:r>
      <w:r>
        <w:rPr>
          <w:szCs w:val="22"/>
        </w:rPr>
        <w:t>.</w:t>
      </w:r>
    </w:p>
    <w:p w14:paraId="2B44041E" w14:textId="7E1CE36C" w:rsidR="00EB4A22" w:rsidRDefault="00EB4A22" w:rsidP="004D22EA">
      <w:pPr>
        <w:spacing w:after="240"/>
        <w:rPr>
          <w:szCs w:val="22"/>
        </w:rPr>
      </w:pPr>
      <w:r>
        <w:rPr>
          <w:szCs w:val="22"/>
        </w:rPr>
        <w:t>At 39 weeks</w:t>
      </w:r>
      <w:r w:rsidR="00170781">
        <w:rPr>
          <w:szCs w:val="22"/>
        </w:rPr>
        <w:t>’</w:t>
      </w:r>
      <w:r>
        <w:rPr>
          <w:szCs w:val="22"/>
        </w:rPr>
        <w:t xml:space="preserve"> gestation the woman’s labour was induced. The baby was born in good condition but with a low birth weight. Due to her low birth weight, the baby’s blood glucose level (BGL) was monitored. Her second BGL reading was low, and she was given dextrose gel and formula milk</w:t>
      </w:r>
      <w:r w:rsidR="00170781">
        <w:rPr>
          <w:szCs w:val="22"/>
        </w:rPr>
        <w:t>,</w:t>
      </w:r>
      <w:r>
        <w:rPr>
          <w:szCs w:val="22"/>
        </w:rPr>
        <w:t xml:space="preserve"> which increased her third BGL reading. The paediatric team </w:t>
      </w:r>
      <w:r w:rsidR="00170781">
        <w:rPr>
          <w:szCs w:val="22"/>
        </w:rPr>
        <w:t xml:space="preserve">was </w:t>
      </w:r>
      <w:r>
        <w:rPr>
          <w:szCs w:val="22"/>
        </w:rPr>
        <w:t xml:space="preserve">not called in response to this low reading. </w:t>
      </w:r>
      <w:r w:rsidR="008867C8">
        <w:rPr>
          <w:szCs w:val="22"/>
        </w:rPr>
        <w:t>The</w:t>
      </w:r>
      <w:r>
        <w:rPr>
          <w:szCs w:val="22"/>
        </w:rPr>
        <w:t xml:space="preserve"> final BGL reading was taken </w:t>
      </w:r>
      <w:r w:rsidR="00170781">
        <w:rPr>
          <w:szCs w:val="22"/>
        </w:rPr>
        <w:t xml:space="preserve">seven </w:t>
      </w:r>
      <w:r>
        <w:rPr>
          <w:szCs w:val="22"/>
        </w:rPr>
        <w:t xml:space="preserve">hours after the low reading, despite DHB guidelines stating that BGL should </w:t>
      </w:r>
      <w:r w:rsidRPr="008867C8">
        <w:rPr>
          <w:szCs w:val="22"/>
        </w:rPr>
        <w:t>be monitored for at</w:t>
      </w:r>
      <w:r>
        <w:rPr>
          <w:szCs w:val="22"/>
        </w:rPr>
        <w:t xml:space="preserve"> least 12 hours after a low reading. </w:t>
      </w:r>
    </w:p>
    <w:p w14:paraId="6B5EBFC6" w14:textId="1D701241" w:rsidR="00EB4A22" w:rsidRDefault="00EB4A22" w:rsidP="00EB4A22">
      <w:pPr>
        <w:spacing w:before="120"/>
        <w:rPr>
          <w:szCs w:val="22"/>
        </w:rPr>
      </w:pPr>
      <w:r>
        <w:rPr>
          <w:szCs w:val="22"/>
        </w:rPr>
        <w:t>Four days after birth, the baby was noted to be floppy, difficult to rouse</w:t>
      </w:r>
      <w:r w:rsidR="00170781">
        <w:rPr>
          <w:szCs w:val="22"/>
        </w:rPr>
        <w:t>,</w:t>
      </w:r>
      <w:r>
        <w:rPr>
          <w:szCs w:val="22"/>
        </w:rPr>
        <w:t xml:space="preserve"> and cold. The baby was transferred to the Specialist Baby Care Unit (SBCU)</w:t>
      </w:r>
      <w:r w:rsidR="00170781">
        <w:rPr>
          <w:szCs w:val="22"/>
        </w:rPr>
        <w:t>,</w:t>
      </w:r>
      <w:r>
        <w:rPr>
          <w:szCs w:val="22"/>
        </w:rPr>
        <w:t xml:space="preserve"> where she was treated for severe hypoglycaemia. The baby showed possible seizure activity and was given a higher dose of </w:t>
      </w:r>
      <w:proofErr w:type="spellStart"/>
      <w:r>
        <w:rPr>
          <w:szCs w:val="22"/>
        </w:rPr>
        <w:t>phenobarbitone</w:t>
      </w:r>
      <w:proofErr w:type="spellEnd"/>
      <w:r>
        <w:rPr>
          <w:szCs w:val="22"/>
        </w:rPr>
        <w:t xml:space="preserve"> than is recommended for a neonate. </w:t>
      </w:r>
    </w:p>
    <w:p w14:paraId="2CEFF6B5" w14:textId="77777777" w:rsidR="00EB4A22" w:rsidRPr="00D9753A" w:rsidRDefault="00EB4A22" w:rsidP="00EB4A22">
      <w:pPr>
        <w:spacing w:before="120"/>
        <w:rPr>
          <w:szCs w:val="22"/>
        </w:rPr>
      </w:pPr>
      <w:r>
        <w:rPr>
          <w:szCs w:val="22"/>
        </w:rPr>
        <w:t xml:space="preserve"> </w:t>
      </w:r>
    </w:p>
    <w:p w14:paraId="0CD84743" w14:textId="77777777" w:rsidR="00EB4A22" w:rsidRDefault="00EB4A22" w:rsidP="004D22EA">
      <w:pPr>
        <w:rPr>
          <w:rFonts w:cs="Calibri,Bold"/>
          <w:bCs/>
          <w:i/>
          <w:szCs w:val="22"/>
          <w:lang w:eastAsia="en-NZ" w:bidi="ar-SA"/>
        </w:rPr>
      </w:pPr>
      <w:r w:rsidRPr="005A62C7">
        <w:rPr>
          <w:rFonts w:cs="Calibri,Bold"/>
          <w:bCs/>
          <w:i/>
          <w:szCs w:val="22"/>
          <w:lang w:eastAsia="en-NZ" w:bidi="ar-SA"/>
        </w:rPr>
        <w:t>Findings</w:t>
      </w:r>
    </w:p>
    <w:p w14:paraId="60329015" w14:textId="354DB101" w:rsidR="00EB4A22" w:rsidRDefault="00EB4A22" w:rsidP="00EB4A22">
      <w:pPr>
        <w:pStyle w:val="ListParagraph"/>
        <w:spacing w:after="120"/>
        <w:ind w:left="0"/>
        <w:rPr>
          <w:rStyle w:val="ListParagraphChar"/>
        </w:rPr>
      </w:pPr>
      <w:r>
        <w:rPr>
          <w:rStyle w:val="ListParagraphChar"/>
        </w:rPr>
        <w:t>The Deputy Commissioner noted that the woman was seen by at least five obstetricians during her pregnancy</w:t>
      </w:r>
      <w:r w:rsidR="008867C8">
        <w:rPr>
          <w:rStyle w:val="ListParagraphChar"/>
        </w:rPr>
        <w:t>,</w:t>
      </w:r>
      <w:r>
        <w:rPr>
          <w:rStyle w:val="ListParagraphChar"/>
        </w:rPr>
        <w:t xml:space="preserve"> as well as her GP, LMC</w:t>
      </w:r>
      <w:r w:rsidR="008867C8">
        <w:rPr>
          <w:rStyle w:val="ListParagraphChar"/>
        </w:rPr>
        <w:t>,</w:t>
      </w:r>
      <w:r>
        <w:rPr>
          <w:rStyle w:val="ListParagraphChar"/>
        </w:rPr>
        <w:t xml:space="preserve"> and other specialist teams, and that multiple locums were involved in providing care to her.</w:t>
      </w:r>
      <w:r w:rsidR="00B12430">
        <w:rPr>
          <w:rStyle w:val="ListParagraphChar"/>
        </w:rPr>
        <w:t xml:space="preserve"> </w:t>
      </w:r>
      <w:r>
        <w:rPr>
          <w:rStyle w:val="ListParagraphChar"/>
        </w:rPr>
        <w:t>The Deputy Commissioner commented that in this scenario, a formal management plan should have been developed to guide all providers in their care and ensure a seamless service. This should have included a clear record of the transfer to the Obstetrics</w:t>
      </w:r>
      <w:r w:rsidR="008867C8">
        <w:rPr>
          <w:rStyle w:val="ListParagraphChar"/>
        </w:rPr>
        <w:t xml:space="preserve"> team</w:t>
      </w:r>
      <w:r>
        <w:rPr>
          <w:rStyle w:val="ListParagraphChar"/>
        </w:rPr>
        <w:t xml:space="preserve"> and the ongoing role of her LMC.</w:t>
      </w:r>
    </w:p>
    <w:p w14:paraId="0ECE5F0E" w14:textId="77777777" w:rsidR="00EB4A22" w:rsidRDefault="00EB4A22" w:rsidP="004D22EA">
      <w:pPr>
        <w:pStyle w:val="ListParagraph"/>
        <w:spacing w:after="240"/>
        <w:ind w:left="0"/>
        <w:rPr>
          <w:rStyle w:val="ListParagraphChar"/>
        </w:rPr>
      </w:pPr>
      <w:r>
        <w:rPr>
          <w:rStyle w:val="ListParagraphChar"/>
        </w:rPr>
        <w:t>The Deputy Commissioner found a number of aspects of the care provided to the woman and her baby by the DHB to be suboptimal, including:</w:t>
      </w:r>
    </w:p>
    <w:p w14:paraId="1E21655E" w14:textId="008C3621" w:rsidR="00EB4A22" w:rsidRDefault="00FF61D4" w:rsidP="00623655">
      <w:pPr>
        <w:pStyle w:val="ListParagraph"/>
        <w:numPr>
          <w:ilvl w:val="0"/>
          <w:numId w:val="13"/>
        </w:numPr>
        <w:spacing w:after="120"/>
        <w:ind w:left="284" w:hanging="284"/>
        <w:rPr>
          <w:rStyle w:val="ListParagraphChar"/>
        </w:rPr>
      </w:pPr>
      <w:r>
        <w:rPr>
          <w:rStyle w:val="ListParagraphChar"/>
        </w:rPr>
        <w:t>There was a</w:t>
      </w:r>
      <w:r w:rsidR="00EB4A22">
        <w:rPr>
          <w:rStyle w:val="ListParagraphChar"/>
        </w:rPr>
        <w:t xml:space="preserve"> lack of clarity about when the woman’s care was transferred to Obstetrics, and no documented discussions about the decision</w:t>
      </w:r>
      <w:r>
        <w:rPr>
          <w:rStyle w:val="ListParagraphChar"/>
        </w:rPr>
        <w:t>.</w:t>
      </w:r>
    </w:p>
    <w:p w14:paraId="023A935B" w14:textId="18426736" w:rsidR="00EB4A22" w:rsidRDefault="00EB4A22" w:rsidP="00623655">
      <w:pPr>
        <w:pStyle w:val="ListParagraph"/>
        <w:numPr>
          <w:ilvl w:val="0"/>
          <w:numId w:val="13"/>
        </w:numPr>
        <w:spacing w:after="120"/>
        <w:ind w:left="284" w:hanging="284"/>
        <w:rPr>
          <w:rStyle w:val="ListParagraphChar"/>
        </w:rPr>
      </w:pPr>
      <w:r>
        <w:rPr>
          <w:rStyle w:val="ListParagraphChar"/>
        </w:rPr>
        <w:t>There was no documented coordinated formal management plan to guide all providers in their care of the woman</w:t>
      </w:r>
      <w:r w:rsidR="00FF61D4">
        <w:rPr>
          <w:rStyle w:val="ListParagraphChar"/>
        </w:rPr>
        <w:t>.</w:t>
      </w:r>
    </w:p>
    <w:p w14:paraId="1C33B31F" w14:textId="357C7E9D" w:rsidR="00EB4A22" w:rsidRDefault="00EB4A22" w:rsidP="00623655">
      <w:pPr>
        <w:pStyle w:val="ListParagraph"/>
        <w:numPr>
          <w:ilvl w:val="0"/>
          <w:numId w:val="13"/>
        </w:numPr>
        <w:spacing w:after="120"/>
        <w:ind w:left="284" w:hanging="284"/>
        <w:rPr>
          <w:rStyle w:val="ListParagraphChar"/>
        </w:rPr>
      </w:pPr>
      <w:r>
        <w:rPr>
          <w:rStyle w:val="ListParagraphChar"/>
        </w:rPr>
        <w:t>The DHB’s guidelines on the assessment and management of hyperemesis and malnutrition were inadequate</w:t>
      </w:r>
      <w:r w:rsidR="00FF61D4">
        <w:rPr>
          <w:rStyle w:val="ListParagraphChar"/>
        </w:rPr>
        <w:t>.</w:t>
      </w:r>
      <w:r>
        <w:rPr>
          <w:rStyle w:val="ListParagraphChar"/>
        </w:rPr>
        <w:t xml:space="preserve"> </w:t>
      </w:r>
    </w:p>
    <w:p w14:paraId="066B746D" w14:textId="1BAB12E7" w:rsidR="00EB4A22" w:rsidRDefault="00EB4A22" w:rsidP="00623655">
      <w:pPr>
        <w:pStyle w:val="ListParagraph"/>
        <w:numPr>
          <w:ilvl w:val="0"/>
          <w:numId w:val="13"/>
        </w:numPr>
        <w:spacing w:after="120"/>
        <w:ind w:left="284" w:hanging="284"/>
        <w:rPr>
          <w:rStyle w:val="ListParagraphChar"/>
        </w:rPr>
      </w:pPr>
      <w:r>
        <w:rPr>
          <w:rStyle w:val="ListParagraphChar"/>
        </w:rPr>
        <w:t>The BGL monitoring of the baby was not timely, and a paediatric review was not requested in accordance with the guidelines</w:t>
      </w:r>
      <w:r w:rsidR="00FF61D4">
        <w:rPr>
          <w:rStyle w:val="ListParagraphChar"/>
        </w:rPr>
        <w:t>.</w:t>
      </w:r>
    </w:p>
    <w:p w14:paraId="635E1AA4" w14:textId="77777777" w:rsidR="00EB4A22" w:rsidRDefault="00EB4A22" w:rsidP="004D22EA">
      <w:pPr>
        <w:pStyle w:val="ListParagraph"/>
        <w:numPr>
          <w:ilvl w:val="0"/>
          <w:numId w:val="13"/>
        </w:numPr>
        <w:spacing w:after="240"/>
        <w:ind w:left="284" w:hanging="284"/>
        <w:rPr>
          <w:rStyle w:val="ListParagraphChar"/>
        </w:rPr>
      </w:pPr>
      <w:r>
        <w:rPr>
          <w:rStyle w:val="ListParagraphChar"/>
        </w:rPr>
        <w:t xml:space="preserve">The initial dose of </w:t>
      </w:r>
      <w:proofErr w:type="spellStart"/>
      <w:r>
        <w:rPr>
          <w:rStyle w:val="ListParagraphChar"/>
        </w:rPr>
        <w:t>phenobarbitone</w:t>
      </w:r>
      <w:proofErr w:type="spellEnd"/>
      <w:r>
        <w:rPr>
          <w:rStyle w:val="ListParagraphChar"/>
        </w:rPr>
        <w:t xml:space="preserve"> administered to the baby was higher than recommended and not consistent with the guidelines. </w:t>
      </w:r>
    </w:p>
    <w:p w14:paraId="2C30E364" w14:textId="1E053D66" w:rsidR="00EB4A22" w:rsidRDefault="00EB4A22" w:rsidP="004D22EA">
      <w:pPr>
        <w:spacing w:after="240"/>
        <w:rPr>
          <w:rStyle w:val="ListParagraphChar"/>
        </w:rPr>
      </w:pPr>
      <w:r>
        <w:rPr>
          <w:rStyle w:val="ListParagraphChar"/>
        </w:rPr>
        <w:t>The Deputy Commissioner considered that cumulatively these deficiencies indicate</w:t>
      </w:r>
      <w:r w:rsidR="00481F9A">
        <w:rPr>
          <w:rStyle w:val="ListParagraphChar"/>
        </w:rPr>
        <w:t>d</w:t>
      </w:r>
      <w:r>
        <w:rPr>
          <w:rStyle w:val="ListParagraphChar"/>
        </w:rPr>
        <w:t xml:space="preserve"> a pattern of poor care, and found that the DHB failed to provide services to the woman and her baby with reasonable care and skill</w:t>
      </w:r>
      <w:r w:rsidR="00481F9A">
        <w:rPr>
          <w:rStyle w:val="ListParagraphChar"/>
        </w:rPr>
        <w:t>,</w:t>
      </w:r>
      <w:r>
        <w:rPr>
          <w:rStyle w:val="ListParagraphChar"/>
        </w:rPr>
        <w:t xml:space="preserve"> in breach of Right 4(1).</w:t>
      </w:r>
    </w:p>
    <w:p w14:paraId="6A9036B0" w14:textId="4A112861" w:rsidR="00EB4A22" w:rsidRDefault="00EB4A22" w:rsidP="004D22EA">
      <w:pPr>
        <w:spacing w:after="240"/>
        <w:rPr>
          <w:rStyle w:val="ListParagraphChar"/>
        </w:rPr>
      </w:pPr>
      <w:r>
        <w:rPr>
          <w:rStyle w:val="ListParagraphChar"/>
        </w:rPr>
        <w:t xml:space="preserve">The Deputy Commissioner was also critical that there was a missed opportunity to seek advice from a tertiary hospital </w:t>
      </w:r>
      <w:r w:rsidR="00481F9A">
        <w:rPr>
          <w:rStyle w:val="ListParagraphChar"/>
        </w:rPr>
        <w:t>regarding</w:t>
      </w:r>
      <w:r>
        <w:rPr>
          <w:rStyle w:val="ListParagraphChar"/>
        </w:rPr>
        <w:t xml:space="preserve"> the woman’s baby</w:t>
      </w:r>
      <w:r w:rsidR="00481F9A">
        <w:rPr>
          <w:rStyle w:val="ListParagraphChar"/>
        </w:rPr>
        <w:t>,</w:t>
      </w:r>
      <w:r>
        <w:rPr>
          <w:rStyle w:val="ListParagraphChar"/>
        </w:rPr>
        <w:t xml:space="preserve"> who was significantly small for her gestational age. </w:t>
      </w:r>
    </w:p>
    <w:p w14:paraId="398EE317" w14:textId="0F46EAAB" w:rsidR="00EB4A22" w:rsidRDefault="00EB4A22" w:rsidP="004D22EA">
      <w:pPr>
        <w:pStyle w:val="ListParagraph"/>
        <w:spacing w:after="240"/>
        <w:ind w:left="0"/>
        <w:rPr>
          <w:rStyle w:val="ListParagraphChar"/>
        </w:rPr>
      </w:pPr>
      <w:r>
        <w:rPr>
          <w:rStyle w:val="ListParagraphChar"/>
        </w:rPr>
        <w:t xml:space="preserve">The DHB reported that </w:t>
      </w:r>
      <w:r w:rsidR="00481F9A">
        <w:rPr>
          <w:rStyle w:val="ListParagraphChar"/>
        </w:rPr>
        <w:t xml:space="preserve">it </w:t>
      </w:r>
      <w:r>
        <w:rPr>
          <w:rStyle w:val="ListParagraphChar"/>
        </w:rPr>
        <w:t>had concerns about the woman’s compliance with her plan of care</w:t>
      </w:r>
      <w:r w:rsidR="00481F9A">
        <w:rPr>
          <w:rStyle w:val="ListParagraphChar"/>
        </w:rPr>
        <w:t>,</w:t>
      </w:r>
      <w:r>
        <w:rPr>
          <w:rStyle w:val="ListParagraphChar"/>
        </w:rPr>
        <w:t xml:space="preserve"> and had issues with contact. HDC’s clinical advisor noted that a woman’s quality of life can be adversely affected by hyperemesis</w:t>
      </w:r>
      <w:r w:rsidR="00481F9A">
        <w:rPr>
          <w:rStyle w:val="ListParagraphChar"/>
        </w:rPr>
        <w:t>,</w:t>
      </w:r>
      <w:r>
        <w:rPr>
          <w:rStyle w:val="ListParagraphChar"/>
        </w:rPr>
        <w:t xml:space="preserve"> and sources of psychological support should be considered. The Deputy Commissioner noted that there was an opportunity to intervene and provide cultural support to the woman and her </w:t>
      </w:r>
      <w:proofErr w:type="spellStart"/>
      <w:r>
        <w:rPr>
          <w:rStyle w:val="ListParagraphChar"/>
        </w:rPr>
        <w:t>whānau</w:t>
      </w:r>
      <w:proofErr w:type="spellEnd"/>
      <w:r>
        <w:rPr>
          <w:rStyle w:val="ListParagraphChar"/>
        </w:rPr>
        <w:t xml:space="preserve"> to facilitate compliance with her plan of care. This may have supported her needs more holistically and provided significant benefit in terms of psychosocial issues she was experiencing. The Deputy Commissioner was critical of this missed opportunity to provide cultural support. </w:t>
      </w:r>
    </w:p>
    <w:p w14:paraId="39AACB70" w14:textId="77777777" w:rsidR="00EB4A22" w:rsidRDefault="00EB4A22" w:rsidP="004D22EA">
      <w:pPr>
        <w:pStyle w:val="ListParagraph"/>
        <w:keepNext/>
        <w:ind w:left="0"/>
        <w:rPr>
          <w:i/>
          <w:szCs w:val="22"/>
        </w:rPr>
      </w:pPr>
      <w:r w:rsidRPr="005A62C7">
        <w:rPr>
          <w:i/>
          <w:szCs w:val="22"/>
        </w:rPr>
        <w:t>Recommendations</w:t>
      </w:r>
    </w:p>
    <w:p w14:paraId="684B589C" w14:textId="77777777" w:rsidR="00EB4A22" w:rsidRDefault="00EB4A22" w:rsidP="00EB4A22">
      <w:pPr>
        <w:pStyle w:val="ListParagraph"/>
        <w:spacing w:after="120"/>
        <w:ind w:left="0"/>
        <w:rPr>
          <w:szCs w:val="22"/>
        </w:rPr>
      </w:pPr>
      <w:r w:rsidRPr="001E3CF1">
        <w:rPr>
          <w:szCs w:val="22"/>
        </w:rPr>
        <w:t>The Deputy Commissioner made</w:t>
      </w:r>
      <w:r>
        <w:rPr>
          <w:szCs w:val="22"/>
        </w:rPr>
        <w:t xml:space="preserve"> a number of recommendations to the DHB, including that it:</w:t>
      </w:r>
    </w:p>
    <w:p w14:paraId="2D93391B" w14:textId="77777777" w:rsidR="00EB4A22" w:rsidRDefault="00EB4A22" w:rsidP="001E3CF1">
      <w:pPr>
        <w:pStyle w:val="ListParagraph"/>
        <w:numPr>
          <w:ilvl w:val="0"/>
          <w:numId w:val="14"/>
        </w:numPr>
        <w:spacing w:after="120"/>
        <w:ind w:left="284" w:hanging="284"/>
        <w:rPr>
          <w:szCs w:val="22"/>
        </w:rPr>
      </w:pPr>
      <w:r>
        <w:rPr>
          <w:szCs w:val="22"/>
        </w:rPr>
        <w:t>Review compliance with the nausea and vomiting in pregnancy guidelines developed</w:t>
      </w:r>
    </w:p>
    <w:p w14:paraId="040291E3" w14:textId="2EA5609D" w:rsidR="00EB4A22" w:rsidRDefault="00EB4A22" w:rsidP="001E3CF1">
      <w:pPr>
        <w:pStyle w:val="ListParagraph"/>
        <w:numPr>
          <w:ilvl w:val="0"/>
          <w:numId w:val="14"/>
        </w:numPr>
        <w:spacing w:after="120"/>
        <w:ind w:left="284" w:hanging="284"/>
        <w:rPr>
          <w:szCs w:val="22"/>
        </w:rPr>
      </w:pPr>
      <w:r>
        <w:rPr>
          <w:szCs w:val="22"/>
        </w:rPr>
        <w:t>Consider developing guidelines for when concerns about babies who are significantly small for their gestational age or the severity of a woman’s symptoms may require consultation with a multidisciplinary team to develop a plan</w:t>
      </w:r>
    </w:p>
    <w:p w14:paraId="71A3531B" w14:textId="77777777" w:rsidR="00EB4A22" w:rsidRDefault="00EB4A22" w:rsidP="001E3CF1">
      <w:pPr>
        <w:pStyle w:val="ListParagraph"/>
        <w:numPr>
          <w:ilvl w:val="0"/>
          <w:numId w:val="14"/>
        </w:numPr>
        <w:spacing w:after="120"/>
        <w:ind w:left="284" w:hanging="284"/>
        <w:rPr>
          <w:szCs w:val="22"/>
        </w:rPr>
      </w:pPr>
      <w:r>
        <w:rPr>
          <w:szCs w:val="22"/>
        </w:rPr>
        <w:t xml:space="preserve">Consider developing guidelines for when the management of a baby who is small for their gestational age may require a referral to a </w:t>
      </w:r>
      <w:proofErr w:type="spellStart"/>
      <w:r>
        <w:rPr>
          <w:szCs w:val="22"/>
        </w:rPr>
        <w:t>fetal</w:t>
      </w:r>
      <w:proofErr w:type="spellEnd"/>
      <w:r>
        <w:rPr>
          <w:szCs w:val="22"/>
        </w:rPr>
        <w:t xml:space="preserve"> medicine specialist or to a larger centre for tertiary subspecialist opinion</w:t>
      </w:r>
    </w:p>
    <w:p w14:paraId="21B82201" w14:textId="77777777" w:rsidR="00EB4A22" w:rsidRDefault="00EB4A22" w:rsidP="001E3CF1">
      <w:pPr>
        <w:pStyle w:val="ListParagraph"/>
        <w:numPr>
          <w:ilvl w:val="0"/>
          <w:numId w:val="14"/>
        </w:numPr>
        <w:spacing w:after="120"/>
        <w:ind w:left="284" w:hanging="284"/>
        <w:rPr>
          <w:szCs w:val="22"/>
        </w:rPr>
      </w:pPr>
      <w:r>
        <w:rPr>
          <w:szCs w:val="22"/>
        </w:rPr>
        <w:t>Consider HDC’s clinical advisor’s comments regarding the need to provide appropriate cultural support in complex cases</w:t>
      </w:r>
    </w:p>
    <w:p w14:paraId="2FFD491F" w14:textId="77777777" w:rsidR="00EB4A22" w:rsidRDefault="00EB4A22" w:rsidP="001E3CF1">
      <w:pPr>
        <w:pStyle w:val="ListParagraph"/>
        <w:numPr>
          <w:ilvl w:val="0"/>
          <w:numId w:val="14"/>
        </w:numPr>
        <w:spacing w:after="120"/>
        <w:ind w:left="284" w:hanging="284"/>
        <w:rPr>
          <w:szCs w:val="22"/>
        </w:rPr>
      </w:pPr>
      <w:r>
        <w:rPr>
          <w:szCs w:val="22"/>
        </w:rPr>
        <w:t>Arrange training for new staff on the use of the hypoglycaemia kit implemented since this complaint, and provide further training to current staff on the management of neonatal hypoglycaemia, with an emphasis on the indications for paediatric notification and the recommended duration of monitoring BGLs</w:t>
      </w:r>
    </w:p>
    <w:p w14:paraId="22EAEC0D" w14:textId="7F71F316" w:rsidR="00EB4A22" w:rsidRDefault="00EB4A22" w:rsidP="001E3CF1">
      <w:pPr>
        <w:pStyle w:val="ListParagraph"/>
        <w:numPr>
          <w:ilvl w:val="0"/>
          <w:numId w:val="14"/>
        </w:numPr>
        <w:spacing w:after="120"/>
        <w:ind w:left="284" w:hanging="284"/>
        <w:rPr>
          <w:szCs w:val="22"/>
        </w:rPr>
      </w:pPr>
      <w:r>
        <w:rPr>
          <w:szCs w:val="22"/>
        </w:rPr>
        <w:t xml:space="preserve">Review the guidelines for administering </w:t>
      </w:r>
      <w:proofErr w:type="spellStart"/>
      <w:r>
        <w:rPr>
          <w:szCs w:val="22"/>
        </w:rPr>
        <w:t>phenobarbitone</w:t>
      </w:r>
      <w:proofErr w:type="spellEnd"/>
      <w:r>
        <w:rPr>
          <w:szCs w:val="22"/>
        </w:rPr>
        <w:t xml:space="preserve">, and ensure </w:t>
      </w:r>
      <w:r w:rsidR="00E95437">
        <w:rPr>
          <w:szCs w:val="22"/>
        </w:rPr>
        <w:t xml:space="preserve">that </w:t>
      </w:r>
      <w:r>
        <w:rPr>
          <w:szCs w:val="22"/>
        </w:rPr>
        <w:t>all relevant staff are made aware of the guidelines.</w:t>
      </w:r>
    </w:p>
    <w:p w14:paraId="296E74A2" w14:textId="77777777" w:rsidR="00EB4A22" w:rsidRDefault="00EB4A22" w:rsidP="00EB4A22">
      <w:pPr>
        <w:keepNext/>
        <w:keepLines/>
        <w:spacing w:after="240"/>
      </w:pPr>
    </w:p>
    <w:p w14:paraId="0D7D3063" w14:textId="77777777" w:rsidR="00EB4A22" w:rsidRPr="00F666F0" w:rsidRDefault="00EB4A22" w:rsidP="00932E72">
      <w:pPr>
        <w:pStyle w:val="Heading3"/>
        <w:rPr>
          <w:rStyle w:val="Heading2Char"/>
          <w:i/>
          <w:iCs w:val="0"/>
          <w:sz w:val="28"/>
          <w:szCs w:val="28"/>
          <w:lang w:bidi="ar-SA"/>
        </w:rPr>
      </w:pPr>
      <w:bookmarkStart w:id="109" w:name="_Toc71561667"/>
      <w:bookmarkStart w:id="110" w:name="_Toc74223423"/>
      <w:r>
        <w:rPr>
          <w:lang w:val="en-AU" w:bidi="ar-SA"/>
        </w:rPr>
        <w:t>6.3</w:t>
      </w:r>
      <w:r w:rsidRPr="00666BAC">
        <w:rPr>
          <w:lang w:val="en-AU" w:bidi="ar-SA"/>
        </w:rPr>
        <w:t xml:space="preserve"> </w:t>
      </w:r>
      <w:r w:rsidRPr="00666BAC">
        <w:rPr>
          <w:lang w:val="en-AU" w:bidi="ar-SA"/>
        </w:rPr>
        <w:tab/>
      </w:r>
      <w:r>
        <w:rPr>
          <w:lang w:val="en-AU" w:bidi="ar-SA"/>
        </w:rPr>
        <w:t>Care of young man with sepsis</w:t>
      </w:r>
      <w:r w:rsidRPr="004D22EA">
        <w:rPr>
          <w:rStyle w:val="FootnoteReference"/>
          <w:b w:val="0"/>
          <w:lang w:val="en-AU" w:bidi="ar-SA"/>
        </w:rPr>
        <w:footnoteReference w:id="8"/>
      </w:r>
      <w:bookmarkEnd w:id="109"/>
      <w:bookmarkEnd w:id="110"/>
    </w:p>
    <w:p w14:paraId="16B60F06" w14:textId="6D79ECEC" w:rsidR="00EB4A22" w:rsidRPr="00DB65DD" w:rsidRDefault="00EB4A22" w:rsidP="00EB4A22">
      <w:pPr>
        <w:rPr>
          <w:b/>
          <w:lang w:val="en-AU" w:bidi="ar-SA"/>
        </w:rPr>
      </w:pPr>
      <w:r w:rsidRPr="00DB65DD">
        <w:rPr>
          <w:b/>
          <w:lang w:val="en-AU" w:bidi="ar-SA"/>
        </w:rPr>
        <w:t xml:space="preserve">This case </w:t>
      </w:r>
      <w:r>
        <w:rPr>
          <w:b/>
          <w:lang w:val="en-AU" w:bidi="ar-SA"/>
        </w:rPr>
        <w:t xml:space="preserve">reflects the coordination of care issues that are often seen by HDC in respect of patients awaiting review by different teams in </w:t>
      </w:r>
      <w:r w:rsidR="00E95437">
        <w:rPr>
          <w:b/>
          <w:lang w:val="en-AU" w:bidi="ar-SA"/>
        </w:rPr>
        <w:t xml:space="preserve">an </w:t>
      </w:r>
      <w:r>
        <w:rPr>
          <w:b/>
          <w:lang w:val="en-AU" w:bidi="ar-SA"/>
        </w:rPr>
        <w:t>ED/medical assessment unit, and highlights the importance of having systems that optimise continuity of care.</w:t>
      </w:r>
    </w:p>
    <w:p w14:paraId="616B107A" w14:textId="77777777" w:rsidR="00EB4A22" w:rsidRPr="00DB65DD" w:rsidRDefault="00EB4A22" w:rsidP="00EB4A22">
      <w:pPr>
        <w:rPr>
          <w:lang w:val="en-AU" w:bidi="ar-SA"/>
        </w:rPr>
      </w:pPr>
    </w:p>
    <w:p w14:paraId="6363F41B" w14:textId="77777777" w:rsidR="00EB4A22" w:rsidRDefault="00EB4A22" w:rsidP="004D22EA">
      <w:pPr>
        <w:rPr>
          <w:i/>
          <w:szCs w:val="22"/>
        </w:rPr>
      </w:pPr>
      <w:r w:rsidRPr="007F3D48">
        <w:rPr>
          <w:i/>
          <w:szCs w:val="22"/>
        </w:rPr>
        <w:t>Background</w:t>
      </w:r>
    </w:p>
    <w:p w14:paraId="0C989D35" w14:textId="6F0CAB36" w:rsidR="00EB4A22" w:rsidRDefault="00EB4A22" w:rsidP="004D22EA">
      <w:pPr>
        <w:spacing w:after="240"/>
        <w:rPr>
          <w:szCs w:val="22"/>
        </w:rPr>
      </w:pPr>
      <w:r>
        <w:rPr>
          <w:szCs w:val="22"/>
        </w:rPr>
        <w:t>A man in his twenties, with a history of Crohn’s disease, was transported by ambulance to the ED of a public hospital. He had been feeling increasingly unwell, and was experiencing rectal bleeding, an increased heart rate</w:t>
      </w:r>
      <w:r w:rsidR="00632D27">
        <w:rPr>
          <w:szCs w:val="22"/>
        </w:rPr>
        <w:t>,</w:t>
      </w:r>
      <w:r>
        <w:rPr>
          <w:szCs w:val="22"/>
        </w:rPr>
        <w:t xml:space="preserve"> and non-radiating chest pain. </w:t>
      </w:r>
    </w:p>
    <w:p w14:paraId="55D3B539" w14:textId="7982F871" w:rsidR="00EB4A22" w:rsidRDefault="00EB4A22" w:rsidP="004D22EA">
      <w:pPr>
        <w:spacing w:after="240"/>
        <w:rPr>
          <w:szCs w:val="22"/>
        </w:rPr>
      </w:pPr>
      <w:r>
        <w:rPr>
          <w:szCs w:val="22"/>
        </w:rPr>
        <w:t>The man was assessed and triaged. It was noted that he met the sepsis criteria</w:t>
      </w:r>
      <w:r w:rsidR="00632D27">
        <w:rPr>
          <w:szCs w:val="22"/>
        </w:rPr>
        <w:t>,</w:t>
      </w:r>
      <w:r>
        <w:rPr>
          <w:szCs w:val="22"/>
        </w:rPr>
        <w:t xml:space="preserve"> and this was communicated to the ED senior house officer. While in ED, the man’s observations were taken on two occasions, but his Early Warning Score was not calculated. He was reviewed by an ED house officer</w:t>
      </w:r>
      <w:r w:rsidR="00632D27">
        <w:rPr>
          <w:szCs w:val="22"/>
        </w:rPr>
        <w:t>,</w:t>
      </w:r>
      <w:r>
        <w:rPr>
          <w:szCs w:val="22"/>
        </w:rPr>
        <w:t xml:space="preserve"> who sought a review by the General </w:t>
      </w:r>
      <w:r w:rsidR="00632D27">
        <w:rPr>
          <w:szCs w:val="22"/>
        </w:rPr>
        <w:t xml:space="preserve">Surgery </w:t>
      </w:r>
      <w:r>
        <w:rPr>
          <w:szCs w:val="22"/>
        </w:rPr>
        <w:t>team. Despite meeting the sepsis criteria, IV antibiotics were not commenced in the ED</w:t>
      </w:r>
      <w:r w:rsidR="00632D27">
        <w:rPr>
          <w:szCs w:val="22"/>
        </w:rPr>
        <w:t>,</w:t>
      </w:r>
      <w:r>
        <w:rPr>
          <w:szCs w:val="22"/>
        </w:rPr>
        <w:t xml:space="preserve"> as it was decided to await the surgical review.</w:t>
      </w:r>
    </w:p>
    <w:p w14:paraId="35DC23AC" w14:textId="4CA4B537" w:rsidR="00EB4A22" w:rsidRDefault="00EB4A22" w:rsidP="004D22EA">
      <w:pPr>
        <w:spacing w:after="240"/>
        <w:rPr>
          <w:szCs w:val="22"/>
        </w:rPr>
      </w:pPr>
      <w:r>
        <w:rPr>
          <w:szCs w:val="22"/>
        </w:rPr>
        <w:t>The man was then reviewed by a General Surgery consultant</w:t>
      </w:r>
      <w:r w:rsidR="00632D27">
        <w:rPr>
          <w:szCs w:val="22"/>
        </w:rPr>
        <w:t>,</w:t>
      </w:r>
      <w:r>
        <w:rPr>
          <w:szCs w:val="22"/>
        </w:rPr>
        <w:t xml:space="preserve"> who discussed his case with a gastroenterologist</w:t>
      </w:r>
      <w:r w:rsidR="00632D27">
        <w:rPr>
          <w:szCs w:val="22"/>
        </w:rPr>
        <w:t>.</w:t>
      </w:r>
      <w:r>
        <w:rPr>
          <w:szCs w:val="22"/>
        </w:rPr>
        <w:t xml:space="preserve"> No antibiotics were charted or commenced by </w:t>
      </w:r>
      <w:r w:rsidR="00632D27">
        <w:rPr>
          <w:szCs w:val="22"/>
        </w:rPr>
        <w:t xml:space="preserve">the </w:t>
      </w:r>
      <w:r>
        <w:rPr>
          <w:szCs w:val="22"/>
        </w:rPr>
        <w:t>General Surgery</w:t>
      </w:r>
      <w:r w:rsidR="00632D27">
        <w:rPr>
          <w:szCs w:val="22"/>
        </w:rPr>
        <w:t xml:space="preserve"> team</w:t>
      </w:r>
      <w:r>
        <w:rPr>
          <w:szCs w:val="22"/>
        </w:rPr>
        <w:t xml:space="preserve">. Following </w:t>
      </w:r>
      <w:r w:rsidR="00632D27">
        <w:rPr>
          <w:szCs w:val="22"/>
        </w:rPr>
        <w:t xml:space="preserve">General Surgery </w:t>
      </w:r>
      <w:r>
        <w:rPr>
          <w:szCs w:val="22"/>
        </w:rPr>
        <w:t xml:space="preserve">review, the man continued to be stationed in the ED area. ED, </w:t>
      </w:r>
      <w:r w:rsidR="00953ADC">
        <w:rPr>
          <w:szCs w:val="22"/>
        </w:rPr>
        <w:t>G</w:t>
      </w:r>
      <w:r>
        <w:rPr>
          <w:szCs w:val="22"/>
        </w:rPr>
        <w:t xml:space="preserve">eneral </w:t>
      </w:r>
      <w:r w:rsidR="00953ADC">
        <w:rPr>
          <w:szCs w:val="22"/>
        </w:rPr>
        <w:t>S</w:t>
      </w:r>
      <w:r>
        <w:rPr>
          <w:szCs w:val="22"/>
        </w:rPr>
        <w:t>urgery</w:t>
      </w:r>
      <w:r w:rsidR="00953ADC">
        <w:rPr>
          <w:szCs w:val="22"/>
        </w:rPr>
        <w:t>,</w:t>
      </w:r>
      <w:r>
        <w:rPr>
          <w:szCs w:val="22"/>
        </w:rPr>
        <w:t xml:space="preserve"> and </w:t>
      </w:r>
      <w:r w:rsidR="00953ADC">
        <w:rPr>
          <w:szCs w:val="22"/>
        </w:rPr>
        <w:t xml:space="preserve">Gastroenterology </w:t>
      </w:r>
      <w:r>
        <w:rPr>
          <w:szCs w:val="22"/>
        </w:rPr>
        <w:t xml:space="preserve">all had differing views as to who was responsible for the man’s care. </w:t>
      </w:r>
    </w:p>
    <w:p w14:paraId="595160C3" w14:textId="0682874F" w:rsidR="00EB4A22" w:rsidRDefault="00EB4A22" w:rsidP="004D22EA">
      <w:pPr>
        <w:spacing w:after="240"/>
        <w:rPr>
          <w:szCs w:val="22"/>
        </w:rPr>
      </w:pPr>
      <w:r>
        <w:rPr>
          <w:szCs w:val="22"/>
        </w:rPr>
        <w:t>The man was moved to MAPU (a medical assessment unit situated within the ED). The admission process to MAPU was not followed</w:t>
      </w:r>
      <w:r w:rsidR="00953ADC">
        <w:rPr>
          <w:szCs w:val="22"/>
        </w:rPr>
        <w:t>,</w:t>
      </w:r>
      <w:r>
        <w:rPr>
          <w:szCs w:val="22"/>
        </w:rPr>
        <w:t xml:space="preserve"> and the medical registrar on duty at the time was not informed of the man’s admission to MAPU.</w:t>
      </w:r>
    </w:p>
    <w:p w14:paraId="21FA0C88" w14:textId="7B836F58" w:rsidR="00EB4A22" w:rsidRDefault="00EB4A22" w:rsidP="004D22EA">
      <w:pPr>
        <w:spacing w:after="240"/>
        <w:rPr>
          <w:szCs w:val="22"/>
        </w:rPr>
      </w:pPr>
      <w:r>
        <w:rPr>
          <w:szCs w:val="22"/>
        </w:rPr>
        <w:t>The man’s condition was monitored by nursing staff in MAPU and his condition deteriorated. However</w:t>
      </w:r>
      <w:r w:rsidR="00953ADC">
        <w:rPr>
          <w:szCs w:val="22"/>
        </w:rPr>
        <w:t>,</w:t>
      </w:r>
      <w:r>
        <w:rPr>
          <w:szCs w:val="22"/>
        </w:rPr>
        <w:t xml:space="preserve"> he did not receive a medical review until nearly five </w:t>
      </w:r>
      <w:r w:rsidR="00953ADC">
        <w:rPr>
          <w:szCs w:val="22"/>
        </w:rPr>
        <w:t xml:space="preserve">hours </w:t>
      </w:r>
      <w:r>
        <w:rPr>
          <w:szCs w:val="22"/>
        </w:rPr>
        <w:t xml:space="preserve">later, when the man’s concerned family contacted his gastroenterologist. </w:t>
      </w:r>
      <w:r w:rsidR="00953ADC">
        <w:rPr>
          <w:szCs w:val="22"/>
        </w:rPr>
        <w:t xml:space="preserve">On examination, </w:t>
      </w:r>
      <w:r>
        <w:rPr>
          <w:szCs w:val="22"/>
        </w:rPr>
        <w:t xml:space="preserve">the gastroenterologist noted that </w:t>
      </w:r>
      <w:r w:rsidR="00953ADC">
        <w:rPr>
          <w:szCs w:val="22"/>
        </w:rPr>
        <w:t xml:space="preserve">the man </w:t>
      </w:r>
      <w:r>
        <w:rPr>
          <w:szCs w:val="22"/>
        </w:rPr>
        <w:t xml:space="preserve">had obvious features of sepsis, and IV fluids and IV antibiotics were commenced. The man was then admitted to the General Medicine team. </w:t>
      </w:r>
    </w:p>
    <w:p w14:paraId="10BF8245" w14:textId="77777777" w:rsidR="00EB4A22" w:rsidRPr="006D6DF3" w:rsidRDefault="00EB4A22" w:rsidP="004D22EA">
      <w:pPr>
        <w:rPr>
          <w:szCs w:val="22"/>
        </w:rPr>
      </w:pPr>
      <w:r>
        <w:rPr>
          <w:i/>
          <w:szCs w:val="22"/>
        </w:rPr>
        <w:t>Findings</w:t>
      </w:r>
    </w:p>
    <w:p w14:paraId="1DF541C6" w14:textId="4C8F75AC" w:rsidR="00EB4A22" w:rsidRDefault="00EB4A22" w:rsidP="004D22EA">
      <w:pPr>
        <w:spacing w:after="240"/>
        <w:rPr>
          <w:szCs w:val="22"/>
        </w:rPr>
      </w:pPr>
      <w:r>
        <w:rPr>
          <w:szCs w:val="22"/>
        </w:rPr>
        <w:t>In respect of this case, the Deputy Commissioner noted that when a patient is likely to be seen by multiple teams during the course of a hospital admission, it is essential that clear and effective communication occurs between all teams involved, and that DHBs have processes to optimise the continuity of care. She also commented that units such as MAPU serve as a boundary ward between different teams and, as such, the line as to who is responsible may be blurred or unclear. A clear written policy, effective communications, and ultimately agreement between teams is vital to ensure accountability and appropriate management of patients in such a unit</w:t>
      </w:r>
      <w:r w:rsidR="00953ADC">
        <w:rPr>
          <w:szCs w:val="22"/>
        </w:rPr>
        <w:t>.</w:t>
      </w:r>
    </w:p>
    <w:p w14:paraId="64E8FEF3" w14:textId="07607BB7" w:rsidR="00EB4A22" w:rsidRDefault="00EB4A22" w:rsidP="004D22EA">
      <w:pPr>
        <w:spacing w:after="240"/>
        <w:rPr>
          <w:szCs w:val="22"/>
        </w:rPr>
      </w:pPr>
      <w:r>
        <w:rPr>
          <w:szCs w:val="22"/>
        </w:rPr>
        <w:t xml:space="preserve">In this situation there were issues with the communication between doctors in ED, </w:t>
      </w:r>
      <w:r w:rsidR="00953ADC">
        <w:rPr>
          <w:szCs w:val="22"/>
        </w:rPr>
        <w:t>G</w:t>
      </w:r>
      <w:r>
        <w:rPr>
          <w:szCs w:val="22"/>
        </w:rPr>
        <w:t xml:space="preserve">eneral </w:t>
      </w:r>
      <w:r w:rsidR="00953ADC">
        <w:rPr>
          <w:szCs w:val="22"/>
        </w:rPr>
        <w:t>S</w:t>
      </w:r>
      <w:r>
        <w:rPr>
          <w:szCs w:val="22"/>
        </w:rPr>
        <w:t>urgery</w:t>
      </w:r>
      <w:r w:rsidR="00953ADC">
        <w:rPr>
          <w:szCs w:val="22"/>
        </w:rPr>
        <w:t>,</w:t>
      </w:r>
      <w:r>
        <w:rPr>
          <w:szCs w:val="22"/>
        </w:rPr>
        <w:t xml:space="preserve"> and </w:t>
      </w:r>
      <w:r w:rsidR="00953ADC">
        <w:rPr>
          <w:szCs w:val="22"/>
        </w:rPr>
        <w:t>G</w:t>
      </w:r>
      <w:r>
        <w:rPr>
          <w:szCs w:val="22"/>
        </w:rPr>
        <w:t>astroenterology, as well as between nursing staff and the medical registrar in MAPU. As a result, no team was responsible for the man’s care. In this respect</w:t>
      </w:r>
      <w:r w:rsidR="00953ADC">
        <w:rPr>
          <w:szCs w:val="22"/>
        </w:rPr>
        <w:t>,</w:t>
      </w:r>
      <w:r>
        <w:rPr>
          <w:szCs w:val="22"/>
        </w:rPr>
        <w:t xml:space="preserve"> the Deputy Commissioner considered that clinical staff at the DHB did not co-operate effectively, and the man was not provided with quality and continuity of services, in breach of Right 4(5) of the Code. </w:t>
      </w:r>
    </w:p>
    <w:p w14:paraId="5989AF0E" w14:textId="77777777" w:rsidR="00EB4A22" w:rsidRDefault="00EB4A22">
      <w:pPr>
        <w:spacing w:after="120"/>
        <w:rPr>
          <w:szCs w:val="22"/>
        </w:rPr>
      </w:pPr>
      <w:r>
        <w:rPr>
          <w:szCs w:val="22"/>
        </w:rPr>
        <w:t>The Deputy Commissioner also considered that the DHB failed to provide care to the man with reasonable care and skill, in breach of Right 4(1) of the Code, for the following reasons:</w:t>
      </w:r>
    </w:p>
    <w:p w14:paraId="120D92D1" w14:textId="05605B23" w:rsidR="00EB4A22" w:rsidRDefault="00EB4A22" w:rsidP="00953ADC">
      <w:pPr>
        <w:pStyle w:val="ListParagraph"/>
        <w:numPr>
          <w:ilvl w:val="0"/>
          <w:numId w:val="15"/>
        </w:numPr>
        <w:spacing w:after="120"/>
        <w:ind w:left="284" w:hanging="284"/>
        <w:rPr>
          <w:szCs w:val="22"/>
        </w:rPr>
      </w:pPr>
      <w:r>
        <w:rPr>
          <w:szCs w:val="22"/>
        </w:rPr>
        <w:t>The sepsis policy was not followed, and the man was not administered IV antibiotics or IV fluids in a timely manner despite meeting the sepsis criteria</w:t>
      </w:r>
      <w:r w:rsidR="005F754E">
        <w:rPr>
          <w:szCs w:val="22"/>
        </w:rPr>
        <w:t>.</w:t>
      </w:r>
    </w:p>
    <w:p w14:paraId="2DC61087" w14:textId="7180EDC1" w:rsidR="00EB4A22" w:rsidRDefault="00EB4A22" w:rsidP="00953ADC">
      <w:pPr>
        <w:pStyle w:val="ListParagraph"/>
        <w:numPr>
          <w:ilvl w:val="0"/>
          <w:numId w:val="15"/>
        </w:numPr>
        <w:spacing w:after="120"/>
        <w:ind w:left="284" w:hanging="284"/>
        <w:rPr>
          <w:szCs w:val="22"/>
        </w:rPr>
      </w:pPr>
      <w:r>
        <w:rPr>
          <w:szCs w:val="22"/>
        </w:rPr>
        <w:t>The man did not receive any medical review in MAPU until his gastroenterologist saw him</w:t>
      </w:r>
      <w:r w:rsidR="005F754E">
        <w:rPr>
          <w:szCs w:val="22"/>
        </w:rPr>
        <w:t>.</w:t>
      </w:r>
    </w:p>
    <w:p w14:paraId="2274D227" w14:textId="0432783B" w:rsidR="00EB4A22" w:rsidRDefault="00EB4A22" w:rsidP="00953ADC">
      <w:pPr>
        <w:pStyle w:val="ListParagraph"/>
        <w:numPr>
          <w:ilvl w:val="0"/>
          <w:numId w:val="15"/>
        </w:numPr>
        <w:spacing w:after="120"/>
        <w:ind w:left="284" w:hanging="284"/>
        <w:rPr>
          <w:szCs w:val="22"/>
        </w:rPr>
      </w:pPr>
      <w:r>
        <w:rPr>
          <w:szCs w:val="22"/>
        </w:rPr>
        <w:t>There was no written policy or protocol about MAPU at the time of this incident</w:t>
      </w:r>
      <w:r w:rsidR="005F754E">
        <w:rPr>
          <w:szCs w:val="22"/>
        </w:rPr>
        <w:t>.</w:t>
      </w:r>
    </w:p>
    <w:p w14:paraId="76AEE41A" w14:textId="1575FB2F" w:rsidR="00EB4A22" w:rsidRDefault="00EB4A22" w:rsidP="00953ADC">
      <w:pPr>
        <w:pStyle w:val="ListParagraph"/>
        <w:numPr>
          <w:ilvl w:val="0"/>
          <w:numId w:val="15"/>
        </w:numPr>
        <w:spacing w:after="120"/>
        <w:ind w:left="284" w:hanging="284"/>
        <w:rPr>
          <w:szCs w:val="22"/>
        </w:rPr>
      </w:pPr>
      <w:r>
        <w:rPr>
          <w:szCs w:val="22"/>
        </w:rPr>
        <w:t>The admission process to MAPU was not followed</w:t>
      </w:r>
      <w:r w:rsidR="005F754E">
        <w:rPr>
          <w:szCs w:val="22"/>
        </w:rPr>
        <w:t>.</w:t>
      </w:r>
    </w:p>
    <w:p w14:paraId="2E71B3A8" w14:textId="1B76BF86" w:rsidR="00EB4A22" w:rsidRDefault="00EB4A22" w:rsidP="004D22EA">
      <w:pPr>
        <w:pStyle w:val="ListParagraph"/>
        <w:numPr>
          <w:ilvl w:val="0"/>
          <w:numId w:val="15"/>
        </w:numPr>
        <w:spacing w:after="240"/>
        <w:ind w:left="284" w:hanging="284"/>
        <w:rPr>
          <w:szCs w:val="22"/>
        </w:rPr>
      </w:pPr>
      <w:r>
        <w:rPr>
          <w:szCs w:val="22"/>
        </w:rPr>
        <w:t xml:space="preserve">There was poor documentation by MAPU and ED nursing staff, MAPU nursing staff did not use the Early Warning Score sticker as per policy, and </w:t>
      </w:r>
      <w:r w:rsidR="005F754E">
        <w:rPr>
          <w:szCs w:val="22"/>
        </w:rPr>
        <w:t xml:space="preserve">on some occasions </w:t>
      </w:r>
      <w:r>
        <w:rPr>
          <w:szCs w:val="22"/>
        </w:rPr>
        <w:t>the Early Warning Score was not calculated and noted by ED nursing staff</w:t>
      </w:r>
      <w:r w:rsidR="005F754E">
        <w:rPr>
          <w:szCs w:val="22"/>
        </w:rPr>
        <w:t>.</w:t>
      </w:r>
    </w:p>
    <w:p w14:paraId="5B05F165" w14:textId="6E9BB4CA" w:rsidR="00EB4A22" w:rsidRPr="00BA5C47" w:rsidRDefault="00EB4A22" w:rsidP="004D22EA">
      <w:pPr>
        <w:spacing w:after="240"/>
        <w:rPr>
          <w:szCs w:val="22"/>
        </w:rPr>
      </w:pPr>
      <w:r>
        <w:rPr>
          <w:szCs w:val="22"/>
        </w:rPr>
        <w:t xml:space="preserve">As a consequence of the above failings, the man was left in pain, with no specified person taking responsibility for his treatment, for a protracted period of time. It is fortunate for the man that his family took an active approach </w:t>
      </w:r>
      <w:r w:rsidR="005F754E">
        <w:rPr>
          <w:szCs w:val="22"/>
        </w:rPr>
        <w:t xml:space="preserve">— </w:t>
      </w:r>
      <w:r>
        <w:rPr>
          <w:szCs w:val="22"/>
        </w:rPr>
        <w:t>otherwise he may have deteriorated further.</w:t>
      </w:r>
    </w:p>
    <w:p w14:paraId="0E0AA6D5" w14:textId="77777777" w:rsidR="00EB4A22" w:rsidRDefault="00EB4A22" w:rsidP="004D22EA">
      <w:pPr>
        <w:rPr>
          <w:i/>
          <w:szCs w:val="22"/>
        </w:rPr>
      </w:pPr>
      <w:r>
        <w:rPr>
          <w:i/>
          <w:szCs w:val="22"/>
        </w:rPr>
        <w:t>Recommendations</w:t>
      </w:r>
    </w:p>
    <w:p w14:paraId="49AEE583" w14:textId="77777777" w:rsidR="00EB4A22" w:rsidRDefault="00EB4A22" w:rsidP="004D22EA">
      <w:pPr>
        <w:spacing w:after="120"/>
        <w:rPr>
          <w:szCs w:val="22"/>
        </w:rPr>
      </w:pPr>
      <w:r>
        <w:rPr>
          <w:szCs w:val="22"/>
        </w:rPr>
        <w:t>The Deputy Commissioner made a number of recommendations to the DHB, including that it:</w:t>
      </w:r>
    </w:p>
    <w:p w14:paraId="55A7ABE7" w14:textId="77777777" w:rsidR="00EB4A22" w:rsidRDefault="00EB4A22" w:rsidP="00EB4A22">
      <w:pPr>
        <w:pStyle w:val="ListParagraph"/>
        <w:numPr>
          <w:ilvl w:val="0"/>
          <w:numId w:val="10"/>
        </w:numPr>
        <w:spacing w:after="120"/>
        <w:ind w:left="284" w:hanging="284"/>
        <w:rPr>
          <w:szCs w:val="22"/>
        </w:rPr>
      </w:pPr>
      <w:r>
        <w:rPr>
          <w:szCs w:val="22"/>
        </w:rPr>
        <w:t xml:space="preserve">Provide a written apology to the man </w:t>
      </w:r>
    </w:p>
    <w:p w14:paraId="1C7AAA8A" w14:textId="77777777" w:rsidR="00EB4A22" w:rsidRDefault="00EB4A22" w:rsidP="00EB4A22">
      <w:pPr>
        <w:pStyle w:val="ListParagraph"/>
        <w:numPr>
          <w:ilvl w:val="0"/>
          <w:numId w:val="10"/>
        </w:numPr>
        <w:spacing w:after="120"/>
        <w:ind w:left="284" w:hanging="284"/>
        <w:rPr>
          <w:szCs w:val="22"/>
        </w:rPr>
      </w:pPr>
      <w:r>
        <w:rPr>
          <w:szCs w:val="22"/>
        </w:rPr>
        <w:t xml:space="preserve">In the event that MAPU is reinstated, randomly audit whether the new MAPU policy and admission process has been complied with </w:t>
      </w:r>
    </w:p>
    <w:p w14:paraId="28ED4002" w14:textId="3D166823" w:rsidR="00EB4A22" w:rsidRDefault="00EB4A22" w:rsidP="00EB4A22">
      <w:pPr>
        <w:pStyle w:val="ListParagraph"/>
        <w:numPr>
          <w:ilvl w:val="0"/>
          <w:numId w:val="10"/>
        </w:numPr>
        <w:spacing w:after="120"/>
        <w:ind w:left="284" w:hanging="284"/>
        <w:rPr>
          <w:szCs w:val="22"/>
        </w:rPr>
      </w:pPr>
      <w:r>
        <w:rPr>
          <w:szCs w:val="22"/>
        </w:rPr>
        <w:t xml:space="preserve">Randomly audit whether the sepsis policy has been complied with within the ED and </w:t>
      </w:r>
      <w:r w:rsidR="005F754E">
        <w:rPr>
          <w:szCs w:val="22"/>
        </w:rPr>
        <w:t>M</w:t>
      </w:r>
      <w:r>
        <w:rPr>
          <w:szCs w:val="22"/>
        </w:rPr>
        <w:t>APU. Where the audit results do not show 100% compliance, advise what further steps will be taken to address this issue</w:t>
      </w:r>
    </w:p>
    <w:p w14:paraId="30BD5855" w14:textId="77777777" w:rsidR="00EB4A22" w:rsidRDefault="00EB4A22" w:rsidP="00EB4A22">
      <w:pPr>
        <w:pStyle w:val="ListParagraph"/>
        <w:numPr>
          <w:ilvl w:val="0"/>
          <w:numId w:val="10"/>
        </w:numPr>
        <w:spacing w:after="120"/>
        <w:ind w:left="284" w:hanging="284"/>
        <w:rPr>
          <w:szCs w:val="22"/>
        </w:rPr>
      </w:pPr>
      <w:r>
        <w:rPr>
          <w:szCs w:val="22"/>
        </w:rPr>
        <w:t>Provide evidence to HDC that further education about the sepsis pathway and documentation has been provided to nursing staff</w:t>
      </w:r>
    </w:p>
    <w:p w14:paraId="6AF272EB" w14:textId="77777777" w:rsidR="00EB4A22" w:rsidRDefault="00EB4A22" w:rsidP="00EB4A22">
      <w:pPr>
        <w:pStyle w:val="ListParagraph"/>
        <w:numPr>
          <w:ilvl w:val="0"/>
          <w:numId w:val="10"/>
        </w:numPr>
        <w:spacing w:after="120"/>
        <w:ind w:left="284" w:hanging="284"/>
        <w:rPr>
          <w:szCs w:val="22"/>
        </w:rPr>
      </w:pPr>
      <w:r>
        <w:rPr>
          <w:szCs w:val="22"/>
        </w:rPr>
        <w:t>Report back to HDC on the outcome of the DHB’s consideration in respect of patients awaiting review by primary teams, and the process of escalation of patients in the event of deterioration before formal handover of care, and whether any improvements have been made</w:t>
      </w:r>
    </w:p>
    <w:p w14:paraId="722F8A7E" w14:textId="77777777" w:rsidR="00EB4A22" w:rsidRDefault="00EB4A22" w:rsidP="00EB4A22">
      <w:pPr>
        <w:pStyle w:val="ListParagraph"/>
        <w:numPr>
          <w:ilvl w:val="0"/>
          <w:numId w:val="10"/>
        </w:numPr>
        <w:spacing w:after="240"/>
        <w:ind w:left="284" w:hanging="284"/>
        <w:rPr>
          <w:szCs w:val="22"/>
        </w:rPr>
      </w:pPr>
      <w:r>
        <w:rPr>
          <w:szCs w:val="22"/>
        </w:rPr>
        <w:t>Use this report as a basis for staff training, and disseminate the learning and changes made following this case via the DHB’s existing forums for nursing and medical teams.</w:t>
      </w:r>
    </w:p>
    <w:p w14:paraId="21EB267C" w14:textId="77777777" w:rsidR="00EB4A22" w:rsidRPr="00F666F0" w:rsidRDefault="00EB4A22" w:rsidP="00932E72">
      <w:pPr>
        <w:pStyle w:val="Heading3"/>
        <w:rPr>
          <w:rStyle w:val="Heading2Char"/>
          <w:i/>
          <w:iCs w:val="0"/>
          <w:sz w:val="28"/>
          <w:szCs w:val="28"/>
          <w:lang w:bidi="ar-SA"/>
        </w:rPr>
      </w:pPr>
      <w:bookmarkStart w:id="111" w:name="_Toc71561668"/>
      <w:bookmarkStart w:id="112" w:name="_Toc74223424"/>
      <w:r>
        <w:rPr>
          <w:lang w:val="en-AU" w:bidi="ar-SA"/>
        </w:rPr>
        <w:t>6.4</w:t>
      </w:r>
      <w:r w:rsidRPr="00666BAC">
        <w:rPr>
          <w:lang w:val="en-AU" w:bidi="ar-SA"/>
        </w:rPr>
        <w:t xml:space="preserve"> </w:t>
      </w:r>
      <w:r w:rsidRPr="00666BAC">
        <w:rPr>
          <w:lang w:val="en-AU" w:bidi="ar-SA"/>
        </w:rPr>
        <w:tab/>
      </w:r>
      <w:r>
        <w:rPr>
          <w:lang w:val="en-AU" w:bidi="ar-SA"/>
        </w:rPr>
        <w:t>Supervision and hospital transfer of man with severe depression</w:t>
      </w:r>
      <w:r w:rsidRPr="004D22EA">
        <w:rPr>
          <w:rStyle w:val="FootnoteReference"/>
          <w:b w:val="0"/>
          <w:lang w:val="en-AU" w:bidi="ar-SA"/>
        </w:rPr>
        <w:footnoteReference w:id="9"/>
      </w:r>
      <w:bookmarkEnd w:id="111"/>
      <w:bookmarkEnd w:id="112"/>
    </w:p>
    <w:p w14:paraId="55302A4D" w14:textId="77777777" w:rsidR="00EB4A22" w:rsidRPr="001965C1" w:rsidRDefault="00EB4A22" w:rsidP="00EB4A22">
      <w:pPr>
        <w:rPr>
          <w:b/>
          <w:lang w:val="en-AU" w:bidi="ar-SA"/>
        </w:rPr>
      </w:pPr>
      <w:r w:rsidRPr="001965C1">
        <w:rPr>
          <w:b/>
          <w:lang w:val="en-AU" w:bidi="ar-SA"/>
        </w:rPr>
        <w:t xml:space="preserve">This </w:t>
      </w:r>
      <w:r>
        <w:rPr>
          <w:b/>
          <w:lang w:val="en-AU" w:bidi="ar-SA"/>
        </w:rPr>
        <w:t>case highlights the importance of critical thinking, particularly in respect of escalating risk and ensuring that the overall picture, including the consumer’s mental and physical health, is taken into account in any decision-making.</w:t>
      </w:r>
    </w:p>
    <w:p w14:paraId="33D3C236" w14:textId="77777777" w:rsidR="00EB4A22" w:rsidRPr="001965C1" w:rsidRDefault="00EB4A22" w:rsidP="00EB4A22">
      <w:pPr>
        <w:rPr>
          <w:lang w:val="en-AU" w:bidi="ar-SA"/>
        </w:rPr>
      </w:pPr>
    </w:p>
    <w:p w14:paraId="5DCE5D38" w14:textId="77777777" w:rsidR="00EB4A22" w:rsidRDefault="00EB4A22" w:rsidP="004D22EA">
      <w:pPr>
        <w:rPr>
          <w:i/>
        </w:rPr>
      </w:pPr>
      <w:r>
        <w:rPr>
          <w:i/>
        </w:rPr>
        <w:t>Background</w:t>
      </w:r>
    </w:p>
    <w:p w14:paraId="50DB11BF" w14:textId="63D346B5" w:rsidR="00EB4A22" w:rsidRDefault="00EB4A22" w:rsidP="004D22EA">
      <w:pPr>
        <w:spacing w:after="240"/>
      </w:pPr>
      <w:bookmarkStart w:id="113" w:name="_Toc37056001"/>
      <w:bookmarkStart w:id="114" w:name="_Toc37315226"/>
      <w:bookmarkStart w:id="115" w:name="_Toc39138061"/>
      <w:r>
        <w:t xml:space="preserve">A man with a history of severe depression and Type 1 diabetes was voluntarily admitted to a psychiatric hospital </w:t>
      </w:r>
      <w:r w:rsidR="000B3523">
        <w:t xml:space="preserve">owing </w:t>
      </w:r>
      <w:r>
        <w:t xml:space="preserve">to a significant deterioration in mood and suicidal ideation. During his admission he was placed under the Mental Health Act owing to escalating risk to himself and others. </w:t>
      </w:r>
      <w:r w:rsidR="00AA4687">
        <w:t>Because of</w:t>
      </w:r>
      <w:r>
        <w:t xml:space="preserve"> a concern that the man might absent himself from the open ward without leave, he was transferred to the locked High Care Area (HCA). The man was placed under HCA observations, which required him to be observed at 5</w:t>
      </w:r>
      <w:r w:rsidR="00AA4687">
        <w:t>–</w:t>
      </w:r>
      <w:r>
        <w:t xml:space="preserve">15 minute intervals with variable timing to avoid predictability. </w:t>
      </w:r>
    </w:p>
    <w:p w14:paraId="7F44B582" w14:textId="5DD9AC97" w:rsidR="00EB4A22" w:rsidRDefault="00EB4A22" w:rsidP="004D22EA">
      <w:pPr>
        <w:spacing w:after="240"/>
      </w:pPr>
      <w:r>
        <w:t xml:space="preserve">A few days later, the man was observed by staff trying to stack furniture in the HCA courtyard in an attempt to abscond. He was advised to cease this behaviour. A few hours later, the man became agitated and upset after receiving a phone call informing him that a family member had </w:t>
      </w:r>
      <w:r w:rsidR="00AA4687">
        <w:t xml:space="preserve">had </w:t>
      </w:r>
      <w:r>
        <w:t xml:space="preserve">an accident and was at the hospital’s ED. The man’s requests to visit the ED and be with his family were denied </w:t>
      </w:r>
      <w:r w:rsidR="00AA4687">
        <w:t>because of the</w:t>
      </w:r>
      <w:r>
        <w:t xml:space="preserve"> risk to both himself and others. </w:t>
      </w:r>
      <w:r w:rsidR="00AA4687">
        <w:t>That day, t</w:t>
      </w:r>
      <w:r>
        <w:t>he man was being supervised by a registered nurse with the assistance of a healthcare assistant.</w:t>
      </w:r>
    </w:p>
    <w:p w14:paraId="09F4365D" w14:textId="74A97A2E" w:rsidR="00EB4A22" w:rsidRDefault="00EB4A22" w:rsidP="004D22EA">
      <w:pPr>
        <w:spacing w:after="240"/>
      </w:pPr>
      <w:r>
        <w:t xml:space="preserve">Whilst in a state of agitation, the man went to the HCA courtyard for a </w:t>
      </w:r>
      <w:r w:rsidR="00CC61F0">
        <w:t>cigarette</w:t>
      </w:r>
      <w:r>
        <w:t xml:space="preserve">. He was observed from a distance by the healthcare assistant, while the registered nurse went to the office to make a phone call. The man wedged a chair into the courtyard fence and climbed onto the roof of the HCA. </w:t>
      </w:r>
      <w:r w:rsidR="00CC61F0">
        <w:t>He</w:t>
      </w:r>
      <w:r>
        <w:t xml:space="preserve"> then jumped from the roof</w:t>
      </w:r>
      <w:r w:rsidR="00CC61F0">
        <w:t xml:space="preserve"> and</w:t>
      </w:r>
      <w:r>
        <w:t xml:space="preserve"> attempted to run away, but soon collapsed. </w:t>
      </w:r>
    </w:p>
    <w:p w14:paraId="78D64441" w14:textId="20C0FF13" w:rsidR="00EB4A22" w:rsidRDefault="00EB4A22" w:rsidP="004D22EA">
      <w:pPr>
        <w:spacing w:after="240"/>
      </w:pPr>
      <w:r>
        <w:t xml:space="preserve">The man was immediately attended by a registered nurse and a healthcare assistant. The man was unable to mobilise unaided and reported unbearable pain with weight-bearing. He was assessed by a house surgeon who was working under the direction of senior Specialist Mental Health staff. The house surgeon arranged for the man to be seen by the Orthopaedics </w:t>
      </w:r>
      <w:r w:rsidR="00FA0FA6">
        <w:t xml:space="preserve">Department </w:t>
      </w:r>
      <w:r>
        <w:t xml:space="preserve">at a public hospital. </w:t>
      </w:r>
      <w:r w:rsidR="00FA0FA6">
        <w:t>He</w:t>
      </w:r>
      <w:r>
        <w:t xml:space="preserve"> was administered codeine for pain management, but continued to complain of pain. </w:t>
      </w:r>
    </w:p>
    <w:p w14:paraId="4F0573D7" w14:textId="2706384C" w:rsidR="00EB4A22" w:rsidRDefault="00FA0FA6" w:rsidP="004D22EA">
      <w:pPr>
        <w:spacing w:after="240"/>
      </w:pPr>
      <w:r>
        <w:t xml:space="preserve">Owing </w:t>
      </w:r>
      <w:r w:rsidR="00EB4A22">
        <w:t>to significant concerns about the man’s suicidal ideations and the risk to his family</w:t>
      </w:r>
      <w:r w:rsidR="00292416">
        <w:t>,</w:t>
      </w:r>
      <w:r w:rsidR="00EB4A22">
        <w:t xml:space="preserve"> who were in the ED at the time, it was deemed not appropriate to transport the man to the hospital immediately. Additionally, after discussion with the orthopaedic registrar</w:t>
      </w:r>
      <w:r w:rsidR="00292416">
        <w:t>,</w:t>
      </w:r>
      <w:r w:rsidR="00EB4A22">
        <w:t xml:space="preserve"> it was determined that the acuity of the man’s injury was such that he could remain at the psychiatric hospital until his family left the ED.</w:t>
      </w:r>
    </w:p>
    <w:p w14:paraId="1F39CD42" w14:textId="0484F02C" w:rsidR="00EB4A22" w:rsidRDefault="00EB4A22" w:rsidP="004D22EA">
      <w:pPr>
        <w:spacing w:after="240"/>
      </w:pPr>
      <w:r>
        <w:t>Later the night, the man, accompanied by a registered nurse</w:t>
      </w:r>
      <w:r w:rsidR="009F55D0">
        <w:t>,</w:t>
      </w:r>
      <w:r>
        <w:t xml:space="preserve"> was transferred to the public hospital by taxi. The DHB stated that a taxi was used as it was thought </w:t>
      </w:r>
      <w:r w:rsidR="009F55D0">
        <w:t xml:space="preserve">that </w:t>
      </w:r>
      <w:r>
        <w:t>there would be a delay in an ambulance attending given the low acuity level of the man’s injury. X-rays showed that the man had bilateral fractures on both ankles. He underwent a number of surgeries on his feet.</w:t>
      </w:r>
    </w:p>
    <w:p w14:paraId="078421C4" w14:textId="77777777" w:rsidR="00EB4A22" w:rsidRPr="006F6275" w:rsidRDefault="00EB4A22" w:rsidP="004D22EA">
      <w:pPr>
        <w:rPr>
          <w:rStyle w:val="ListParagraphChar"/>
          <w:i/>
        </w:rPr>
      </w:pPr>
      <w:r w:rsidRPr="006F6275">
        <w:rPr>
          <w:i/>
        </w:rPr>
        <w:t>Findings</w:t>
      </w:r>
      <w:bookmarkEnd w:id="113"/>
      <w:bookmarkEnd w:id="114"/>
      <w:bookmarkEnd w:id="115"/>
    </w:p>
    <w:p w14:paraId="731005EF" w14:textId="6DF0771A" w:rsidR="00EB4A22" w:rsidRDefault="00EB4A22">
      <w:pPr>
        <w:pStyle w:val="ListParagraph"/>
        <w:spacing w:after="240"/>
        <w:ind w:left="0"/>
        <w:rPr>
          <w:rStyle w:val="ListParagraphChar"/>
        </w:rPr>
      </w:pPr>
      <w:r>
        <w:rPr>
          <w:rStyle w:val="ListParagraphChar"/>
        </w:rPr>
        <w:t>The Mental Health Commissioner was concerned that several staff at the psychiatric hospital demonstrated a lack of critical thinking in regard to the care the man received leading up to and after the incident where he injured himself. The overall picture of the man’s condition was not taken into account in the decision-making of staff to ensure a safe physical environment and prompt action after the incident. In particular, the Mental Health Commissioner was concerned by the following deficiencies:</w:t>
      </w:r>
    </w:p>
    <w:p w14:paraId="48C0A8B2" w14:textId="77777777" w:rsidR="00EB4A22" w:rsidRDefault="00EB4A22" w:rsidP="004D22EA">
      <w:pPr>
        <w:pStyle w:val="ListParagraph"/>
        <w:keepNext/>
        <w:keepLines/>
        <w:numPr>
          <w:ilvl w:val="0"/>
          <w:numId w:val="17"/>
        </w:numPr>
        <w:spacing w:after="120"/>
        <w:ind w:left="284" w:hanging="284"/>
      </w:pPr>
      <w:r>
        <w:t>The level of observation assigned to the man before the incident did not allow for adequate observation of his behaviour or adequate time to react to his behaviour</w:t>
      </w:r>
      <w:r>
        <w:rPr>
          <w:rStyle w:val="ListParagraphChar"/>
        </w:rPr>
        <w:t>. The man had attempted to abscond that morning, there was concern about his suicidality, and he was becoming increasingly agitated about being detained. These factors elevated the existing risk, necessitating a higher level of observations.</w:t>
      </w:r>
    </w:p>
    <w:p w14:paraId="22148CB5" w14:textId="1066064D" w:rsidR="00EB4A22" w:rsidRDefault="00EB4A22" w:rsidP="004D22EA">
      <w:pPr>
        <w:pStyle w:val="ListParagraph"/>
        <w:keepNext/>
        <w:keepLines/>
        <w:numPr>
          <w:ilvl w:val="0"/>
          <w:numId w:val="17"/>
        </w:numPr>
        <w:spacing w:after="120"/>
        <w:ind w:left="284" w:hanging="284"/>
        <w:rPr>
          <w:rStyle w:val="ListParagraphChar"/>
        </w:rPr>
      </w:pPr>
      <w:r>
        <w:rPr>
          <w:rStyle w:val="ListParagraphChar"/>
        </w:rPr>
        <w:t xml:space="preserve">Given the clinical risks with which he was presenting, the man should not have been alone in the HCA courtyard, </w:t>
      </w:r>
      <w:r w:rsidR="00FC6014">
        <w:rPr>
          <w:rStyle w:val="ListParagraphChar"/>
        </w:rPr>
        <w:t xml:space="preserve">and </w:t>
      </w:r>
      <w:r>
        <w:rPr>
          <w:rStyle w:val="ListParagraphChar"/>
        </w:rPr>
        <w:t xml:space="preserve">should have been observed by staff in close physical proximity to him. </w:t>
      </w:r>
    </w:p>
    <w:p w14:paraId="0966BFA5" w14:textId="350C8141" w:rsidR="00EB4A22" w:rsidRDefault="00EB4A22" w:rsidP="004D22EA">
      <w:pPr>
        <w:pStyle w:val="ListParagraph"/>
        <w:numPr>
          <w:ilvl w:val="0"/>
          <w:numId w:val="17"/>
        </w:numPr>
        <w:spacing w:after="120"/>
        <w:ind w:left="284" w:hanging="284"/>
        <w:rPr>
          <w:rStyle w:val="ListParagraphChar"/>
        </w:rPr>
      </w:pPr>
      <w:r>
        <w:rPr>
          <w:rStyle w:val="ListParagraphChar"/>
        </w:rPr>
        <w:t xml:space="preserve">The man’s transfer to the hospital was unduly delayed for four and a half hours. HDC’s clinical advisor noted that the man had severe injuries </w:t>
      </w:r>
      <w:r w:rsidR="002F1845">
        <w:rPr>
          <w:rStyle w:val="ListParagraphChar"/>
        </w:rPr>
        <w:t xml:space="preserve">— </w:t>
      </w:r>
      <w:r>
        <w:rPr>
          <w:rStyle w:val="ListParagraphChar"/>
        </w:rPr>
        <w:t xml:space="preserve">he was unable to be mobilised and was in pain. Additionally, the man already had impaired function in his lower legs owing to complications from his diabetes, which would necessitate a timely transfer. </w:t>
      </w:r>
    </w:p>
    <w:p w14:paraId="45D2BFC8" w14:textId="3BC766D1" w:rsidR="00EB4A22" w:rsidRDefault="00EB4A22" w:rsidP="00156A3C">
      <w:pPr>
        <w:pStyle w:val="ListParagraph"/>
        <w:numPr>
          <w:ilvl w:val="0"/>
          <w:numId w:val="16"/>
        </w:numPr>
        <w:spacing w:after="240"/>
        <w:ind w:left="284" w:hanging="284"/>
      </w:pPr>
      <w:r>
        <w:t>Transporting the man to hospital by taxi was not appropriate. HDC’s clinical advisor stated that the man should have been transported, urgently, by ambulance</w:t>
      </w:r>
      <w:r w:rsidR="002F1845">
        <w:t>,</w:t>
      </w:r>
      <w:r>
        <w:t xml:space="preserve"> as would have happened if his injuries </w:t>
      </w:r>
      <w:r w:rsidR="002F1845">
        <w:t xml:space="preserve">had </w:t>
      </w:r>
      <w:r>
        <w:t>occurred at any other location. The position of the man’s legs in a taxi would have contributed to pain and swelling, and his condition could not be monitored in a taxi as it would be in an ambulance.</w:t>
      </w:r>
    </w:p>
    <w:p w14:paraId="41144741" w14:textId="6BC02F59" w:rsidR="00EB4A22" w:rsidRPr="006F6275" w:rsidRDefault="00EB4A22" w:rsidP="00EB4A22">
      <w:pPr>
        <w:spacing w:after="240"/>
      </w:pPr>
      <w:r>
        <w:t xml:space="preserve">As a result of the above deficiencies, the Mental Health Commissioner found that the DHB failed to provide services to the man in a manner that minimised potential harm to him, in breach of Right 4(4) of the Code. </w:t>
      </w:r>
    </w:p>
    <w:p w14:paraId="41FE5C29" w14:textId="77777777" w:rsidR="00EB4A22" w:rsidRPr="00D02372" w:rsidRDefault="00EB4A22" w:rsidP="004D22EA">
      <w:pPr>
        <w:rPr>
          <w:i/>
        </w:rPr>
      </w:pPr>
      <w:bookmarkStart w:id="116" w:name="_Toc37056002"/>
      <w:bookmarkStart w:id="117" w:name="_Toc37315227"/>
      <w:bookmarkStart w:id="118" w:name="_Toc39138062"/>
      <w:r w:rsidRPr="00D02372">
        <w:rPr>
          <w:i/>
        </w:rPr>
        <w:t>Recommendations</w:t>
      </w:r>
      <w:bookmarkEnd w:id="116"/>
      <w:bookmarkEnd w:id="117"/>
      <w:bookmarkEnd w:id="118"/>
    </w:p>
    <w:p w14:paraId="562258AD" w14:textId="77777777" w:rsidR="00EB4A22" w:rsidRPr="004D1470" w:rsidRDefault="00EB4A22" w:rsidP="004D22EA">
      <w:pPr>
        <w:spacing w:after="120"/>
        <w:rPr>
          <w:szCs w:val="22"/>
        </w:rPr>
      </w:pPr>
      <w:r w:rsidRPr="004D1470">
        <w:rPr>
          <w:szCs w:val="22"/>
        </w:rPr>
        <w:t>The Mental Health Commissioner made a number of recommendations to the DHB, including that it:</w:t>
      </w:r>
    </w:p>
    <w:p w14:paraId="7EB0BF22" w14:textId="77777777" w:rsidR="00EB4A22" w:rsidRPr="004D1470" w:rsidRDefault="00EB4A22" w:rsidP="00EB4A22">
      <w:pPr>
        <w:pStyle w:val="ListParagraph"/>
        <w:numPr>
          <w:ilvl w:val="0"/>
          <w:numId w:val="11"/>
        </w:numPr>
        <w:spacing w:after="120"/>
        <w:ind w:left="284" w:hanging="284"/>
        <w:rPr>
          <w:rStyle w:val="abclistChar"/>
          <w:sz w:val="22"/>
        </w:rPr>
      </w:pPr>
      <w:r w:rsidRPr="004D1470">
        <w:rPr>
          <w:szCs w:val="22"/>
        </w:rPr>
        <w:t xml:space="preserve">Provide an apology to the man </w:t>
      </w:r>
    </w:p>
    <w:p w14:paraId="5DA176D5" w14:textId="46E557DA" w:rsidR="00EB4A22" w:rsidRPr="004D1470" w:rsidRDefault="00EB4A22" w:rsidP="00EB4A22">
      <w:pPr>
        <w:pStyle w:val="ListParagraph"/>
        <w:numPr>
          <w:ilvl w:val="0"/>
          <w:numId w:val="11"/>
        </w:numPr>
        <w:spacing w:after="120"/>
        <w:ind w:left="284" w:hanging="284"/>
        <w:rPr>
          <w:szCs w:val="22"/>
        </w:rPr>
      </w:pPr>
      <w:r w:rsidRPr="004D1470">
        <w:rPr>
          <w:rStyle w:val="abclistChar"/>
          <w:sz w:val="22"/>
        </w:rPr>
        <w:t>Amend its observation policy to direct staff to maintain the assigned level of observation for a consumer whilst the consumer is smoking, including guidance on what to do if a situation is escalating</w:t>
      </w:r>
    </w:p>
    <w:p w14:paraId="1658B068" w14:textId="1274E64D" w:rsidR="00EB4A22" w:rsidRPr="004D1470" w:rsidRDefault="00EB4A22" w:rsidP="00EB4A22">
      <w:pPr>
        <w:pStyle w:val="ListParagraph"/>
        <w:numPr>
          <w:ilvl w:val="0"/>
          <w:numId w:val="11"/>
        </w:numPr>
        <w:spacing w:after="120"/>
        <w:ind w:left="284" w:hanging="284"/>
        <w:rPr>
          <w:szCs w:val="22"/>
        </w:rPr>
      </w:pPr>
      <w:r w:rsidRPr="004D1470">
        <w:rPr>
          <w:szCs w:val="22"/>
        </w:rPr>
        <w:t xml:space="preserve">Review local clinical documentation on how formal observations are recorded, implemented, handed over, and reviewed. </w:t>
      </w:r>
      <w:r w:rsidRPr="004D1470">
        <w:rPr>
          <w:szCs w:val="22"/>
          <w:lang w:val="en-US"/>
        </w:rPr>
        <w:t>Incident data should be used to track the number of occasions when an inability to maintain observations is reported by staff</w:t>
      </w:r>
      <w:r w:rsidR="004D7B0C">
        <w:rPr>
          <w:szCs w:val="22"/>
          <w:lang w:val="en-US"/>
        </w:rPr>
        <w:t>,</w:t>
      </w:r>
      <w:r w:rsidRPr="004D1470">
        <w:rPr>
          <w:szCs w:val="22"/>
          <w:lang w:val="en-US"/>
        </w:rPr>
        <w:t xml:space="preserve"> and </w:t>
      </w:r>
      <w:r w:rsidR="004D7B0C">
        <w:rPr>
          <w:szCs w:val="22"/>
          <w:lang w:val="en-US"/>
        </w:rPr>
        <w:t xml:space="preserve">to </w:t>
      </w:r>
      <w:r w:rsidRPr="004D1470">
        <w:rPr>
          <w:szCs w:val="22"/>
          <w:lang w:val="en-US"/>
        </w:rPr>
        <w:t>identify themes, trends</w:t>
      </w:r>
      <w:r w:rsidR="004D7B0C">
        <w:rPr>
          <w:szCs w:val="22"/>
          <w:lang w:val="en-US"/>
        </w:rPr>
        <w:t>,</w:t>
      </w:r>
      <w:r w:rsidRPr="004D1470">
        <w:rPr>
          <w:szCs w:val="22"/>
          <w:lang w:val="en-US"/>
        </w:rPr>
        <w:t xml:space="preserve"> and improvement opportunities. </w:t>
      </w:r>
      <w:r w:rsidRPr="004D1470">
        <w:rPr>
          <w:szCs w:val="22"/>
        </w:rPr>
        <w:t xml:space="preserve">Any new systems and tools developed as a result of the review should be auditable </w:t>
      </w:r>
    </w:p>
    <w:p w14:paraId="63745641" w14:textId="77777777" w:rsidR="00EB4A22" w:rsidRPr="004D1470" w:rsidRDefault="00EB4A22" w:rsidP="00EB4A22">
      <w:pPr>
        <w:pStyle w:val="ListParagraph"/>
        <w:numPr>
          <w:ilvl w:val="0"/>
          <w:numId w:val="11"/>
        </w:numPr>
        <w:spacing w:after="120"/>
        <w:ind w:left="284" w:hanging="284"/>
        <w:rPr>
          <w:szCs w:val="22"/>
        </w:rPr>
      </w:pPr>
      <w:r w:rsidRPr="004D1470">
        <w:rPr>
          <w:szCs w:val="22"/>
          <w:lang w:val="en-US"/>
        </w:rPr>
        <w:t>Undertake an audit of hospital transfers to ensure that its updated Hospital Health Pathway (which requires consumers to be transferred in a suitable vehicle depending on their presentation) are being adhered to</w:t>
      </w:r>
    </w:p>
    <w:p w14:paraId="011DD89A" w14:textId="67681D09" w:rsidR="00EB4A22" w:rsidRPr="004D1470" w:rsidRDefault="00EB4A22" w:rsidP="00EB4A22">
      <w:pPr>
        <w:pStyle w:val="ListParagraph"/>
        <w:numPr>
          <w:ilvl w:val="0"/>
          <w:numId w:val="11"/>
        </w:numPr>
        <w:spacing w:after="120"/>
        <w:ind w:left="284" w:hanging="284"/>
        <w:rPr>
          <w:szCs w:val="22"/>
        </w:rPr>
      </w:pPr>
      <w:r w:rsidRPr="004D1470">
        <w:rPr>
          <w:szCs w:val="22"/>
        </w:rPr>
        <w:t>Report back to HDC on the outcome of its consideration of the following recommendations:</w:t>
      </w:r>
    </w:p>
    <w:p w14:paraId="710B4F61" w14:textId="77777777" w:rsidR="00EB4A22" w:rsidRPr="004D1470" w:rsidRDefault="00EB4A22" w:rsidP="00156A3C">
      <w:pPr>
        <w:pStyle w:val="ListParagraph"/>
        <w:numPr>
          <w:ilvl w:val="0"/>
          <w:numId w:val="18"/>
        </w:numPr>
        <w:spacing w:after="120"/>
        <w:ind w:left="567" w:hanging="283"/>
        <w:rPr>
          <w:szCs w:val="22"/>
        </w:rPr>
      </w:pPr>
      <w:r w:rsidRPr="004D1470">
        <w:rPr>
          <w:szCs w:val="22"/>
        </w:rPr>
        <w:t>Have a registered nurse in the outdoor area of the HCA any time there is a consumer there, to ensure that the area is within continuous line of sight</w:t>
      </w:r>
    </w:p>
    <w:p w14:paraId="59F1285C" w14:textId="77777777" w:rsidR="00EB4A22" w:rsidRPr="004D1470" w:rsidRDefault="00EB4A22" w:rsidP="00156A3C">
      <w:pPr>
        <w:pStyle w:val="ListParagraph"/>
        <w:numPr>
          <w:ilvl w:val="0"/>
          <w:numId w:val="18"/>
        </w:numPr>
        <w:spacing w:after="120"/>
        <w:ind w:left="567" w:hanging="283"/>
        <w:rPr>
          <w:szCs w:val="22"/>
        </w:rPr>
      </w:pPr>
      <w:r w:rsidRPr="004D1470">
        <w:rPr>
          <w:szCs w:val="22"/>
        </w:rPr>
        <w:t>Review the outdoor area of the HCA for risk of absconding, including the design of the fence and the furniture placed in the area</w:t>
      </w:r>
    </w:p>
    <w:p w14:paraId="13A63B00" w14:textId="202ED01E" w:rsidR="00EB4A22" w:rsidRPr="004D1470" w:rsidRDefault="00EB4A22" w:rsidP="00156A3C">
      <w:pPr>
        <w:pStyle w:val="ListParagraph"/>
        <w:numPr>
          <w:ilvl w:val="0"/>
          <w:numId w:val="18"/>
        </w:numPr>
        <w:spacing w:after="120"/>
        <w:ind w:left="567" w:hanging="283"/>
        <w:rPr>
          <w:szCs w:val="22"/>
        </w:rPr>
      </w:pPr>
      <w:r w:rsidRPr="004D1470">
        <w:rPr>
          <w:szCs w:val="22"/>
        </w:rPr>
        <w:t xml:space="preserve">Remind staff that although the outdoor area of the HCA is used for smoking, supervision of smoking is not the only factor determining need for observation </w:t>
      </w:r>
      <w:r w:rsidR="004D7B0C">
        <w:rPr>
          <w:szCs w:val="22"/>
        </w:rPr>
        <w:t>—</w:t>
      </w:r>
      <w:r w:rsidRPr="004D1470">
        <w:rPr>
          <w:szCs w:val="22"/>
        </w:rPr>
        <w:t xml:space="preserve"> risk of self-harm, harm to others</w:t>
      </w:r>
      <w:r w:rsidR="004D7B0C">
        <w:rPr>
          <w:szCs w:val="22"/>
        </w:rPr>
        <w:t>,</w:t>
      </w:r>
      <w:r w:rsidRPr="004D1470">
        <w:rPr>
          <w:szCs w:val="22"/>
        </w:rPr>
        <w:t xml:space="preserve"> and absconding also need to be considered</w:t>
      </w:r>
    </w:p>
    <w:p w14:paraId="27BD8D20" w14:textId="4873787F" w:rsidR="00D02372" w:rsidRPr="00EB4A22" w:rsidRDefault="00EB4A22" w:rsidP="00156A3C">
      <w:pPr>
        <w:pStyle w:val="ListParagraph"/>
        <w:numPr>
          <w:ilvl w:val="0"/>
          <w:numId w:val="18"/>
        </w:numPr>
        <w:spacing w:after="120"/>
        <w:ind w:left="567" w:hanging="283"/>
        <w:rPr>
          <w:szCs w:val="22"/>
        </w:rPr>
      </w:pPr>
      <w:r w:rsidRPr="004D1470">
        <w:rPr>
          <w:szCs w:val="22"/>
        </w:rPr>
        <w:t>Review existing policy on transfer to acute medical care, focusing on clearly distinguishing between a simple transfer from one setting to another and when an acute medical event should be treated as an emergency.</w:t>
      </w:r>
    </w:p>
    <w:sectPr w:rsidR="00D02372" w:rsidRPr="00EB4A22" w:rsidSect="0078382D">
      <w:headerReference w:type="default" r:id="rId14"/>
      <w:footerReference w:type="default" r:id="rId15"/>
      <w:pgSz w:w="11906" w:h="16838"/>
      <w:pgMar w:top="1134"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83E46" w14:textId="77777777" w:rsidR="00BF18CE" w:rsidRDefault="00BF18CE" w:rsidP="00841E1C">
      <w:r>
        <w:separator/>
      </w:r>
    </w:p>
  </w:endnote>
  <w:endnote w:type="continuationSeparator" w:id="0">
    <w:p w14:paraId="1C2E75E1" w14:textId="77777777" w:rsidR="00BF18CE" w:rsidRDefault="00BF18CE" w:rsidP="0084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6F76" w14:textId="77777777" w:rsidR="00BF18CE" w:rsidRDefault="00BF18CE" w:rsidP="00841E1C">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Pr>
        <w:noProof/>
        <w:szCs w:val="22"/>
      </w:rPr>
      <w:t>xxii</w:t>
    </w:r>
    <w:r w:rsidRPr="0073317F">
      <w:rP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95150"/>
      <w:docPartObj>
        <w:docPartGallery w:val="Page Numbers (Bottom of Page)"/>
        <w:docPartUnique/>
      </w:docPartObj>
    </w:sdtPr>
    <w:sdtEndPr>
      <w:rPr>
        <w:noProof/>
      </w:rPr>
    </w:sdtEndPr>
    <w:sdtContent>
      <w:p w14:paraId="566C4B03" w14:textId="76D85A73" w:rsidR="00BF18CE" w:rsidRDefault="00BF18CE">
        <w:pPr>
          <w:pStyle w:val="Footer"/>
          <w:jc w:val="center"/>
        </w:pPr>
        <w:r>
          <w:fldChar w:fldCharType="begin"/>
        </w:r>
        <w:r>
          <w:instrText xml:space="preserve"> PAGE   \* MERGEFORMAT </w:instrText>
        </w:r>
        <w:r>
          <w:fldChar w:fldCharType="separate"/>
        </w:r>
        <w:r w:rsidR="00536724">
          <w:rPr>
            <w:noProof/>
          </w:rPr>
          <w:t>i</w:t>
        </w:r>
        <w:r>
          <w:rPr>
            <w:noProof/>
          </w:rPr>
          <w:fldChar w:fldCharType="end"/>
        </w:r>
      </w:p>
    </w:sdtContent>
  </w:sdt>
  <w:p w14:paraId="7FF26CDF" w14:textId="77777777" w:rsidR="00BF18CE" w:rsidRDefault="00BF1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1CE1" w14:textId="77777777" w:rsidR="00BF18CE" w:rsidRDefault="00BF18CE" w:rsidP="00841E1C">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7076"/>
      <w:docPartObj>
        <w:docPartGallery w:val="Page Numbers (Bottom of Page)"/>
        <w:docPartUnique/>
      </w:docPartObj>
    </w:sdtPr>
    <w:sdtEndPr>
      <w:rPr>
        <w:noProof/>
      </w:rPr>
    </w:sdtEndPr>
    <w:sdtContent>
      <w:p w14:paraId="606DB229" w14:textId="7C4FC492" w:rsidR="00BF18CE" w:rsidRDefault="00BF18CE">
        <w:pPr>
          <w:pStyle w:val="Footer"/>
          <w:jc w:val="center"/>
        </w:pPr>
        <w:r>
          <w:fldChar w:fldCharType="begin"/>
        </w:r>
        <w:r>
          <w:instrText xml:space="preserve"> PAGE   \* MERGEFORMAT </w:instrText>
        </w:r>
        <w:r>
          <w:fldChar w:fldCharType="separate"/>
        </w:r>
        <w:r w:rsidR="00536724">
          <w:rPr>
            <w:noProof/>
          </w:rPr>
          <w:t>4</w:t>
        </w:r>
        <w:r>
          <w:rPr>
            <w:noProof/>
          </w:rPr>
          <w:fldChar w:fldCharType="end"/>
        </w:r>
      </w:p>
    </w:sdtContent>
  </w:sdt>
  <w:p w14:paraId="6B58C0EF" w14:textId="77777777" w:rsidR="00BF18CE" w:rsidRDefault="00BF1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DBE6" w14:textId="77777777" w:rsidR="00BF18CE" w:rsidRDefault="00BF18CE" w:rsidP="00841E1C">
      <w:r>
        <w:separator/>
      </w:r>
    </w:p>
  </w:footnote>
  <w:footnote w:type="continuationSeparator" w:id="0">
    <w:p w14:paraId="2BF9D905" w14:textId="77777777" w:rsidR="00BF18CE" w:rsidRDefault="00BF18CE" w:rsidP="00841E1C">
      <w:r>
        <w:continuationSeparator/>
      </w:r>
    </w:p>
  </w:footnote>
  <w:footnote w:id="1">
    <w:p w14:paraId="609B0C51" w14:textId="77777777" w:rsidR="00BF18CE" w:rsidRDefault="00BF18CE" w:rsidP="00EB4A22">
      <w:pPr>
        <w:pStyle w:val="FootnoteText"/>
        <w:rPr>
          <w:lang w:val="en-US"/>
        </w:rPr>
      </w:pPr>
      <w:r w:rsidRPr="003E5338">
        <w:rPr>
          <w:rStyle w:val="FootnoteReference"/>
        </w:rPr>
        <w:footnoteRef/>
      </w:r>
      <w:r>
        <w:t xml:space="preserve"> </w:t>
      </w:r>
      <w:r>
        <w:rPr>
          <w:lang w:val="en-US"/>
        </w:rPr>
        <w:t>Provisional as of date of extraction (1 February 2021).</w:t>
      </w:r>
    </w:p>
  </w:footnote>
  <w:footnote w:id="2">
    <w:p w14:paraId="37346854" w14:textId="77777777" w:rsidR="00BF18CE" w:rsidRDefault="00BF18CE" w:rsidP="00EB4A22">
      <w:pPr>
        <w:pStyle w:val="FootnoteText"/>
      </w:pPr>
      <w:r>
        <w:rPr>
          <w:rStyle w:val="FootnoteReference"/>
        </w:rPr>
        <w:footnoteRef/>
      </w:r>
      <w:r>
        <w:t xml:space="preserve"> </w:t>
      </w:r>
      <w:r>
        <w:rPr>
          <w:lang w:eastAsia="en-NZ" w:bidi="ar-SA"/>
        </w:rPr>
        <w:t>The rate for Jan</w:t>
      </w:r>
      <w:r>
        <w:rPr>
          <w:rFonts w:ascii="Calibri" w:hAnsi="Calibri"/>
          <w:lang w:eastAsia="en-NZ" w:bidi="ar-SA"/>
        </w:rPr>
        <w:t>–</w:t>
      </w:r>
      <w:r>
        <w:rPr>
          <w:lang w:eastAsia="en-NZ" w:bidi="ar-SA"/>
        </w:rPr>
        <w:t>Jun 2020 has been recalculated based on the most recent discharge data.</w:t>
      </w:r>
    </w:p>
  </w:footnote>
  <w:footnote w:id="3">
    <w:p w14:paraId="70931D61" w14:textId="77777777" w:rsidR="00BF18CE" w:rsidRDefault="00BF18CE" w:rsidP="00EB4A22">
      <w:pPr>
        <w:pStyle w:val="FootnoteText"/>
        <w:rPr>
          <w:lang w:val="en-US"/>
        </w:rPr>
      </w:pPr>
      <w:r w:rsidRPr="003E5338">
        <w:rPr>
          <w:rStyle w:val="FootnoteReference"/>
        </w:rPr>
        <w:footnoteRef/>
      </w:r>
      <w:r>
        <w:t xml:space="preserve"> </w:t>
      </w:r>
      <w:r>
        <w:rPr>
          <w:lang w:val="en-US"/>
        </w:rPr>
        <w:t>Please note that some complaints will involve more than one DHB, and therefore the total number of complaints received for each DHB will be larger than the number of complaints received about care provided by DHBs.</w:t>
      </w:r>
    </w:p>
  </w:footnote>
  <w:footnote w:id="4">
    <w:p w14:paraId="56DAFB49" w14:textId="77777777" w:rsidR="00BF18CE" w:rsidRDefault="00BF18CE" w:rsidP="00EB4A22">
      <w:pPr>
        <w:pStyle w:val="FootnoteText"/>
      </w:pPr>
      <w:r w:rsidRPr="003E5338">
        <w:rPr>
          <w:rStyle w:val="FootnoteReference"/>
        </w:rPr>
        <w:footnoteRef/>
      </w:r>
      <w:r>
        <w:t xml:space="preserve"> Note that complaints may be received in one six-month period and closed in another six-month period </w:t>
      </w:r>
      <w:r>
        <w:rPr>
          <w:rFonts w:ascii="Calibri" w:hAnsi="Calibri"/>
        </w:rPr>
        <w:t>—</w:t>
      </w:r>
      <w:r>
        <w:t xml:space="preserve"> therefore, the number of complaints received will not correlate with the number of complaints closed. </w:t>
      </w:r>
    </w:p>
  </w:footnote>
  <w:footnote w:id="5">
    <w:p w14:paraId="29E712D6" w14:textId="77777777" w:rsidR="00BF18CE" w:rsidRDefault="00BF18CE" w:rsidP="00EB4A22">
      <w:pPr>
        <w:pStyle w:val="FootnoteText"/>
      </w:pPr>
      <w:r w:rsidRPr="003E5338">
        <w:rPr>
          <w:rStyle w:val="FootnoteReference"/>
        </w:rPr>
        <w:footnoteRef/>
      </w:r>
      <w:r>
        <w:t xml:space="preserve"> Note that outcomes are displayed in descending order. If there is more than one outcome for a DHB upon resolution of a complaint, then only the outcome that is listed highest in the table is included.</w:t>
      </w:r>
    </w:p>
    <w:p w14:paraId="20CA6420" w14:textId="77777777" w:rsidR="00BF18CE" w:rsidRDefault="00BF18CE" w:rsidP="00EB4A22">
      <w:pPr>
        <w:pStyle w:val="FootnoteText"/>
      </w:pPr>
    </w:p>
  </w:footnote>
  <w:footnote w:id="6">
    <w:p w14:paraId="0F6FE4F0" w14:textId="38330792" w:rsidR="00BF18CE" w:rsidRPr="00F666F0" w:rsidRDefault="00BF18CE" w:rsidP="00EB4A22">
      <w:pPr>
        <w:pStyle w:val="FootnoteText"/>
        <w:rPr>
          <w:lang w:val="en-US"/>
        </w:rPr>
      </w:pPr>
      <w:r>
        <w:rPr>
          <w:rStyle w:val="FootnoteReference"/>
        </w:rPr>
        <w:footnoteRef/>
      </w:r>
      <w:r>
        <w:t xml:space="preserve"> Case 18HDC01085.</w:t>
      </w:r>
    </w:p>
  </w:footnote>
  <w:footnote w:id="7">
    <w:p w14:paraId="52AE7F56" w14:textId="1FE6CDAD" w:rsidR="00BF18CE" w:rsidRPr="00F666F0" w:rsidRDefault="00BF18CE" w:rsidP="00EB4A22">
      <w:pPr>
        <w:pStyle w:val="FootnoteText"/>
        <w:rPr>
          <w:lang w:val="en-US"/>
        </w:rPr>
      </w:pPr>
      <w:r w:rsidRPr="00F666F0">
        <w:rPr>
          <w:rStyle w:val="FootnoteReference"/>
        </w:rPr>
        <w:footnoteRef/>
      </w:r>
      <w:r w:rsidRPr="00F666F0">
        <w:t xml:space="preserve"> </w:t>
      </w:r>
      <w:r>
        <w:t>Case 18HDC00384.</w:t>
      </w:r>
    </w:p>
  </w:footnote>
  <w:footnote w:id="8">
    <w:p w14:paraId="0B57F045" w14:textId="22A863EA" w:rsidR="00BF18CE" w:rsidRPr="006C4735" w:rsidRDefault="00BF18CE" w:rsidP="00EB4A22">
      <w:pPr>
        <w:pStyle w:val="FootnoteText"/>
        <w:rPr>
          <w:lang w:val="en-US"/>
        </w:rPr>
      </w:pPr>
      <w:r w:rsidRPr="006C4735">
        <w:rPr>
          <w:rStyle w:val="FootnoteReference"/>
        </w:rPr>
        <w:footnoteRef/>
      </w:r>
      <w:r w:rsidRPr="006C4735">
        <w:t xml:space="preserve"> </w:t>
      </w:r>
      <w:r>
        <w:t>Case 18HDC01768.</w:t>
      </w:r>
    </w:p>
  </w:footnote>
  <w:footnote w:id="9">
    <w:p w14:paraId="47A93B5E" w14:textId="77777777" w:rsidR="00BF18CE" w:rsidRPr="006C4735" w:rsidRDefault="00BF18CE" w:rsidP="00EB4A22">
      <w:pPr>
        <w:pStyle w:val="FootnoteText"/>
        <w:rPr>
          <w:lang w:val="en-US"/>
        </w:rPr>
      </w:pPr>
      <w:r w:rsidRPr="006C4735">
        <w:rPr>
          <w:rStyle w:val="FootnoteReference"/>
        </w:rPr>
        <w:footnoteRef/>
      </w:r>
      <w:r w:rsidRPr="006C4735">
        <w:t xml:space="preserve"> </w:t>
      </w:r>
      <w:r>
        <w:t>Case 18HDC02113.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9541" w14:textId="77777777" w:rsidR="00BF18CE" w:rsidRDefault="00BF1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733C"/>
    <w:multiLevelType w:val="hybridMultilevel"/>
    <w:tmpl w:val="332C8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EA2E2E"/>
    <w:multiLevelType w:val="hybridMultilevel"/>
    <w:tmpl w:val="D32CD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772E84"/>
    <w:multiLevelType w:val="hybridMultilevel"/>
    <w:tmpl w:val="8B3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B8152E"/>
    <w:multiLevelType w:val="hybridMultilevel"/>
    <w:tmpl w:val="40847702"/>
    <w:lvl w:ilvl="0" w:tplc="174C0F20">
      <w:start w:val="1"/>
      <w:numFmt w:val="bullet"/>
      <w:pStyle w:val="Bulletlist"/>
      <w:lvlText w:val=""/>
      <w:lvlJc w:val="left"/>
      <w:pPr>
        <w:ind w:left="720" w:hanging="360"/>
      </w:pPr>
      <w:rPr>
        <w:rFonts w:ascii="Symbol" w:hAnsi="Symbol" w:hint="default"/>
        <w:sz w:val="24"/>
        <w:szCs w:val="24"/>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4E12B8A"/>
    <w:multiLevelType w:val="hybridMultilevel"/>
    <w:tmpl w:val="2640D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A14A00"/>
    <w:multiLevelType w:val="hybridMultilevel"/>
    <w:tmpl w:val="37DAE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931DEB"/>
    <w:multiLevelType w:val="hybridMultilevel"/>
    <w:tmpl w:val="EB5EF2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19D2B07"/>
    <w:multiLevelType w:val="hybridMultilevel"/>
    <w:tmpl w:val="A7981D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8F39F4"/>
    <w:multiLevelType w:val="hybridMultilevel"/>
    <w:tmpl w:val="F92491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5128E6"/>
    <w:multiLevelType w:val="hybridMultilevel"/>
    <w:tmpl w:val="64BAA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E81E14"/>
    <w:multiLevelType w:val="hybridMultilevel"/>
    <w:tmpl w:val="F8742488"/>
    <w:lvl w:ilvl="0" w:tplc="14090001">
      <w:start w:val="1"/>
      <w:numFmt w:val="bullet"/>
      <w:pStyle w:val="abclis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1" w15:restartNumberingAfterBreak="0">
    <w:nsid w:val="310F4724"/>
    <w:multiLevelType w:val="hybridMultilevel"/>
    <w:tmpl w:val="01486556"/>
    <w:lvl w:ilvl="0" w:tplc="33FE280E">
      <w:start w:val="1"/>
      <w:numFmt w:val="lowerLetter"/>
      <w:pStyle w:val="Recommendationfinalpoint"/>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6A17209"/>
    <w:multiLevelType w:val="hybridMultilevel"/>
    <w:tmpl w:val="2696A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2C306B"/>
    <w:multiLevelType w:val="hybridMultilevel"/>
    <w:tmpl w:val="12F0E210"/>
    <w:lvl w:ilvl="0" w:tplc="2B7208C8">
      <w:start w:val="1"/>
      <w:numFmt w:val="bullet"/>
      <w:pStyle w:val="Bulletitalfinal"/>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8605B4D"/>
    <w:multiLevelType w:val="hybridMultilevel"/>
    <w:tmpl w:val="A5AC4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308186D"/>
    <w:multiLevelType w:val="hybridMultilevel"/>
    <w:tmpl w:val="666A4B12"/>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6" w15:restartNumberingAfterBreak="0">
    <w:nsid w:val="54464542"/>
    <w:multiLevelType w:val="hybridMultilevel"/>
    <w:tmpl w:val="8084B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637482F"/>
    <w:multiLevelType w:val="hybridMultilevel"/>
    <w:tmpl w:val="78BAD416"/>
    <w:lvl w:ilvl="0" w:tplc="A5565B72">
      <w:start w:val="8"/>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C01536D"/>
    <w:multiLevelType w:val="hybridMultilevel"/>
    <w:tmpl w:val="BEBCC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2C901F3"/>
    <w:multiLevelType w:val="hybridMultilevel"/>
    <w:tmpl w:val="0D168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D10D88"/>
    <w:multiLevelType w:val="hybridMultilevel"/>
    <w:tmpl w:val="83EC70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18"/>
  </w:num>
  <w:num w:numId="5">
    <w:abstractNumId w:val="19"/>
  </w:num>
  <w:num w:numId="6">
    <w:abstractNumId w:val="16"/>
  </w:num>
  <w:num w:numId="7">
    <w:abstractNumId w:val="13"/>
  </w:num>
  <w:num w:numId="8">
    <w:abstractNumId w:val="3"/>
  </w:num>
  <w:num w:numId="9">
    <w:abstractNumId w:val="12"/>
  </w:num>
  <w:num w:numId="10">
    <w:abstractNumId w:val="0"/>
  </w:num>
  <w:num w:numId="11">
    <w:abstractNumId w:val="7"/>
  </w:num>
  <w:num w:numId="12">
    <w:abstractNumId w:val="2"/>
  </w:num>
  <w:num w:numId="13">
    <w:abstractNumId w:val="5"/>
  </w:num>
  <w:num w:numId="14">
    <w:abstractNumId w:val="14"/>
  </w:num>
  <w:num w:numId="15">
    <w:abstractNumId w:val="20"/>
  </w:num>
  <w:num w:numId="16">
    <w:abstractNumId w:val="1"/>
  </w:num>
  <w:num w:numId="17">
    <w:abstractNumId w:val="9"/>
  </w:num>
  <w:num w:numId="18">
    <w:abstractNumId w:val="15"/>
  </w:num>
  <w:num w:numId="19">
    <w:abstractNumId w:val="6"/>
  </w:num>
  <w:num w:numId="20">
    <w:abstractNumId w:val="8"/>
  </w:num>
  <w:num w:numId="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1C"/>
    <w:rsid w:val="00005B1C"/>
    <w:rsid w:val="00012CBB"/>
    <w:rsid w:val="0001347E"/>
    <w:rsid w:val="000153C6"/>
    <w:rsid w:val="00020C01"/>
    <w:rsid w:val="00020F95"/>
    <w:rsid w:val="000255A3"/>
    <w:rsid w:val="00075B0A"/>
    <w:rsid w:val="0008115E"/>
    <w:rsid w:val="00091893"/>
    <w:rsid w:val="00091B1A"/>
    <w:rsid w:val="000A6DED"/>
    <w:rsid w:val="000B019E"/>
    <w:rsid w:val="000B1AB6"/>
    <w:rsid w:val="000B3523"/>
    <w:rsid w:val="000B5E05"/>
    <w:rsid w:val="000B6642"/>
    <w:rsid w:val="000C2A30"/>
    <w:rsid w:val="000D0437"/>
    <w:rsid w:val="000D5357"/>
    <w:rsid w:val="000D620F"/>
    <w:rsid w:val="000E1099"/>
    <w:rsid w:val="000E7FDB"/>
    <w:rsid w:val="000F20D6"/>
    <w:rsid w:val="00102E22"/>
    <w:rsid w:val="00104FC9"/>
    <w:rsid w:val="00122583"/>
    <w:rsid w:val="00130B4D"/>
    <w:rsid w:val="001423D2"/>
    <w:rsid w:val="00144EF1"/>
    <w:rsid w:val="00156A3C"/>
    <w:rsid w:val="001619B8"/>
    <w:rsid w:val="00163955"/>
    <w:rsid w:val="00165F89"/>
    <w:rsid w:val="00170781"/>
    <w:rsid w:val="0017126E"/>
    <w:rsid w:val="00184CD4"/>
    <w:rsid w:val="001918F5"/>
    <w:rsid w:val="001965C1"/>
    <w:rsid w:val="001A2DD8"/>
    <w:rsid w:val="001B4589"/>
    <w:rsid w:val="001C3941"/>
    <w:rsid w:val="001C682B"/>
    <w:rsid w:val="001E3705"/>
    <w:rsid w:val="001E3CF1"/>
    <w:rsid w:val="001F1407"/>
    <w:rsid w:val="001F7DC9"/>
    <w:rsid w:val="00210961"/>
    <w:rsid w:val="002111FB"/>
    <w:rsid w:val="00217AF4"/>
    <w:rsid w:val="0024059C"/>
    <w:rsid w:val="0024163A"/>
    <w:rsid w:val="002538E2"/>
    <w:rsid w:val="002632A1"/>
    <w:rsid w:val="00270C50"/>
    <w:rsid w:val="00272488"/>
    <w:rsid w:val="00281A03"/>
    <w:rsid w:val="00286DED"/>
    <w:rsid w:val="00292416"/>
    <w:rsid w:val="002A117D"/>
    <w:rsid w:val="002B345D"/>
    <w:rsid w:val="002C34A9"/>
    <w:rsid w:val="002C7890"/>
    <w:rsid w:val="002D7A73"/>
    <w:rsid w:val="002F1845"/>
    <w:rsid w:val="00307654"/>
    <w:rsid w:val="00320F70"/>
    <w:rsid w:val="00332EC2"/>
    <w:rsid w:val="00333858"/>
    <w:rsid w:val="00337477"/>
    <w:rsid w:val="00340F93"/>
    <w:rsid w:val="003412FC"/>
    <w:rsid w:val="00342166"/>
    <w:rsid w:val="00344BA1"/>
    <w:rsid w:val="003451E7"/>
    <w:rsid w:val="00357609"/>
    <w:rsid w:val="00361C8D"/>
    <w:rsid w:val="00362B4D"/>
    <w:rsid w:val="00381D9F"/>
    <w:rsid w:val="00385312"/>
    <w:rsid w:val="0039129E"/>
    <w:rsid w:val="00394623"/>
    <w:rsid w:val="003A6FD3"/>
    <w:rsid w:val="003C3F06"/>
    <w:rsid w:val="003D1DF9"/>
    <w:rsid w:val="003E5338"/>
    <w:rsid w:val="00404073"/>
    <w:rsid w:val="004040D2"/>
    <w:rsid w:val="00406651"/>
    <w:rsid w:val="00417404"/>
    <w:rsid w:val="0042242D"/>
    <w:rsid w:val="00425B4F"/>
    <w:rsid w:val="0043728B"/>
    <w:rsid w:val="00445FF5"/>
    <w:rsid w:val="00452CE0"/>
    <w:rsid w:val="0046680E"/>
    <w:rsid w:val="00470EF6"/>
    <w:rsid w:val="004802BD"/>
    <w:rsid w:val="00481F9A"/>
    <w:rsid w:val="00486770"/>
    <w:rsid w:val="00492E7E"/>
    <w:rsid w:val="004A01A7"/>
    <w:rsid w:val="004B1404"/>
    <w:rsid w:val="004C0176"/>
    <w:rsid w:val="004C6D7F"/>
    <w:rsid w:val="004C6DD1"/>
    <w:rsid w:val="004D22EA"/>
    <w:rsid w:val="004D7B0C"/>
    <w:rsid w:val="004E22F0"/>
    <w:rsid w:val="004E379E"/>
    <w:rsid w:val="004E5DE9"/>
    <w:rsid w:val="004F61AA"/>
    <w:rsid w:val="004F7501"/>
    <w:rsid w:val="00502178"/>
    <w:rsid w:val="0050415E"/>
    <w:rsid w:val="005041D2"/>
    <w:rsid w:val="0050633F"/>
    <w:rsid w:val="005120FC"/>
    <w:rsid w:val="0051327A"/>
    <w:rsid w:val="00520021"/>
    <w:rsid w:val="005211E7"/>
    <w:rsid w:val="00533DD7"/>
    <w:rsid w:val="00536724"/>
    <w:rsid w:val="00544D81"/>
    <w:rsid w:val="00545F9B"/>
    <w:rsid w:val="00552AE7"/>
    <w:rsid w:val="00555018"/>
    <w:rsid w:val="00556413"/>
    <w:rsid w:val="005640BD"/>
    <w:rsid w:val="00580D20"/>
    <w:rsid w:val="00591D29"/>
    <w:rsid w:val="005A4245"/>
    <w:rsid w:val="005A62C7"/>
    <w:rsid w:val="005B42C0"/>
    <w:rsid w:val="005B76E4"/>
    <w:rsid w:val="005E49D5"/>
    <w:rsid w:val="005F0555"/>
    <w:rsid w:val="005F754E"/>
    <w:rsid w:val="00601B37"/>
    <w:rsid w:val="0061030B"/>
    <w:rsid w:val="00610AEE"/>
    <w:rsid w:val="00611D40"/>
    <w:rsid w:val="00613DE1"/>
    <w:rsid w:val="00620E76"/>
    <w:rsid w:val="006227F6"/>
    <w:rsid w:val="00623655"/>
    <w:rsid w:val="00625B74"/>
    <w:rsid w:val="00632D27"/>
    <w:rsid w:val="00636882"/>
    <w:rsid w:val="00642267"/>
    <w:rsid w:val="00650072"/>
    <w:rsid w:val="00663145"/>
    <w:rsid w:val="00667992"/>
    <w:rsid w:val="00670245"/>
    <w:rsid w:val="00681BC2"/>
    <w:rsid w:val="00687F1B"/>
    <w:rsid w:val="0069288E"/>
    <w:rsid w:val="00693A6C"/>
    <w:rsid w:val="0069410F"/>
    <w:rsid w:val="006A0C1F"/>
    <w:rsid w:val="006A440C"/>
    <w:rsid w:val="006A7AED"/>
    <w:rsid w:val="006B1AAE"/>
    <w:rsid w:val="006B24DB"/>
    <w:rsid w:val="006C4735"/>
    <w:rsid w:val="006D0558"/>
    <w:rsid w:val="006D3463"/>
    <w:rsid w:val="006D6DF3"/>
    <w:rsid w:val="006D765D"/>
    <w:rsid w:val="006F0637"/>
    <w:rsid w:val="006F5A1A"/>
    <w:rsid w:val="006F6275"/>
    <w:rsid w:val="006F7F6E"/>
    <w:rsid w:val="00704AE1"/>
    <w:rsid w:val="007120ED"/>
    <w:rsid w:val="0071644F"/>
    <w:rsid w:val="00716C8F"/>
    <w:rsid w:val="00717512"/>
    <w:rsid w:val="00730FE5"/>
    <w:rsid w:val="00744152"/>
    <w:rsid w:val="00752BDE"/>
    <w:rsid w:val="0077651F"/>
    <w:rsid w:val="0078382D"/>
    <w:rsid w:val="007A502C"/>
    <w:rsid w:val="007B04F2"/>
    <w:rsid w:val="007B09E9"/>
    <w:rsid w:val="007B4171"/>
    <w:rsid w:val="007C19CB"/>
    <w:rsid w:val="007C4F33"/>
    <w:rsid w:val="007D6146"/>
    <w:rsid w:val="007E3238"/>
    <w:rsid w:val="007E6810"/>
    <w:rsid w:val="007F3BA5"/>
    <w:rsid w:val="007F3D48"/>
    <w:rsid w:val="00801367"/>
    <w:rsid w:val="0080255D"/>
    <w:rsid w:val="00803419"/>
    <w:rsid w:val="00813848"/>
    <w:rsid w:val="00817376"/>
    <w:rsid w:val="00817C2F"/>
    <w:rsid w:val="008229D3"/>
    <w:rsid w:val="008263BB"/>
    <w:rsid w:val="00833240"/>
    <w:rsid w:val="00841E1C"/>
    <w:rsid w:val="0086165A"/>
    <w:rsid w:val="00877478"/>
    <w:rsid w:val="00881270"/>
    <w:rsid w:val="008845AA"/>
    <w:rsid w:val="008867C8"/>
    <w:rsid w:val="00894F86"/>
    <w:rsid w:val="00897797"/>
    <w:rsid w:val="008B11BC"/>
    <w:rsid w:val="008B1AF7"/>
    <w:rsid w:val="008B3438"/>
    <w:rsid w:val="008C3C3D"/>
    <w:rsid w:val="008D4C0D"/>
    <w:rsid w:val="008E5F9F"/>
    <w:rsid w:val="008F01DD"/>
    <w:rsid w:val="008F5474"/>
    <w:rsid w:val="008F797F"/>
    <w:rsid w:val="00901A55"/>
    <w:rsid w:val="00901F8B"/>
    <w:rsid w:val="00905A9C"/>
    <w:rsid w:val="009070AC"/>
    <w:rsid w:val="00907B28"/>
    <w:rsid w:val="00932E72"/>
    <w:rsid w:val="00934DBE"/>
    <w:rsid w:val="00945AF6"/>
    <w:rsid w:val="00953ADC"/>
    <w:rsid w:val="009646C0"/>
    <w:rsid w:val="00971C82"/>
    <w:rsid w:val="009738E8"/>
    <w:rsid w:val="00997CEC"/>
    <w:rsid w:val="009A5633"/>
    <w:rsid w:val="009B77B8"/>
    <w:rsid w:val="009C3D37"/>
    <w:rsid w:val="009D66A9"/>
    <w:rsid w:val="009E7169"/>
    <w:rsid w:val="009E78BF"/>
    <w:rsid w:val="009F3090"/>
    <w:rsid w:val="009F42AE"/>
    <w:rsid w:val="009F55D0"/>
    <w:rsid w:val="009F5EAF"/>
    <w:rsid w:val="00A0562C"/>
    <w:rsid w:val="00A06105"/>
    <w:rsid w:val="00A10773"/>
    <w:rsid w:val="00A16504"/>
    <w:rsid w:val="00A24E83"/>
    <w:rsid w:val="00A25C1A"/>
    <w:rsid w:val="00A42F9D"/>
    <w:rsid w:val="00A4472F"/>
    <w:rsid w:val="00A6153A"/>
    <w:rsid w:val="00A65512"/>
    <w:rsid w:val="00A736E1"/>
    <w:rsid w:val="00A836D6"/>
    <w:rsid w:val="00A9576A"/>
    <w:rsid w:val="00A96DAD"/>
    <w:rsid w:val="00AA4687"/>
    <w:rsid w:val="00AB6FC6"/>
    <w:rsid w:val="00AC196B"/>
    <w:rsid w:val="00AC554E"/>
    <w:rsid w:val="00AE253F"/>
    <w:rsid w:val="00AE6779"/>
    <w:rsid w:val="00AF58B6"/>
    <w:rsid w:val="00AF65A5"/>
    <w:rsid w:val="00B01533"/>
    <w:rsid w:val="00B12430"/>
    <w:rsid w:val="00B14792"/>
    <w:rsid w:val="00B20293"/>
    <w:rsid w:val="00B234D2"/>
    <w:rsid w:val="00B273EE"/>
    <w:rsid w:val="00B47FE1"/>
    <w:rsid w:val="00B51DED"/>
    <w:rsid w:val="00B65A35"/>
    <w:rsid w:val="00B72710"/>
    <w:rsid w:val="00B800C1"/>
    <w:rsid w:val="00B9645D"/>
    <w:rsid w:val="00BA0E01"/>
    <w:rsid w:val="00BA5C47"/>
    <w:rsid w:val="00BB20D1"/>
    <w:rsid w:val="00BD15B7"/>
    <w:rsid w:val="00BD4DB7"/>
    <w:rsid w:val="00BE06C5"/>
    <w:rsid w:val="00BE48B8"/>
    <w:rsid w:val="00BF18CE"/>
    <w:rsid w:val="00C14A6A"/>
    <w:rsid w:val="00C30F89"/>
    <w:rsid w:val="00C64F75"/>
    <w:rsid w:val="00C72BEF"/>
    <w:rsid w:val="00C900D0"/>
    <w:rsid w:val="00C94319"/>
    <w:rsid w:val="00C95743"/>
    <w:rsid w:val="00CA0F71"/>
    <w:rsid w:val="00CA224F"/>
    <w:rsid w:val="00CA42A7"/>
    <w:rsid w:val="00CA7ABF"/>
    <w:rsid w:val="00CB68EA"/>
    <w:rsid w:val="00CC0F87"/>
    <w:rsid w:val="00CC4CBB"/>
    <w:rsid w:val="00CC61F0"/>
    <w:rsid w:val="00CD4D07"/>
    <w:rsid w:val="00CE4940"/>
    <w:rsid w:val="00CE7765"/>
    <w:rsid w:val="00CF0053"/>
    <w:rsid w:val="00CF2589"/>
    <w:rsid w:val="00CF6D9B"/>
    <w:rsid w:val="00D01CE1"/>
    <w:rsid w:val="00D02372"/>
    <w:rsid w:val="00D121E1"/>
    <w:rsid w:val="00D20145"/>
    <w:rsid w:val="00D21AD4"/>
    <w:rsid w:val="00D33E81"/>
    <w:rsid w:val="00D3626E"/>
    <w:rsid w:val="00D403E6"/>
    <w:rsid w:val="00D43881"/>
    <w:rsid w:val="00D52A05"/>
    <w:rsid w:val="00D56B74"/>
    <w:rsid w:val="00D76C05"/>
    <w:rsid w:val="00D76CA3"/>
    <w:rsid w:val="00D774DC"/>
    <w:rsid w:val="00D80C7C"/>
    <w:rsid w:val="00D8776B"/>
    <w:rsid w:val="00D9182B"/>
    <w:rsid w:val="00D9753A"/>
    <w:rsid w:val="00DA0D79"/>
    <w:rsid w:val="00DA1A29"/>
    <w:rsid w:val="00DA5B8D"/>
    <w:rsid w:val="00DB65DD"/>
    <w:rsid w:val="00DC5FAD"/>
    <w:rsid w:val="00DD3904"/>
    <w:rsid w:val="00DD5ECA"/>
    <w:rsid w:val="00DE03A0"/>
    <w:rsid w:val="00E02E02"/>
    <w:rsid w:val="00E05CAE"/>
    <w:rsid w:val="00E065B9"/>
    <w:rsid w:val="00E07919"/>
    <w:rsid w:val="00E10828"/>
    <w:rsid w:val="00E14609"/>
    <w:rsid w:val="00E151D6"/>
    <w:rsid w:val="00E217F6"/>
    <w:rsid w:val="00E32F73"/>
    <w:rsid w:val="00E4023D"/>
    <w:rsid w:val="00E463C2"/>
    <w:rsid w:val="00E541CF"/>
    <w:rsid w:val="00E6143A"/>
    <w:rsid w:val="00E64352"/>
    <w:rsid w:val="00E7059B"/>
    <w:rsid w:val="00E71377"/>
    <w:rsid w:val="00E7573B"/>
    <w:rsid w:val="00E9355D"/>
    <w:rsid w:val="00E95437"/>
    <w:rsid w:val="00E966CD"/>
    <w:rsid w:val="00EB4A22"/>
    <w:rsid w:val="00EC04B3"/>
    <w:rsid w:val="00EC0612"/>
    <w:rsid w:val="00EC0EF3"/>
    <w:rsid w:val="00ED2353"/>
    <w:rsid w:val="00ED61D6"/>
    <w:rsid w:val="00ED7A15"/>
    <w:rsid w:val="00EE6433"/>
    <w:rsid w:val="00EF6752"/>
    <w:rsid w:val="00F11E61"/>
    <w:rsid w:val="00F13FBA"/>
    <w:rsid w:val="00F21DBF"/>
    <w:rsid w:val="00F24AEF"/>
    <w:rsid w:val="00F26BAC"/>
    <w:rsid w:val="00F43282"/>
    <w:rsid w:val="00F4389E"/>
    <w:rsid w:val="00F44910"/>
    <w:rsid w:val="00F47E8F"/>
    <w:rsid w:val="00F509B5"/>
    <w:rsid w:val="00F6375D"/>
    <w:rsid w:val="00F666F0"/>
    <w:rsid w:val="00F726AA"/>
    <w:rsid w:val="00F75C8C"/>
    <w:rsid w:val="00F82FEE"/>
    <w:rsid w:val="00F87636"/>
    <w:rsid w:val="00F90C47"/>
    <w:rsid w:val="00FA0FA6"/>
    <w:rsid w:val="00FA29FF"/>
    <w:rsid w:val="00FA3618"/>
    <w:rsid w:val="00FA4852"/>
    <w:rsid w:val="00FC113C"/>
    <w:rsid w:val="00FC6014"/>
    <w:rsid w:val="00FF28FD"/>
    <w:rsid w:val="00FF42BE"/>
    <w:rsid w:val="00FF61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DB1850"/>
  <w15:chartTrackingRefBased/>
  <w15:docId w15:val="{2FF4A938-6DA4-4F08-90CF-C9C515BF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1C"/>
    <w:pPr>
      <w:spacing w:after="0" w:line="240" w:lineRule="auto"/>
      <w:jc w:val="both"/>
    </w:pPr>
    <w:rPr>
      <w:rFonts w:eastAsia="Times New Roman" w:cs="Times New Roman"/>
      <w:szCs w:val="24"/>
      <w:lang w:bidi="he-IL"/>
    </w:rPr>
  </w:style>
  <w:style w:type="paragraph" w:styleId="Heading1">
    <w:name w:val="heading 1"/>
    <w:basedOn w:val="Normal"/>
    <w:next w:val="Normal"/>
    <w:link w:val="Heading1Char"/>
    <w:qFormat/>
    <w:rsid w:val="006B24DB"/>
    <w:pPr>
      <w:keepNext/>
      <w:spacing w:before="360" w:after="480"/>
      <w:jc w:val="center"/>
      <w:outlineLvl w:val="0"/>
    </w:pPr>
    <w:rPr>
      <w:b/>
      <w:bCs/>
      <w:color w:val="C00000"/>
      <w:sz w:val="48"/>
      <w:szCs w:val="50"/>
      <w:lang w:val="en-AU" w:bidi="ar-SA"/>
    </w:rPr>
  </w:style>
  <w:style w:type="paragraph" w:styleId="Heading2">
    <w:name w:val="heading 2"/>
    <w:basedOn w:val="Normal"/>
    <w:next w:val="Normal"/>
    <w:link w:val="Heading2Char"/>
    <w:qFormat/>
    <w:rsid w:val="00841E1C"/>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0F20D6"/>
    <w:pPr>
      <w:keepNext/>
      <w:tabs>
        <w:tab w:val="left" w:pos="425"/>
        <w:tab w:val="left" w:pos="567"/>
      </w:tabs>
      <w:spacing w:after="120"/>
      <w:outlineLvl w:val="2"/>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4DB"/>
    <w:rPr>
      <w:rFonts w:eastAsia="Times New Roman" w:cs="Times New Roman"/>
      <w:b/>
      <w:bCs/>
      <w:color w:val="C00000"/>
      <w:sz w:val="48"/>
      <w:szCs w:val="50"/>
      <w:lang w:val="en-AU"/>
    </w:rPr>
  </w:style>
  <w:style w:type="character" w:customStyle="1" w:styleId="Heading2Char">
    <w:name w:val="Heading 2 Char"/>
    <w:basedOn w:val="DefaultParagraphFont"/>
    <w:link w:val="Heading2"/>
    <w:rsid w:val="00841E1C"/>
    <w:rPr>
      <w:rFonts w:eastAsia="Times New Roman" w:cs="Times New Roman"/>
      <w:b/>
      <w:iCs/>
      <w:sz w:val="24"/>
      <w:szCs w:val="24"/>
      <w:lang w:val="en-AU"/>
    </w:rPr>
  </w:style>
  <w:style w:type="character" w:customStyle="1" w:styleId="Heading3Char">
    <w:name w:val="Heading 3 Char"/>
    <w:basedOn w:val="DefaultParagraphFont"/>
    <w:link w:val="Heading3"/>
    <w:rsid w:val="000F20D6"/>
    <w:rPr>
      <w:rFonts w:eastAsia="Times New Roman" w:cs="Arial"/>
      <w:b/>
      <w:bCs/>
      <w:sz w:val="28"/>
      <w:szCs w:val="28"/>
      <w:lang w:bidi="he-IL"/>
    </w:rPr>
  </w:style>
  <w:style w:type="table" w:styleId="TableGrid">
    <w:name w:val="Table Grid"/>
    <w:basedOn w:val="TableNormal"/>
    <w:uiPriority w:val="59"/>
    <w:rsid w:val="00841E1C"/>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41E1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41E1C"/>
    <w:rPr>
      <w:rFonts w:ascii="Tahoma" w:eastAsia="Times New Roman" w:hAnsi="Tahoma" w:cs="Tahoma"/>
      <w:szCs w:val="24"/>
      <w:shd w:val="clear" w:color="auto" w:fill="000080"/>
      <w:lang w:bidi="he-IL"/>
    </w:rPr>
  </w:style>
  <w:style w:type="paragraph" w:styleId="BalloonText">
    <w:name w:val="Balloon Text"/>
    <w:basedOn w:val="Normal"/>
    <w:link w:val="BalloonTextChar"/>
    <w:uiPriority w:val="99"/>
    <w:semiHidden/>
    <w:rsid w:val="00841E1C"/>
    <w:rPr>
      <w:rFonts w:ascii="Tahoma" w:hAnsi="Tahoma" w:cs="Tahoma"/>
      <w:sz w:val="16"/>
      <w:szCs w:val="16"/>
    </w:rPr>
  </w:style>
  <w:style w:type="character" w:customStyle="1" w:styleId="BalloonTextChar">
    <w:name w:val="Balloon Text Char"/>
    <w:basedOn w:val="DefaultParagraphFont"/>
    <w:link w:val="BalloonText"/>
    <w:uiPriority w:val="99"/>
    <w:semiHidden/>
    <w:rsid w:val="00841E1C"/>
    <w:rPr>
      <w:rFonts w:ascii="Tahoma" w:eastAsia="Times New Roman" w:hAnsi="Tahoma" w:cs="Tahoma"/>
      <w:sz w:val="16"/>
      <w:szCs w:val="16"/>
      <w:lang w:bidi="he-IL"/>
    </w:rPr>
  </w:style>
  <w:style w:type="paragraph" w:styleId="Header">
    <w:name w:val="header"/>
    <w:basedOn w:val="Normal"/>
    <w:link w:val="HeaderChar"/>
    <w:uiPriority w:val="99"/>
    <w:rsid w:val="00841E1C"/>
    <w:pPr>
      <w:tabs>
        <w:tab w:val="center" w:pos="4153"/>
        <w:tab w:val="right" w:pos="8306"/>
      </w:tabs>
    </w:pPr>
  </w:style>
  <w:style w:type="character" w:customStyle="1" w:styleId="HeaderChar">
    <w:name w:val="Header Char"/>
    <w:basedOn w:val="DefaultParagraphFont"/>
    <w:link w:val="Header"/>
    <w:uiPriority w:val="99"/>
    <w:rsid w:val="00841E1C"/>
    <w:rPr>
      <w:rFonts w:eastAsia="Times New Roman" w:cs="Times New Roman"/>
      <w:szCs w:val="24"/>
      <w:lang w:bidi="he-IL"/>
    </w:rPr>
  </w:style>
  <w:style w:type="paragraph" w:styleId="Footer">
    <w:name w:val="footer"/>
    <w:basedOn w:val="Normal"/>
    <w:link w:val="FooterChar"/>
    <w:uiPriority w:val="99"/>
    <w:rsid w:val="00841E1C"/>
    <w:pPr>
      <w:tabs>
        <w:tab w:val="center" w:pos="4153"/>
        <w:tab w:val="right" w:pos="8306"/>
      </w:tabs>
      <w:jc w:val="right"/>
    </w:pPr>
  </w:style>
  <w:style w:type="character" w:customStyle="1" w:styleId="FooterChar">
    <w:name w:val="Footer Char"/>
    <w:basedOn w:val="DefaultParagraphFont"/>
    <w:link w:val="Footer"/>
    <w:uiPriority w:val="99"/>
    <w:rsid w:val="00841E1C"/>
    <w:rPr>
      <w:rFonts w:eastAsia="Times New Roman" w:cs="Times New Roman"/>
      <w:szCs w:val="24"/>
      <w:lang w:bidi="he-IL"/>
    </w:rPr>
  </w:style>
  <w:style w:type="paragraph" w:styleId="FootnoteText">
    <w:name w:val="footnote text"/>
    <w:basedOn w:val="Normal"/>
    <w:link w:val="FootnoteTextChar"/>
    <w:uiPriority w:val="99"/>
    <w:semiHidden/>
    <w:rsid w:val="00841E1C"/>
    <w:rPr>
      <w:sz w:val="20"/>
      <w:szCs w:val="20"/>
    </w:rPr>
  </w:style>
  <w:style w:type="character" w:customStyle="1" w:styleId="FootnoteTextChar">
    <w:name w:val="Footnote Text Char"/>
    <w:basedOn w:val="DefaultParagraphFont"/>
    <w:link w:val="FootnoteText"/>
    <w:uiPriority w:val="99"/>
    <w:semiHidden/>
    <w:rsid w:val="00841E1C"/>
    <w:rPr>
      <w:rFonts w:eastAsia="Times New Roman" w:cs="Times New Roman"/>
      <w:sz w:val="20"/>
      <w:szCs w:val="20"/>
      <w:lang w:bidi="he-IL"/>
    </w:rPr>
  </w:style>
  <w:style w:type="character" w:styleId="FootnoteReference">
    <w:name w:val="footnote reference"/>
    <w:basedOn w:val="DefaultParagraphFont"/>
    <w:uiPriority w:val="99"/>
    <w:semiHidden/>
    <w:rsid w:val="00841E1C"/>
    <w:rPr>
      <w:vertAlign w:val="superscript"/>
    </w:rPr>
  </w:style>
  <w:style w:type="character" w:styleId="EndnoteReference">
    <w:name w:val="endnote reference"/>
    <w:basedOn w:val="DefaultParagraphFont"/>
    <w:semiHidden/>
    <w:rsid w:val="00841E1C"/>
    <w:rPr>
      <w:vertAlign w:val="superscript"/>
    </w:rPr>
  </w:style>
  <w:style w:type="character" w:styleId="CommentReference">
    <w:name w:val="annotation reference"/>
    <w:basedOn w:val="DefaultParagraphFont"/>
    <w:uiPriority w:val="99"/>
    <w:semiHidden/>
    <w:rsid w:val="00841E1C"/>
    <w:rPr>
      <w:sz w:val="16"/>
      <w:szCs w:val="16"/>
    </w:rPr>
  </w:style>
  <w:style w:type="paragraph" w:styleId="CommentText">
    <w:name w:val="annotation text"/>
    <w:basedOn w:val="Normal"/>
    <w:link w:val="CommentTextChar"/>
    <w:uiPriority w:val="99"/>
    <w:semiHidden/>
    <w:rsid w:val="00841E1C"/>
    <w:rPr>
      <w:sz w:val="20"/>
      <w:szCs w:val="20"/>
    </w:rPr>
  </w:style>
  <w:style w:type="character" w:customStyle="1" w:styleId="CommentTextChar">
    <w:name w:val="Comment Text Char"/>
    <w:basedOn w:val="DefaultParagraphFont"/>
    <w:link w:val="CommentText"/>
    <w:uiPriority w:val="99"/>
    <w:semiHidden/>
    <w:rsid w:val="00841E1C"/>
    <w:rPr>
      <w:rFonts w:eastAsia="Times New Roman" w:cs="Times New Roman"/>
      <w:sz w:val="20"/>
      <w:szCs w:val="20"/>
      <w:lang w:bidi="he-IL"/>
    </w:rPr>
  </w:style>
  <w:style w:type="paragraph" w:styleId="CommentSubject">
    <w:name w:val="annotation subject"/>
    <w:basedOn w:val="CommentText"/>
    <w:next w:val="CommentText"/>
    <w:link w:val="CommentSubjectChar"/>
    <w:uiPriority w:val="99"/>
    <w:semiHidden/>
    <w:rsid w:val="00841E1C"/>
    <w:rPr>
      <w:b/>
      <w:bCs/>
    </w:rPr>
  </w:style>
  <w:style w:type="character" w:customStyle="1" w:styleId="CommentSubjectChar">
    <w:name w:val="Comment Subject Char"/>
    <w:basedOn w:val="CommentTextChar"/>
    <w:link w:val="CommentSubject"/>
    <w:uiPriority w:val="99"/>
    <w:semiHidden/>
    <w:rsid w:val="00841E1C"/>
    <w:rPr>
      <w:rFonts w:eastAsia="Times New Roman" w:cs="Times New Roman"/>
      <w:b/>
      <w:bCs/>
      <w:sz w:val="20"/>
      <w:szCs w:val="20"/>
      <w:lang w:bidi="he-IL"/>
    </w:rPr>
  </w:style>
  <w:style w:type="character" w:styleId="Hyperlink">
    <w:name w:val="Hyperlink"/>
    <w:basedOn w:val="DefaultParagraphFont"/>
    <w:uiPriority w:val="99"/>
    <w:rsid w:val="00841E1C"/>
    <w:rPr>
      <w:color w:val="0000FF"/>
      <w:u w:val="single"/>
    </w:rPr>
  </w:style>
  <w:style w:type="character" w:styleId="PageNumber">
    <w:name w:val="page number"/>
    <w:basedOn w:val="DefaultParagraphFont"/>
    <w:rsid w:val="00841E1C"/>
  </w:style>
  <w:style w:type="paragraph" w:customStyle="1" w:styleId="Default">
    <w:name w:val="Default"/>
    <w:rsid w:val="00841E1C"/>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NZ"/>
    </w:rPr>
  </w:style>
  <w:style w:type="paragraph" w:customStyle="1" w:styleId="Bulletindent">
    <w:name w:val="Bullet indent"/>
    <w:basedOn w:val="Normal"/>
    <w:rsid w:val="00841E1C"/>
    <w:pPr>
      <w:tabs>
        <w:tab w:val="left" w:pos="1134"/>
      </w:tabs>
      <w:ind w:left="340" w:hanging="340"/>
    </w:pPr>
    <w:rPr>
      <w:lang w:bidi="ar-SA"/>
    </w:rPr>
  </w:style>
  <w:style w:type="paragraph" w:customStyle="1" w:styleId="Paragraph">
    <w:name w:val="Paragraph"/>
    <w:uiPriority w:val="99"/>
    <w:rsid w:val="00841E1C"/>
    <w:pPr>
      <w:spacing w:line="240" w:lineRule="auto"/>
      <w:jc w:val="both"/>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rsid w:val="00841E1C"/>
    <w:rPr>
      <w:szCs w:val="20"/>
      <w:lang w:val="en-US" w:bidi="ar-SA"/>
    </w:rPr>
  </w:style>
  <w:style w:type="character" w:customStyle="1" w:styleId="BodyTextChar">
    <w:name w:val="Body Text Char"/>
    <w:basedOn w:val="DefaultParagraphFont"/>
    <w:link w:val="BodyText"/>
    <w:uiPriority w:val="99"/>
    <w:rsid w:val="00841E1C"/>
    <w:rPr>
      <w:rFonts w:eastAsia="Times New Roman" w:cs="Times New Roman"/>
      <w:szCs w:val="20"/>
      <w:lang w:val="en-US"/>
    </w:rPr>
  </w:style>
  <w:style w:type="paragraph" w:styleId="ListParagraph">
    <w:name w:val="List Paragraph"/>
    <w:basedOn w:val="Normal"/>
    <w:link w:val="ListParagraphChar"/>
    <w:uiPriority w:val="34"/>
    <w:qFormat/>
    <w:rsid w:val="00841E1C"/>
    <w:pPr>
      <w:ind w:left="720"/>
    </w:pPr>
  </w:style>
  <w:style w:type="character" w:customStyle="1" w:styleId="ListParagraphChar">
    <w:name w:val="List Paragraph Char"/>
    <w:basedOn w:val="DefaultParagraphFont"/>
    <w:link w:val="ListParagraph"/>
    <w:uiPriority w:val="34"/>
    <w:rsid w:val="00841E1C"/>
    <w:rPr>
      <w:rFonts w:eastAsia="Times New Roman" w:cs="Times New Roman"/>
      <w:szCs w:val="24"/>
      <w:lang w:bidi="he-IL"/>
    </w:rPr>
  </w:style>
  <w:style w:type="paragraph" w:styleId="NoSpacing">
    <w:name w:val="No Spacing"/>
    <w:link w:val="NoSpacingChar"/>
    <w:uiPriority w:val="1"/>
    <w:qFormat/>
    <w:rsid w:val="00841E1C"/>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841E1C"/>
    <w:rPr>
      <w:rFonts w:eastAsiaTheme="minorEastAsia"/>
      <w:lang w:val="en-US"/>
    </w:rPr>
  </w:style>
  <w:style w:type="paragraph" w:styleId="Caption">
    <w:name w:val="caption"/>
    <w:basedOn w:val="Normal"/>
    <w:next w:val="Normal"/>
    <w:uiPriority w:val="35"/>
    <w:unhideWhenUsed/>
    <w:qFormat/>
    <w:rsid w:val="00841E1C"/>
    <w:pPr>
      <w:tabs>
        <w:tab w:val="left" w:pos="1440"/>
        <w:tab w:val="decimal" w:pos="4320"/>
      </w:tabs>
      <w:outlineLvl w:val="0"/>
    </w:pPr>
    <w:rPr>
      <w:rFonts w:ascii="Calibri" w:hAnsi="Calibri"/>
      <w:b/>
      <w:szCs w:val="22"/>
      <w:lang w:eastAsia="en-NZ" w:bidi="ar-SA"/>
    </w:rPr>
  </w:style>
  <w:style w:type="paragraph" w:styleId="NormalWeb">
    <w:name w:val="Normal (Web)"/>
    <w:basedOn w:val="Normal"/>
    <w:uiPriority w:val="99"/>
    <w:semiHidden/>
    <w:unhideWhenUsed/>
    <w:rsid w:val="00841E1C"/>
    <w:pPr>
      <w:spacing w:before="100" w:beforeAutospacing="1" w:after="100" w:afterAutospacing="1"/>
      <w:jc w:val="left"/>
    </w:pPr>
    <w:rPr>
      <w:lang w:eastAsia="en-NZ" w:bidi="ar-SA"/>
    </w:rPr>
  </w:style>
  <w:style w:type="character" w:customStyle="1" w:styleId="st1">
    <w:name w:val="st1"/>
    <w:basedOn w:val="DefaultParagraphFont"/>
    <w:rsid w:val="00841E1C"/>
  </w:style>
  <w:style w:type="paragraph" w:styleId="TOCHeading">
    <w:name w:val="TOC Heading"/>
    <w:basedOn w:val="Heading1"/>
    <w:next w:val="Normal"/>
    <w:uiPriority w:val="39"/>
    <w:unhideWhenUsed/>
    <w:qFormat/>
    <w:rsid w:val="00841E1C"/>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8845AA"/>
    <w:pPr>
      <w:tabs>
        <w:tab w:val="right" w:leader="dot" w:pos="9072"/>
      </w:tabs>
      <w:spacing w:before="120" w:after="120"/>
      <w:jc w:val="left"/>
    </w:pPr>
    <w:rPr>
      <w:bCs/>
      <w:noProof/>
      <w:szCs w:val="22"/>
    </w:rPr>
  </w:style>
  <w:style w:type="paragraph" w:styleId="TOC2">
    <w:name w:val="toc 2"/>
    <w:basedOn w:val="Normal"/>
    <w:next w:val="Normal"/>
    <w:autoRedefine/>
    <w:uiPriority w:val="39"/>
    <w:unhideWhenUsed/>
    <w:rsid w:val="008845AA"/>
    <w:pPr>
      <w:tabs>
        <w:tab w:val="left" w:pos="284"/>
        <w:tab w:val="right" w:leader="dot" w:pos="9072"/>
      </w:tabs>
      <w:ind w:left="284" w:hanging="284"/>
      <w:jc w:val="left"/>
    </w:pPr>
    <w:rPr>
      <w:rFonts w:eastAsiaTheme="minorEastAsia" w:cstheme="minorBidi"/>
      <w:noProof/>
      <w:color w:val="000000" w:themeColor="text1"/>
      <w:szCs w:val="22"/>
      <w:lang w:eastAsia="en-NZ" w:bidi="ar-SA"/>
    </w:rPr>
  </w:style>
  <w:style w:type="paragraph" w:styleId="TOC3">
    <w:name w:val="toc 3"/>
    <w:basedOn w:val="Normal"/>
    <w:next w:val="Normal"/>
    <w:autoRedefine/>
    <w:uiPriority w:val="39"/>
    <w:unhideWhenUsed/>
    <w:rsid w:val="00AE6779"/>
    <w:pPr>
      <w:tabs>
        <w:tab w:val="left" w:pos="1100"/>
        <w:tab w:val="right" w:leader="dot" w:pos="9072"/>
      </w:tabs>
      <w:ind w:left="709" w:hanging="425"/>
      <w:jc w:val="left"/>
    </w:pPr>
    <w:rPr>
      <w:iCs/>
      <w:noProof/>
      <w:sz w:val="20"/>
      <w:szCs w:val="20"/>
    </w:rPr>
  </w:style>
  <w:style w:type="paragraph" w:styleId="TOC4">
    <w:name w:val="toc 4"/>
    <w:basedOn w:val="Normal"/>
    <w:next w:val="Normal"/>
    <w:autoRedefine/>
    <w:uiPriority w:val="39"/>
    <w:unhideWhenUsed/>
    <w:rsid w:val="00841E1C"/>
    <w:pPr>
      <w:ind w:left="660"/>
      <w:jc w:val="left"/>
    </w:pPr>
    <w:rPr>
      <w:sz w:val="18"/>
      <w:szCs w:val="18"/>
    </w:rPr>
  </w:style>
  <w:style w:type="paragraph" w:styleId="TOC5">
    <w:name w:val="toc 5"/>
    <w:basedOn w:val="Normal"/>
    <w:next w:val="Normal"/>
    <w:autoRedefine/>
    <w:uiPriority w:val="39"/>
    <w:unhideWhenUsed/>
    <w:rsid w:val="00841E1C"/>
    <w:pPr>
      <w:ind w:left="880"/>
      <w:jc w:val="left"/>
    </w:pPr>
    <w:rPr>
      <w:sz w:val="18"/>
      <w:szCs w:val="18"/>
    </w:rPr>
  </w:style>
  <w:style w:type="paragraph" w:styleId="TOC6">
    <w:name w:val="toc 6"/>
    <w:basedOn w:val="Normal"/>
    <w:next w:val="Normal"/>
    <w:autoRedefine/>
    <w:uiPriority w:val="39"/>
    <w:unhideWhenUsed/>
    <w:rsid w:val="00841E1C"/>
    <w:pPr>
      <w:ind w:left="1100"/>
      <w:jc w:val="left"/>
    </w:pPr>
    <w:rPr>
      <w:sz w:val="18"/>
      <w:szCs w:val="18"/>
    </w:rPr>
  </w:style>
  <w:style w:type="paragraph" w:styleId="TOC7">
    <w:name w:val="toc 7"/>
    <w:basedOn w:val="Normal"/>
    <w:next w:val="Normal"/>
    <w:autoRedefine/>
    <w:uiPriority w:val="39"/>
    <w:unhideWhenUsed/>
    <w:rsid w:val="00841E1C"/>
    <w:pPr>
      <w:ind w:left="1320"/>
      <w:jc w:val="left"/>
    </w:pPr>
    <w:rPr>
      <w:sz w:val="18"/>
      <w:szCs w:val="18"/>
    </w:rPr>
  </w:style>
  <w:style w:type="paragraph" w:styleId="TOC8">
    <w:name w:val="toc 8"/>
    <w:basedOn w:val="Normal"/>
    <w:next w:val="Normal"/>
    <w:autoRedefine/>
    <w:uiPriority w:val="39"/>
    <w:unhideWhenUsed/>
    <w:rsid w:val="00841E1C"/>
    <w:pPr>
      <w:ind w:left="1540"/>
      <w:jc w:val="left"/>
    </w:pPr>
    <w:rPr>
      <w:sz w:val="18"/>
      <w:szCs w:val="18"/>
    </w:rPr>
  </w:style>
  <w:style w:type="paragraph" w:styleId="TOC9">
    <w:name w:val="toc 9"/>
    <w:basedOn w:val="Normal"/>
    <w:next w:val="Normal"/>
    <w:autoRedefine/>
    <w:uiPriority w:val="39"/>
    <w:unhideWhenUsed/>
    <w:rsid w:val="00841E1C"/>
    <w:pPr>
      <w:ind w:left="1760"/>
      <w:jc w:val="left"/>
    </w:pPr>
    <w:rPr>
      <w:sz w:val="18"/>
      <w:szCs w:val="18"/>
    </w:rPr>
  </w:style>
  <w:style w:type="character" w:styleId="FollowedHyperlink">
    <w:name w:val="FollowedHyperlink"/>
    <w:basedOn w:val="DefaultParagraphFont"/>
    <w:uiPriority w:val="99"/>
    <w:semiHidden/>
    <w:unhideWhenUsed/>
    <w:rsid w:val="00841E1C"/>
    <w:rPr>
      <w:color w:val="800080" w:themeColor="followedHyperlink"/>
      <w:u w:val="single"/>
    </w:rPr>
  </w:style>
  <w:style w:type="character" w:styleId="Strong">
    <w:name w:val="Strong"/>
    <w:basedOn w:val="DefaultParagraphFont"/>
    <w:uiPriority w:val="22"/>
    <w:qFormat/>
    <w:rsid w:val="00841E1C"/>
    <w:rPr>
      <w:b/>
      <w:bCs/>
    </w:rPr>
  </w:style>
  <w:style w:type="paragraph" w:styleId="Quote">
    <w:name w:val="Quote"/>
    <w:basedOn w:val="Normal"/>
    <w:link w:val="QuoteChar"/>
    <w:qFormat/>
    <w:rsid w:val="00841E1C"/>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841E1C"/>
    <w:rPr>
      <w:rFonts w:ascii="Times New Roman" w:eastAsia="Times New Roman" w:hAnsi="Times New Roman" w:cs="Times New Roman"/>
      <w:sz w:val="24"/>
      <w:szCs w:val="24"/>
    </w:rPr>
  </w:style>
  <w:style w:type="paragraph" w:customStyle="1" w:styleId="abclist">
    <w:name w:val="abc list"/>
    <w:basedOn w:val="ListParagraph"/>
    <w:link w:val="abclistChar"/>
    <w:qFormat/>
    <w:rsid w:val="00841E1C"/>
    <w:pPr>
      <w:numPr>
        <w:numId w:val="1"/>
      </w:numPr>
      <w:tabs>
        <w:tab w:val="left" w:pos="284"/>
      </w:tabs>
      <w:spacing w:after="240"/>
    </w:pPr>
    <w:rPr>
      <w:sz w:val="24"/>
    </w:rPr>
  </w:style>
  <w:style w:type="character" w:customStyle="1" w:styleId="abclistChar">
    <w:name w:val="abc list Char"/>
    <w:basedOn w:val="ListParagraphChar"/>
    <w:link w:val="abclist"/>
    <w:rsid w:val="00841E1C"/>
    <w:rPr>
      <w:rFonts w:eastAsia="Times New Roman" w:cs="Times New Roman"/>
      <w:sz w:val="24"/>
      <w:szCs w:val="24"/>
      <w:lang w:bidi="he-IL"/>
    </w:rPr>
  </w:style>
  <w:style w:type="paragraph" w:customStyle="1" w:styleId="abclist2">
    <w:name w:val="abc list2"/>
    <w:basedOn w:val="abclist"/>
    <w:link w:val="abclist2Char"/>
    <w:qFormat/>
    <w:rsid w:val="00841E1C"/>
    <w:pPr>
      <w:numPr>
        <w:numId w:val="0"/>
      </w:numPr>
      <w:tabs>
        <w:tab w:val="clear" w:pos="284"/>
        <w:tab w:val="left" w:pos="426"/>
      </w:tabs>
      <w:ind w:left="426" w:hanging="426"/>
    </w:pPr>
  </w:style>
  <w:style w:type="character" w:customStyle="1" w:styleId="abclist2Char">
    <w:name w:val="abc list2 Char"/>
    <w:basedOn w:val="abclistChar"/>
    <w:link w:val="abclist2"/>
    <w:rsid w:val="00841E1C"/>
    <w:rPr>
      <w:rFonts w:eastAsia="Times New Roman" w:cs="Times New Roman"/>
      <w:sz w:val="24"/>
      <w:szCs w:val="24"/>
      <w:lang w:bidi="he-IL"/>
    </w:rPr>
  </w:style>
  <w:style w:type="paragraph" w:customStyle="1" w:styleId="Paranumbered">
    <w:name w:val="Para numbered"/>
    <w:basedOn w:val="Normal"/>
    <w:rsid w:val="00841E1C"/>
    <w:pPr>
      <w:spacing w:after="240"/>
      <w:ind w:left="360" w:hanging="360"/>
    </w:pPr>
    <w:rPr>
      <w:rFonts w:ascii="Times New Roman" w:hAnsi="Times New Roman"/>
      <w:sz w:val="24"/>
      <w:lang w:bidi="ar-SA"/>
    </w:rPr>
  </w:style>
  <w:style w:type="paragraph" w:customStyle="1" w:styleId="Recommendationfinalpoint">
    <w:name w:val="Recommendation final point"/>
    <w:basedOn w:val="Bulletindent"/>
    <w:next w:val="Paranumbered"/>
    <w:qFormat/>
    <w:rsid w:val="00841E1C"/>
    <w:pPr>
      <w:numPr>
        <w:numId w:val="2"/>
      </w:numPr>
      <w:tabs>
        <w:tab w:val="left" w:pos="425"/>
      </w:tabs>
      <w:spacing w:after="240"/>
      <w:ind w:left="357" w:hanging="357"/>
    </w:pPr>
    <w:rPr>
      <w:rFonts w:ascii="Times New Roman" w:hAnsi="Times New Roman"/>
      <w:sz w:val="24"/>
    </w:rPr>
  </w:style>
  <w:style w:type="paragraph" w:customStyle="1" w:styleId="Bulletitalfinal">
    <w:name w:val="Bullet ital final"/>
    <w:basedOn w:val="Normal"/>
    <w:next w:val="Paranumbered"/>
    <w:qFormat/>
    <w:rsid w:val="00841E1C"/>
    <w:pPr>
      <w:numPr>
        <w:numId w:val="7"/>
      </w:numPr>
      <w:tabs>
        <w:tab w:val="left" w:pos="1134"/>
      </w:tabs>
      <w:spacing w:after="240"/>
      <w:ind w:left="357" w:hanging="357"/>
    </w:pPr>
    <w:rPr>
      <w:rFonts w:ascii="Times New Roman" w:hAnsi="Times New Roman"/>
      <w:i/>
      <w:iCs/>
      <w:sz w:val="24"/>
      <w:lang w:bidi="ar-SA"/>
    </w:rPr>
  </w:style>
  <w:style w:type="character" w:customStyle="1" w:styleId="BulletlistChar">
    <w:name w:val="Bullet list Char"/>
    <w:basedOn w:val="ListParagraphChar"/>
    <w:link w:val="Bulletlist"/>
    <w:locked/>
    <w:rsid w:val="00841E1C"/>
    <w:rPr>
      <w:rFonts w:eastAsia="Times New Roman" w:cs="Times New Roman"/>
      <w:sz w:val="24"/>
      <w:szCs w:val="24"/>
      <w:lang w:val="en-US" w:bidi="he-IL"/>
    </w:rPr>
  </w:style>
  <w:style w:type="paragraph" w:customStyle="1" w:styleId="Bulletlist">
    <w:name w:val="Bullet list"/>
    <w:basedOn w:val="ListParagraph"/>
    <w:link w:val="BulletlistChar"/>
    <w:qFormat/>
    <w:rsid w:val="00841E1C"/>
    <w:pPr>
      <w:numPr>
        <w:numId w:val="8"/>
      </w:numPr>
      <w:spacing w:after="120"/>
    </w:pPr>
    <w:rPr>
      <w:rFonts w:eastAsiaTheme="minorHAnsi" w:cstheme="minorBidi"/>
      <w:sz w:val="24"/>
      <w:szCs w:val="22"/>
      <w:lang w:val="en-US"/>
    </w:rPr>
  </w:style>
  <w:style w:type="table" w:styleId="TableGridLight">
    <w:name w:val="Grid Table Light"/>
    <w:basedOn w:val="TableNormal"/>
    <w:uiPriority w:val="40"/>
    <w:rsid w:val="00841E1C"/>
    <w:pPr>
      <w:spacing w:after="0" w:line="240" w:lineRule="auto"/>
      <w:jc w:val="both"/>
    </w:pPr>
    <w:rPr>
      <w:rFonts w:ascii="Times New Roman" w:eastAsia="Times New Roman" w:hAnsi="Times New Roman" w:cs="Times New Roman"/>
      <w:sz w:val="20"/>
      <w:szCs w:val="20"/>
      <w:lang w:eastAsia="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finalpoint">
    <w:name w:val="Numbered final point"/>
    <w:basedOn w:val="ListParagraph"/>
    <w:link w:val="NumberedfinalpointChar"/>
    <w:rsid w:val="008D4C0D"/>
    <w:pPr>
      <w:spacing w:after="240"/>
      <w:ind w:left="284" w:hanging="284"/>
    </w:pPr>
    <w:rPr>
      <w:sz w:val="24"/>
      <w:lang w:val="en-US" w:eastAsia="en-NZ"/>
    </w:rPr>
  </w:style>
  <w:style w:type="character" w:customStyle="1" w:styleId="NumberedfinalpointChar">
    <w:name w:val="Numbered final point Char"/>
    <w:basedOn w:val="ListParagraphChar"/>
    <w:link w:val="Numberedfinalpoint"/>
    <w:rsid w:val="008D4C0D"/>
    <w:rPr>
      <w:rFonts w:eastAsia="Times New Roman" w:cs="Times New Roman"/>
      <w:sz w:val="24"/>
      <w:szCs w:val="24"/>
      <w:lang w:val="en-US" w:eastAsia="en-NZ" w:bidi="he-IL"/>
    </w:rPr>
  </w:style>
  <w:style w:type="paragraph" w:styleId="Revision">
    <w:name w:val="Revision"/>
    <w:hidden/>
    <w:uiPriority w:val="99"/>
    <w:semiHidden/>
    <w:rsid w:val="00CC0F87"/>
    <w:pPr>
      <w:spacing w:after="0" w:line="240" w:lineRule="auto"/>
    </w:pPr>
    <w:rPr>
      <w:rFonts w:eastAsia="Times New Roman" w:cs="Times New Roman"/>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5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hdc-fps01\data$\Education%20(Current)\DHB%20Reports\2020%20Jul%20to%20Dec\Discharge%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dc-fps01\data$\Education%20(Current)\DHB%20Reports\2020%20Jul%20to%20Dec\Discharge%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'Complaints over time'!$A$1:$J$1</c:f>
              <c:strCache>
                <c:ptCount val="10"/>
                <c:pt idx="0">
                  <c:v>Jan–Jun 16</c:v>
                </c:pt>
                <c:pt idx="1">
                  <c:v>Jul–Dec 16</c:v>
                </c:pt>
                <c:pt idx="2">
                  <c:v>Jan–Jun 17</c:v>
                </c:pt>
                <c:pt idx="3">
                  <c:v>Jul–Dec 17</c:v>
                </c:pt>
                <c:pt idx="4">
                  <c:v>Jan–Jun 18</c:v>
                </c:pt>
                <c:pt idx="5">
                  <c:v>Jul–Dec 18</c:v>
                </c:pt>
                <c:pt idx="6">
                  <c:v>Jan–Jun 19</c:v>
                </c:pt>
                <c:pt idx="7">
                  <c:v>Jul–Dec 19</c:v>
                </c:pt>
                <c:pt idx="8">
                  <c:v>Jan–Jun 20</c:v>
                </c:pt>
                <c:pt idx="9">
                  <c:v>Jul–Dec 20</c:v>
                </c:pt>
              </c:strCache>
            </c:strRef>
          </c:cat>
          <c:val>
            <c:numRef>
              <c:f>'Complaints over time'!$A$2:$J$2</c:f>
              <c:numCache>
                <c:formatCode>General</c:formatCode>
                <c:ptCount val="10"/>
              </c:numCache>
            </c:numRef>
          </c:val>
          <c:smooth val="0"/>
          <c:extLst>
            <c:ext xmlns:c16="http://schemas.microsoft.com/office/drawing/2014/chart" uri="{C3380CC4-5D6E-409C-BE32-E72D297353CC}">
              <c16:uniqueId val="{00000000-3D17-4CD5-B3CB-DDD884BEB11F}"/>
            </c:ext>
          </c:extLst>
        </c:ser>
        <c:ser>
          <c:idx val="1"/>
          <c:order val="1"/>
          <c:spPr>
            <a:ln w="28575" cap="rnd">
              <a:solidFill>
                <a:srgbClr val="C00000"/>
              </a:solidFill>
              <a:round/>
            </a:ln>
            <a:effectLst/>
          </c:spPr>
          <c:marker>
            <c:symbol val="circle"/>
            <c:size val="5"/>
            <c:spPr>
              <a:solidFill>
                <a:srgbClr val="C00000"/>
              </a:solidFill>
              <a:ln w="9525">
                <a:solidFill>
                  <a:srgbClr val="C00000"/>
                </a:solidFill>
              </a:ln>
              <a:effectLst/>
            </c:spPr>
          </c:marker>
          <c:cat>
            <c:strRef>
              <c:f>'Complaints over time'!$A$1:$J$1</c:f>
              <c:strCache>
                <c:ptCount val="10"/>
                <c:pt idx="0">
                  <c:v>Jan–Jun 16</c:v>
                </c:pt>
                <c:pt idx="1">
                  <c:v>Jul–Dec 16</c:v>
                </c:pt>
                <c:pt idx="2">
                  <c:v>Jan–Jun 17</c:v>
                </c:pt>
                <c:pt idx="3">
                  <c:v>Jul–Dec 17</c:v>
                </c:pt>
                <c:pt idx="4">
                  <c:v>Jan–Jun 18</c:v>
                </c:pt>
                <c:pt idx="5">
                  <c:v>Jul–Dec 18</c:v>
                </c:pt>
                <c:pt idx="6">
                  <c:v>Jan–Jun 19</c:v>
                </c:pt>
                <c:pt idx="7">
                  <c:v>Jul–Dec 19</c:v>
                </c:pt>
                <c:pt idx="8">
                  <c:v>Jan–Jun 20</c:v>
                </c:pt>
                <c:pt idx="9">
                  <c:v>Jul–Dec 20</c:v>
                </c:pt>
              </c:strCache>
            </c:strRef>
          </c:cat>
          <c:val>
            <c:numRef>
              <c:f>'Complaints over time'!$A$3:$J$3</c:f>
              <c:numCache>
                <c:formatCode>General</c:formatCode>
                <c:ptCount val="10"/>
                <c:pt idx="0">
                  <c:v>383</c:v>
                </c:pt>
                <c:pt idx="1">
                  <c:v>386</c:v>
                </c:pt>
                <c:pt idx="2">
                  <c:v>477</c:v>
                </c:pt>
                <c:pt idx="3">
                  <c:v>439</c:v>
                </c:pt>
                <c:pt idx="4">
                  <c:v>450</c:v>
                </c:pt>
                <c:pt idx="5">
                  <c:v>442</c:v>
                </c:pt>
                <c:pt idx="6">
                  <c:v>427</c:v>
                </c:pt>
                <c:pt idx="7">
                  <c:v>471</c:v>
                </c:pt>
                <c:pt idx="8">
                  <c:v>392</c:v>
                </c:pt>
                <c:pt idx="9">
                  <c:v>464</c:v>
                </c:pt>
              </c:numCache>
            </c:numRef>
          </c:val>
          <c:smooth val="0"/>
          <c:extLst>
            <c:ext xmlns:c16="http://schemas.microsoft.com/office/drawing/2014/chart" uri="{C3380CC4-5D6E-409C-BE32-E72D297353CC}">
              <c16:uniqueId val="{00000001-3D17-4CD5-B3CB-DDD884BEB11F}"/>
            </c:ext>
          </c:extLst>
        </c:ser>
        <c:dLbls>
          <c:showLegendKey val="0"/>
          <c:showVal val="0"/>
          <c:showCatName val="0"/>
          <c:showSerName val="0"/>
          <c:showPercent val="0"/>
          <c:showBubbleSize val="0"/>
        </c:dLbls>
        <c:marker val="1"/>
        <c:smooth val="0"/>
        <c:axId val="1334558880"/>
        <c:axId val="1334556384"/>
      </c:lineChart>
      <c:catAx>
        <c:axId val="133455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4556384"/>
        <c:crosses val="autoZero"/>
        <c:auto val="1"/>
        <c:lblAlgn val="ctr"/>
        <c:lblOffset val="100"/>
        <c:noMultiLvlLbl val="0"/>
      </c:catAx>
      <c:valAx>
        <c:axId val="133455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4558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C00000"/>
            </a:solidFill>
            <a:ln>
              <a:noFill/>
            </a:ln>
            <a:effectLst/>
          </c:spPr>
          <c:invertIfNegative val="0"/>
          <c:cat>
            <c:strRef>
              <c:f>'Service type'!$A$1:$A$9</c:f>
              <c:strCache>
                <c:ptCount val="9"/>
                <c:pt idx="0">
                  <c:v>Other</c:v>
                </c:pt>
                <c:pt idx="1">
                  <c:v>Disability services</c:v>
                </c:pt>
                <c:pt idx="2">
                  <c:v>Diagnostics</c:v>
                </c:pt>
                <c:pt idx="3">
                  <c:v>Paediatrics</c:v>
                </c:pt>
                <c:pt idx="4">
                  <c:v>Maternity</c:v>
                </c:pt>
                <c:pt idx="5">
                  <c:v>Emergency department</c:v>
                </c:pt>
                <c:pt idx="6">
                  <c:v>Medicine</c:v>
                </c:pt>
                <c:pt idx="7">
                  <c:v>Surgery</c:v>
                </c:pt>
                <c:pt idx="8">
                  <c:v>Mental health</c:v>
                </c:pt>
              </c:strCache>
            </c:strRef>
          </c:cat>
          <c:val>
            <c:numRef>
              <c:f>'Service type'!$B$1:$B$9</c:f>
              <c:numCache>
                <c:formatCode>General</c:formatCode>
                <c:ptCount val="9"/>
                <c:pt idx="0">
                  <c:v>33</c:v>
                </c:pt>
                <c:pt idx="1">
                  <c:v>9</c:v>
                </c:pt>
                <c:pt idx="2">
                  <c:v>11</c:v>
                </c:pt>
                <c:pt idx="3">
                  <c:v>16</c:v>
                </c:pt>
                <c:pt idx="4">
                  <c:v>23</c:v>
                </c:pt>
                <c:pt idx="5">
                  <c:v>72</c:v>
                </c:pt>
                <c:pt idx="6">
                  <c:v>93</c:v>
                </c:pt>
                <c:pt idx="7">
                  <c:v>111</c:v>
                </c:pt>
                <c:pt idx="8">
                  <c:v>118</c:v>
                </c:pt>
              </c:numCache>
            </c:numRef>
          </c:val>
          <c:extLst>
            <c:ext xmlns:c16="http://schemas.microsoft.com/office/drawing/2014/chart" uri="{C3380CC4-5D6E-409C-BE32-E72D297353CC}">
              <c16:uniqueId val="{00000000-5E8E-445B-944F-DCE1C7F9FF72}"/>
            </c:ext>
          </c:extLst>
        </c:ser>
        <c:dLbls>
          <c:showLegendKey val="0"/>
          <c:showVal val="0"/>
          <c:showCatName val="0"/>
          <c:showSerName val="0"/>
          <c:showPercent val="0"/>
          <c:showBubbleSize val="0"/>
        </c:dLbls>
        <c:gapWidth val="182"/>
        <c:axId val="921776096"/>
        <c:axId val="921772352"/>
      </c:barChart>
      <c:catAx>
        <c:axId val="921776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772352"/>
        <c:crosses val="autoZero"/>
        <c:auto val="1"/>
        <c:lblAlgn val="ctr"/>
        <c:lblOffset val="100"/>
        <c:noMultiLvlLbl val="0"/>
      </c:catAx>
      <c:valAx>
        <c:axId val="921772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776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78AFD-2F89-405C-BA0F-B28DD596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7986</Words>
  <Characters>45525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Office of the Health and Disability Commissioner</Company>
  <LinksUpToDate>false</LinksUpToDate>
  <CharactersWithSpaces>53405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Walker</dc:creator>
  <cp:keywords/>
  <dc:description/>
  <cp:lastModifiedBy>Natasha Davidson</cp:lastModifiedBy>
  <cp:revision>3</cp:revision>
  <cp:lastPrinted>2021-06-10T19:59:00Z</cp:lastPrinted>
  <dcterms:created xsi:type="dcterms:W3CDTF">2021-06-10T19:58:00Z</dcterms:created>
  <dcterms:modified xsi:type="dcterms:W3CDTF">2021-06-10T19:59:00Z</dcterms:modified>
</cp:coreProperties>
</file>