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C4" w:rsidRPr="00797CC2" w:rsidRDefault="006F31C4" w:rsidP="006F31C4">
      <w:pPr>
        <w:pStyle w:val="NoSpacing"/>
        <w:jc w:val="center"/>
        <w:rPr>
          <w:rFonts w:eastAsiaTheme="majorEastAsia" w:cstheme="majorBidi"/>
          <w:b/>
          <w:sz w:val="48"/>
          <w:szCs w:val="48"/>
          <w:lang w:val="en-NZ"/>
        </w:rPr>
      </w:pPr>
      <w:r w:rsidRPr="00797CC2">
        <w:rPr>
          <w:rFonts w:eastAsiaTheme="majorEastAsia" w:cstheme="majorBidi"/>
          <w:b/>
          <w:sz w:val="48"/>
          <w:szCs w:val="48"/>
          <w:lang w:val="en-NZ"/>
        </w:rPr>
        <w:t>Complaints to</w:t>
      </w:r>
      <w:r w:rsidR="00B33BA4" w:rsidRPr="00797CC2">
        <w:rPr>
          <w:rFonts w:eastAsiaTheme="majorEastAsia" w:cstheme="majorBidi"/>
          <w:b/>
          <w:sz w:val="48"/>
          <w:szCs w:val="48"/>
          <w:lang w:val="en-NZ"/>
        </w:rPr>
        <w:t xml:space="preserve"> the</w:t>
      </w:r>
      <w:r w:rsidRPr="00797CC2">
        <w:rPr>
          <w:rFonts w:eastAsiaTheme="majorEastAsia" w:cstheme="majorBidi"/>
          <w:b/>
          <w:sz w:val="48"/>
          <w:szCs w:val="48"/>
          <w:lang w:val="en-NZ"/>
        </w:rPr>
        <w:t xml:space="preserve"> H</w:t>
      </w:r>
      <w:r w:rsidR="00B33BA4" w:rsidRPr="00797CC2">
        <w:rPr>
          <w:rFonts w:eastAsiaTheme="majorEastAsia" w:cstheme="majorBidi"/>
          <w:b/>
          <w:sz w:val="48"/>
          <w:szCs w:val="48"/>
          <w:lang w:val="en-NZ"/>
        </w:rPr>
        <w:t xml:space="preserve">ealth and </w:t>
      </w:r>
      <w:r w:rsidRPr="00797CC2">
        <w:rPr>
          <w:rFonts w:eastAsiaTheme="majorEastAsia" w:cstheme="majorBidi"/>
          <w:b/>
          <w:sz w:val="48"/>
          <w:szCs w:val="48"/>
          <w:lang w:val="en-NZ"/>
        </w:rPr>
        <w:t>D</w:t>
      </w:r>
      <w:r w:rsidR="00B33BA4" w:rsidRPr="00797CC2">
        <w:rPr>
          <w:rFonts w:eastAsiaTheme="majorEastAsia" w:cstheme="majorBidi"/>
          <w:b/>
          <w:sz w:val="48"/>
          <w:szCs w:val="48"/>
          <w:lang w:val="en-NZ"/>
        </w:rPr>
        <w:t>isability Commissioner</w:t>
      </w:r>
      <w:r w:rsidRPr="00797CC2">
        <w:rPr>
          <w:rFonts w:eastAsiaTheme="majorEastAsia" w:cstheme="majorBidi"/>
          <w:b/>
          <w:sz w:val="48"/>
          <w:szCs w:val="48"/>
          <w:lang w:val="en-NZ"/>
        </w:rPr>
        <w:t xml:space="preserve"> involving </w:t>
      </w:r>
    </w:p>
    <w:p w:rsidR="00971A32" w:rsidRPr="00797CC2" w:rsidRDefault="008E1DF2" w:rsidP="00971A32">
      <w:pPr>
        <w:pStyle w:val="NoSpacing"/>
        <w:jc w:val="center"/>
        <w:rPr>
          <w:rFonts w:eastAsiaTheme="majorEastAsia" w:cstheme="majorBidi"/>
          <w:b/>
          <w:sz w:val="48"/>
          <w:szCs w:val="48"/>
          <w:lang w:val="en-NZ"/>
        </w:rPr>
      </w:pPr>
      <w:r w:rsidRPr="00797CC2">
        <w:rPr>
          <w:rFonts w:eastAsiaTheme="majorEastAsia" w:cstheme="majorBidi"/>
          <w:b/>
          <w:sz w:val="48"/>
          <w:szCs w:val="48"/>
          <w:lang w:val="en-NZ"/>
        </w:rPr>
        <w:t>District Health Board</w:t>
      </w:r>
      <w:r w:rsidR="00C3105B" w:rsidRPr="00797CC2">
        <w:rPr>
          <w:rFonts w:eastAsiaTheme="majorEastAsia" w:cstheme="majorBidi"/>
          <w:b/>
          <w:sz w:val="48"/>
          <w:szCs w:val="48"/>
          <w:lang w:val="en-NZ"/>
        </w:rPr>
        <w:t>s</w:t>
      </w:r>
    </w:p>
    <w:p w:rsidR="00E018C3" w:rsidRPr="00797CC2" w:rsidRDefault="00E018C3" w:rsidP="006F31C4">
      <w:pPr>
        <w:pStyle w:val="NoSpacing"/>
        <w:jc w:val="center"/>
        <w:rPr>
          <w:rFonts w:eastAsiaTheme="majorEastAsia" w:cstheme="majorBidi"/>
          <w:b/>
          <w:sz w:val="40"/>
          <w:szCs w:val="40"/>
          <w:lang w:val="en-NZ"/>
        </w:rPr>
      </w:pPr>
    </w:p>
    <w:p w:rsidR="006F31C4" w:rsidRPr="00797CC2" w:rsidRDefault="006F31C4" w:rsidP="006F31C4">
      <w:pPr>
        <w:pStyle w:val="NoSpacing"/>
        <w:jc w:val="center"/>
        <w:rPr>
          <w:rFonts w:eastAsiaTheme="majorEastAsia" w:cstheme="majorBidi"/>
          <w:b/>
          <w:sz w:val="36"/>
          <w:szCs w:val="36"/>
          <w:lang w:val="en-NZ"/>
        </w:rPr>
      </w:pPr>
    </w:p>
    <w:p w:rsidR="00B33BA4" w:rsidRPr="00797CC2" w:rsidRDefault="003A2F02" w:rsidP="00B33BA4">
      <w:pPr>
        <w:pStyle w:val="NoSpacing"/>
        <w:jc w:val="center"/>
        <w:rPr>
          <w:rFonts w:eastAsiaTheme="majorEastAsia" w:cstheme="majorBidi"/>
          <w:b/>
          <w:sz w:val="32"/>
          <w:szCs w:val="32"/>
          <w:lang w:val="en-NZ"/>
        </w:rPr>
      </w:pPr>
      <w:r w:rsidRPr="00797CC2">
        <w:rPr>
          <w:rFonts w:eastAsiaTheme="majorEastAsia" w:cstheme="majorBidi"/>
          <w:b/>
          <w:sz w:val="32"/>
          <w:szCs w:val="32"/>
          <w:lang w:val="en-NZ"/>
        </w:rPr>
        <w:t xml:space="preserve">1 </w:t>
      </w:r>
      <w:r w:rsidR="00884CD0" w:rsidRPr="00797CC2">
        <w:rPr>
          <w:rFonts w:eastAsiaTheme="majorEastAsia" w:cstheme="majorBidi"/>
          <w:b/>
          <w:sz w:val="32"/>
          <w:szCs w:val="32"/>
          <w:lang w:val="en-NZ"/>
        </w:rPr>
        <w:t xml:space="preserve">July 2013 to </w:t>
      </w:r>
      <w:r w:rsidRPr="00797CC2">
        <w:rPr>
          <w:rFonts w:eastAsiaTheme="majorEastAsia" w:cstheme="majorBidi"/>
          <w:b/>
          <w:sz w:val="32"/>
          <w:szCs w:val="32"/>
          <w:lang w:val="en-NZ"/>
        </w:rPr>
        <w:t xml:space="preserve">30 </w:t>
      </w:r>
      <w:r w:rsidR="00884CD0" w:rsidRPr="00797CC2">
        <w:rPr>
          <w:rFonts w:eastAsiaTheme="majorEastAsia" w:cstheme="majorBidi"/>
          <w:b/>
          <w:sz w:val="32"/>
          <w:szCs w:val="32"/>
          <w:lang w:val="en-NZ"/>
        </w:rPr>
        <w:t>June 2014</w:t>
      </w:r>
    </w:p>
    <w:p w:rsidR="00F03F8C" w:rsidRPr="00797CC2" w:rsidRDefault="00F051CF" w:rsidP="00485512">
      <w:pPr>
        <w:pStyle w:val="NoSpacing"/>
        <w:jc w:val="center"/>
        <w:rPr>
          <w:rFonts w:eastAsiaTheme="majorEastAsia" w:cstheme="majorBidi"/>
          <w:b/>
          <w:sz w:val="32"/>
          <w:szCs w:val="32"/>
          <w:lang w:val="en-NZ"/>
        </w:rPr>
      </w:pPr>
      <w:r w:rsidRPr="00797CC2">
        <w:rPr>
          <w:rFonts w:eastAsiaTheme="majorEastAsia" w:cstheme="majorBidi"/>
          <w:b/>
          <w:noProof/>
          <w:sz w:val="32"/>
          <w:szCs w:val="32"/>
          <w:lang w:val="en-NZ" w:eastAsia="en-NZ"/>
        </w:rPr>
        <w:drawing>
          <wp:anchor distT="0" distB="0" distL="114300" distR="114300" simplePos="0" relativeHeight="251658240" behindDoc="0" locked="0" layoutInCell="1" allowOverlap="1" wp14:anchorId="7DCDD601" wp14:editId="5C97D714">
            <wp:simplePos x="0" y="0"/>
            <wp:positionH relativeFrom="page">
              <wp:align>center</wp:align>
            </wp:positionH>
            <wp:positionV relativeFrom="paragraph">
              <wp:posOffset>975995</wp:posOffset>
            </wp:positionV>
            <wp:extent cx="1016000" cy="551815"/>
            <wp:effectExtent l="19050" t="0" r="0" b="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9" cstate="print"/>
                    <a:stretch>
                      <a:fillRect/>
                    </a:stretch>
                  </pic:blipFill>
                  <pic:spPr>
                    <a:xfrm>
                      <a:off x="0" y="0"/>
                      <a:ext cx="1016000" cy="551815"/>
                    </a:xfrm>
                    <a:prstGeom prst="rect">
                      <a:avLst/>
                    </a:prstGeom>
                  </pic:spPr>
                </pic:pic>
              </a:graphicData>
            </a:graphic>
          </wp:anchor>
        </w:drawing>
      </w:r>
    </w:p>
    <w:p w:rsidR="0054101B" w:rsidRPr="00797CC2" w:rsidRDefault="0054101B" w:rsidP="00825752">
      <w:pPr>
        <w:jc w:val="center"/>
        <w:sectPr w:rsidR="0054101B" w:rsidRPr="00797CC2" w:rsidSect="001517D9">
          <w:headerReference w:type="even" r:id="rId10"/>
          <w:headerReference w:type="default" r:id="rId11"/>
          <w:footerReference w:type="even" r:id="rId12"/>
          <w:footerReference w:type="default" r:id="rId13"/>
          <w:headerReference w:type="first" r:id="rId14"/>
          <w:footerReference w:type="first" r:id="rId15"/>
          <w:pgSz w:w="11906" w:h="16838" w:code="9"/>
          <w:pgMar w:top="1140" w:right="1412" w:bottom="851" w:left="1412" w:header="720" w:footer="590" w:gutter="0"/>
          <w:cols w:space="720"/>
          <w:vAlign w:val="center"/>
          <w:titlePg/>
          <w:docGrid w:linePitch="360"/>
        </w:sectPr>
      </w:pPr>
    </w:p>
    <w:p w:rsidR="00192C3F" w:rsidRPr="00797CC2" w:rsidRDefault="00192C3F">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3B14D0" w:rsidRPr="00797CC2" w:rsidRDefault="003B14D0">
      <w:pPr>
        <w:rPr>
          <w:b/>
          <w:szCs w:val="22"/>
        </w:rPr>
      </w:pPr>
    </w:p>
    <w:p w:rsidR="00161B9B" w:rsidRPr="00797CC2" w:rsidRDefault="00161B9B">
      <w:pPr>
        <w:rPr>
          <w:b/>
          <w:szCs w:val="22"/>
        </w:rPr>
      </w:pPr>
    </w:p>
    <w:p w:rsidR="006C6053" w:rsidRPr="00797CC2" w:rsidRDefault="006C6053">
      <w:pPr>
        <w:rPr>
          <w:b/>
          <w:szCs w:val="22"/>
        </w:rPr>
      </w:pPr>
      <w:r w:rsidRPr="00797CC2">
        <w:rPr>
          <w:b/>
          <w:szCs w:val="22"/>
        </w:rPr>
        <w:t>Feedback</w:t>
      </w:r>
    </w:p>
    <w:p w:rsidR="006C6053" w:rsidRPr="00797CC2" w:rsidRDefault="006C6053" w:rsidP="006C6053">
      <w:pPr>
        <w:jc w:val="left"/>
        <w:rPr>
          <w:szCs w:val="22"/>
        </w:rPr>
      </w:pPr>
      <w:r w:rsidRPr="00797CC2">
        <w:rPr>
          <w:szCs w:val="22"/>
        </w:rPr>
        <w:t>We welcome your feedback on this report. Please contact</w:t>
      </w:r>
      <w:r w:rsidR="007E4888" w:rsidRPr="00797CC2">
        <w:rPr>
          <w:szCs w:val="22"/>
        </w:rPr>
        <w:t xml:space="preserve"> Natasha Davidson</w:t>
      </w:r>
      <w:r w:rsidR="00161B9B" w:rsidRPr="00797CC2">
        <w:rPr>
          <w:szCs w:val="22"/>
        </w:rPr>
        <w:t xml:space="preserve"> at hdc@hdc.org.nz</w:t>
      </w:r>
    </w:p>
    <w:p w:rsidR="006C6053" w:rsidRPr="00797CC2" w:rsidRDefault="006C6053" w:rsidP="006C6053">
      <w:pPr>
        <w:jc w:val="left"/>
        <w:rPr>
          <w:szCs w:val="22"/>
        </w:rPr>
      </w:pPr>
    </w:p>
    <w:p w:rsidR="00192C3F" w:rsidRPr="00797CC2" w:rsidRDefault="00192C3F" w:rsidP="006C6053">
      <w:pPr>
        <w:jc w:val="left"/>
        <w:rPr>
          <w:b/>
          <w:szCs w:val="22"/>
        </w:rPr>
      </w:pPr>
      <w:r w:rsidRPr="00797CC2">
        <w:rPr>
          <w:b/>
          <w:szCs w:val="22"/>
        </w:rPr>
        <w:t>Authors</w:t>
      </w:r>
    </w:p>
    <w:p w:rsidR="00192C3F" w:rsidRPr="00797CC2" w:rsidRDefault="00884CD0" w:rsidP="006C6053">
      <w:pPr>
        <w:jc w:val="left"/>
        <w:rPr>
          <w:szCs w:val="22"/>
        </w:rPr>
      </w:pPr>
      <w:r w:rsidRPr="00797CC2">
        <w:rPr>
          <w:szCs w:val="22"/>
        </w:rPr>
        <w:t>This report was prepared</w:t>
      </w:r>
      <w:r w:rsidR="007E4888" w:rsidRPr="00797CC2">
        <w:rPr>
          <w:szCs w:val="22"/>
        </w:rPr>
        <w:t xml:space="preserve"> by Natasha Davidson</w:t>
      </w:r>
      <w:r w:rsidR="00192C3F" w:rsidRPr="00797CC2">
        <w:rPr>
          <w:szCs w:val="22"/>
        </w:rPr>
        <w:t xml:space="preserve"> (Analyst – Research and Education) and Dr Katie Elkin (Associate Commissioner –</w:t>
      </w:r>
      <w:r w:rsidR="00161B9B" w:rsidRPr="00797CC2">
        <w:rPr>
          <w:szCs w:val="22"/>
        </w:rPr>
        <w:t xml:space="preserve"> Legal and Strategic Relations), with assistance from </w:t>
      </w:r>
      <w:r w:rsidRPr="00797CC2">
        <w:rPr>
          <w:szCs w:val="22"/>
        </w:rPr>
        <w:t>the HDC Legal Team.</w:t>
      </w:r>
    </w:p>
    <w:p w:rsidR="00161B9B" w:rsidRPr="00797CC2" w:rsidRDefault="00161B9B" w:rsidP="00192C3F">
      <w:pPr>
        <w:jc w:val="left"/>
        <w:rPr>
          <w:szCs w:val="22"/>
        </w:rPr>
      </w:pPr>
    </w:p>
    <w:p w:rsidR="003B14D0" w:rsidRPr="00797CC2" w:rsidRDefault="003B14D0" w:rsidP="00192C3F">
      <w:pPr>
        <w:jc w:val="left"/>
        <w:rPr>
          <w:i/>
          <w:szCs w:val="22"/>
        </w:rPr>
      </w:pPr>
      <w:r w:rsidRPr="00797CC2">
        <w:rPr>
          <w:szCs w:val="22"/>
        </w:rPr>
        <w:t>Citation: The Health a</w:t>
      </w:r>
      <w:r w:rsidR="00497414" w:rsidRPr="00797CC2">
        <w:rPr>
          <w:szCs w:val="22"/>
        </w:rPr>
        <w:t>nd Disability Commissioner. 2015</w:t>
      </w:r>
      <w:r w:rsidRPr="00797CC2">
        <w:rPr>
          <w:szCs w:val="22"/>
        </w:rPr>
        <w:t xml:space="preserve">. </w:t>
      </w:r>
      <w:r w:rsidRPr="00797CC2">
        <w:rPr>
          <w:i/>
          <w:szCs w:val="22"/>
        </w:rPr>
        <w:t>Complaints to the Health and Disability Commissioner involving District Health Boards: Analysis and Report 2013/14.</w:t>
      </w:r>
    </w:p>
    <w:p w:rsidR="003B14D0" w:rsidRPr="00797CC2" w:rsidRDefault="003B14D0" w:rsidP="00192C3F">
      <w:pPr>
        <w:jc w:val="left"/>
        <w:rPr>
          <w:szCs w:val="22"/>
        </w:rPr>
      </w:pPr>
    </w:p>
    <w:p w:rsidR="00192C3F" w:rsidRPr="00797CC2" w:rsidRDefault="00192C3F" w:rsidP="00192C3F">
      <w:pPr>
        <w:jc w:val="left"/>
        <w:rPr>
          <w:szCs w:val="22"/>
        </w:rPr>
      </w:pPr>
      <w:r w:rsidRPr="00797CC2">
        <w:rPr>
          <w:szCs w:val="22"/>
        </w:rPr>
        <w:t xml:space="preserve">Published in </w:t>
      </w:r>
      <w:r w:rsidR="00894AEC">
        <w:rPr>
          <w:szCs w:val="22"/>
        </w:rPr>
        <w:t>March</w:t>
      </w:r>
      <w:r w:rsidR="00497414" w:rsidRPr="00797CC2">
        <w:rPr>
          <w:szCs w:val="22"/>
        </w:rPr>
        <w:t xml:space="preserve"> 2015</w:t>
      </w:r>
    </w:p>
    <w:p w:rsidR="00192C3F" w:rsidRPr="00797CC2" w:rsidRDefault="00192C3F" w:rsidP="00192C3F">
      <w:pPr>
        <w:jc w:val="left"/>
        <w:rPr>
          <w:szCs w:val="22"/>
        </w:rPr>
      </w:pPr>
      <w:r w:rsidRPr="00797CC2">
        <w:rPr>
          <w:szCs w:val="22"/>
        </w:rPr>
        <w:t>by the Health and Disability Commissioner</w:t>
      </w:r>
    </w:p>
    <w:p w:rsidR="003B14D0" w:rsidRPr="00797CC2" w:rsidRDefault="003B14D0" w:rsidP="00192C3F">
      <w:pPr>
        <w:jc w:val="left"/>
        <w:rPr>
          <w:szCs w:val="22"/>
        </w:rPr>
      </w:pPr>
      <w:r w:rsidRPr="00797CC2">
        <w:rPr>
          <w:szCs w:val="22"/>
        </w:rPr>
        <w:t>PO Box 1791, Auckland 1140</w:t>
      </w:r>
    </w:p>
    <w:p w:rsidR="00192C3F" w:rsidRPr="00797CC2" w:rsidRDefault="00192C3F" w:rsidP="00192C3F">
      <w:pPr>
        <w:jc w:val="left"/>
        <w:rPr>
          <w:b/>
          <w:szCs w:val="22"/>
        </w:rPr>
      </w:pPr>
    </w:p>
    <w:p w:rsidR="00192C3F" w:rsidRPr="00797CC2" w:rsidRDefault="007E4888" w:rsidP="00192C3F">
      <w:pPr>
        <w:jc w:val="left"/>
        <w:rPr>
          <w:szCs w:val="22"/>
        </w:rPr>
      </w:pPr>
      <w:r w:rsidRPr="00797CC2">
        <w:rPr>
          <w:szCs w:val="22"/>
        </w:rPr>
        <w:t>©2015</w:t>
      </w:r>
      <w:r w:rsidR="00192C3F" w:rsidRPr="00797CC2">
        <w:rPr>
          <w:szCs w:val="22"/>
        </w:rPr>
        <w:t xml:space="preserve"> The Health and Disability Commissioner</w:t>
      </w:r>
    </w:p>
    <w:p w:rsidR="003B14D0" w:rsidRPr="00797CC2" w:rsidRDefault="003B14D0" w:rsidP="006C6053">
      <w:pPr>
        <w:jc w:val="left"/>
        <w:rPr>
          <w:b/>
          <w:szCs w:val="22"/>
        </w:rPr>
      </w:pPr>
    </w:p>
    <w:p w:rsidR="003B14D0" w:rsidRPr="00797CC2" w:rsidRDefault="003B14D0" w:rsidP="006C6053">
      <w:pPr>
        <w:jc w:val="left"/>
        <w:rPr>
          <w:b/>
          <w:szCs w:val="22"/>
        </w:rPr>
        <w:sectPr w:rsidR="003B14D0" w:rsidRPr="00797CC2" w:rsidSect="001517D9">
          <w:pgSz w:w="11906" w:h="16838" w:code="9"/>
          <w:pgMar w:top="1140" w:right="1412" w:bottom="851" w:left="1412" w:header="720" w:footer="590" w:gutter="0"/>
          <w:pgNumType w:start="0"/>
          <w:cols w:space="720"/>
          <w:titlePg/>
          <w:docGrid w:linePitch="360"/>
        </w:sectPr>
      </w:pPr>
      <w:r w:rsidRPr="00797CC2">
        <w:rPr>
          <w:szCs w:val="22"/>
        </w:rPr>
        <w:t>This report is available on our website at www.hdc.org.</w:t>
      </w:r>
      <w:r w:rsidR="00E84233" w:rsidRPr="00797CC2">
        <w:rPr>
          <w:szCs w:val="22"/>
        </w:rPr>
        <w:t>nz</w:t>
      </w:r>
    </w:p>
    <w:p w:rsidR="00AD5E6D" w:rsidRPr="00797CC2" w:rsidRDefault="00F051CF" w:rsidP="00E84233">
      <w:pPr>
        <w:pStyle w:val="Heading1"/>
        <w:rPr>
          <w:sz w:val="36"/>
          <w:szCs w:val="36"/>
        </w:rPr>
      </w:pPr>
      <w:r w:rsidRPr="00797CC2">
        <w:lastRenderedPageBreak/>
        <w:br w:type="textWrapping" w:clear="all"/>
      </w:r>
      <w:r w:rsidR="001517D9" w:rsidRPr="001517D9">
        <w:rPr>
          <w:color w:val="C00000"/>
          <w:sz w:val="36"/>
          <w:szCs w:val="36"/>
        </w:rPr>
        <w:t>CONTENTS</w:t>
      </w:r>
      <w:r w:rsidR="00C46EE1" w:rsidRPr="001517D9">
        <w:rPr>
          <w:color w:val="C00000"/>
          <w:sz w:val="36"/>
          <w:szCs w:val="36"/>
        </w:rPr>
        <w:t xml:space="preserve">  </w:t>
      </w:r>
    </w:p>
    <w:p w:rsidR="007E4CFF" w:rsidRPr="001517D9" w:rsidRDefault="005874B5" w:rsidP="001517D9">
      <w:pPr>
        <w:pStyle w:val="TOC1"/>
        <w:spacing w:line="360" w:lineRule="auto"/>
        <w:rPr>
          <w:rFonts w:eastAsiaTheme="minorEastAsia" w:cstheme="minorBidi"/>
          <w:sz w:val="22"/>
          <w:szCs w:val="22"/>
          <w:lang w:eastAsia="en-NZ" w:bidi="ar-SA"/>
        </w:rPr>
      </w:pPr>
      <w:r w:rsidRPr="001517D9">
        <w:rPr>
          <w:color w:val="000000" w:themeColor="text1"/>
          <w:sz w:val="32"/>
          <w:szCs w:val="32"/>
        </w:rPr>
        <w:fldChar w:fldCharType="begin"/>
      </w:r>
      <w:r w:rsidRPr="001517D9">
        <w:rPr>
          <w:color w:val="000000" w:themeColor="text1"/>
          <w:sz w:val="32"/>
          <w:szCs w:val="32"/>
        </w:rPr>
        <w:instrText xml:space="preserve"> TOC \o "2-3" \h \z \t "Heading 1,1" </w:instrText>
      </w:r>
      <w:r w:rsidRPr="001517D9">
        <w:rPr>
          <w:color w:val="000000" w:themeColor="text1"/>
          <w:sz w:val="32"/>
          <w:szCs w:val="32"/>
        </w:rPr>
        <w:fldChar w:fldCharType="separate"/>
      </w:r>
      <w:hyperlink w:anchor="_Toc404344417" w:history="1">
        <w:r w:rsidR="007E4CFF" w:rsidRPr="001517D9">
          <w:rPr>
            <w:rStyle w:val="Hyperlink"/>
            <w:b/>
          </w:rPr>
          <w:t>Contents</w:t>
        </w:r>
        <w:r w:rsidR="007E4CFF" w:rsidRPr="001517D9">
          <w:rPr>
            <w:webHidden/>
          </w:rPr>
          <w:tab/>
        </w:r>
        <w:r w:rsidR="007E4CFF" w:rsidRPr="001517D9">
          <w:rPr>
            <w:webHidden/>
          </w:rPr>
          <w:fldChar w:fldCharType="begin"/>
        </w:r>
        <w:r w:rsidR="007E4CFF" w:rsidRPr="001517D9">
          <w:rPr>
            <w:webHidden/>
          </w:rPr>
          <w:instrText xml:space="preserve"> PAGEREF _Toc404344417 \h </w:instrText>
        </w:r>
        <w:r w:rsidR="007E4CFF" w:rsidRPr="001517D9">
          <w:rPr>
            <w:webHidden/>
          </w:rPr>
        </w:r>
        <w:r w:rsidR="007E4CFF" w:rsidRPr="001517D9">
          <w:rPr>
            <w:webHidden/>
          </w:rPr>
          <w:fldChar w:fldCharType="separate"/>
        </w:r>
        <w:r w:rsidR="00064640" w:rsidRPr="001517D9">
          <w:rPr>
            <w:webHidden/>
          </w:rPr>
          <w:t>i</w:t>
        </w:r>
        <w:r w:rsidR="007E4CFF" w:rsidRPr="001517D9">
          <w:rPr>
            <w:webHidden/>
          </w:rPr>
          <w:fldChar w:fldCharType="end"/>
        </w:r>
      </w:hyperlink>
    </w:p>
    <w:p w:rsidR="007E4CFF" w:rsidRPr="001517D9" w:rsidRDefault="009F50AE" w:rsidP="001517D9">
      <w:pPr>
        <w:pStyle w:val="TOC1"/>
        <w:spacing w:line="360" w:lineRule="auto"/>
        <w:rPr>
          <w:rFonts w:eastAsiaTheme="minorEastAsia" w:cstheme="minorBidi"/>
          <w:sz w:val="22"/>
          <w:szCs w:val="22"/>
          <w:lang w:eastAsia="en-NZ" w:bidi="ar-SA"/>
        </w:rPr>
      </w:pPr>
      <w:hyperlink w:anchor="_Toc404344418" w:history="1">
        <w:r w:rsidR="007E4CFF" w:rsidRPr="001517D9">
          <w:rPr>
            <w:rStyle w:val="Hyperlink"/>
            <w:b/>
          </w:rPr>
          <w:t>Commissioner’s Foreword</w:t>
        </w:r>
        <w:r w:rsidR="007E4CFF" w:rsidRPr="001517D9">
          <w:rPr>
            <w:webHidden/>
          </w:rPr>
          <w:tab/>
        </w:r>
        <w:r w:rsidR="007E4CFF" w:rsidRPr="001517D9">
          <w:rPr>
            <w:webHidden/>
          </w:rPr>
          <w:fldChar w:fldCharType="begin"/>
        </w:r>
        <w:r w:rsidR="007E4CFF" w:rsidRPr="001517D9">
          <w:rPr>
            <w:webHidden/>
          </w:rPr>
          <w:instrText xml:space="preserve"> PAGEREF _Toc404344418 \h </w:instrText>
        </w:r>
        <w:r w:rsidR="007E4CFF" w:rsidRPr="001517D9">
          <w:rPr>
            <w:webHidden/>
          </w:rPr>
        </w:r>
        <w:r w:rsidR="007E4CFF" w:rsidRPr="001517D9">
          <w:rPr>
            <w:webHidden/>
          </w:rPr>
          <w:fldChar w:fldCharType="separate"/>
        </w:r>
        <w:r w:rsidR="00064640" w:rsidRPr="001517D9">
          <w:rPr>
            <w:webHidden/>
          </w:rPr>
          <w:t>1</w:t>
        </w:r>
        <w:r w:rsidR="007E4CFF" w:rsidRPr="001517D9">
          <w:rPr>
            <w:webHidden/>
          </w:rPr>
          <w:fldChar w:fldCharType="end"/>
        </w:r>
      </w:hyperlink>
    </w:p>
    <w:p w:rsidR="007E4CFF" w:rsidRPr="001517D9" w:rsidRDefault="009F50AE" w:rsidP="001517D9">
      <w:pPr>
        <w:pStyle w:val="TOC1"/>
        <w:spacing w:line="360" w:lineRule="auto"/>
        <w:rPr>
          <w:rFonts w:eastAsiaTheme="minorEastAsia" w:cstheme="minorBidi"/>
          <w:sz w:val="22"/>
          <w:szCs w:val="22"/>
          <w:lang w:eastAsia="en-NZ" w:bidi="ar-SA"/>
        </w:rPr>
      </w:pPr>
      <w:hyperlink w:anchor="_Toc404344419" w:history="1">
        <w:r w:rsidR="007E4CFF" w:rsidRPr="001517D9">
          <w:rPr>
            <w:rStyle w:val="Hyperlink"/>
            <w:b/>
          </w:rPr>
          <w:t>Executive Summary</w:t>
        </w:r>
        <w:r w:rsidR="007E4CFF" w:rsidRPr="001517D9">
          <w:rPr>
            <w:webHidden/>
          </w:rPr>
          <w:tab/>
        </w:r>
        <w:r w:rsidR="007E4CFF" w:rsidRPr="001517D9">
          <w:rPr>
            <w:webHidden/>
          </w:rPr>
          <w:fldChar w:fldCharType="begin"/>
        </w:r>
        <w:r w:rsidR="007E4CFF" w:rsidRPr="001517D9">
          <w:rPr>
            <w:webHidden/>
          </w:rPr>
          <w:instrText xml:space="preserve"> PAGEREF _Toc404344419 \h </w:instrText>
        </w:r>
        <w:r w:rsidR="007E4CFF" w:rsidRPr="001517D9">
          <w:rPr>
            <w:webHidden/>
          </w:rPr>
        </w:r>
        <w:r w:rsidR="007E4CFF" w:rsidRPr="001517D9">
          <w:rPr>
            <w:webHidden/>
          </w:rPr>
          <w:fldChar w:fldCharType="separate"/>
        </w:r>
        <w:r w:rsidR="00064640" w:rsidRPr="001517D9">
          <w:rPr>
            <w:webHidden/>
          </w:rPr>
          <w:t>2</w:t>
        </w:r>
        <w:r w:rsidR="007E4CFF" w:rsidRPr="001517D9">
          <w:rPr>
            <w:webHidden/>
          </w:rPr>
          <w:fldChar w:fldCharType="end"/>
        </w:r>
      </w:hyperlink>
    </w:p>
    <w:p w:rsidR="007E4CFF" w:rsidRPr="001517D9" w:rsidRDefault="009F50AE" w:rsidP="001517D9">
      <w:pPr>
        <w:pStyle w:val="TOC1"/>
        <w:spacing w:line="360" w:lineRule="auto"/>
        <w:rPr>
          <w:rFonts w:eastAsiaTheme="minorEastAsia" w:cstheme="minorBidi"/>
          <w:sz w:val="22"/>
          <w:szCs w:val="22"/>
          <w:lang w:eastAsia="en-NZ" w:bidi="ar-SA"/>
        </w:rPr>
      </w:pPr>
      <w:hyperlink w:anchor="_Toc404344420" w:history="1">
        <w:r w:rsidR="007E4CFF" w:rsidRPr="001517D9">
          <w:rPr>
            <w:rStyle w:val="Hyperlink"/>
            <w:b/>
          </w:rPr>
          <w:t>Background</w:t>
        </w:r>
        <w:r w:rsidR="007E4CFF" w:rsidRPr="001517D9">
          <w:rPr>
            <w:webHidden/>
          </w:rPr>
          <w:tab/>
        </w:r>
        <w:r w:rsidR="007E4CFF" w:rsidRPr="001517D9">
          <w:rPr>
            <w:webHidden/>
          </w:rPr>
          <w:fldChar w:fldCharType="begin"/>
        </w:r>
        <w:r w:rsidR="007E4CFF" w:rsidRPr="001517D9">
          <w:rPr>
            <w:webHidden/>
          </w:rPr>
          <w:instrText xml:space="preserve"> PAGEREF _Toc404344420 \h </w:instrText>
        </w:r>
        <w:r w:rsidR="007E4CFF" w:rsidRPr="001517D9">
          <w:rPr>
            <w:webHidden/>
          </w:rPr>
        </w:r>
        <w:r w:rsidR="007E4CFF" w:rsidRPr="001517D9">
          <w:rPr>
            <w:webHidden/>
          </w:rPr>
          <w:fldChar w:fldCharType="separate"/>
        </w:r>
        <w:r w:rsidR="00064640" w:rsidRPr="001517D9">
          <w:rPr>
            <w:webHidden/>
          </w:rPr>
          <w:t>3</w:t>
        </w:r>
        <w:r w:rsidR="007E4CFF" w:rsidRPr="001517D9">
          <w:rPr>
            <w:webHidden/>
          </w:rPr>
          <w:fldChar w:fldCharType="end"/>
        </w:r>
      </w:hyperlink>
    </w:p>
    <w:p w:rsidR="007E4CFF" w:rsidRPr="001517D9" w:rsidRDefault="009F50AE" w:rsidP="001517D9">
      <w:pPr>
        <w:pStyle w:val="TOC2"/>
        <w:tabs>
          <w:tab w:val="left" w:pos="660"/>
          <w:tab w:val="right" w:leader="dot" w:pos="9072"/>
        </w:tabs>
        <w:spacing w:line="360" w:lineRule="auto"/>
        <w:rPr>
          <w:rFonts w:eastAsiaTheme="minorEastAsia" w:cstheme="minorBidi"/>
          <w:b w:val="0"/>
          <w:noProof/>
          <w:lang w:eastAsia="en-NZ" w:bidi="ar-SA"/>
        </w:rPr>
      </w:pPr>
      <w:hyperlink w:anchor="_Toc404344421" w:history="1">
        <w:r w:rsidR="007E4CFF" w:rsidRPr="001517D9">
          <w:rPr>
            <w:rStyle w:val="Hyperlink"/>
            <w:b w:val="0"/>
            <w:noProof/>
          </w:rPr>
          <w:t>1.</w:t>
        </w:r>
        <w:r w:rsidR="007E4CFF" w:rsidRPr="001517D9">
          <w:rPr>
            <w:rFonts w:eastAsiaTheme="minorEastAsia" w:cstheme="minorBidi"/>
            <w:b w:val="0"/>
            <w:noProof/>
            <w:lang w:eastAsia="en-NZ" w:bidi="ar-SA"/>
          </w:rPr>
          <w:tab/>
        </w:r>
        <w:r w:rsidR="007E4CFF" w:rsidRPr="001517D9">
          <w:rPr>
            <w:rStyle w:val="Hyperlink"/>
            <w:b w:val="0"/>
            <w:noProof/>
          </w:rPr>
          <w:t>The Health and Disability Commissioner</w:t>
        </w:r>
        <w:r w:rsidR="007E4CFF" w:rsidRPr="001517D9">
          <w:rPr>
            <w:b w:val="0"/>
            <w:noProof/>
            <w:webHidden/>
          </w:rPr>
          <w:tab/>
        </w:r>
        <w:r w:rsidR="007E4CFF" w:rsidRPr="001517D9">
          <w:rPr>
            <w:b w:val="0"/>
            <w:noProof/>
            <w:webHidden/>
          </w:rPr>
          <w:fldChar w:fldCharType="begin"/>
        </w:r>
        <w:r w:rsidR="007E4CFF" w:rsidRPr="001517D9">
          <w:rPr>
            <w:b w:val="0"/>
            <w:noProof/>
            <w:webHidden/>
          </w:rPr>
          <w:instrText xml:space="preserve"> PAGEREF _Toc404344421 \h </w:instrText>
        </w:r>
        <w:r w:rsidR="007E4CFF" w:rsidRPr="001517D9">
          <w:rPr>
            <w:b w:val="0"/>
            <w:noProof/>
            <w:webHidden/>
          </w:rPr>
        </w:r>
        <w:r w:rsidR="007E4CFF" w:rsidRPr="001517D9">
          <w:rPr>
            <w:b w:val="0"/>
            <w:noProof/>
            <w:webHidden/>
          </w:rPr>
          <w:fldChar w:fldCharType="separate"/>
        </w:r>
        <w:r w:rsidR="00064640" w:rsidRPr="001517D9">
          <w:rPr>
            <w:b w:val="0"/>
            <w:noProof/>
            <w:webHidden/>
          </w:rPr>
          <w:t>3</w:t>
        </w:r>
        <w:r w:rsidR="007E4CFF" w:rsidRPr="001517D9">
          <w:rPr>
            <w:b w:val="0"/>
            <w:noProof/>
            <w:webHidden/>
          </w:rPr>
          <w:fldChar w:fldCharType="end"/>
        </w:r>
      </w:hyperlink>
    </w:p>
    <w:p w:rsidR="007E4CFF" w:rsidRPr="001517D9" w:rsidRDefault="009F50AE" w:rsidP="001517D9">
      <w:pPr>
        <w:pStyle w:val="TOC2"/>
        <w:tabs>
          <w:tab w:val="left" w:pos="660"/>
          <w:tab w:val="right" w:leader="dot" w:pos="9072"/>
        </w:tabs>
        <w:spacing w:line="360" w:lineRule="auto"/>
        <w:rPr>
          <w:rFonts w:eastAsiaTheme="minorEastAsia" w:cstheme="minorBidi"/>
          <w:b w:val="0"/>
          <w:noProof/>
          <w:lang w:eastAsia="en-NZ" w:bidi="ar-SA"/>
        </w:rPr>
      </w:pPr>
      <w:hyperlink w:anchor="_Toc404344422" w:history="1">
        <w:r w:rsidR="007E4CFF" w:rsidRPr="001517D9">
          <w:rPr>
            <w:rStyle w:val="Hyperlink"/>
            <w:b w:val="0"/>
            <w:noProof/>
          </w:rPr>
          <w:t>2.</w:t>
        </w:r>
        <w:r w:rsidR="007E4CFF" w:rsidRPr="001517D9">
          <w:rPr>
            <w:rFonts w:eastAsiaTheme="minorEastAsia" w:cstheme="minorBidi"/>
            <w:b w:val="0"/>
            <w:noProof/>
            <w:lang w:eastAsia="en-NZ" w:bidi="ar-SA"/>
          </w:rPr>
          <w:tab/>
        </w:r>
        <w:r w:rsidR="007E4CFF" w:rsidRPr="001517D9">
          <w:rPr>
            <w:rStyle w:val="Hyperlink"/>
            <w:b w:val="0"/>
            <w:noProof/>
          </w:rPr>
          <w:t>District Health Boards</w:t>
        </w:r>
        <w:r w:rsidR="007E4CFF" w:rsidRPr="001517D9">
          <w:rPr>
            <w:b w:val="0"/>
            <w:noProof/>
            <w:webHidden/>
          </w:rPr>
          <w:tab/>
        </w:r>
        <w:r w:rsidR="007E4CFF" w:rsidRPr="001517D9">
          <w:rPr>
            <w:b w:val="0"/>
            <w:noProof/>
            <w:webHidden/>
          </w:rPr>
          <w:fldChar w:fldCharType="begin"/>
        </w:r>
        <w:r w:rsidR="007E4CFF" w:rsidRPr="001517D9">
          <w:rPr>
            <w:b w:val="0"/>
            <w:noProof/>
            <w:webHidden/>
          </w:rPr>
          <w:instrText xml:space="preserve"> PAGEREF _Toc404344422 \h </w:instrText>
        </w:r>
        <w:r w:rsidR="007E4CFF" w:rsidRPr="001517D9">
          <w:rPr>
            <w:b w:val="0"/>
            <w:noProof/>
            <w:webHidden/>
          </w:rPr>
        </w:r>
        <w:r w:rsidR="007E4CFF" w:rsidRPr="001517D9">
          <w:rPr>
            <w:b w:val="0"/>
            <w:noProof/>
            <w:webHidden/>
          </w:rPr>
          <w:fldChar w:fldCharType="separate"/>
        </w:r>
        <w:r w:rsidR="00064640" w:rsidRPr="001517D9">
          <w:rPr>
            <w:b w:val="0"/>
            <w:noProof/>
            <w:webHidden/>
          </w:rPr>
          <w:t>4</w:t>
        </w:r>
        <w:r w:rsidR="007E4CFF" w:rsidRPr="001517D9">
          <w:rPr>
            <w:b w:val="0"/>
            <w:noProof/>
            <w:webHidden/>
          </w:rPr>
          <w:fldChar w:fldCharType="end"/>
        </w:r>
      </w:hyperlink>
    </w:p>
    <w:p w:rsidR="007E4CFF" w:rsidRPr="001517D9" w:rsidRDefault="009F50AE" w:rsidP="001517D9">
      <w:pPr>
        <w:pStyle w:val="TOC2"/>
        <w:tabs>
          <w:tab w:val="left" w:pos="660"/>
          <w:tab w:val="right" w:leader="dot" w:pos="9072"/>
        </w:tabs>
        <w:spacing w:line="360" w:lineRule="auto"/>
        <w:rPr>
          <w:rFonts w:eastAsiaTheme="minorEastAsia" w:cstheme="minorBidi"/>
          <w:b w:val="0"/>
          <w:noProof/>
          <w:lang w:eastAsia="en-NZ" w:bidi="ar-SA"/>
        </w:rPr>
      </w:pPr>
      <w:hyperlink w:anchor="_Toc404344423" w:history="1">
        <w:r w:rsidR="007E4CFF" w:rsidRPr="001517D9">
          <w:rPr>
            <w:rStyle w:val="Hyperlink"/>
            <w:b w:val="0"/>
            <w:noProof/>
          </w:rPr>
          <w:t>3.</w:t>
        </w:r>
        <w:r w:rsidR="007E4CFF" w:rsidRPr="001517D9">
          <w:rPr>
            <w:rFonts w:eastAsiaTheme="minorEastAsia" w:cstheme="minorBidi"/>
            <w:b w:val="0"/>
            <w:noProof/>
            <w:lang w:eastAsia="en-NZ" w:bidi="ar-SA"/>
          </w:rPr>
          <w:tab/>
        </w:r>
        <w:r w:rsidR="007E4CFF" w:rsidRPr="001517D9">
          <w:rPr>
            <w:rStyle w:val="Hyperlink"/>
            <w:b w:val="0"/>
            <w:noProof/>
          </w:rPr>
          <w:t>This Report</w:t>
        </w:r>
        <w:r w:rsidR="007E4CFF" w:rsidRPr="001517D9">
          <w:rPr>
            <w:b w:val="0"/>
            <w:noProof/>
            <w:webHidden/>
          </w:rPr>
          <w:tab/>
        </w:r>
        <w:r w:rsidR="007E4CFF" w:rsidRPr="001517D9">
          <w:rPr>
            <w:b w:val="0"/>
            <w:noProof/>
            <w:webHidden/>
          </w:rPr>
          <w:fldChar w:fldCharType="begin"/>
        </w:r>
        <w:r w:rsidR="007E4CFF" w:rsidRPr="001517D9">
          <w:rPr>
            <w:b w:val="0"/>
            <w:noProof/>
            <w:webHidden/>
          </w:rPr>
          <w:instrText xml:space="preserve"> PAGEREF _Toc404344423 \h </w:instrText>
        </w:r>
        <w:r w:rsidR="007E4CFF" w:rsidRPr="001517D9">
          <w:rPr>
            <w:b w:val="0"/>
            <w:noProof/>
            <w:webHidden/>
          </w:rPr>
        </w:r>
        <w:r w:rsidR="007E4CFF" w:rsidRPr="001517D9">
          <w:rPr>
            <w:b w:val="0"/>
            <w:noProof/>
            <w:webHidden/>
          </w:rPr>
          <w:fldChar w:fldCharType="separate"/>
        </w:r>
        <w:r w:rsidR="00064640" w:rsidRPr="001517D9">
          <w:rPr>
            <w:b w:val="0"/>
            <w:noProof/>
            <w:webHidden/>
          </w:rPr>
          <w:t>5</w:t>
        </w:r>
        <w:r w:rsidR="007E4CFF" w:rsidRPr="001517D9">
          <w:rPr>
            <w:b w:val="0"/>
            <w:noProof/>
            <w:webHidden/>
          </w:rPr>
          <w:fldChar w:fldCharType="end"/>
        </w:r>
      </w:hyperlink>
    </w:p>
    <w:p w:rsidR="007E4CFF" w:rsidRPr="001517D9" w:rsidRDefault="009F50AE" w:rsidP="001517D9">
      <w:pPr>
        <w:pStyle w:val="TOC1"/>
        <w:spacing w:line="360" w:lineRule="auto"/>
        <w:rPr>
          <w:rFonts w:eastAsiaTheme="minorEastAsia" w:cstheme="minorBidi"/>
          <w:sz w:val="22"/>
          <w:szCs w:val="22"/>
          <w:lang w:eastAsia="en-NZ" w:bidi="ar-SA"/>
        </w:rPr>
      </w:pPr>
      <w:hyperlink w:anchor="_Toc404344424" w:history="1">
        <w:r w:rsidR="007E4CFF" w:rsidRPr="001517D9">
          <w:rPr>
            <w:rStyle w:val="Hyperlink"/>
            <w:b/>
          </w:rPr>
          <w:t>Complaints Received</w:t>
        </w:r>
        <w:r w:rsidR="007E4CFF" w:rsidRPr="001517D9">
          <w:rPr>
            <w:webHidden/>
          </w:rPr>
          <w:tab/>
        </w:r>
        <w:r w:rsidR="007E4CFF" w:rsidRPr="001517D9">
          <w:rPr>
            <w:webHidden/>
          </w:rPr>
          <w:fldChar w:fldCharType="begin"/>
        </w:r>
        <w:r w:rsidR="007E4CFF" w:rsidRPr="001517D9">
          <w:rPr>
            <w:webHidden/>
          </w:rPr>
          <w:instrText xml:space="preserve"> PAGEREF _Toc404344424 \h </w:instrText>
        </w:r>
        <w:r w:rsidR="007E4CFF" w:rsidRPr="001517D9">
          <w:rPr>
            <w:webHidden/>
          </w:rPr>
        </w:r>
        <w:r w:rsidR="007E4CFF" w:rsidRPr="001517D9">
          <w:rPr>
            <w:webHidden/>
          </w:rPr>
          <w:fldChar w:fldCharType="separate"/>
        </w:r>
        <w:r w:rsidR="00064640" w:rsidRPr="001517D9">
          <w:rPr>
            <w:webHidden/>
          </w:rPr>
          <w:t>6</w:t>
        </w:r>
        <w:r w:rsidR="007E4CFF" w:rsidRPr="001517D9">
          <w:rPr>
            <w:webHidden/>
          </w:rPr>
          <w:fldChar w:fldCharType="end"/>
        </w:r>
      </w:hyperlink>
    </w:p>
    <w:p w:rsidR="007E4CFF" w:rsidRPr="001517D9" w:rsidRDefault="009F50AE" w:rsidP="001517D9">
      <w:pPr>
        <w:pStyle w:val="TOC2"/>
        <w:tabs>
          <w:tab w:val="left" w:pos="660"/>
          <w:tab w:val="right" w:leader="dot" w:pos="9072"/>
        </w:tabs>
        <w:spacing w:line="360" w:lineRule="auto"/>
        <w:rPr>
          <w:rFonts w:eastAsiaTheme="minorEastAsia" w:cstheme="minorBidi"/>
          <w:b w:val="0"/>
          <w:noProof/>
          <w:lang w:eastAsia="en-NZ" w:bidi="ar-SA"/>
        </w:rPr>
      </w:pPr>
      <w:hyperlink w:anchor="_Toc404344425" w:history="1">
        <w:r w:rsidR="007E4CFF" w:rsidRPr="001517D9">
          <w:rPr>
            <w:rStyle w:val="Hyperlink"/>
            <w:b w:val="0"/>
            <w:noProof/>
          </w:rPr>
          <w:t>1.</w:t>
        </w:r>
        <w:r w:rsidR="007E4CFF" w:rsidRPr="001517D9">
          <w:rPr>
            <w:rFonts w:eastAsiaTheme="minorEastAsia" w:cstheme="minorBidi"/>
            <w:b w:val="0"/>
            <w:noProof/>
            <w:lang w:eastAsia="en-NZ" w:bidi="ar-SA"/>
          </w:rPr>
          <w:tab/>
        </w:r>
        <w:r w:rsidR="007E4CFF" w:rsidRPr="001517D9">
          <w:rPr>
            <w:rStyle w:val="Hyperlink"/>
            <w:b w:val="0"/>
            <w:noProof/>
          </w:rPr>
          <w:t>How many complaints were received?</w:t>
        </w:r>
        <w:r w:rsidR="007E4CFF" w:rsidRPr="001517D9">
          <w:rPr>
            <w:b w:val="0"/>
            <w:noProof/>
            <w:webHidden/>
          </w:rPr>
          <w:tab/>
        </w:r>
        <w:r w:rsidR="007E4CFF" w:rsidRPr="001517D9">
          <w:rPr>
            <w:b w:val="0"/>
            <w:noProof/>
            <w:webHidden/>
          </w:rPr>
          <w:fldChar w:fldCharType="begin"/>
        </w:r>
        <w:r w:rsidR="007E4CFF" w:rsidRPr="001517D9">
          <w:rPr>
            <w:b w:val="0"/>
            <w:noProof/>
            <w:webHidden/>
          </w:rPr>
          <w:instrText xml:space="preserve"> PAGEREF _Toc404344425 \h </w:instrText>
        </w:r>
        <w:r w:rsidR="007E4CFF" w:rsidRPr="001517D9">
          <w:rPr>
            <w:b w:val="0"/>
            <w:noProof/>
            <w:webHidden/>
          </w:rPr>
        </w:r>
        <w:r w:rsidR="007E4CFF" w:rsidRPr="001517D9">
          <w:rPr>
            <w:b w:val="0"/>
            <w:noProof/>
            <w:webHidden/>
          </w:rPr>
          <w:fldChar w:fldCharType="separate"/>
        </w:r>
        <w:r w:rsidR="00064640" w:rsidRPr="001517D9">
          <w:rPr>
            <w:b w:val="0"/>
            <w:noProof/>
            <w:webHidden/>
          </w:rPr>
          <w:t>6</w:t>
        </w:r>
        <w:r w:rsidR="007E4CFF" w:rsidRPr="001517D9">
          <w:rPr>
            <w:b w:val="0"/>
            <w:noProof/>
            <w:webHidden/>
          </w:rPr>
          <w:fldChar w:fldCharType="end"/>
        </w:r>
      </w:hyperlink>
    </w:p>
    <w:p w:rsidR="007E4CFF" w:rsidRPr="001517D9" w:rsidRDefault="009F50AE" w:rsidP="001517D9">
      <w:pPr>
        <w:pStyle w:val="TOC3"/>
        <w:tabs>
          <w:tab w:val="left" w:pos="1100"/>
          <w:tab w:val="right" w:leader="dot" w:pos="9072"/>
        </w:tabs>
        <w:spacing w:line="360" w:lineRule="auto"/>
        <w:rPr>
          <w:rFonts w:eastAsiaTheme="minorEastAsia" w:cstheme="minorBidi"/>
          <w:noProof/>
          <w:lang w:eastAsia="en-NZ" w:bidi="ar-SA"/>
        </w:rPr>
      </w:pPr>
      <w:hyperlink w:anchor="_Toc404344426" w:history="1">
        <w:r w:rsidR="007E4CFF" w:rsidRPr="001517D9">
          <w:rPr>
            <w:rStyle w:val="Hyperlink"/>
            <w:noProof/>
          </w:rPr>
          <w:t>1.1</w:t>
        </w:r>
        <w:r w:rsidR="001517D9">
          <w:rPr>
            <w:rFonts w:eastAsiaTheme="minorEastAsia" w:cstheme="minorBidi"/>
            <w:noProof/>
            <w:lang w:eastAsia="en-NZ" w:bidi="ar-SA"/>
          </w:rPr>
          <w:t xml:space="preserve"> </w:t>
        </w:r>
        <w:r w:rsidR="007E4CFF" w:rsidRPr="001517D9">
          <w:rPr>
            <w:rStyle w:val="Hyperlink"/>
            <w:noProof/>
          </w:rPr>
          <w:t>Number of complaints received</w:t>
        </w:r>
        <w:r w:rsidR="007E4CFF" w:rsidRPr="001517D9">
          <w:rPr>
            <w:noProof/>
            <w:webHidden/>
          </w:rPr>
          <w:tab/>
        </w:r>
        <w:r w:rsidR="007E4CFF" w:rsidRPr="001517D9">
          <w:rPr>
            <w:noProof/>
            <w:webHidden/>
          </w:rPr>
          <w:fldChar w:fldCharType="begin"/>
        </w:r>
        <w:r w:rsidR="007E4CFF" w:rsidRPr="001517D9">
          <w:rPr>
            <w:noProof/>
            <w:webHidden/>
          </w:rPr>
          <w:instrText xml:space="preserve"> PAGEREF _Toc404344426 \h </w:instrText>
        </w:r>
        <w:r w:rsidR="007E4CFF" w:rsidRPr="001517D9">
          <w:rPr>
            <w:noProof/>
            <w:webHidden/>
          </w:rPr>
        </w:r>
        <w:r w:rsidR="007E4CFF" w:rsidRPr="001517D9">
          <w:rPr>
            <w:noProof/>
            <w:webHidden/>
          </w:rPr>
          <w:fldChar w:fldCharType="separate"/>
        </w:r>
        <w:r w:rsidR="00064640" w:rsidRPr="001517D9">
          <w:rPr>
            <w:noProof/>
            <w:webHidden/>
          </w:rPr>
          <w:t>6</w:t>
        </w:r>
        <w:r w:rsidR="007E4CFF" w:rsidRPr="001517D9">
          <w:rPr>
            <w:noProof/>
            <w:webHidden/>
          </w:rPr>
          <w:fldChar w:fldCharType="end"/>
        </w:r>
      </w:hyperlink>
    </w:p>
    <w:p w:rsidR="007E4CFF" w:rsidRPr="001517D9" w:rsidRDefault="009F50AE" w:rsidP="001517D9">
      <w:pPr>
        <w:pStyle w:val="TOC3"/>
        <w:tabs>
          <w:tab w:val="left" w:pos="1100"/>
          <w:tab w:val="right" w:leader="dot" w:pos="9072"/>
        </w:tabs>
        <w:spacing w:line="360" w:lineRule="auto"/>
        <w:rPr>
          <w:rFonts w:eastAsiaTheme="minorEastAsia" w:cstheme="minorBidi"/>
          <w:noProof/>
          <w:lang w:eastAsia="en-NZ" w:bidi="ar-SA"/>
        </w:rPr>
      </w:pPr>
      <w:hyperlink w:anchor="_Toc404344427" w:history="1">
        <w:r w:rsidR="007E4CFF" w:rsidRPr="001517D9">
          <w:rPr>
            <w:rStyle w:val="Hyperlink"/>
            <w:noProof/>
          </w:rPr>
          <w:t>1.2</w:t>
        </w:r>
        <w:r w:rsidR="001517D9">
          <w:rPr>
            <w:rFonts w:eastAsiaTheme="minorEastAsia" w:cstheme="minorBidi"/>
            <w:noProof/>
            <w:lang w:eastAsia="en-NZ" w:bidi="ar-SA"/>
          </w:rPr>
          <w:t xml:space="preserve"> </w:t>
        </w:r>
        <w:r w:rsidR="007E4CFF" w:rsidRPr="001517D9">
          <w:rPr>
            <w:rStyle w:val="Hyperlink"/>
            <w:noProof/>
          </w:rPr>
          <w:t>Rate of complaints received</w:t>
        </w:r>
        <w:r w:rsidR="007E4CFF" w:rsidRPr="001517D9">
          <w:rPr>
            <w:noProof/>
            <w:webHidden/>
          </w:rPr>
          <w:tab/>
        </w:r>
        <w:r w:rsidR="007E4CFF" w:rsidRPr="001517D9">
          <w:rPr>
            <w:noProof/>
            <w:webHidden/>
          </w:rPr>
          <w:fldChar w:fldCharType="begin"/>
        </w:r>
        <w:r w:rsidR="007E4CFF" w:rsidRPr="001517D9">
          <w:rPr>
            <w:noProof/>
            <w:webHidden/>
          </w:rPr>
          <w:instrText xml:space="preserve"> PAGEREF _Toc404344427 \h </w:instrText>
        </w:r>
        <w:r w:rsidR="007E4CFF" w:rsidRPr="001517D9">
          <w:rPr>
            <w:noProof/>
            <w:webHidden/>
          </w:rPr>
        </w:r>
        <w:r w:rsidR="007E4CFF" w:rsidRPr="001517D9">
          <w:rPr>
            <w:noProof/>
            <w:webHidden/>
          </w:rPr>
          <w:fldChar w:fldCharType="separate"/>
        </w:r>
        <w:r w:rsidR="00064640" w:rsidRPr="001517D9">
          <w:rPr>
            <w:noProof/>
            <w:webHidden/>
          </w:rPr>
          <w:t>7</w:t>
        </w:r>
        <w:r w:rsidR="007E4CFF" w:rsidRPr="001517D9">
          <w:rPr>
            <w:noProof/>
            <w:webHidden/>
          </w:rPr>
          <w:fldChar w:fldCharType="end"/>
        </w:r>
      </w:hyperlink>
    </w:p>
    <w:p w:rsidR="007E4CFF" w:rsidRPr="001517D9" w:rsidRDefault="009F50AE" w:rsidP="001517D9">
      <w:pPr>
        <w:pStyle w:val="TOC2"/>
        <w:tabs>
          <w:tab w:val="left" w:pos="660"/>
          <w:tab w:val="right" w:leader="dot" w:pos="9072"/>
        </w:tabs>
        <w:spacing w:line="360" w:lineRule="auto"/>
        <w:rPr>
          <w:rFonts w:eastAsiaTheme="minorEastAsia" w:cstheme="minorBidi"/>
          <w:b w:val="0"/>
          <w:noProof/>
          <w:lang w:eastAsia="en-NZ" w:bidi="ar-SA"/>
        </w:rPr>
      </w:pPr>
      <w:hyperlink w:anchor="_Toc404344428" w:history="1">
        <w:r w:rsidR="007E4CFF" w:rsidRPr="001517D9">
          <w:rPr>
            <w:rStyle w:val="Hyperlink"/>
            <w:b w:val="0"/>
            <w:noProof/>
          </w:rPr>
          <w:t>2.</w:t>
        </w:r>
        <w:r w:rsidR="007E4CFF" w:rsidRPr="001517D9">
          <w:rPr>
            <w:rFonts w:eastAsiaTheme="minorEastAsia" w:cstheme="minorBidi"/>
            <w:b w:val="0"/>
            <w:noProof/>
            <w:lang w:eastAsia="en-NZ" w:bidi="ar-SA"/>
          </w:rPr>
          <w:tab/>
        </w:r>
        <w:r w:rsidR="007E4CFF" w:rsidRPr="001517D9">
          <w:rPr>
            <w:rStyle w:val="Hyperlink"/>
            <w:b w:val="0"/>
            <w:noProof/>
          </w:rPr>
          <w:t>Which DHB services were complained about?</w:t>
        </w:r>
        <w:r w:rsidR="007E4CFF" w:rsidRPr="001517D9">
          <w:rPr>
            <w:b w:val="0"/>
            <w:noProof/>
            <w:webHidden/>
          </w:rPr>
          <w:tab/>
        </w:r>
        <w:r w:rsidR="007E4CFF" w:rsidRPr="001517D9">
          <w:rPr>
            <w:b w:val="0"/>
            <w:noProof/>
            <w:webHidden/>
          </w:rPr>
          <w:fldChar w:fldCharType="begin"/>
        </w:r>
        <w:r w:rsidR="007E4CFF" w:rsidRPr="001517D9">
          <w:rPr>
            <w:b w:val="0"/>
            <w:noProof/>
            <w:webHidden/>
          </w:rPr>
          <w:instrText xml:space="preserve"> PAGEREF _Toc404344428 \h </w:instrText>
        </w:r>
        <w:r w:rsidR="007E4CFF" w:rsidRPr="001517D9">
          <w:rPr>
            <w:b w:val="0"/>
            <w:noProof/>
            <w:webHidden/>
          </w:rPr>
        </w:r>
        <w:r w:rsidR="007E4CFF" w:rsidRPr="001517D9">
          <w:rPr>
            <w:b w:val="0"/>
            <w:noProof/>
            <w:webHidden/>
          </w:rPr>
          <w:fldChar w:fldCharType="separate"/>
        </w:r>
        <w:r w:rsidR="00064640" w:rsidRPr="001517D9">
          <w:rPr>
            <w:b w:val="0"/>
            <w:noProof/>
            <w:webHidden/>
          </w:rPr>
          <w:t>9</w:t>
        </w:r>
        <w:r w:rsidR="007E4CFF" w:rsidRPr="001517D9">
          <w:rPr>
            <w:b w:val="0"/>
            <w:noProof/>
            <w:webHidden/>
          </w:rPr>
          <w:fldChar w:fldCharType="end"/>
        </w:r>
      </w:hyperlink>
    </w:p>
    <w:p w:rsidR="007E4CFF" w:rsidRPr="001517D9" w:rsidRDefault="009F50AE" w:rsidP="001517D9">
      <w:pPr>
        <w:pStyle w:val="TOC3"/>
        <w:tabs>
          <w:tab w:val="left" w:pos="1100"/>
          <w:tab w:val="right" w:leader="dot" w:pos="9072"/>
        </w:tabs>
        <w:spacing w:line="360" w:lineRule="auto"/>
        <w:rPr>
          <w:rFonts w:eastAsiaTheme="minorEastAsia" w:cstheme="minorBidi"/>
          <w:noProof/>
          <w:lang w:eastAsia="en-NZ" w:bidi="ar-SA"/>
        </w:rPr>
      </w:pPr>
      <w:hyperlink w:anchor="_Toc404344429" w:history="1">
        <w:r w:rsidR="007E4CFF" w:rsidRPr="001517D9">
          <w:rPr>
            <w:rStyle w:val="Hyperlink"/>
            <w:noProof/>
          </w:rPr>
          <w:t>2.1</w:t>
        </w:r>
        <w:r w:rsidR="001517D9">
          <w:rPr>
            <w:rFonts w:eastAsiaTheme="minorEastAsia" w:cstheme="minorBidi"/>
            <w:noProof/>
            <w:lang w:eastAsia="en-NZ" w:bidi="ar-SA"/>
          </w:rPr>
          <w:t xml:space="preserve"> </w:t>
        </w:r>
        <w:r w:rsidR="007E4CFF" w:rsidRPr="001517D9">
          <w:rPr>
            <w:rStyle w:val="Hyperlink"/>
            <w:noProof/>
          </w:rPr>
          <w:t>DHB service types complained about</w:t>
        </w:r>
        <w:r w:rsidR="007E4CFF" w:rsidRPr="001517D9">
          <w:rPr>
            <w:noProof/>
            <w:webHidden/>
          </w:rPr>
          <w:tab/>
        </w:r>
        <w:r w:rsidR="007E4CFF" w:rsidRPr="001517D9">
          <w:rPr>
            <w:noProof/>
            <w:webHidden/>
          </w:rPr>
          <w:fldChar w:fldCharType="begin"/>
        </w:r>
        <w:r w:rsidR="007E4CFF" w:rsidRPr="001517D9">
          <w:rPr>
            <w:noProof/>
            <w:webHidden/>
          </w:rPr>
          <w:instrText xml:space="preserve"> PAGEREF _Toc404344429 \h </w:instrText>
        </w:r>
        <w:r w:rsidR="007E4CFF" w:rsidRPr="001517D9">
          <w:rPr>
            <w:noProof/>
            <w:webHidden/>
          </w:rPr>
        </w:r>
        <w:r w:rsidR="007E4CFF" w:rsidRPr="001517D9">
          <w:rPr>
            <w:noProof/>
            <w:webHidden/>
          </w:rPr>
          <w:fldChar w:fldCharType="separate"/>
        </w:r>
        <w:r w:rsidR="00064640" w:rsidRPr="001517D9">
          <w:rPr>
            <w:noProof/>
            <w:webHidden/>
          </w:rPr>
          <w:t>9</w:t>
        </w:r>
        <w:r w:rsidR="007E4CFF" w:rsidRPr="001517D9">
          <w:rPr>
            <w:noProof/>
            <w:webHidden/>
          </w:rPr>
          <w:fldChar w:fldCharType="end"/>
        </w:r>
      </w:hyperlink>
    </w:p>
    <w:p w:rsidR="007E4CFF" w:rsidRPr="001517D9" w:rsidRDefault="009F50AE" w:rsidP="001517D9">
      <w:pPr>
        <w:pStyle w:val="TOC3"/>
        <w:tabs>
          <w:tab w:val="left" w:pos="1100"/>
          <w:tab w:val="right" w:leader="dot" w:pos="9072"/>
        </w:tabs>
        <w:spacing w:line="360" w:lineRule="auto"/>
        <w:rPr>
          <w:rFonts w:eastAsiaTheme="minorEastAsia" w:cstheme="minorBidi"/>
          <w:noProof/>
          <w:lang w:eastAsia="en-NZ" w:bidi="ar-SA"/>
        </w:rPr>
      </w:pPr>
      <w:hyperlink w:anchor="_Toc404344430" w:history="1">
        <w:r w:rsidR="007E4CFF" w:rsidRPr="001517D9">
          <w:rPr>
            <w:rStyle w:val="Hyperlink"/>
            <w:noProof/>
          </w:rPr>
          <w:t>2.2</w:t>
        </w:r>
        <w:r w:rsidR="001517D9">
          <w:rPr>
            <w:rFonts w:eastAsiaTheme="minorEastAsia" w:cstheme="minorBidi"/>
            <w:noProof/>
            <w:lang w:eastAsia="en-NZ" w:bidi="ar-SA"/>
          </w:rPr>
          <w:t xml:space="preserve"> </w:t>
        </w:r>
        <w:r w:rsidR="007E4CFF" w:rsidRPr="001517D9">
          <w:rPr>
            <w:rStyle w:val="Hyperlink"/>
            <w:noProof/>
          </w:rPr>
          <w:t>Professions of individual providers complained about</w:t>
        </w:r>
        <w:r w:rsidR="007E4CFF" w:rsidRPr="001517D9">
          <w:rPr>
            <w:noProof/>
            <w:webHidden/>
          </w:rPr>
          <w:tab/>
        </w:r>
        <w:r w:rsidR="007E4CFF" w:rsidRPr="001517D9">
          <w:rPr>
            <w:noProof/>
            <w:webHidden/>
          </w:rPr>
          <w:fldChar w:fldCharType="begin"/>
        </w:r>
        <w:r w:rsidR="007E4CFF" w:rsidRPr="001517D9">
          <w:rPr>
            <w:noProof/>
            <w:webHidden/>
          </w:rPr>
          <w:instrText xml:space="preserve"> PAGEREF _Toc404344430 \h </w:instrText>
        </w:r>
        <w:r w:rsidR="007E4CFF" w:rsidRPr="001517D9">
          <w:rPr>
            <w:noProof/>
            <w:webHidden/>
          </w:rPr>
        </w:r>
        <w:r w:rsidR="007E4CFF" w:rsidRPr="001517D9">
          <w:rPr>
            <w:noProof/>
            <w:webHidden/>
          </w:rPr>
          <w:fldChar w:fldCharType="separate"/>
        </w:r>
        <w:r w:rsidR="00064640" w:rsidRPr="001517D9">
          <w:rPr>
            <w:noProof/>
            <w:webHidden/>
          </w:rPr>
          <w:t>12</w:t>
        </w:r>
        <w:r w:rsidR="007E4CFF" w:rsidRPr="001517D9">
          <w:rPr>
            <w:noProof/>
            <w:webHidden/>
          </w:rPr>
          <w:fldChar w:fldCharType="end"/>
        </w:r>
      </w:hyperlink>
    </w:p>
    <w:p w:rsidR="007E4CFF" w:rsidRPr="001517D9" w:rsidRDefault="009F50AE" w:rsidP="001517D9">
      <w:pPr>
        <w:pStyle w:val="TOC2"/>
        <w:tabs>
          <w:tab w:val="left" w:pos="660"/>
          <w:tab w:val="right" w:leader="dot" w:pos="9072"/>
        </w:tabs>
        <w:spacing w:line="360" w:lineRule="auto"/>
        <w:rPr>
          <w:rFonts w:eastAsiaTheme="minorEastAsia" w:cstheme="minorBidi"/>
          <w:b w:val="0"/>
          <w:noProof/>
          <w:lang w:eastAsia="en-NZ" w:bidi="ar-SA"/>
        </w:rPr>
      </w:pPr>
      <w:hyperlink w:anchor="_Toc404344431" w:history="1">
        <w:r w:rsidR="007E4CFF" w:rsidRPr="001517D9">
          <w:rPr>
            <w:rStyle w:val="Hyperlink"/>
            <w:b w:val="0"/>
            <w:noProof/>
          </w:rPr>
          <w:t>3.</w:t>
        </w:r>
        <w:r w:rsidR="007E4CFF" w:rsidRPr="001517D9">
          <w:rPr>
            <w:rFonts w:eastAsiaTheme="minorEastAsia" w:cstheme="minorBidi"/>
            <w:b w:val="0"/>
            <w:noProof/>
            <w:lang w:eastAsia="en-NZ" w:bidi="ar-SA"/>
          </w:rPr>
          <w:tab/>
        </w:r>
        <w:r w:rsidR="007E4CFF" w:rsidRPr="001517D9">
          <w:rPr>
            <w:rStyle w:val="Hyperlink"/>
            <w:b w:val="0"/>
            <w:noProof/>
          </w:rPr>
          <w:t>What did people complain about?</w:t>
        </w:r>
        <w:r w:rsidR="007E4CFF" w:rsidRPr="001517D9">
          <w:rPr>
            <w:b w:val="0"/>
            <w:noProof/>
            <w:webHidden/>
          </w:rPr>
          <w:tab/>
        </w:r>
        <w:r w:rsidR="007E4CFF" w:rsidRPr="001517D9">
          <w:rPr>
            <w:b w:val="0"/>
            <w:noProof/>
            <w:webHidden/>
          </w:rPr>
          <w:fldChar w:fldCharType="begin"/>
        </w:r>
        <w:r w:rsidR="007E4CFF" w:rsidRPr="001517D9">
          <w:rPr>
            <w:b w:val="0"/>
            <w:noProof/>
            <w:webHidden/>
          </w:rPr>
          <w:instrText xml:space="preserve"> PAGEREF _Toc404344431 \h </w:instrText>
        </w:r>
        <w:r w:rsidR="007E4CFF" w:rsidRPr="001517D9">
          <w:rPr>
            <w:b w:val="0"/>
            <w:noProof/>
            <w:webHidden/>
          </w:rPr>
        </w:r>
        <w:r w:rsidR="007E4CFF" w:rsidRPr="001517D9">
          <w:rPr>
            <w:b w:val="0"/>
            <w:noProof/>
            <w:webHidden/>
          </w:rPr>
          <w:fldChar w:fldCharType="separate"/>
        </w:r>
        <w:r w:rsidR="00064640" w:rsidRPr="001517D9">
          <w:rPr>
            <w:b w:val="0"/>
            <w:noProof/>
            <w:webHidden/>
          </w:rPr>
          <w:t>14</w:t>
        </w:r>
        <w:r w:rsidR="007E4CFF" w:rsidRPr="001517D9">
          <w:rPr>
            <w:b w:val="0"/>
            <w:noProof/>
            <w:webHidden/>
          </w:rPr>
          <w:fldChar w:fldCharType="end"/>
        </w:r>
      </w:hyperlink>
    </w:p>
    <w:p w:rsidR="007E4CFF" w:rsidRPr="001517D9" w:rsidRDefault="009F50AE" w:rsidP="001517D9">
      <w:pPr>
        <w:pStyle w:val="TOC3"/>
        <w:tabs>
          <w:tab w:val="left" w:pos="1100"/>
          <w:tab w:val="right" w:leader="dot" w:pos="9072"/>
        </w:tabs>
        <w:spacing w:line="360" w:lineRule="auto"/>
        <w:rPr>
          <w:rFonts w:eastAsiaTheme="minorEastAsia" w:cstheme="minorBidi"/>
          <w:noProof/>
          <w:lang w:eastAsia="en-NZ" w:bidi="ar-SA"/>
        </w:rPr>
      </w:pPr>
      <w:hyperlink w:anchor="_Toc404344432" w:history="1">
        <w:r w:rsidR="007E4CFF" w:rsidRPr="001517D9">
          <w:rPr>
            <w:rStyle w:val="Hyperlink"/>
            <w:noProof/>
          </w:rPr>
          <w:t>3.1</w:t>
        </w:r>
        <w:r w:rsidR="001517D9">
          <w:rPr>
            <w:rFonts w:eastAsiaTheme="minorEastAsia" w:cstheme="minorBidi"/>
            <w:noProof/>
            <w:lang w:eastAsia="en-NZ" w:bidi="ar-SA"/>
          </w:rPr>
          <w:t xml:space="preserve"> </w:t>
        </w:r>
        <w:r w:rsidR="007E4CFF" w:rsidRPr="001517D9">
          <w:rPr>
            <w:rStyle w:val="Hyperlink"/>
            <w:noProof/>
          </w:rPr>
          <w:t>Issues identified in complaints</w:t>
        </w:r>
        <w:r w:rsidR="007E4CFF" w:rsidRPr="001517D9">
          <w:rPr>
            <w:noProof/>
            <w:webHidden/>
          </w:rPr>
          <w:tab/>
        </w:r>
        <w:r w:rsidR="007E4CFF" w:rsidRPr="001517D9">
          <w:rPr>
            <w:noProof/>
            <w:webHidden/>
          </w:rPr>
          <w:fldChar w:fldCharType="begin"/>
        </w:r>
        <w:r w:rsidR="007E4CFF" w:rsidRPr="001517D9">
          <w:rPr>
            <w:noProof/>
            <w:webHidden/>
          </w:rPr>
          <w:instrText xml:space="preserve"> PAGEREF _Toc404344432 \h </w:instrText>
        </w:r>
        <w:r w:rsidR="007E4CFF" w:rsidRPr="001517D9">
          <w:rPr>
            <w:noProof/>
            <w:webHidden/>
          </w:rPr>
        </w:r>
        <w:r w:rsidR="007E4CFF" w:rsidRPr="001517D9">
          <w:rPr>
            <w:noProof/>
            <w:webHidden/>
          </w:rPr>
          <w:fldChar w:fldCharType="separate"/>
        </w:r>
        <w:r w:rsidR="00064640" w:rsidRPr="001517D9">
          <w:rPr>
            <w:noProof/>
            <w:webHidden/>
          </w:rPr>
          <w:t>14</w:t>
        </w:r>
        <w:r w:rsidR="007E4CFF" w:rsidRPr="001517D9">
          <w:rPr>
            <w:noProof/>
            <w:webHidden/>
          </w:rPr>
          <w:fldChar w:fldCharType="end"/>
        </w:r>
      </w:hyperlink>
    </w:p>
    <w:p w:rsidR="007E4CFF" w:rsidRPr="001517D9" w:rsidRDefault="009F50AE" w:rsidP="001517D9">
      <w:pPr>
        <w:pStyle w:val="TOC1"/>
        <w:spacing w:line="360" w:lineRule="auto"/>
        <w:rPr>
          <w:rFonts w:eastAsiaTheme="minorEastAsia" w:cstheme="minorBidi"/>
          <w:sz w:val="22"/>
          <w:szCs w:val="22"/>
          <w:lang w:eastAsia="en-NZ" w:bidi="ar-SA"/>
        </w:rPr>
      </w:pPr>
      <w:hyperlink w:anchor="_Toc404344433" w:history="1">
        <w:r w:rsidR="007E4CFF" w:rsidRPr="001517D9">
          <w:rPr>
            <w:rStyle w:val="Hyperlink"/>
            <w:b/>
          </w:rPr>
          <w:t>Complaints closed</w:t>
        </w:r>
        <w:r w:rsidR="007E4CFF" w:rsidRPr="001517D9">
          <w:rPr>
            <w:webHidden/>
          </w:rPr>
          <w:tab/>
        </w:r>
        <w:r w:rsidR="007E4CFF" w:rsidRPr="001517D9">
          <w:rPr>
            <w:webHidden/>
          </w:rPr>
          <w:fldChar w:fldCharType="begin"/>
        </w:r>
        <w:r w:rsidR="007E4CFF" w:rsidRPr="001517D9">
          <w:rPr>
            <w:webHidden/>
          </w:rPr>
          <w:instrText xml:space="preserve"> PAGEREF _Toc404344433 \h </w:instrText>
        </w:r>
        <w:r w:rsidR="007E4CFF" w:rsidRPr="001517D9">
          <w:rPr>
            <w:webHidden/>
          </w:rPr>
        </w:r>
        <w:r w:rsidR="007E4CFF" w:rsidRPr="001517D9">
          <w:rPr>
            <w:webHidden/>
          </w:rPr>
          <w:fldChar w:fldCharType="separate"/>
        </w:r>
        <w:r w:rsidR="00064640" w:rsidRPr="001517D9">
          <w:rPr>
            <w:webHidden/>
          </w:rPr>
          <w:t>20</w:t>
        </w:r>
        <w:r w:rsidR="007E4CFF" w:rsidRPr="001517D9">
          <w:rPr>
            <w:webHidden/>
          </w:rPr>
          <w:fldChar w:fldCharType="end"/>
        </w:r>
      </w:hyperlink>
    </w:p>
    <w:p w:rsidR="007E4CFF" w:rsidRPr="001517D9" w:rsidRDefault="009F50AE" w:rsidP="001517D9">
      <w:pPr>
        <w:pStyle w:val="TOC2"/>
        <w:tabs>
          <w:tab w:val="left" w:pos="660"/>
          <w:tab w:val="right" w:leader="dot" w:pos="9072"/>
        </w:tabs>
        <w:spacing w:line="360" w:lineRule="auto"/>
        <w:rPr>
          <w:rFonts w:eastAsiaTheme="minorEastAsia" w:cstheme="minorBidi"/>
          <w:b w:val="0"/>
          <w:noProof/>
          <w:lang w:eastAsia="en-NZ" w:bidi="ar-SA"/>
        </w:rPr>
      </w:pPr>
      <w:hyperlink w:anchor="_Toc404344434" w:history="1">
        <w:r w:rsidR="007E4CFF" w:rsidRPr="001517D9">
          <w:rPr>
            <w:rStyle w:val="Hyperlink"/>
            <w:b w:val="0"/>
            <w:noProof/>
          </w:rPr>
          <w:t>1.</w:t>
        </w:r>
        <w:r w:rsidR="007E4CFF" w:rsidRPr="001517D9">
          <w:rPr>
            <w:rFonts w:eastAsiaTheme="minorEastAsia" w:cstheme="minorBidi"/>
            <w:b w:val="0"/>
            <w:noProof/>
            <w:lang w:eastAsia="en-NZ" w:bidi="ar-SA"/>
          </w:rPr>
          <w:tab/>
        </w:r>
        <w:r w:rsidR="007E4CFF" w:rsidRPr="001517D9">
          <w:rPr>
            <w:rStyle w:val="Hyperlink"/>
            <w:b w:val="0"/>
            <w:noProof/>
          </w:rPr>
          <w:t>How many complaints were closed?</w:t>
        </w:r>
        <w:r w:rsidR="007E4CFF" w:rsidRPr="001517D9">
          <w:rPr>
            <w:b w:val="0"/>
            <w:noProof/>
            <w:webHidden/>
          </w:rPr>
          <w:tab/>
        </w:r>
        <w:r w:rsidR="007E4CFF" w:rsidRPr="001517D9">
          <w:rPr>
            <w:b w:val="0"/>
            <w:noProof/>
            <w:webHidden/>
          </w:rPr>
          <w:fldChar w:fldCharType="begin"/>
        </w:r>
        <w:r w:rsidR="007E4CFF" w:rsidRPr="001517D9">
          <w:rPr>
            <w:b w:val="0"/>
            <w:noProof/>
            <w:webHidden/>
          </w:rPr>
          <w:instrText xml:space="preserve"> PAGEREF _Toc404344434 \h </w:instrText>
        </w:r>
        <w:r w:rsidR="007E4CFF" w:rsidRPr="001517D9">
          <w:rPr>
            <w:b w:val="0"/>
            <w:noProof/>
            <w:webHidden/>
          </w:rPr>
        </w:r>
        <w:r w:rsidR="007E4CFF" w:rsidRPr="001517D9">
          <w:rPr>
            <w:b w:val="0"/>
            <w:noProof/>
            <w:webHidden/>
          </w:rPr>
          <w:fldChar w:fldCharType="separate"/>
        </w:r>
        <w:r w:rsidR="00064640" w:rsidRPr="001517D9">
          <w:rPr>
            <w:b w:val="0"/>
            <w:noProof/>
            <w:webHidden/>
          </w:rPr>
          <w:t>20</w:t>
        </w:r>
        <w:r w:rsidR="007E4CFF" w:rsidRPr="001517D9">
          <w:rPr>
            <w:b w:val="0"/>
            <w:noProof/>
            <w:webHidden/>
          </w:rPr>
          <w:fldChar w:fldCharType="end"/>
        </w:r>
      </w:hyperlink>
    </w:p>
    <w:p w:rsidR="007E4CFF" w:rsidRPr="001517D9" w:rsidRDefault="009F50AE" w:rsidP="001517D9">
      <w:pPr>
        <w:pStyle w:val="TOC2"/>
        <w:tabs>
          <w:tab w:val="right" w:leader="dot" w:pos="9072"/>
        </w:tabs>
        <w:spacing w:line="360" w:lineRule="auto"/>
        <w:rPr>
          <w:rFonts w:eastAsiaTheme="minorEastAsia" w:cstheme="minorBidi"/>
          <w:b w:val="0"/>
          <w:noProof/>
          <w:lang w:eastAsia="en-NZ" w:bidi="ar-SA"/>
        </w:rPr>
      </w:pPr>
      <w:hyperlink w:anchor="_Toc404344435" w:history="1">
        <w:r w:rsidR="007E4CFF" w:rsidRPr="001517D9">
          <w:rPr>
            <w:rStyle w:val="Hyperlink"/>
            <w:b w:val="0"/>
            <w:noProof/>
          </w:rPr>
          <w:t>2. What were the outcomes of the complaints closed?</w:t>
        </w:r>
        <w:r w:rsidR="007E4CFF" w:rsidRPr="001517D9">
          <w:rPr>
            <w:b w:val="0"/>
            <w:noProof/>
            <w:webHidden/>
          </w:rPr>
          <w:tab/>
        </w:r>
        <w:r w:rsidR="007E4CFF" w:rsidRPr="001517D9">
          <w:rPr>
            <w:b w:val="0"/>
            <w:noProof/>
            <w:webHidden/>
          </w:rPr>
          <w:fldChar w:fldCharType="begin"/>
        </w:r>
        <w:r w:rsidR="007E4CFF" w:rsidRPr="001517D9">
          <w:rPr>
            <w:b w:val="0"/>
            <w:noProof/>
            <w:webHidden/>
          </w:rPr>
          <w:instrText xml:space="preserve"> PAGEREF _Toc404344435 \h </w:instrText>
        </w:r>
        <w:r w:rsidR="007E4CFF" w:rsidRPr="001517D9">
          <w:rPr>
            <w:b w:val="0"/>
            <w:noProof/>
            <w:webHidden/>
          </w:rPr>
        </w:r>
        <w:r w:rsidR="007E4CFF" w:rsidRPr="001517D9">
          <w:rPr>
            <w:b w:val="0"/>
            <w:noProof/>
            <w:webHidden/>
          </w:rPr>
          <w:fldChar w:fldCharType="separate"/>
        </w:r>
        <w:r w:rsidR="00064640" w:rsidRPr="001517D9">
          <w:rPr>
            <w:b w:val="0"/>
            <w:noProof/>
            <w:webHidden/>
          </w:rPr>
          <w:t>21</w:t>
        </w:r>
        <w:r w:rsidR="007E4CFF" w:rsidRPr="001517D9">
          <w:rPr>
            <w:b w:val="0"/>
            <w:noProof/>
            <w:webHidden/>
          </w:rPr>
          <w:fldChar w:fldCharType="end"/>
        </w:r>
      </w:hyperlink>
    </w:p>
    <w:p w:rsidR="007E4CFF" w:rsidRPr="001517D9" w:rsidRDefault="009F50AE" w:rsidP="001517D9">
      <w:pPr>
        <w:pStyle w:val="TOC3"/>
        <w:tabs>
          <w:tab w:val="left" w:pos="1100"/>
          <w:tab w:val="right" w:leader="dot" w:pos="9072"/>
        </w:tabs>
        <w:spacing w:line="360" w:lineRule="auto"/>
        <w:rPr>
          <w:rFonts w:eastAsiaTheme="minorEastAsia" w:cstheme="minorBidi"/>
          <w:noProof/>
          <w:lang w:eastAsia="en-NZ" w:bidi="ar-SA"/>
        </w:rPr>
      </w:pPr>
      <w:hyperlink w:anchor="_Toc404344436" w:history="1">
        <w:r w:rsidR="007E4CFF" w:rsidRPr="001517D9">
          <w:rPr>
            <w:rStyle w:val="Hyperlink"/>
            <w:noProof/>
            <w:lang w:val="en-AU"/>
          </w:rPr>
          <w:t xml:space="preserve">2.1 </w:t>
        </w:r>
        <w:r w:rsidR="001517D9">
          <w:rPr>
            <w:rFonts w:eastAsiaTheme="minorEastAsia" w:cstheme="minorBidi"/>
            <w:noProof/>
            <w:lang w:eastAsia="en-NZ" w:bidi="ar-SA"/>
          </w:rPr>
          <w:t xml:space="preserve"> </w:t>
        </w:r>
        <w:r w:rsidR="007E4CFF" w:rsidRPr="001517D9">
          <w:rPr>
            <w:rStyle w:val="Hyperlink"/>
            <w:noProof/>
            <w:lang w:val="en-AU"/>
          </w:rPr>
          <w:t>Available resolution options</w:t>
        </w:r>
        <w:r w:rsidR="007E4CFF" w:rsidRPr="001517D9">
          <w:rPr>
            <w:noProof/>
            <w:webHidden/>
          </w:rPr>
          <w:tab/>
        </w:r>
        <w:r w:rsidR="007E4CFF" w:rsidRPr="001517D9">
          <w:rPr>
            <w:noProof/>
            <w:webHidden/>
          </w:rPr>
          <w:fldChar w:fldCharType="begin"/>
        </w:r>
        <w:r w:rsidR="007E4CFF" w:rsidRPr="001517D9">
          <w:rPr>
            <w:noProof/>
            <w:webHidden/>
          </w:rPr>
          <w:instrText xml:space="preserve"> PAGEREF _Toc404344436 \h </w:instrText>
        </w:r>
        <w:r w:rsidR="007E4CFF" w:rsidRPr="001517D9">
          <w:rPr>
            <w:noProof/>
            <w:webHidden/>
          </w:rPr>
        </w:r>
        <w:r w:rsidR="007E4CFF" w:rsidRPr="001517D9">
          <w:rPr>
            <w:noProof/>
            <w:webHidden/>
          </w:rPr>
          <w:fldChar w:fldCharType="separate"/>
        </w:r>
        <w:r w:rsidR="00064640" w:rsidRPr="001517D9">
          <w:rPr>
            <w:noProof/>
            <w:webHidden/>
          </w:rPr>
          <w:t>21</w:t>
        </w:r>
        <w:r w:rsidR="007E4CFF" w:rsidRPr="001517D9">
          <w:rPr>
            <w:noProof/>
            <w:webHidden/>
          </w:rPr>
          <w:fldChar w:fldCharType="end"/>
        </w:r>
      </w:hyperlink>
    </w:p>
    <w:p w:rsidR="007E4CFF" w:rsidRPr="001517D9" w:rsidRDefault="009F50AE" w:rsidP="001517D9">
      <w:pPr>
        <w:pStyle w:val="TOC3"/>
        <w:tabs>
          <w:tab w:val="left" w:pos="1100"/>
          <w:tab w:val="right" w:leader="dot" w:pos="9072"/>
        </w:tabs>
        <w:spacing w:line="360" w:lineRule="auto"/>
        <w:rPr>
          <w:rFonts w:eastAsiaTheme="minorEastAsia" w:cstheme="minorBidi"/>
          <w:noProof/>
          <w:lang w:eastAsia="en-NZ" w:bidi="ar-SA"/>
        </w:rPr>
      </w:pPr>
      <w:hyperlink w:anchor="_Toc404344437" w:history="1">
        <w:r w:rsidR="007E4CFF" w:rsidRPr="001517D9">
          <w:rPr>
            <w:rStyle w:val="Hyperlink"/>
            <w:noProof/>
            <w:lang w:eastAsia="en-NZ"/>
          </w:rPr>
          <w:t>2.2</w:t>
        </w:r>
        <w:r w:rsidR="001517D9">
          <w:rPr>
            <w:rFonts w:eastAsiaTheme="minorEastAsia" w:cstheme="minorBidi"/>
            <w:noProof/>
            <w:lang w:eastAsia="en-NZ" w:bidi="ar-SA"/>
          </w:rPr>
          <w:t xml:space="preserve"> </w:t>
        </w:r>
        <w:r w:rsidR="007E4CFF" w:rsidRPr="001517D9">
          <w:rPr>
            <w:rStyle w:val="Hyperlink"/>
            <w:noProof/>
            <w:lang w:eastAsia="en-NZ"/>
          </w:rPr>
          <w:t>Manner of resolution and outcomes in complaints closed</w:t>
        </w:r>
        <w:r w:rsidR="007E4CFF" w:rsidRPr="001517D9">
          <w:rPr>
            <w:noProof/>
            <w:webHidden/>
          </w:rPr>
          <w:tab/>
        </w:r>
        <w:r w:rsidR="007E4CFF" w:rsidRPr="001517D9">
          <w:rPr>
            <w:noProof/>
            <w:webHidden/>
          </w:rPr>
          <w:fldChar w:fldCharType="begin"/>
        </w:r>
        <w:r w:rsidR="007E4CFF" w:rsidRPr="001517D9">
          <w:rPr>
            <w:noProof/>
            <w:webHidden/>
          </w:rPr>
          <w:instrText xml:space="preserve"> PAGEREF _Toc404344437 \h </w:instrText>
        </w:r>
        <w:r w:rsidR="007E4CFF" w:rsidRPr="001517D9">
          <w:rPr>
            <w:noProof/>
            <w:webHidden/>
          </w:rPr>
        </w:r>
        <w:r w:rsidR="007E4CFF" w:rsidRPr="001517D9">
          <w:rPr>
            <w:noProof/>
            <w:webHidden/>
          </w:rPr>
          <w:fldChar w:fldCharType="separate"/>
        </w:r>
        <w:r w:rsidR="00064640" w:rsidRPr="001517D9">
          <w:rPr>
            <w:noProof/>
            <w:webHidden/>
          </w:rPr>
          <w:t>26</w:t>
        </w:r>
        <w:r w:rsidR="007E4CFF" w:rsidRPr="001517D9">
          <w:rPr>
            <w:noProof/>
            <w:webHidden/>
          </w:rPr>
          <w:fldChar w:fldCharType="end"/>
        </w:r>
      </w:hyperlink>
    </w:p>
    <w:p w:rsidR="007E4CFF" w:rsidRPr="001517D9" w:rsidRDefault="009F50AE" w:rsidP="001517D9">
      <w:pPr>
        <w:pStyle w:val="TOC2"/>
        <w:tabs>
          <w:tab w:val="left" w:pos="660"/>
          <w:tab w:val="right" w:leader="dot" w:pos="9072"/>
        </w:tabs>
        <w:spacing w:line="360" w:lineRule="auto"/>
        <w:rPr>
          <w:rFonts w:eastAsiaTheme="minorEastAsia" w:cstheme="minorBidi"/>
          <w:b w:val="0"/>
          <w:noProof/>
          <w:lang w:eastAsia="en-NZ" w:bidi="ar-SA"/>
        </w:rPr>
      </w:pPr>
      <w:hyperlink w:anchor="_Toc404344438" w:history="1">
        <w:r w:rsidR="007E4CFF" w:rsidRPr="001517D9">
          <w:rPr>
            <w:rStyle w:val="Hyperlink"/>
            <w:b w:val="0"/>
            <w:noProof/>
          </w:rPr>
          <w:t>3.</w:t>
        </w:r>
        <w:r w:rsidR="007E4CFF" w:rsidRPr="001517D9">
          <w:rPr>
            <w:rFonts w:eastAsiaTheme="minorEastAsia" w:cstheme="minorBidi"/>
            <w:b w:val="0"/>
            <w:noProof/>
            <w:lang w:eastAsia="en-NZ" w:bidi="ar-SA"/>
          </w:rPr>
          <w:tab/>
        </w:r>
        <w:r w:rsidR="007E4CFF" w:rsidRPr="001517D9">
          <w:rPr>
            <w:rStyle w:val="Hyperlink"/>
            <w:b w:val="0"/>
            <w:noProof/>
          </w:rPr>
          <w:t>Recommendations made to DHBs following resolution of complaints</w:t>
        </w:r>
        <w:r w:rsidR="007E4CFF" w:rsidRPr="001517D9">
          <w:rPr>
            <w:b w:val="0"/>
            <w:noProof/>
            <w:webHidden/>
          </w:rPr>
          <w:tab/>
        </w:r>
        <w:r w:rsidR="007E4CFF" w:rsidRPr="001517D9">
          <w:rPr>
            <w:b w:val="0"/>
            <w:noProof/>
            <w:webHidden/>
          </w:rPr>
          <w:fldChar w:fldCharType="begin"/>
        </w:r>
        <w:r w:rsidR="007E4CFF" w:rsidRPr="001517D9">
          <w:rPr>
            <w:b w:val="0"/>
            <w:noProof/>
            <w:webHidden/>
          </w:rPr>
          <w:instrText xml:space="preserve"> PAGEREF _Toc404344438 \h </w:instrText>
        </w:r>
        <w:r w:rsidR="007E4CFF" w:rsidRPr="001517D9">
          <w:rPr>
            <w:b w:val="0"/>
            <w:noProof/>
            <w:webHidden/>
          </w:rPr>
        </w:r>
        <w:r w:rsidR="007E4CFF" w:rsidRPr="001517D9">
          <w:rPr>
            <w:b w:val="0"/>
            <w:noProof/>
            <w:webHidden/>
          </w:rPr>
          <w:fldChar w:fldCharType="separate"/>
        </w:r>
        <w:r w:rsidR="00064640" w:rsidRPr="001517D9">
          <w:rPr>
            <w:b w:val="0"/>
            <w:noProof/>
            <w:webHidden/>
          </w:rPr>
          <w:t>27</w:t>
        </w:r>
        <w:r w:rsidR="007E4CFF" w:rsidRPr="001517D9">
          <w:rPr>
            <w:b w:val="0"/>
            <w:noProof/>
            <w:webHidden/>
          </w:rPr>
          <w:fldChar w:fldCharType="end"/>
        </w:r>
      </w:hyperlink>
    </w:p>
    <w:p w:rsidR="005874B5" w:rsidRPr="001517D9" w:rsidRDefault="005874B5" w:rsidP="001517D9">
      <w:pPr>
        <w:spacing w:line="360" w:lineRule="auto"/>
        <w:jc w:val="left"/>
        <w:rPr>
          <w:color w:val="000000" w:themeColor="text1"/>
          <w:sz w:val="32"/>
          <w:szCs w:val="32"/>
        </w:rPr>
      </w:pPr>
      <w:r w:rsidRPr="001517D9">
        <w:rPr>
          <w:color w:val="000000" w:themeColor="text1"/>
          <w:sz w:val="32"/>
          <w:szCs w:val="32"/>
        </w:rPr>
        <w:fldChar w:fldCharType="end"/>
      </w:r>
    </w:p>
    <w:p w:rsidR="005874B5" w:rsidRPr="001517D9" w:rsidRDefault="005874B5" w:rsidP="005874B5">
      <w:pPr>
        <w:jc w:val="left"/>
        <w:rPr>
          <w:color w:val="000000" w:themeColor="text1"/>
          <w:sz w:val="32"/>
          <w:szCs w:val="32"/>
        </w:rPr>
        <w:sectPr w:rsidR="005874B5" w:rsidRPr="001517D9" w:rsidSect="001517D9">
          <w:headerReference w:type="default" r:id="rId16"/>
          <w:footerReference w:type="default" r:id="rId17"/>
          <w:headerReference w:type="first" r:id="rId18"/>
          <w:footerReference w:type="first" r:id="rId19"/>
          <w:pgSz w:w="11906" w:h="16838" w:code="9"/>
          <w:pgMar w:top="1140" w:right="1412" w:bottom="851" w:left="1412" w:header="720" w:footer="590" w:gutter="0"/>
          <w:pgNumType w:fmt="lowerRoman" w:start="1"/>
          <w:cols w:space="720"/>
          <w:titlePg/>
          <w:docGrid w:linePitch="360"/>
        </w:sectPr>
      </w:pPr>
    </w:p>
    <w:p w:rsidR="005874B5" w:rsidRPr="001517D9" w:rsidRDefault="001517D9" w:rsidP="005874B5">
      <w:pPr>
        <w:pStyle w:val="Heading1"/>
        <w:spacing w:before="240"/>
        <w:rPr>
          <w:color w:val="C00000"/>
          <w:sz w:val="40"/>
          <w:szCs w:val="40"/>
          <w:lang w:val="en-NZ"/>
        </w:rPr>
      </w:pPr>
      <w:bookmarkStart w:id="0" w:name="_GoBack"/>
      <w:r>
        <w:rPr>
          <w:color w:val="C00000"/>
          <w:sz w:val="40"/>
          <w:szCs w:val="40"/>
          <w:lang w:val="en-NZ"/>
        </w:rPr>
        <w:lastRenderedPageBreak/>
        <w:t>COMMISSIONER’S FOREWORD</w:t>
      </w:r>
    </w:p>
    <w:bookmarkEnd w:id="0"/>
    <w:p w:rsidR="00021045" w:rsidRPr="00797CC2" w:rsidRDefault="005874B5" w:rsidP="005874B5">
      <w:pPr>
        <w:rPr>
          <w:szCs w:val="22"/>
        </w:rPr>
      </w:pPr>
      <w:r w:rsidRPr="00797CC2">
        <w:rPr>
          <w:szCs w:val="22"/>
        </w:rPr>
        <w:t xml:space="preserve">Welcome to HDC’s first full year </w:t>
      </w:r>
      <w:r w:rsidR="00884CD0" w:rsidRPr="00797CC2">
        <w:rPr>
          <w:szCs w:val="22"/>
        </w:rPr>
        <w:t>analysis</w:t>
      </w:r>
      <w:r w:rsidRPr="00797CC2">
        <w:rPr>
          <w:szCs w:val="22"/>
        </w:rPr>
        <w:t xml:space="preserve"> of </w:t>
      </w:r>
      <w:r w:rsidR="00884CD0" w:rsidRPr="00797CC2">
        <w:rPr>
          <w:szCs w:val="22"/>
        </w:rPr>
        <w:t>complaints involving district health boards</w:t>
      </w:r>
      <w:r w:rsidR="006B111F" w:rsidRPr="00797CC2">
        <w:rPr>
          <w:szCs w:val="22"/>
        </w:rPr>
        <w:t xml:space="preserve"> (DHBs)</w:t>
      </w:r>
      <w:r w:rsidR="00884CD0" w:rsidRPr="00797CC2">
        <w:rPr>
          <w:szCs w:val="22"/>
        </w:rPr>
        <w:t xml:space="preserve">.  </w:t>
      </w:r>
      <w:r w:rsidRPr="00797CC2">
        <w:rPr>
          <w:szCs w:val="22"/>
        </w:rPr>
        <w:t xml:space="preserve">This report is designed to </w:t>
      </w:r>
      <w:r w:rsidR="00021045" w:rsidRPr="00797CC2">
        <w:rPr>
          <w:szCs w:val="22"/>
        </w:rPr>
        <w:t xml:space="preserve">give readers a feel for the types of complaints HDC receives about services run by </w:t>
      </w:r>
      <w:r w:rsidR="006B111F" w:rsidRPr="00797CC2">
        <w:rPr>
          <w:szCs w:val="22"/>
        </w:rPr>
        <w:t>DHBs</w:t>
      </w:r>
      <w:r w:rsidR="00021045" w:rsidRPr="00797CC2">
        <w:rPr>
          <w:szCs w:val="22"/>
        </w:rPr>
        <w:t xml:space="preserve">, how HDC has resolved those complaints, and the positive changes that have been made to services as a result. </w:t>
      </w:r>
    </w:p>
    <w:p w:rsidR="00021045" w:rsidRPr="00797CC2" w:rsidRDefault="00021045" w:rsidP="005874B5">
      <w:pPr>
        <w:rPr>
          <w:szCs w:val="22"/>
        </w:rPr>
      </w:pPr>
    </w:p>
    <w:p w:rsidR="00DA6001" w:rsidRPr="00797CC2" w:rsidRDefault="00021045" w:rsidP="00021045">
      <w:pPr>
        <w:rPr>
          <w:szCs w:val="22"/>
        </w:rPr>
      </w:pPr>
      <w:r w:rsidRPr="00797CC2">
        <w:rPr>
          <w:szCs w:val="22"/>
        </w:rPr>
        <w:t xml:space="preserve">The data and case studies contained in this report will allow </w:t>
      </w:r>
      <w:r w:rsidR="006B111F" w:rsidRPr="00797CC2">
        <w:rPr>
          <w:szCs w:val="22"/>
        </w:rPr>
        <w:t>DHBs</w:t>
      </w:r>
      <w:r w:rsidRPr="00797CC2">
        <w:rPr>
          <w:szCs w:val="22"/>
        </w:rPr>
        <w:t xml:space="preserve"> themselves to learn from complaints received </w:t>
      </w:r>
      <w:r w:rsidR="00DA6001" w:rsidRPr="00797CC2">
        <w:rPr>
          <w:szCs w:val="22"/>
        </w:rPr>
        <w:t>about</w:t>
      </w:r>
      <w:r w:rsidRPr="00797CC2">
        <w:rPr>
          <w:szCs w:val="22"/>
        </w:rPr>
        <w:t xml:space="preserve"> other </w:t>
      </w:r>
      <w:r w:rsidR="00DA6001" w:rsidRPr="00797CC2">
        <w:rPr>
          <w:szCs w:val="22"/>
        </w:rPr>
        <w:t>DHBs</w:t>
      </w:r>
      <w:r w:rsidRPr="00797CC2">
        <w:rPr>
          <w:szCs w:val="22"/>
        </w:rPr>
        <w:t>, and to better understand how their own complaint patterns compare nationally.  Individual providers, such as doctors and nurses, who provide care in public hospitals, clinics, and as part of community-</w:t>
      </w:r>
      <w:r w:rsidR="006B111F" w:rsidRPr="00797CC2">
        <w:rPr>
          <w:szCs w:val="22"/>
        </w:rPr>
        <w:t>based services</w:t>
      </w:r>
      <w:r w:rsidRPr="00797CC2">
        <w:rPr>
          <w:szCs w:val="22"/>
        </w:rPr>
        <w:t xml:space="preserve">, </w:t>
      </w:r>
      <w:r w:rsidR="00DA6001" w:rsidRPr="00797CC2">
        <w:rPr>
          <w:szCs w:val="22"/>
        </w:rPr>
        <w:t>should</w:t>
      </w:r>
      <w:r w:rsidRPr="00797CC2">
        <w:rPr>
          <w:szCs w:val="22"/>
        </w:rPr>
        <w:t xml:space="preserve"> also find</w:t>
      </w:r>
      <w:r w:rsidR="006B111F" w:rsidRPr="00797CC2">
        <w:rPr>
          <w:szCs w:val="22"/>
        </w:rPr>
        <w:t xml:space="preserve"> t</w:t>
      </w:r>
      <w:r w:rsidR="00527BF5" w:rsidRPr="00797CC2">
        <w:rPr>
          <w:szCs w:val="22"/>
        </w:rPr>
        <w:t>he report useful;</w:t>
      </w:r>
      <w:r w:rsidR="006B111F" w:rsidRPr="00797CC2">
        <w:rPr>
          <w:szCs w:val="22"/>
        </w:rPr>
        <w:t xml:space="preserve"> as </w:t>
      </w:r>
      <w:r w:rsidR="00DA6001" w:rsidRPr="00797CC2">
        <w:rPr>
          <w:szCs w:val="22"/>
        </w:rPr>
        <w:t>should</w:t>
      </w:r>
      <w:r w:rsidR="006B111F" w:rsidRPr="00797CC2">
        <w:rPr>
          <w:szCs w:val="22"/>
        </w:rPr>
        <w:t xml:space="preserve"> the bodies responsible for the regulation of such individuals.</w:t>
      </w:r>
      <w:r w:rsidRPr="00797CC2">
        <w:rPr>
          <w:szCs w:val="22"/>
        </w:rPr>
        <w:t xml:space="preserve">  </w:t>
      </w:r>
    </w:p>
    <w:p w:rsidR="00DA6001" w:rsidRPr="00797CC2" w:rsidRDefault="00DA6001" w:rsidP="00021045">
      <w:pPr>
        <w:rPr>
          <w:szCs w:val="22"/>
        </w:rPr>
      </w:pPr>
    </w:p>
    <w:p w:rsidR="00021045" w:rsidRPr="00797CC2" w:rsidRDefault="00021045" w:rsidP="00021045">
      <w:r w:rsidRPr="00797CC2">
        <w:rPr>
          <w:szCs w:val="22"/>
        </w:rPr>
        <w:t xml:space="preserve">It is my hope that members of the </w:t>
      </w:r>
      <w:r w:rsidR="006B111F" w:rsidRPr="00797CC2">
        <w:rPr>
          <w:szCs w:val="22"/>
        </w:rPr>
        <w:t xml:space="preserve">general </w:t>
      </w:r>
      <w:r w:rsidR="00527BF5" w:rsidRPr="00797CC2">
        <w:rPr>
          <w:szCs w:val="22"/>
        </w:rPr>
        <w:t>public who read the report will</w:t>
      </w:r>
      <w:r w:rsidRPr="00797CC2">
        <w:rPr>
          <w:szCs w:val="22"/>
        </w:rPr>
        <w:t xml:space="preserve">, as a result, be empowered to be stronger partners in their own health care.  Such partnership is a key component of my vision to have </w:t>
      </w:r>
      <w:r w:rsidRPr="00797CC2">
        <w:t>“consumers at the centre of services”.  A consumer centred system is built on the concepts of engagement, seamless service, transp</w:t>
      </w:r>
      <w:r w:rsidR="006B111F" w:rsidRPr="00797CC2">
        <w:t>arency, and a</w:t>
      </w:r>
      <w:r w:rsidRPr="00797CC2">
        <w:t xml:space="preserve"> culture that focuses on the consumer.</w:t>
      </w:r>
      <w:r w:rsidR="006B111F" w:rsidRPr="00797CC2">
        <w:t xml:space="preserve"> </w:t>
      </w:r>
      <w:r w:rsidRPr="00797CC2">
        <w:t xml:space="preserve"> </w:t>
      </w:r>
      <w:r w:rsidR="006B111F" w:rsidRPr="00797CC2">
        <w:t xml:space="preserve">It is about engaging consumers by respecting, informing, involving and listening to them.  </w:t>
      </w:r>
      <w:r w:rsidRPr="00797CC2">
        <w:t xml:space="preserve">It is </w:t>
      </w:r>
      <w:r w:rsidR="006B111F" w:rsidRPr="00797CC2">
        <w:t>also about doing the basics well:</w:t>
      </w:r>
      <w:r w:rsidRPr="00797CC2">
        <w:t xml:space="preserve"> </w:t>
      </w:r>
      <w:r w:rsidR="006B111F" w:rsidRPr="00797CC2">
        <w:t xml:space="preserve"> </w:t>
      </w:r>
      <w:r w:rsidR="00DA6001" w:rsidRPr="00797CC2">
        <w:t>r</w:t>
      </w:r>
      <w:r w:rsidRPr="00797CC2">
        <w:t xml:space="preserve">ead the notes, ask the questions, and talk with the consumer. It’s about a team environment where all clinicians will ask questions and raise concerns. </w:t>
      </w:r>
    </w:p>
    <w:p w:rsidR="00021045" w:rsidRPr="00797CC2" w:rsidRDefault="00021045" w:rsidP="005874B5">
      <w:pPr>
        <w:rPr>
          <w:szCs w:val="22"/>
        </w:rPr>
      </w:pPr>
    </w:p>
    <w:p w:rsidR="006B111F" w:rsidRPr="00797CC2" w:rsidRDefault="006B111F" w:rsidP="006B111F">
      <w:pPr>
        <w:rPr>
          <w:szCs w:val="22"/>
          <w:lang w:val="en-US"/>
        </w:rPr>
      </w:pPr>
      <w:r w:rsidRPr="00797CC2">
        <w:rPr>
          <w:szCs w:val="22"/>
          <w:lang w:val="en-US"/>
        </w:rPr>
        <w:t xml:space="preserve">While this report, by its nature, highlights things that have gone wrong in </w:t>
      </w:r>
      <w:r w:rsidR="00527BF5" w:rsidRPr="00797CC2">
        <w:rPr>
          <w:szCs w:val="22"/>
          <w:lang w:val="en-US"/>
        </w:rPr>
        <w:t xml:space="preserve">the delivery of health or disability </w:t>
      </w:r>
      <w:r w:rsidRPr="00797CC2">
        <w:rPr>
          <w:szCs w:val="22"/>
          <w:lang w:val="en-US"/>
        </w:rPr>
        <w:t>service</w:t>
      </w:r>
      <w:r w:rsidR="00527BF5" w:rsidRPr="00797CC2">
        <w:rPr>
          <w:szCs w:val="22"/>
          <w:lang w:val="en-US"/>
        </w:rPr>
        <w:t>s, the</w:t>
      </w:r>
      <w:r w:rsidRPr="00797CC2">
        <w:rPr>
          <w:szCs w:val="22"/>
          <w:lang w:val="en-US"/>
        </w:rPr>
        <w:t>se cases represent only a</w:t>
      </w:r>
      <w:r w:rsidR="00527BF5" w:rsidRPr="00797CC2">
        <w:rPr>
          <w:szCs w:val="22"/>
          <w:lang w:val="en-US"/>
        </w:rPr>
        <w:t xml:space="preserve"> very</w:t>
      </w:r>
      <w:r w:rsidRPr="00797CC2">
        <w:rPr>
          <w:szCs w:val="22"/>
          <w:lang w:val="en-US"/>
        </w:rPr>
        <w:t xml:space="preserve"> small proportion of the services </w:t>
      </w:r>
      <w:r w:rsidR="00527BF5" w:rsidRPr="00797CC2">
        <w:rPr>
          <w:szCs w:val="22"/>
          <w:lang w:val="en-US"/>
        </w:rPr>
        <w:t xml:space="preserve">that were </w:t>
      </w:r>
      <w:r w:rsidRPr="00797CC2">
        <w:rPr>
          <w:szCs w:val="22"/>
          <w:lang w:val="en-US"/>
        </w:rPr>
        <w:t xml:space="preserve">delivered by DHBs </w:t>
      </w:r>
      <w:r w:rsidR="00527BF5" w:rsidRPr="00797CC2">
        <w:rPr>
          <w:szCs w:val="22"/>
          <w:lang w:val="en-US"/>
        </w:rPr>
        <w:t>during the year</w:t>
      </w:r>
      <w:r w:rsidRPr="00797CC2">
        <w:rPr>
          <w:szCs w:val="22"/>
          <w:lang w:val="en-US"/>
        </w:rPr>
        <w:t xml:space="preserve">. In the vast majority of cases, health and disability services are delivered exceptionally well, by committed individuals in the context of well-run organisations.  </w:t>
      </w:r>
    </w:p>
    <w:p w:rsidR="006B111F" w:rsidRPr="00797CC2" w:rsidRDefault="006B111F" w:rsidP="006B111F">
      <w:pPr>
        <w:rPr>
          <w:szCs w:val="22"/>
          <w:lang w:val="en-US"/>
        </w:rPr>
      </w:pPr>
    </w:p>
    <w:p w:rsidR="006B111F" w:rsidRPr="00797CC2" w:rsidRDefault="006B111F" w:rsidP="006B111F">
      <w:r w:rsidRPr="00797CC2">
        <w:rPr>
          <w:szCs w:val="22"/>
          <w:lang w:val="en-US"/>
        </w:rPr>
        <w:t xml:space="preserve">However there are always things we can improve.  </w:t>
      </w:r>
      <w:r w:rsidR="00DA6001" w:rsidRPr="00797CC2">
        <w:rPr>
          <w:szCs w:val="22"/>
          <w:lang w:val="en-US"/>
        </w:rPr>
        <w:t xml:space="preserve">Part of the value of </w:t>
      </w:r>
      <w:r w:rsidRPr="00797CC2">
        <w:rPr>
          <w:szCs w:val="22"/>
          <w:lang w:val="en-US"/>
        </w:rPr>
        <w:t xml:space="preserve">complaints </w:t>
      </w:r>
      <w:r w:rsidR="00DA6001" w:rsidRPr="00797CC2">
        <w:rPr>
          <w:szCs w:val="22"/>
          <w:lang w:val="en-US"/>
        </w:rPr>
        <w:t xml:space="preserve">is their ability to </w:t>
      </w:r>
      <w:r w:rsidRPr="00797CC2">
        <w:rPr>
          <w:szCs w:val="22"/>
          <w:lang w:val="en-US"/>
        </w:rPr>
        <w:t xml:space="preserve">shine a light on the areas where improvement is most needed.  </w:t>
      </w:r>
      <w:r w:rsidR="002C6DA1" w:rsidRPr="00797CC2">
        <w:rPr>
          <w:szCs w:val="22"/>
          <w:lang w:val="en-US"/>
        </w:rPr>
        <w:t>As you will see from this report, positive change and system improvement is a common outcom</w:t>
      </w:r>
      <w:r w:rsidR="00527BF5" w:rsidRPr="00797CC2">
        <w:rPr>
          <w:szCs w:val="22"/>
          <w:lang w:val="en-US"/>
        </w:rPr>
        <w:t>e of complaints to HDC.  In some</w:t>
      </w:r>
      <w:r w:rsidR="002C6DA1" w:rsidRPr="00797CC2">
        <w:rPr>
          <w:szCs w:val="22"/>
          <w:lang w:val="en-US"/>
        </w:rPr>
        <w:t xml:space="preserve"> cases, DHBs will have implemented changes before HDC becomes involved.  In other cases, the HDC assessment or investigation is what leads to the issues being identified and remedied.  In still other cases, HDC makes recommendations for change, which are followed up by feedback from the DHB about </w:t>
      </w:r>
      <w:r w:rsidR="00527BF5" w:rsidRPr="00797CC2">
        <w:rPr>
          <w:szCs w:val="22"/>
          <w:lang w:val="en-US"/>
        </w:rPr>
        <w:t>what has been done and, in some cases, audit of the effectiveness of such changes.</w:t>
      </w:r>
    </w:p>
    <w:p w:rsidR="00021045" w:rsidRPr="00797CC2" w:rsidRDefault="00021045" w:rsidP="005874B5">
      <w:pPr>
        <w:rPr>
          <w:szCs w:val="22"/>
        </w:rPr>
      </w:pPr>
    </w:p>
    <w:p w:rsidR="00B33BA4" w:rsidRPr="00797CC2" w:rsidRDefault="00DA6001" w:rsidP="005874B5">
      <w:pPr>
        <w:rPr>
          <w:szCs w:val="22"/>
          <w:lang w:val="en-US"/>
        </w:rPr>
      </w:pPr>
      <w:r w:rsidRPr="00797CC2">
        <w:rPr>
          <w:szCs w:val="22"/>
          <w:lang w:val="en-US"/>
        </w:rPr>
        <w:t>I trust</w:t>
      </w:r>
      <w:r w:rsidR="002C6DA1" w:rsidRPr="00797CC2">
        <w:rPr>
          <w:szCs w:val="22"/>
          <w:lang w:val="en-US"/>
        </w:rPr>
        <w:t xml:space="preserve"> you will find this report </w:t>
      </w:r>
      <w:r w:rsidRPr="00797CC2">
        <w:rPr>
          <w:szCs w:val="22"/>
          <w:lang w:val="en-US"/>
        </w:rPr>
        <w:t>of interest</w:t>
      </w:r>
      <w:r w:rsidR="002C6DA1" w:rsidRPr="00797CC2">
        <w:rPr>
          <w:szCs w:val="22"/>
          <w:lang w:val="en-US"/>
        </w:rPr>
        <w:t xml:space="preserve">, and the changes made encouraging.  To the tens of thousands of you who provide outstanding care around this country every day, and to the hundreds of consumers who have shared your stories with us over the last year, I thank you for your contribution.  It is a real privilege to share the journey with you. </w:t>
      </w:r>
    </w:p>
    <w:p w:rsidR="005874B5" w:rsidRPr="00797CC2" w:rsidRDefault="005874B5" w:rsidP="005874B5">
      <w:pPr>
        <w:rPr>
          <w:szCs w:val="22"/>
          <w:lang w:val="en-US"/>
        </w:rPr>
      </w:pPr>
    </w:p>
    <w:p w:rsidR="002C6DA1" w:rsidRPr="00797CC2" w:rsidRDefault="002C6DA1" w:rsidP="005874B5">
      <w:pPr>
        <w:rPr>
          <w:szCs w:val="22"/>
          <w:lang w:val="en-US"/>
        </w:rPr>
      </w:pPr>
    </w:p>
    <w:p w:rsidR="00527BF5" w:rsidRPr="00797CC2" w:rsidRDefault="00527BF5" w:rsidP="005874B5">
      <w:pPr>
        <w:rPr>
          <w:szCs w:val="22"/>
          <w:lang w:val="en-US"/>
        </w:rPr>
      </w:pPr>
    </w:p>
    <w:p w:rsidR="002C6DA1" w:rsidRPr="00797CC2" w:rsidRDefault="002C6DA1" w:rsidP="005874B5">
      <w:pPr>
        <w:rPr>
          <w:szCs w:val="22"/>
          <w:lang w:val="en-US"/>
        </w:rPr>
      </w:pPr>
    </w:p>
    <w:p w:rsidR="005874B5" w:rsidRPr="00797CC2" w:rsidRDefault="005874B5" w:rsidP="005874B5">
      <w:pPr>
        <w:rPr>
          <w:szCs w:val="22"/>
          <w:lang w:val="en-US"/>
        </w:rPr>
      </w:pPr>
      <w:r w:rsidRPr="00797CC2">
        <w:rPr>
          <w:szCs w:val="22"/>
          <w:lang w:val="en-US"/>
        </w:rPr>
        <w:t>Anthony Hill</w:t>
      </w:r>
    </w:p>
    <w:p w:rsidR="005874B5" w:rsidRPr="00797CC2" w:rsidRDefault="005874B5" w:rsidP="005874B5">
      <w:pPr>
        <w:rPr>
          <w:b/>
          <w:szCs w:val="22"/>
          <w:lang w:val="en-US"/>
        </w:rPr>
      </w:pPr>
      <w:r w:rsidRPr="00797CC2">
        <w:rPr>
          <w:b/>
          <w:szCs w:val="22"/>
          <w:lang w:val="en-US"/>
        </w:rPr>
        <w:t>Health and Disability Commissioner</w:t>
      </w:r>
    </w:p>
    <w:p w:rsidR="005874B5" w:rsidRPr="00797CC2" w:rsidRDefault="005874B5" w:rsidP="005874B5"/>
    <w:p w:rsidR="009E137F" w:rsidRPr="00797CC2" w:rsidRDefault="009E137F" w:rsidP="005874B5">
      <w:pPr>
        <w:jc w:val="center"/>
        <w:rPr>
          <w:lang w:val="en-US"/>
        </w:rPr>
      </w:pPr>
    </w:p>
    <w:p w:rsidR="00C46EE1" w:rsidRPr="00797CC2" w:rsidRDefault="00C46EE1" w:rsidP="005874B5">
      <w:pPr>
        <w:jc w:val="center"/>
        <w:rPr>
          <w:lang w:val="en-US"/>
        </w:rPr>
      </w:pPr>
    </w:p>
    <w:p w:rsidR="00C46EE1" w:rsidRPr="00797CC2" w:rsidRDefault="00C46EE1" w:rsidP="00E84233">
      <w:pPr>
        <w:rPr>
          <w:lang w:val="en-US"/>
        </w:rPr>
      </w:pPr>
    </w:p>
    <w:p w:rsidR="00C46EE1" w:rsidRPr="001517D9" w:rsidRDefault="001517D9" w:rsidP="00FE10E9">
      <w:pPr>
        <w:pStyle w:val="Heading1"/>
        <w:rPr>
          <w:color w:val="C00000"/>
          <w:sz w:val="40"/>
          <w:szCs w:val="40"/>
        </w:rPr>
      </w:pPr>
      <w:r w:rsidRPr="001517D9">
        <w:rPr>
          <w:color w:val="C00000"/>
          <w:sz w:val="40"/>
          <w:szCs w:val="40"/>
        </w:rPr>
        <w:lastRenderedPageBreak/>
        <w:t>EXECUTIVE SUMMARY</w:t>
      </w:r>
    </w:p>
    <w:p w:rsidR="00E436D1" w:rsidRPr="00797CC2" w:rsidRDefault="00FE10E9" w:rsidP="00FE10E9">
      <w:pPr>
        <w:rPr>
          <w:lang w:val="en-AU" w:bidi="ar-SA"/>
        </w:rPr>
      </w:pPr>
      <w:r w:rsidRPr="00797CC2">
        <w:rPr>
          <w:lang w:val="en-AU" w:bidi="ar-SA"/>
        </w:rPr>
        <w:t>In the 2013/14 year, HDC received 660 complaints involving DHBs.  This was an increase of 7% on the number received in the previous year.  The significant year on year increase in complaints about DHB services is consistent with the pattern observed for all complaints to HDC.</w:t>
      </w:r>
    </w:p>
    <w:p w:rsidR="00E436D1" w:rsidRPr="00797CC2" w:rsidRDefault="00E436D1" w:rsidP="00FE10E9">
      <w:pPr>
        <w:rPr>
          <w:lang w:val="en-AU" w:bidi="ar-SA"/>
        </w:rPr>
      </w:pPr>
    </w:p>
    <w:p w:rsidR="00E436D1" w:rsidRPr="00797CC2" w:rsidRDefault="00E436D1" w:rsidP="00FE10E9">
      <w:pPr>
        <w:rPr>
          <w:lang w:val="en-AU" w:bidi="ar-SA"/>
        </w:rPr>
      </w:pPr>
      <w:r w:rsidRPr="00797CC2">
        <w:rPr>
          <w:lang w:val="en-AU" w:bidi="ar-SA"/>
        </w:rPr>
        <w:t>The rate of complaints about DHB services is also increasing, with the 2013/14 rate of 72 complaints per 100,000 discharges the highest to date.</w:t>
      </w:r>
    </w:p>
    <w:p w:rsidR="00E436D1" w:rsidRPr="00797CC2" w:rsidRDefault="00E436D1" w:rsidP="00FE10E9">
      <w:pPr>
        <w:rPr>
          <w:lang w:val="en-AU" w:bidi="ar-SA"/>
        </w:rPr>
      </w:pPr>
    </w:p>
    <w:p w:rsidR="00E436D1" w:rsidRPr="00797CC2" w:rsidRDefault="00E436D1" w:rsidP="00FE10E9">
      <w:pPr>
        <w:rPr>
          <w:lang w:val="en-AU" w:bidi="ar-SA"/>
        </w:rPr>
      </w:pPr>
      <w:r w:rsidRPr="00797CC2">
        <w:rPr>
          <w:lang w:val="en-AU" w:bidi="ar-SA"/>
        </w:rPr>
        <w:t>Complaints were received in relation to a wide variety of DHB service types, however, a quarter of all complaints concerned surgical services, and almost a fifth were about general medicine and mental health services</w:t>
      </w:r>
      <w:r w:rsidR="005B7D43" w:rsidRPr="00797CC2">
        <w:rPr>
          <w:lang w:val="en-AU" w:bidi="ar-SA"/>
        </w:rPr>
        <w:t xml:space="preserve"> respectively</w:t>
      </w:r>
      <w:r w:rsidRPr="00797CC2">
        <w:rPr>
          <w:lang w:val="en-AU" w:bidi="ar-SA"/>
        </w:rPr>
        <w:t>.</w:t>
      </w:r>
    </w:p>
    <w:p w:rsidR="00E436D1" w:rsidRPr="00797CC2" w:rsidRDefault="00E436D1" w:rsidP="00FE10E9">
      <w:pPr>
        <w:rPr>
          <w:lang w:val="en-AU" w:bidi="ar-SA"/>
        </w:rPr>
      </w:pPr>
    </w:p>
    <w:p w:rsidR="00E436D1" w:rsidRPr="00797CC2" w:rsidRDefault="00E436D1" w:rsidP="00FE10E9">
      <w:pPr>
        <w:rPr>
          <w:lang w:val="en-AU" w:bidi="ar-SA"/>
        </w:rPr>
      </w:pPr>
      <w:r w:rsidRPr="00797CC2">
        <w:rPr>
          <w:lang w:val="en-AU" w:bidi="ar-SA"/>
        </w:rPr>
        <w:t>Doctors were the individual providers complained about most commonly within complaints about DHB services, with 75% of all complaints identifying them as responsible for at least some of the issues complained about.</w:t>
      </w:r>
    </w:p>
    <w:p w:rsidR="00E436D1" w:rsidRPr="00797CC2" w:rsidRDefault="00E436D1" w:rsidP="00FE10E9">
      <w:pPr>
        <w:rPr>
          <w:lang w:val="en-AU" w:bidi="ar-SA"/>
        </w:rPr>
      </w:pPr>
    </w:p>
    <w:p w:rsidR="00E436D1" w:rsidRPr="00797CC2" w:rsidRDefault="00E436D1" w:rsidP="00FE10E9">
      <w:pPr>
        <w:rPr>
          <w:lang w:val="en-AU" w:bidi="ar-SA"/>
        </w:rPr>
      </w:pPr>
      <w:r w:rsidRPr="00797CC2">
        <w:rPr>
          <w:lang w:val="en-AU" w:bidi="ar-SA"/>
        </w:rPr>
        <w:t>Concern about a missed, incorrect or delayed diagnosis was the primary issue of concern raised by the complainant in 17% of cases.</w:t>
      </w:r>
      <w:r w:rsidR="00FB237B" w:rsidRPr="00797CC2">
        <w:rPr>
          <w:lang w:val="en-AU" w:bidi="ar-SA"/>
        </w:rPr>
        <w:t xml:space="preserve">  The second most prevalent primary issue of concern was inadequate or inappropriate treatment (14%).  When all issues raised in complaints were considered (instead of just the primary issue), we found that concerns about inadequate or inappropriate treatment were the most prevalent (raised in 37% of complaints), and concerns about diagnosis were the second most prevalent (27%).  Concerns about communication with the consumer, communication with the family, manner and attitude of the provider, and the adequacy of the DHB’s response to the complaint, were all raised in around 20% of complaints.  The issues raised in complaints varied by service type involved.</w:t>
      </w:r>
    </w:p>
    <w:p w:rsidR="00FB237B" w:rsidRPr="00797CC2" w:rsidRDefault="00FB237B" w:rsidP="00FE10E9">
      <w:pPr>
        <w:rPr>
          <w:lang w:val="en-AU" w:bidi="ar-SA"/>
        </w:rPr>
      </w:pPr>
    </w:p>
    <w:p w:rsidR="00FB237B" w:rsidRPr="00797CC2" w:rsidRDefault="00FB237B" w:rsidP="00FE10E9">
      <w:pPr>
        <w:rPr>
          <w:lang w:val="en-AU" w:bidi="ar-SA"/>
        </w:rPr>
      </w:pPr>
      <w:r w:rsidRPr="00797CC2">
        <w:rPr>
          <w:lang w:val="en-AU" w:bidi="ar-SA"/>
        </w:rPr>
        <w:t>In the 2013/14 year, HDC closed more complaints concerning DHBs than ever before (691 complaints).  This included the conclusion of 46 formal investigations.  As well as formally investigating, HDC referred a number of complaints back to DHBs for resolution and to other agencies.  In closing about a third of cases, HDC recommended some kind of follow up action or made educational comments designed to facilitate improvement in services.</w:t>
      </w:r>
      <w:r w:rsidR="0094436F" w:rsidRPr="00797CC2">
        <w:rPr>
          <w:lang w:val="en-AU" w:bidi="ar-SA"/>
        </w:rPr>
        <w:t xml:space="preserve">  In the overwhelming majority of cases, HDC’s recommendations are implemented by DHBs, leading to services becoming safer and of higher quality, to the benefit of all involved.</w:t>
      </w:r>
    </w:p>
    <w:p w:rsidR="00FE10E9" w:rsidRPr="00797CC2" w:rsidRDefault="00FE10E9" w:rsidP="00FE10E9">
      <w:pPr>
        <w:rPr>
          <w:lang w:val="en-AU" w:bidi="ar-SA"/>
        </w:rPr>
      </w:pPr>
      <w:r w:rsidRPr="00797CC2">
        <w:rPr>
          <w:lang w:val="en-AU" w:bidi="ar-SA"/>
        </w:rPr>
        <w:t xml:space="preserve">    </w:t>
      </w:r>
    </w:p>
    <w:p w:rsidR="00FE10E9" w:rsidRPr="00797CC2" w:rsidRDefault="00FE10E9" w:rsidP="00FE10E9">
      <w:pPr>
        <w:rPr>
          <w:lang w:val="en-AU" w:bidi="ar-SA"/>
        </w:rPr>
      </w:pPr>
    </w:p>
    <w:p w:rsidR="004C794C" w:rsidRPr="00797CC2" w:rsidRDefault="004C794C">
      <w:pPr>
        <w:rPr>
          <w:b/>
          <w:bCs/>
          <w:sz w:val="36"/>
          <w:szCs w:val="36"/>
          <w:lang w:bidi="ar-SA"/>
        </w:rPr>
      </w:pPr>
      <w:bookmarkStart w:id="1" w:name="_Toc398125953"/>
      <w:r w:rsidRPr="00797CC2">
        <w:rPr>
          <w:sz w:val="36"/>
          <w:szCs w:val="36"/>
        </w:rPr>
        <w:br w:type="page"/>
      </w:r>
    </w:p>
    <w:p w:rsidR="00C46EE1" w:rsidRPr="001517D9" w:rsidRDefault="001517D9" w:rsidP="00C46EE1">
      <w:pPr>
        <w:pStyle w:val="Heading1"/>
        <w:spacing w:before="240"/>
        <w:rPr>
          <w:color w:val="C00000"/>
          <w:sz w:val="40"/>
          <w:szCs w:val="40"/>
          <w:lang w:val="en-NZ"/>
        </w:rPr>
      </w:pPr>
      <w:r w:rsidRPr="001517D9">
        <w:rPr>
          <w:color w:val="C00000"/>
          <w:sz w:val="40"/>
          <w:szCs w:val="40"/>
          <w:lang w:val="en-NZ"/>
        </w:rPr>
        <w:lastRenderedPageBreak/>
        <w:t>BACKGROUND</w:t>
      </w:r>
    </w:p>
    <w:p w:rsidR="008C11A6" w:rsidRPr="00797CC2" w:rsidRDefault="008C11A6" w:rsidP="008C11A6">
      <w:pPr>
        <w:pStyle w:val="Heading2"/>
        <w:spacing w:before="360" w:after="240"/>
        <w:rPr>
          <w:sz w:val="36"/>
          <w:szCs w:val="36"/>
        </w:rPr>
      </w:pPr>
      <w:bookmarkStart w:id="2" w:name="_Toc404344421"/>
      <w:r w:rsidRPr="00797CC2">
        <w:rPr>
          <w:sz w:val="36"/>
          <w:szCs w:val="36"/>
        </w:rPr>
        <w:t>1.</w:t>
      </w:r>
      <w:r w:rsidRPr="00797CC2">
        <w:rPr>
          <w:sz w:val="36"/>
          <w:szCs w:val="36"/>
        </w:rPr>
        <w:tab/>
        <w:t>The Health and Disability Commissioner</w:t>
      </w:r>
      <w:bookmarkEnd w:id="2"/>
    </w:p>
    <w:p w:rsidR="004834D9" w:rsidRPr="00797CC2" w:rsidRDefault="00D76820" w:rsidP="00524A9C">
      <w:pPr>
        <w:rPr>
          <w:lang w:val="en-AU" w:bidi="ar-SA"/>
        </w:rPr>
      </w:pPr>
      <w:r w:rsidRPr="00797CC2">
        <w:rPr>
          <w:lang w:val="en-AU" w:bidi="ar-SA"/>
        </w:rPr>
        <w:t>HDC is an independent crown e</w:t>
      </w:r>
      <w:r w:rsidR="00524A9C" w:rsidRPr="00797CC2">
        <w:rPr>
          <w:lang w:val="en-AU" w:bidi="ar-SA"/>
        </w:rPr>
        <w:t>ntity established under the Health and Disability Commissioner Act 1994</w:t>
      </w:r>
      <w:r w:rsidR="004834D9" w:rsidRPr="00797CC2">
        <w:rPr>
          <w:lang w:val="en-AU" w:bidi="ar-SA"/>
        </w:rPr>
        <w:t xml:space="preserve"> to promote and protect the rights of health and disability services consumers.</w:t>
      </w:r>
      <w:r w:rsidR="00B77ECC" w:rsidRPr="00797CC2">
        <w:rPr>
          <w:lang w:val="en-AU" w:bidi="ar-SA"/>
        </w:rPr>
        <w:t xml:space="preserve">  The rights of consumers are</w:t>
      </w:r>
      <w:r w:rsidR="004834D9" w:rsidRPr="00797CC2">
        <w:rPr>
          <w:lang w:val="en-AU" w:bidi="ar-SA"/>
        </w:rPr>
        <w:t xml:space="preserve"> set out in the Code of Health and Disability Services Consumers’ Rights</w:t>
      </w:r>
      <w:r w:rsidR="00524A9C" w:rsidRPr="00797CC2">
        <w:rPr>
          <w:lang w:val="en-AU" w:bidi="ar-SA"/>
        </w:rPr>
        <w:t xml:space="preserve"> </w:t>
      </w:r>
      <w:r w:rsidR="004834D9" w:rsidRPr="00797CC2">
        <w:rPr>
          <w:lang w:val="en-AU" w:bidi="ar-SA"/>
        </w:rPr>
        <w:t>(the Code).  The Code places corresponding obligations on all providers of health and disability services, including individual providers and organisational providers such as district health boards.</w:t>
      </w:r>
    </w:p>
    <w:p w:rsidR="004834D9" w:rsidRPr="00797CC2" w:rsidRDefault="004834D9" w:rsidP="00524A9C">
      <w:pPr>
        <w:rPr>
          <w:lang w:val="en-AU" w:bidi="ar-SA"/>
        </w:rPr>
      </w:pPr>
    </w:p>
    <w:p w:rsidR="004834D9" w:rsidRPr="00797CC2" w:rsidRDefault="004834D9" w:rsidP="00524A9C">
      <w:pPr>
        <w:rPr>
          <w:lang w:val="en-AU" w:bidi="ar-SA"/>
        </w:rPr>
      </w:pPr>
      <w:r w:rsidRPr="00797CC2">
        <w:rPr>
          <w:lang w:val="en-AU" w:bidi="ar-SA"/>
        </w:rPr>
        <w:t>HDC promotes and protects the rights of consumers of health and disability services by:</w:t>
      </w:r>
    </w:p>
    <w:p w:rsidR="00524A9C" w:rsidRPr="00797CC2" w:rsidRDefault="004834D9" w:rsidP="004834D9">
      <w:pPr>
        <w:pStyle w:val="ListParagraph"/>
        <w:numPr>
          <w:ilvl w:val="0"/>
          <w:numId w:val="18"/>
        </w:numPr>
        <w:rPr>
          <w:lang w:val="en-AU" w:bidi="ar-SA"/>
        </w:rPr>
      </w:pPr>
      <w:r w:rsidRPr="00797CC2">
        <w:rPr>
          <w:lang w:val="en-AU" w:bidi="ar-SA"/>
        </w:rPr>
        <w:t>resolving complaints;</w:t>
      </w:r>
    </w:p>
    <w:p w:rsidR="004834D9" w:rsidRPr="00797CC2" w:rsidRDefault="004834D9" w:rsidP="004834D9">
      <w:pPr>
        <w:pStyle w:val="ListParagraph"/>
        <w:numPr>
          <w:ilvl w:val="0"/>
          <w:numId w:val="18"/>
        </w:numPr>
        <w:rPr>
          <w:lang w:val="en-AU" w:bidi="ar-SA"/>
        </w:rPr>
      </w:pPr>
      <w:r w:rsidRPr="00797CC2">
        <w:rPr>
          <w:lang w:val="en-AU" w:bidi="ar-SA"/>
        </w:rPr>
        <w:t>improving quality and safety within the sector; and</w:t>
      </w:r>
    </w:p>
    <w:p w:rsidR="004834D9" w:rsidRPr="00797CC2" w:rsidRDefault="004834D9" w:rsidP="004834D9">
      <w:pPr>
        <w:pStyle w:val="ListParagraph"/>
        <w:numPr>
          <w:ilvl w:val="0"/>
          <w:numId w:val="18"/>
        </w:numPr>
        <w:rPr>
          <w:lang w:val="en-AU" w:bidi="ar-SA"/>
        </w:rPr>
      </w:pPr>
      <w:r w:rsidRPr="00797CC2">
        <w:rPr>
          <w:lang w:val="en-AU" w:bidi="ar-SA"/>
        </w:rPr>
        <w:t>appropriately holding providers to account.</w:t>
      </w:r>
    </w:p>
    <w:p w:rsidR="00F93623" w:rsidRPr="00797CC2" w:rsidRDefault="00F93623" w:rsidP="00F93623">
      <w:pPr>
        <w:rPr>
          <w:lang w:val="en-AU" w:bidi="ar-SA"/>
        </w:rPr>
      </w:pPr>
    </w:p>
    <w:p w:rsidR="00F93623" w:rsidRPr="00797CC2" w:rsidRDefault="00F93623" w:rsidP="00F93623">
      <w:pPr>
        <w:rPr>
          <w:lang w:val="en-AU" w:bidi="ar-SA"/>
        </w:rPr>
      </w:pPr>
      <w:r w:rsidRPr="00797CC2">
        <w:rPr>
          <w:lang w:val="en-AU" w:bidi="ar-SA"/>
        </w:rPr>
        <w:t>As such, HDC fulfils the critical role of independent watchdog for consumer rights within the sector.</w:t>
      </w:r>
    </w:p>
    <w:p w:rsidR="00F93623" w:rsidRPr="00797CC2" w:rsidRDefault="00F93623" w:rsidP="00F93623">
      <w:pPr>
        <w:rPr>
          <w:lang w:val="en-AU" w:bidi="ar-SA"/>
        </w:rPr>
      </w:pPr>
    </w:p>
    <w:tbl>
      <w:tblPr>
        <w:tblStyle w:val="TableGrid"/>
        <w:tblW w:w="0" w:type="auto"/>
        <w:jc w:val="center"/>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6912"/>
      </w:tblGrid>
      <w:tr w:rsidR="004C794C" w:rsidRPr="00797CC2" w:rsidTr="001517D9">
        <w:trPr>
          <w:jc w:val="center"/>
        </w:trPr>
        <w:tc>
          <w:tcPr>
            <w:tcW w:w="6912" w:type="dxa"/>
          </w:tcPr>
          <w:p w:rsidR="001517D9" w:rsidRDefault="001517D9" w:rsidP="001517D9">
            <w:pPr>
              <w:tabs>
                <w:tab w:val="left" w:pos="1440"/>
                <w:tab w:val="left" w:pos="2610"/>
              </w:tabs>
              <w:jc w:val="center"/>
              <w:outlineLvl w:val="0"/>
              <w:rPr>
                <w:rFonts w:ascii="Calibri" w:hAnsi="Calibri"/>
                <w:b/>
                <w:sz w:val="28"/>
                <w:szCs w:val="28"/>
              </w:rPr>
            </w:pPr>
          </w:p>
          <w:p w:rsidR="004C794C" w:rsidRPr="00797CC2" w:rsidRDefault="004C794C" w:rsidP="001517D9">
            <w:pPr>
              <w:tabs>
                <w:tab w:val="left" w:pos="1440"/>
                <w:tab w:val="left" w:pos="2610"/>
              </w:tabs>
              <w:jc w:val="center"/>
              <w:outlineLvl w:val="0"/>
              <w:rPr>
                <w:rFonts w:ascii="Calibri" w:hAnsi="Calibri"/>
                <w:b/>
                <w:sz w:val="28"/>
                <w:szCs w:val="28"/>
              </w:rPr>
            </w:pPr>
            <w:r w:rsidRPr="00797CC2">
              <w:rPr>
                <w:rFonts w:ascii="Calibri" w:hAnsi="Calibri"/>
                <w:b/>
                <w:sz w:val="28"/>
                <w:szCs w:val="28"/>
              </w:rPr>
              <w:t>Rights under the Code</w:t>
            </w:r>
          </w:p>
          <w:p w:rsidR="004C794C" w:rsidRPr="00797CC2" w:rsidRDefault="004C794C" w:rsidP="004C794C">
            <w:pPr>
              <w:numPr>
                <w:ilvl w:val="0"/>
                <w:numId w:val="19"/>
              </w:numPr>
              <w:spacing w:after="120"/>
              <w:contextualSpacing/>
              <w:rPr>
                <w:rFonts w:eastAsia="SimSun"/>
                <w:szCs w:val="22"/>
                <w:lang w:eastAsia="zh-CN" w:bidi="ar-SA"/>
              </w:rPr>
            </w:pPr>
            <w:r w:rsidRPr="00797CC2">
              <w:rPr>
                <w:rFonts w:eastAsia="SimSun"/>
                <w:szCs w:val="22"/>
                <w:lang w:eastAsia="zh-CN" w:bidi="ar-SA"/>
              </w:rPr>
              <w:t>The right to be treated with respect.</w:t>
            </w:r>
          </w:p>
          <w:p w:rsidR="004C794C" w:rsidRPr="00797CC2" w:rsidRDefault="004C794C" w:rsidP="004C794C">
            <w:pPr>
              <w:numPr>
                <w:ilvl w:val="0"/>
                <w:numId w:val="19"/>
              </w:numPr>
              <w:spacing w:after="120"/>
              <w:contextualSpacing/>
              <w:rPr>
                <w:rFonts w:eastAsia="SimSun"/>
                <w:szCs w:val="22"/>
                <w:lang w:eastAsia="zh-CN" w:bidi="ar-SA"/>
              </w:rPr>
            </w:pPr>
            <w:r w:rsidRPr="00797CC2">
              <w:rPr>
                <w:rFonts w:eastAsia="SimSun"/>
                <w:szCs w:val="22"/>
                <w:lang w:eastAsia="zh-CN" w:bidi="ar-SA"/>
              </w:rPr>
              <w:t>The right to freedom from discrimination, coercion, harassment and exploitation.</w:t>
            </w:r>
          </w:p>
          <w:p w:rsidR="004C794C" w:rsidRPr="00797CC2" w:rsidRDefault="004C794C" w:rsidP="004C794C">
            <w:pPr>
              <w:numPr>
                <w:ilvl w:val="0"/>
                <w:numId w:val="19"/>
              </w:numPr>
              <w:spacing w:after="120"/>
              <w:contextualSpacing/>
              <w:rPr>
                <w:rFonts w:eastAsia="SimSun"/>
                <w:szCs w:val="22"/>
                <w:lang w:eastAsia="zh-CN" w:bidi="ar-SA"/>
              </w:rPr>
            </w:pPr>
            <w:r w:rsidRPr="00797CC2">
              <w:rPr>
                <w:rFonts w:eastAsia="SimSun"/>
                <w:szCs w:val="22"/>
                <w:lang w:eastAsia="zh-CN" w:bidi="ar-SA"/>
              </w:rPr>
              <w:t>The right to dignity and independence.</w:t>
            </w:r>
          </w:p>
          <w:p w:rsidR="004C794C" w:rsidRPr="00797CC2" w:rsidRDefault="004C794C" w:rsidP="004C794C">
            <w:pPr>
              <w:numPr>
                <w:ilvl w:val="0"/>
                <w:numId w:val="19"/>
              </w:numPr>
              <w:spacing w:after="120"/>
              <w:contextualSpacing/>
              <w:rPr>
                <w:rFonts w:eastAsia="SimSun"/>
                <w:szCs w:val="22"/>
                <w:lang w:eastAsia="zh-CN" w:bidi="ar-SA"/>
              </w:rPr>
            </w:pPr>
            <w:r w:rsidRPr="00797CC2">
              <w:rPr>
                <w:rFonts w:eastAsia="SimSun"/>
                <w:szCs w:val="22"/>
                <w:lang w:eastAsia="zh-CN" w:bidi="ar-SA"/>
              </w:rPr>
              <w:t>The right to services of an appropriate standard.</w:t>
            </w:r>
          </w:p>
          <w:p w:rsidR="004C794C" w:rsidRPr="00797CC2" w:rsidRDefault="004C794C" w:rsidP="004C794C">
            <w:pPr>
              <w:numPr>
                <w:ilvl w:val="0"/>
                <w:numId w:val="19"/>
              </w:numPr>
              <w:spacing w:after="120"/>
              <w:contextualSpacing/>
              <w:rPr>
                <w:rFonts w:eastAsia="SimSun"/>
                <w:szCs w:val="22"/>
                <w:lang w:eastAsia="zh-CN" w:bidi="ar-SA"/>
              </w:rPr>
            </w:pPr>
            <w:r w:rsidRPr="00797CC2">
              <w:rPr>
                <w:rFonts w:eastAsia="SimSun"/>
                <w:szCs w:val="22"/>
                <w:lang w:eastAsia="zh-CN" w:bidi="ar-SA"/>
              </w:rPr>
              <w:t>The right to effective communication.</w:t>
            </w:r>
          </w:p>
          <w:p w:rsidR="004C794C" w:rsidRPr="00797CC2" w:rsidRDefault="004C794C" w:rsidP="004C794C">
            <w:pPr>
              <w:numPr>
                <w:ilvl w:val="0"/>
                <w:numId w:val="19"/>
              </w:numPr>
              <w:spacing w:after="120"/>
              <w:contextualSpacing/>
              <w:rPr>
                <w:rFonts w:eastAsia="SimSun"/>
                <w:szCs w:val="22"/>
                <w:lang w:eastAsia="zh-CN" w:bidi="ar-SA"/>
              </w:rPr>
            </w:pPr>
            <w:r w:rsidRPr="00797CC2">
              <w:rPr>
                <w:rFonts w:eastAsia="SimSun"/>
                <w:szCs w:val="22"/>
                <w:lang w:eastAsia="zh-CN" w:bidi="ar-SA"/>
              </w:rPr>
              <w:t>The right to be fully informed.</w:t>
            </w:r>
          </w:p>
          <w:p w:rsidR="004C794C" w:rsidRPr="00797CC2" w:rsidRDefault="004C794C" w:rsidP="004C794C">
            <w:pPr>
              <w:numPr>
                <w:ilvl w:val="0"/>
                <w:numId w:val="19"/>
              </w:numPr>
              <w:spacing w:after="120"/>
              <w:contextualSpacing/>
              <w:rPr>
                <w:rFonts w:eastAsia="SimSun"/>
                <w:szCs w:val="22"/>
                <w:lang w:eastAsia="zh-CN" w:bidi="ar-SA"/>
              </w:rPr>
            </w:pPr>
            <w:r w:rsidRPr="00797CC2">
              <w:rPr>
                <w:rFonts w:eastAsia="SimSun"/>
                <w:szCs w:val="22"/>
                <w:lang w:eastAsia="zh-CN" w:bidi="ar-SA"/>
              </w:rPr>
              <w:t>The right to make an informed choice and give informed consent.</w:t>
            </w:r>
          </w:p>
          <w:p w:rsidR="004C794C" w:rsidRPr="00797CC2" w:rsidRDefault="004C794C" w:rsidP="004C794C">
            <w:pPr>
              <w:numPr>
                <w:ilvl w:val="0"/>
                <w:numId w:val="19"/>
              </w:numPr>
              <w:spacing w:after="120"/>
              <w:contextualSpacing/>
              <w:rPr>
                <w:rFonts w:eastAsia="SimSun"/>
                <w:szCs w:val="22"/>
                <w:lang w:eastAsia="zh-CN" w:bidi="ar-SA"/>
              </w:rPr>
            </w:pPr>
            <w:r w:rsidRPr="00797CC2">
              <w:rPr>
                <w:rFonts w:eastAsia="SimSun"/>
                <w:szCs w:val="22"/>
                <w:lang w:eastAsia="zh-CN" w:bidi="ar-SA"/>
              </w:rPr>
              <w:t>The right to support.</w:t>
            </w:r>
          </w:p>
          <w:p w:rsidR="004C794C" w:rsidRPr="00797CC2" w:rsidRDefault="004C794C" w:rsidP="004C794C">
            <w:pPr>
              <w:numPr>
                <w:ilvl w:val="0"/>
                <w:numId w:val="19"/>
              </w:numPr>
              <w:spacing w:after="120"/>
              <w:contextualSpacing/>
              <w:rPr>
                <w:rFonts w:eastAsia="SimSun"/>
                <w:szCs w:val="22"/>
                <w:lang w:eastAsia="zh-CN" w:bidi="ar-SA"/>
              </w:rPr>
            </w:pPr>
            <w:r w:rsidRPr="00797CC2">
              <w:rPr>
                <w:rFonts w:eastAsia="SimSun"/>
                <w:szCs w:val="22"/>
                <w:lang w:eastAsia="zh-CN" w:bidi="ar-SA"/>
              </w:rPr>
              <w:t>Rights in respect of teaching or research.</w:t>
            </w:r>
          </w:p>
          <w:p w:rsidR="004C794C" w:rsidRDefault="004C794C" w:rsidP="007853C7">
            <w:pPr>
              <w:numPr>
                <w:ilvl w:val="0"/>
                <w:numId w:val="19"/>
              </w:numPr>
              <w:spacing w:after="120"/>
              <w:contextualSpacing/>
              <w:rPr>
                <w:rFonts w:eastAsia="SimSun"/>
                <w:szCs w:val="22"/>
                <w:lang w:eastAsia="zh-CN" w:bidi="ar-SA"/>
              </w:rPr>
            </w:pPr>
            <w:r w:rsidRPr="00797CC2">
              <w:rPr>
                <w:rFonts w:eastAsia="SimSun"/>
                <w:szCs w:val="22"/>
                <w:lang w:eastAsia="zh-CN" w:bidi="ar-SA"/>
              </w:rPr>
              <w:t>The right to complain.</w:t>
            </w:r>
          </w:p>
          <w:p w:rsidR="001517D9" w:rsidRPr="00797CC2" w:rsidRDefault="001517D9" w:rsidP="001517D9">
            <w:pPr>
              <w:spacing w:after="120"/>
              <w:ind w:left="720"/>
              <w:contextualSpacing/>
              <w:rPr>
                <w:rFonts w:eastAsia="SimSun"/>
                <w:szCs w:val="22"/>
                <w:lang w:eastAsia="zh-CN" w:bidi="ar-SA"/>
              </w:rPr>
            </w:pPr>
          </w:p>
        </w:tc>
      </w:tr>
    </w:tbl>
    <w:p w:rsidR="00431CF4" w:rsidRPr="00797CC2" w:rsidRDefault="00431CF4" w:rsidP="00431CF4">
      <w:pPr>
        <w:spacing w:after="120"/>
        <w:contextualSpacing/>
        <w:rPr>
          <w:rFonts w:eastAsia="SimSun"/>
          <w:szCs w:val="22"/>
          <w:lang w:eastAsia="zh-CN" w:bidi="ar-SA"/>
        </w:rPr>
      </w:pPr>
    </w:p>
    <w:p w:rsidR="00431CF4" w:rsidRPr="00797CC2" w:rsidRDefault="00431CF4" w:rsidP="00431CF4">
      <w:pPr>
        <w:spacing w:after="120"/>
        <w:contextualSpacing/>
        <w:rPr>
          <w:rFonts w:eastAsia="SimSun"/>
          <w:szCs w:val="22"/>
          <w:lang w:eastAsia="zh-CN" w:bidi="ar-SA"/>
        </w:rPr>
      </w:pPr>
      <w:r w:rsidRPr="00797CC2">
        <w:rPr>
          <w:rFonts w:eastAsia="SimSun"/>
          <w:szCs w:val="22"/>
          <w:lang w:eastAsia="zh-CN" w:bidi="ar-SA"/>
        </w:rPr>
        <w:t>Anyone may make a complaint to HDC about a health or disability service that has been provided to a consumer.  It is not uncommon for HDC to receive complaints from third parties, such as family members, friends, or other prov</w:t>
      </w:r>
      <w:r w:rsidR="00B77ECC" w:rsidRPr="00797CC2">
        <w:rPr>
          <w:rFonts w:eastAsia="SimSun"/>
          <w:szCs w:val="22"/>
          <w:lang w:eastAsia="zh-CN" w:bidi="ar-SA"/>
        </w:rPr>
        <w:t>iders involved in the consumer’s</w:t>
      </w:r>
      <w:r w:rsidRPr="00797CC2">
        <w:rPr>
          <w:rFonts w:eastAsia="SimSun"/>
          <w:szCs w:val="22"/>
          <w:lang w:eastAsia="zh-CN" w:bidi="ar-SA"/>
        </w:rPr>
        <w:t xml:space="preserve"> care.  The Commissioner may also commence an investigation at his </w:t>
      </w:r>
      <w:r w:rsidR="00CA45E1" w:rsidRPr="00797CC2">
        <w:rPr>
          <w:rFonts w:eastAsia="SimSun"/>
          <w:szCs w:val="22"/>
          <w:lang w:eastAsia="zh-CN" w:bidi="ar-SA"/>
        </w:rPr>
        <w:t xml:space="preserve">own </w:t>
      </w:r>
      <w:r w:rsidRPr="00797CC2">
        <w:rPr>
          <w:rFonts w:eastAsia="SimSun"/>
          <w:szCs w:val="22"/>
          <w:lang w:eastAsia="zh-CN" w:bidi="ar-SA"/>
        </w:rPr>
        <w:t xml:space="preserve">initiative, even without having received a complaint, if he considers it appropriate to do so.  </w:t>
      </w:r>
    </w:p>
    <w:p w:rsidR="00CA45E1" w:rsidRPr="00797CC2" w:rsidRDefault="00CA45E1" w:rsidP="00431CF4">
      <w:pPr>
        <w:spacing w:after="120"/>
        <w:contextualSpacing/>
        <w:rPr>
          <w:rFonts w:eastAsia="SimSun"/>
          <w:szCs w:val="22"/>
          <w:lang w:eastAsia="zh-CN" w:bidi="ar-SA"/>
        </w:rPr>
      </w:pPr>
    </w:p>
    <w:p w:rsidR="00CA45E1" w:rsidRPr="00797CC2" w:rsidRDefault="00CA45E1" w:rsidP="00431CF4">
      <w:pPr>
        <w:spacing w:after="120"/>
        <w:contextualSpacing/>
        <w:rPr>
          <w:rFonts w:eastAsia="SimSun"/>
          <w:szCs w:val="22"/>
          <w:lang w:eastAsia="zh-CN" w:bidi="ar-SA"/>
        </w:rPr>
      </w:pPr>
      <w:r w:rsidRPr="00797CC2">
        <w:rPr>
          <w:rFonts w:eastAsia="SimSun"/>
          <w:szCs w:val="22"/>
          <w:lang w:eastAsia="zh-CN" w:bidi="ar-SA"/>
        </w:rPr>
        <w:t>For HDC to have jurisdiction to assess and/or investigate a complaint, there must have been the provision of a health or disability service to a consumer by a provider, and a possible infringement of the consumer’s rights under the Code.</w:t>
      </w:r>
    </w:p>
    <w:p w:rsidR="00686436" w:rsidRPr="00797CC2" w:rsidRDefault="00686436" w:rsidP="00431CF4">
      <w:pPr>
        <w:spacing w:after="120"/>
        <w:contextualSpacing/>
        <w:rPr>
          <w:rFonts w:eastAsia="SimSun"/>
          <w:szCs w:val="22"/>
          <w:lang w:eastAsia="zh-CN" w:bidi="ar-SA"/>
        </w:rPr>
      </w:pPr>
    </w:p>
    <w:p w:rsidR="00686436" w:rsidRPr="00797CC2" w:rsidRDefault="00686436" w:rsidP="00431CF4">
      <w:pPr>
        <w:spacing w:after="120"/>
        <w:contextualSpacing/>
        <w:rPr>
          <w:rFonts w:eastAsia="SimSun"/>
          <w:szCs w:val="22"/>
          <w:lang w:eastAsia="zh-CN" w:bidi="ar-SA"/>
        </w:rPr>
      </w:pPr>
    </w:p>
    <w:p w:rsidR="008A6139" w:rsidRPr="00797CC2" w:rsidRDefault="008A6139" w:rsidP="00F93623">
      <w:pPr>
        <w:rPr>
          <w:lang w:val="en-AU" w:bidi="ar-SA"/>
        </w:rPr>
      </w:pPr>
    </w:p>
    <w:p w:rsidR="00431CF4" w:rsidRPr="00797CC2" w:rsidRDefault="00431CF4">
      <w:pPr>
        <w:rPr>
          <w:b/>
          <w:iCs/>
          <w:sz w:val="32"/>
          <w:szCs w:val="32"/>
          <w:lang w:val="en-AU" w:bidi="ar-SA"/>
        </w:rPr>
      </w:pPr>
      <w:r w:rsidRPr="00797CC2">
        <w:rPr>
          <w:sz w:val="32"/>
          <w:szCs w:val="32"/>
        </w:rPr>
        <w:br w:type="page"/>
      </w:r>
    </w:p>
    <w:p w:rsidR="008C11A6" w:rsidRPr="00797CC2" w:rsidRDefault="00F93623" w:rsidP="008C11A6">
      <w:pPr>
        <w:pStyle w:val="Heading2"/>
        <w:spacing w:before="360" w:after="240"/>
        <w:rPr>
          <w:sz w:val="36"/>
          <w:szCs w:val="36"/>
        </w:rPr>
      </w:pPr>
      <w:bookmarkStart w:id="3" w:name="_Toc404344422"/>
      <w:r w:rsidRPr="00797CC2">
        <w:rPr>
          <w:sz w:val="36"/>
          <w:szCs w:val="36"/>
        </w:rPr>
        <w:t>2</w:t>
      </w:r>
      <w:r w:rsidR="008C11A6" w:rsidRPr="00797CC2">
        <w:rPr>
          <w:sz w:val="36"/>
          <w:szCs w:val="36"/>
        </w:rPr>
        <w:t>.</w:t>
      </w:r>
      <w:r w:rsidR="008C11A6" w:rsidRPr="00797CC2">
        <w:rPr>
          <w:sz w:val="36"/>
          <w:szCs w:val="36"/>
        </w:rPr>
        <w:tab/>
        <w:t>District Health Boards</w:t>
      </w:r>
      <w:bookmarkEnd w:id="3"/>
    </w:p>
    <w:p w:rsidR="00431CF4" w:rsidRPr="00797CC2" w:rsidRDefault="00D76820" w:rsidP="00D76820">
      <w:pPr>
        <w:rPr>
          <w:lang w:val="en-AU" w:bidi="ar-SA"/>
        </w:rPr>
      </w:pPr>
      <w:r w:rsidRPr="00797CC2">
        <w:rPr>
          <w:lang w:val="en-AU" w:bidi="ar-SA"/>
        </w:rPr>
        <w:t>There are 20 district health boards (DHBs) with responsibility for funding or providing a specified range of health and disability services</w:t>
      </w:r>
      <w:r w:rsidR="00431CF4" w:rsidRPr="00797CC2">
        <w:rPr>
          <w:lang w:val="en-AU" w:bidi="ar-SA"/>
        </w:rPr>
        <w:t xml:space="preserve"> on behalf of the government</w:t>
      </w:r>
      <w:r w:rsidRPr="00797CC2">
        <w:rPr>
          <w:lang w:val="en-AU" w:bidi="ar-SA"/>
        </w:rPr>
        <w:t>.</w:t>
      </w:r>
      <w:r w:rsidR="00431CF4" w:rsidRPr="00797CC2">
        <w:rPr>
          <w:lang w:val="en-AU" w:bidi="ar-SA"/>
        </w:rPr>
        <w:t xml:space="preserve"> </w:t>
      </w:r>
      <w:r w:rsidRPr="00797CC2">
        <w:rPr>
          <w:lang w:val="en-AU" w:bidi="ar-SA"/>
        </w:rPr>
        <w:t xml:space="preserve">  Public hospitals, and other public health services, including various clinics and community-based services, are owned and funded by DHBs.  </w:t>
      </w:r>
      <w:r w:rsidR="00431CF4" w:rsidRPr="00797CC2">
        <w:rPr>
          <w:lang w:val="en-AU" w:bidi="ar-SA"/>
        </w:rPr>
        <w:t xml:space="preserve">Individual providers (for example, doctors and nurses) working in a DHB’s facility are usually employed by that DHB. </w:t>
      </w:r>
    </w:p>
    <w:p w:rsidR="00431CF4" w:rsidRPr="00797CC2" w:rsidRDefault="00431CF4" w:rsidP="00D76820">
      <w:pPr>
        <w:rPr>
          <w:lang w:val="en-AU" w:bidi="ar-SA"/>
        </w:rPr>
      </w:pPr>
    </w:p>
    <w:p w:rsidR="00431CF4" w:rsidRPr="00797CC2" w:rsidRDefault="00431CF4">
      <w:pPr>
        <w:rPr>
          <w:b/>
          <w:iCs/>
          <w:sz w:val="32"/>
          <w:szCs w:val="32"/>
          <w:lang w:val="en-AU" w:bidi="ar-SA"/>
        </w:rPr>
      </w:pPr>
      <w:r w:rsidRPr="00797CC2">
        <w:rPr>
          <w:sz w:val="32"/>
          <w:szCs w:val="32"/>
        </w:rPr>
        <w:br w:type="page"/>
      </w:r>
    </w:p>
    <w:p w:rsidR="008C11A6" w:rsidRPr="00797CC2" w:rsidRDefault="008C11A6" w:rsidP="008C11A6">
      <w:pPr>
        <w:pStyle w:val="Heading2"/>
        <w:spacing w:before="360" w:after="240"/>
        <w:rPr>
          <w:sz w:val="36"/>
          <w:szCs w:val="36"/>
        </w:rPr>
      </w:pPr>
      <w:bookmarkStart w:id="4" w:name="_Toc404344423"/>
      <w:r w:rsidRPr="00797CC2">
        <w:rPr>
          <w:sz w:val="36"/>
          <w:szCs w:val="36"/>
        </w:rPr>
        <w:t>3.</w:t>
      </w:r>
      <w:r w:rsidRPr="00797CC2">
        <w:rPr>
          <w:sz w:val="36"/>
          <w:szCs w:val="36"/>
        </w:rPr>
        <w:tab/>
        <w:t>This Report</w:t>
      </w:r>
      <w:bookmarkEnd w:id="4"/>
    </w:p>
    <w:p w:rsidR="00D7595E" w:rsidRPr="00797CC2" w:rsidRDefault="00431CF4" w:rsidP="00E84233">
      <w:r w:rsidRPr="00797CC2">
        <w:t xml:space="preserve">This report describes the complaints </w:t>
      </w:r>
      <w:r w:rsidR="00CA45E1" w:rsidRPr="00797CC2">
        <w:t xml:space="preserve">HDC received and/or closed in relation to DHBs during the 2013/14 financial year.  </w:t>
      </w:r>
    </w:p>
    <w:p w:rsidR="00D7595E" w:rsidRPr="00797CC2" w:rsidRDefault="00D7595E" w:rsidP="00E84233"/>
    <w:p w:rsidR="00FE10E9" w:rsidRPr="00797CC2" w:rsidRDefault="00D7595E" w:rsidP="00E84233">
      <w:r w:rsidRPr="00797CC2">
        <w:t xml:space="preserve">Complaints about DHBs are of particular interest as DHBs are the largest organisational providers of health and disability services in this country.  </w:t>
      </w:r>
      <w:r w:rsidR="00FE10E9" w:rsidRPr="00797CC2">
        <w:t xml:space="preserve">Approximately one third of complaints received by HDC each year relate, at least in part, to DHB services.    </w:t>
      </w:r>
    </w:p>
    <w:p w:rsidR="00FE10E9" w:rsidRPr="00797CC2" w:rsidRDefault="00FE10E9" w:rsidP="00E84233"/>
    <w:p w:rsidR="00CA45E1" w:rsidRPr="00797CC2" w:rsidRDefault="00CA45E1" w:rsidP="00E84233">
      <w:r w:rsidRPr="00797CC2">
        <w:t>The complaints are described both in terms of overall numbers and characteristics, as well as by reference to case studies.</w:t>
      </w:r>
      <w:r w:rsidR="00FE10E9" w:rsidRPr="00797CC2">
        <w:t xml:space="preserve">  </w:t>
      </w:r>
      <w:r w:rsidRPr="00797CC2">
        <w:t xml:space="preserve">In terms of complaints received, the issues included in the analysis are as articulated by the complainant to HDC.  While not all issues raised in complaints are subsequently factually and/or clinically substantiated, </w:t>
      </w:r>
      <w:r w:rsidR="001303FA" w:rsidRPr="00797CC2">
        <w:t xml:space="preserve">those issues can still provide a valuable insight into the consumer’s experience of the services provided.  </w:t>
      </w:r>
      <w:r w:rsidR="00FE10E9" w:rsidRPr="00797CC2">
        <w:t xml:space="preserve">Case studies are included to encourage readers to consider their own service provision and to ask “could that happen at my place” and, if so, what changes can be made to prevent it.  </w:t>
      </w:r>
    </w:p>
    <w:p w:rsidR="001303FA" w:rsidRPr="00797CC2" w:rsidRDefault="001303FA" w:rsidP="00E84233"/>
    <w:p w:rsidR="001303FA" w:rsidRPr="00797CC2" w:rsidRDefault="001303FA" w:rsidP="00E84233">
      <w:r w:rsidRPr="00797CC2">
        <w:t>This report provides some analysis of changes that have occurred in DHB complaints over time, but this is limited by the ability to extract the relevant data from HDC’s complaints database.  We expect that, over time, as we continue to analyse the data to the degree of specificity demonstrated in this report, additional time series analysis will become possible.  We anticipate that this will be of significant additional usefulness.</w:t>
      </w:r>
    </w:p>
    <w:p w:rsidR="00431CF4" w:rsidRPr="00797CC2" w:rsidRDefault="00431CF4" w:rsidP="00E84233"/>
    <w:p w:rsidR="008C11A6" w:rsidRPr="00797CC2" w:rsidRDefault="008C11A6"/>
    <w:p w:rsidR="001303FA" w:rsidRPr="00797CC2" w:rsidRDefault="001303FA"/>
    <w:p w:rsidR="001303FA" w:rsidRPr="00797CC2" w:rsidRDefault="001303FA"/>
    <w:p w:rsidR="00C46EE1" w:rsidRPr="00797CC2" w:rsidRDefault="00C46EE1">
      <w:pPr>
        <w:rPr>
          <w:b/>
          <w:bCs/>
          <w:sz w:val="32"/>
          <w:lang w:bidi="ar-SA"/>
        </w:rPr>
      </w:pPr>
      <w:r w:rsidRPr="00797CC2">
        <w:br w:type="page"/>
      </w:r>
    </w:p>
    <w:bookmarkEnd w:id="1"/>
    <w:p w:rsidR="00D30C28" w:rsidRPr="00C219ED" w:rsidRDefault="00C219ED" w:rsidP="00E84233">
      <w:pPr>
        <w:pStyle w:val="Heading1"/>
        <w:rPr>
          <w:color w:val="C00000"/>
          <w:sz w:val="40"/>
          <w:szCs w:val="40"/>
        </w:rPr>
      </w:pPr>
      <w:r w:rsidRPr="00C219ED">
        <w:rPr>
          <w:color w:val="C00000"/>
          <w:sz w:val="40"/>
          <w:szCs w:val="40"/>
        </w:rPr>
        <w:t>COMPLAINTS RECEIVED</w:t>
      </w:r>
    </w:p>
    <w:p w:rsidR="003B4ED9" w:rsidRPr="00797CC2" w:rsidRDefault="003B4ED9" w:rsidP="003B4ED9">
      <w:pPr>
        <w:pStyle w:val="Heading2"/>
        <w:spacing w:before="360" w:after="240"/>
        <w:rPr>
          <w:sz w:val="36"/>
          <w:szCs w:val="36"/>
        </w:rPr>
      </w:pPr>
      <w:bookmarkStart w:id="5" w:name="_Toc404344425"/>
      <w:bookmarkStart w:id="6" w:name="_Toc398125955"/>
      <w:r w:rsidRPr="00797CC2">
        <w:rPr>
          <w:sz w:val="36"/>
          <w:szCs w:val="36"/>
        </w:rPr>
        <w:t>1.</w:t>
      </w:r>
      <w:r w:rsidRPr="00797CC2">
        <w:rPr>
          <w:sz w:val="36"/>
          <w:szCs w:val="36"/>
        </w:rPr>
        <w:tab/>
      </w:r>
      <w:r w:rsidR="00D3697C" w:rsidRPr="00797CC2">
        <w:rPr>
          <w:sz w:val="36"/>
          <w:szCs w:val="36"/>
        </w:rPr>
        <w:t>How many complaints were received?</w:t>
      </w:r>
      <w:bookmarkEnd w:id="5"/>
      <w:r w:rsidRPr="00797CC2">
        <w:rPr>
          <w:sz w:val="36"/>
          <w:szCs w:val="36"/>
        </w:rPr>
        <w:t xml:space="preserve"> </w:t>
      </w:r>
    </w:p>
    <w:p w:rsidR="009C4AB8" w:rsidRPr="00797CC2" w:rsidRDefault="009C4AB8" w:rsidP="00291ADA">
      <w:pPr>
        <w:pStyle w:val="Heading3"/>
        <w:rPr>
          <w:b/>
          <w:i w:val="0"/>
          <w:sz w:val="28"/>
          <w:szCs w:val="28"/>
        </w:rPr>
      </w:pPr>
      <w:bookmarkStart w:id="7" w:name="_Toc404344426"/>
      <w:bookmarkEnd w:id="6"/>
      <w:r w:rsidRPr="00797CC2">
        <w:rPr>
          <w:b/>
          <w:i w:val="0"/>
          <w:sz w:val="28"/>
          <w:szCs w:val="28"/>
        </w:rPr>
        <w:t>1.1</w:t>
      </w:r>
      <w:r w:rsidRPr="00797CC2">
        <w:rPr>
          <w:b/>
          <w:i w:val="0"/>
          <w:sz w:val="28"/>
          <w:szCs w:val="28"/>
        </w:rPr>
        <w:tab/>
      </w:r>
      <w:r w:rsidR="004545F8" w:rsidRPr="00797CC2">
        <w:rPr>
          <w:b/>
          <w:i w:val="0"/>
          <w:sz w:val="28"/>
          <w:szCs w:val="28"/>
        </w:rPr>
        <w:t>Number of complaints received</w:t>
      </w:r>
      <w:bookmarkEnd w:id="7"/>
    </w:p>
    <w:p w:rsidR="009C4AB8" w:rsidRPr="00797CC2" w:rsidRDefault="009C4AB8" w:rsidP="00527BF5">
      <w:pPr>
        <w:rPr>
          <w:b/>
        </w:rPr>
      </w:pPr>
    </w:p>
    <w:p w:rsidR="009C4AB8" w:rsidRPr="00797CC2" w:rsidRDefault="00B33BA4" w:rsidP="00527BF5">
      <w:r w:rsidRPr="00797CC2">
        <w:t>In 2013/</w:t>
      </w:r>
      <w:r w:rsidR="00597D37" w:rsidRPr="00797CC2">
        <w:t>14</w:t>
      </w:r>
      <w:r w:rsidR="001726F0" w:rsidRPr="00797CC2">
        <w:t xml:space="preserve">, HDC received a total of </w:t>
      </w:r>
      <w:r w:rsidR="00597D37" w:rsidRPr="00797CC2">
        <w:rPr>
          <w:b/>
        </w:rPr>
        <w:t>66</w:t>
      </w:r>
      <w:r w:rsidR="0017517F" w:rsidRPr="00797CC2">
        <w:rPr>
          <w:b/>
        </w:rPr>
        <w:t>0</w:t>
      </w:r>
      <w:r w:rsidR="001726F0" w:rsidRPr="00797CC2">
        <w:t xml:space="preserve"> complaints about care provided by all District Health Boards.</w:t>
      </w:r>
      <w:r w:rsidR="00FE10E9" w:rsidRPr="00797CC2">
        <w:t xml:space="preserve">  This equates to 37% of the total 1,784 complaints received by HDC that year.</w:t>
      </w:r>
      <w:r w:rsidR="001726F0" w:rsidRPr="00797CC2">
        <w:t xml:space="preserve"> </w:t>
      </w:r>
    </w:p>
    <w:p w:rsidR="009C4AB8" w:rsidRPr="00797CC2" w:rsidRDefault="009C4AB8" w:rsidP="009C4AB8"/>
    <w:p w:rsidR="009C4AB8" w:rsidRPr="00797CC2" w:rsidRDefault="009C4AB8" w:rsidP="009C4AB8">
      <w:r w:rsidRPr="00797CC2">
        <w:t>The 660 complaints received in the 2013/14 year represents an increase of 7% compared to the 616 complaints received in 2012/13.  As can be seen from Figure 1 below, DHB complaint numbers have been steadily increasing over the last five years.  Analysis shows that this increase is statistically significant.</w:t>
      </w:r>
      <w:r w:rsidRPr="00797CC2">
        <w:rPr>
          <w:rStyle w:val="FootnoteReference"/>
          <w:rFonts w:ascii="Calibri" w:hAnsi="Calibri"/>
          <w:szCs w:val="22"/>
        </w:rPr>
        <w:footnoteReference w:id="1"/>
      </w:r>
      <w:r w:rsidRPr="00797CC2">
        <w:t xml:space="preserve"> </w:t>
      </w:r>
    </w:p>
    <w:p w:rsidR="009C4AB8" w:rsidRPr="00797CC2" w:rsidRDefault="009C4AB8" w:rsidP="00E84233">
      <w:pPr>
        <w:spacing w:after="120"/>
        <w:rPr>
          <w:b/>
        </w:rPr>
      </w:pPr>
    </w:p>
    <w:p w:rsidR="00E10BE7" w:rsidRPr="00797CC2" w:rsidRDefault="005F530F" w:rsidP="00E84233">
      <w:pPr>
        <w:spacing w:after="120"/>
        <w:rPr>
          <w:b/>
        </w:rPr>
      </w:pPr>
      <w:r w:rsidRPr="00797CC2">
        <w:rPr>
          <w:b/>
        </w:rPr>
        <w:t xml:space="preserve">Figure 1. </w:t>
      </w:r>
      <w:r w:rsidRPr="00797CC2">
        <w:t>Number</w:t>
      </w:r>
      <w:r w:rsidR="00E10BE7" w:rsidRPr="00797CC2">
        <w:t xml:space="preserve"> of complaints received</w:t>
      </w:r>
      <w:r w:rsidR="004C794C" w:rsidRPr="00797CC2">
        <w:t xml:space="preserve"> about DHBs</w:t>
      </w:r>
    </w:p>
    <w:p w:rsidR="00E10BE7" w:rsidRPr="00797CC2" w:rsidRDefault="00597D37" w:rsidP="00E84233">
      <w:pPr>
        <w:rPr>
          <w:rFonts w:ascii="Calibri" w:hAnsi="Calibri"/>
          <w:szCs w:val="22"/>
        </w:rPr>
      </w:pPr>
      <w:r w:rsidRPr="00797CC2">
        <w:rPr>
          <w:noProof/>
          <w:lang w:eastAsia="en-NZ" w:bidi="ar-SA"/>
        </w:rPr>
        <w:drawing>
          <wp:inline distT="0" distB="0" distL="0" distR="0" wp14:anchorId="72FB68A3" wp14:editId="31EA21B6">
            <wp:extent cx="5852160" cy="3100647"/>
            <wp:effectExtent l="0" t="0" r="1524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545F8" w:rsidRPr="00797CC2" w:rsidRDefault="004545F8" w:rsidP="004545F8">
      <w:bookmarkStart w:id="8" w:name="_Toc398125956"/>
    </w:p>
    <w:p w:rsidR="004545F8" w:rsidRPr="00797CC2" w:rsidRDefault="004545F8" w:rsidP="004545F8">
      <w:r w:rsidRPr="00797CC2">
        <w:t>The number of complaints received about individual DHBs ranged from 5 complaints to 99 complaints.  Large variability in complaint numbers is not unexpected given the similar variability in the size of populations served and number of services delivered by different DHBs.</w:t>
      </w:r>
    </w:p>
    <w:p w:rsidR="009C4AB8" w:rsidRPr="00797CC2" w:rsidRDefault="009C4AB8" w:rsidP="00291ADA"/>
    <w:p w:rsidR="005D4251" w:rsidRPr="00797CC2" w:rsidRDefault="005D4251">
      <w:pPr>
        <w:rPr>
          <w:rFonts w:cs="Arial"/>
          <w:b/>
          <w:bCs/>
          <w:szCs w:val="26"/>
        </w:rPr>
      </w:pPr>
      <w:r w:rsidRPr="00797CC2">
        <w:rPr>
          <w:b/>
          <w:i/>
        </w:rPr>
        <w:br w:type="page"/>
      </w:r>
    </w:p>
    <w:p w:rsidR="00DA66DC" w:rsidRPr="00797CC2" w:rsidRDefault="006F5063" w:rsidP="004545F8">
      <w:pPr>
        <w:pStyle w:val="Heading3"/>
        <w:spacing w:before="120" w:after="120"/>
        <w:rPr>
          <w:b/>
          <w:i w:val="0"/>
          <w:sz w:val="28"/>
          <w:szCs w:val="28"/>
        </w:rPr>
      </w:pPr>
      <w:bookmarkStart w:id="9" w:name="_Toc404344427"/>
      <w:r w:rsidRPr="00797CC2">
        <w:rPr>
          <w:b/>
          <w:i w:val="0"/>
          <w:sz w:val="28"/>
          <w:szCs w:val="28"/>
        </w:rPr>
        <w:t>1.2</w:t>
      </w:r>
      <w:r w:rsidRPr="00797CC2">
        <w:rPr>
          <w:b/>
          <w:i w:val="0"/>
          <w:sz w:val="28"/>
          <w:szCs w:val="28"/>
        </w:rPr>
        <w:tab/>
      </w:r>
      <w:bookmarkEnd w:id="8"/>
      <w:r w:rsidR="007338AA" w:rsidRPr="00797CC2">
        <w:rPr>
          <w:b/>
          <w:i w:val="0"/>
          <w:sz w:val="28"/>
          <w:szCs w:val="28"/>
        </w:rPr>
        <w:t xml:space="preserve"> </w:t>
      </w:r>
      <w:r w:rsidR="004545F8" w:rsidRPr="00797CC2">
        <w:rPr>
          <w:b/>
          <w:i w:val="0"/>
          <w:sz w:val="28"/>
          <w:szCs w:val="28"/>
        </w:rPr>
        <w:t>Rate of complaints received</w:t>
      </w:r>
      <w:bookmarkEnd w:id="9"/>
      <w:r w:rsidR="004545F8" w:rsidRPr="00797CC2">
        <w:rPr>
          <w:b/>
          <w:i w:val="0"/>
          <w:sz w:val="28"/>
          <w:szCs w:val="28"/>
        </w:rPr>
        <w:t xml:space="preserve"> </w:t>
      </w:r>
    </w:p>
    <w:p w:rsidR="004C794C" w:rsidRPr="00797CC2" w:rsidRDefault="004C794C" w:rsidP="00DA66DC"/>
    <w:p w:rsidR="004545F8" w:rsidRPr="00797CC2" w:rsidRDefault="004545F8" w:rsidP="00DA66DC">
      <w:r w:rsidRPr="00797CC2">
        <w:t>Expressing complaints to HDC as a rate per 100,000 discharges allows more</w:t>
      </w:r>
      <w:r w:rsidR="00D53200" w:rsidRPr="00797CC2">
        <w:t xml:space="preserve"> meaningful</w:t>
      </w:r>
      <w:r w:rsidRPr="00797CC2">
        <w:t xml:space="preserve"> comparisons to be drawn between DHBs, and over time</w:t>
      </w:r>
      <w:r w:rsidR="00D53200" w:rsidRPr="00797CC2">
        <w:t>, and enables any trends to be better observed.</w:t>
      </w:r>
    </w:p>
    <w:p w:rsidR="004B06D6" w:rsidRPr="00797CC2" w:rsidRDefault="004B06D6" w:rsidP="00E84233"/>
    <w:p w:rsidR="00CF64E3" w:rsidRPr="00797CC2" w:rsidRDefault="00D53200" w:rsidP="00E84233">
      <w:r w:rsidRPr="00797CC2">
        <w:t>In the 2013/14 year, according to Ministry of Health data,</w:t>
      </w:r>
      <w:r w:rsidRPr="00797CC2">
        <w:rPr>
          <w:rStyle w:val="FootnoteReference"/>
        </w:rPr>
        <w:footnoteReference w:id="2"/>
      </w:r>
      <w:r w:rsidRPr="00797CC2">
        <w:t xml:space="preserve"> there were 915,631 discharges nationally.  This </w:t>
      </w:r>
      <w:r w:rsidR="007B4263" w:rsidRPr="00797CC2">
        <w:t>equates to</w:t>
      </w:r>
      <w:r w:rsidRPr="00797CC2">
        <w:t xml:space="preserve"> an overall rate of 72 complaints per 100,000 discharges across DHB services.  This compares to an overall rate of 67 complaints per 100,000 discharges during 2012/13; an increase of 7%</w:t>
      </w:r>
      <w:r w:rsidR="00CF64E3" w:rsidRPr="00797CC2">
        <w:t>.  As shown in Figure 2, the complaint rate per 100,000 discharges has increased steadily over the last five years.  As for complaint numbers, analysis shows that this increase is statistically significant.</w:t>
      </w:r>
      <w:r w:rsidR="00446D79" w:rsidRPr="00797CC2">
        <w:rPr>
          <w:rStyle w:val="FootnoteReference"/>
          <w:rFonts w:ascii="Calibri" w:hAnsi="Calibri"/>
          <w:szCs w:val="22"/>
        </w:rPr>
        <w:footnoteReference w:id="3"/>
      </w:r>
    </w:p>
    <w:p w:rsidR="00D3697C" w:rsidRPr="00797CC2" w:rsidRDefault="00D3697C" w:rsidP="00E84233"/>
    <w:p w:rsidR="00446D79" w:rsidRPr="00797CC2" w:rsidRDefault="008C5683" w:rsidP="00CF64E3">
      <w:pPr>
        <w:rPr>
          <w:rFonts w:ascii="Calibri" w:hAnsi="Calibri"/>
          <w:szCs w:val="22"/>
        </w:rPr>
      </w:pPr>
      <w:r w:rsidRPr="00797CC2">
        <w:t xml:space="preserve"> </w:t>
      </w:r>
      <w:r w:rsidR="003B0C62" w:rsidRPr="00797CC2">
        <w:t xml:space="preserve"> </w:t>
      </w:r>
      <w:r w:rsidR="00446D79" w:rsidRPr="00797CC2">
        <w:rPr>
          <w:rFonts w:ascii="Calibri" w:hAnsi="Calibri"/>
          <w:b/>
          <w:szCs w:val="22"/>
        </w:rPr>
        <w:t xml:space="preserve">Figure 2. </w:t>
      </w:r>
      <w:r w:rsidR="00446D79" w:rsidRPr="00797CC2">
        <w:rPr>
          <w:rFonts w:ascii="Calibri" w:hAnsi="Calibri"/>
          <w:szCs w:val="22"/>
        </w:rPr>
        <w:t>Rate of complaints received</w:t>
      </w:r>
      <w:r w:rsidR="003B0C62" w:rsidRPr="00797CC2">
        <w:rPr>
          <w:rFonts w:ascii="Calibri" w:hAnsi="Calibri"/>
          <w:szCs w:val="22"/>
        </w:rPr>
        <w:t xml:space="preserve"> </w:t>
      </w:r>
      <w:r w:rsidR="004C794C" w:rsidRPr="00797CC2">
        <w:rPr>
          <w:rFonts w:ascii="Calibri" w:hAnsi="Calibri"/>
          <w:szCs w:val="22"/>
        </w:rPr>
        <w:t xml:space="preserve">about DHBs </w:t>
      </w:r>
      <w:r w:rsidR="003B0C62" w:rsidRPr="00797CC2">
        <w:rPr>
          <w:rFonts w:ascii="Calibri" w:hAnsi="Calibri"/>
          <w:szCs w:val="22"/>
        </w:rPr>
        <w:t>per 100,000</w:t>
      </w:r>
      <w:r w:rsidR="004B06D6" w:rsidRPr="00797CC2">
        <w:rPr>
          <w:rFonts w:ascii="Calibri" w:hAnsi="Calibri"/>
          <w:szCs w:val="22"/>
        </w:rPr>
        <w:t xml:space="preserve"> discharges</w:t>
      </w:r>
    </w:p>
    <w:p w:rsidR="004C794C" w:rsidRPr="00797CC2" w:rsidRDefault="004C794C" w:rsidP="00CF64E3">
      <w:pPr>
        <w:rPr>
          <w:rFonts w:ascii="Calibri" w:hAnsi="Calibri"/>
          <w:b/>
          <w:szCs w:val="22"/>
        </w:rPr>
      </w:pPr>
    </w:p>
    <w:p w:rsidR="00446D79" w:rsidRPr="00797CC2" w:rsidRDefault="00446D79" w:rsidP="00E84233">
      <w:pPr>
        <w:rPr>
          <w:rFonts w:ascii="Calibri" w:hAnsi="Calibri"/>
          <w:szCs w:val="22"/>
        </w:rPr>
      </w:pPr>
      <w:r w:rsidRPr="00797CC2">
        <w:rPr>
          <w:noProof/>
          <w:lang w:eastAsia="en-NZ" w:bidi="ar-SA"/>
        </w:rPr>
        <w:drawing>
          <wp:inline distT="0" distB="0" distL="0" distR="0" wp14:anchorId="7E1C1D8D" wp14:editId="17A6B3A5">
            <wp:extent cx="5685906" cy="2959330"/>
            <wp:effectExtent l="0" t="0" r="1016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84233" w:rsidRPr="00797CC2" w:rsidRDefault="00E84233" w:rsidP="00E84233"/>
    <w:p w:rsidR="00CF64E3" w:rsidRPr="00797CC2" w:rsidRDefault="00CF64E3" w:rsidP="00E84233"/>
    <w:p w:rsidR="00CF64E3" w:rsidRPr="00797CC2" w:rsidRDefault="003B0C62" w:rsidP="00E84233">
      <w:r w:rsidRPr="00797CC2">
        <w:t>F</w:t>
      </w:r>
      <w:r w:rsidR="00312A60" w:rsidRPr="00797CC2">
        <w:t>or individual DHBs, the rate of compl</w:t>
      </w:r>
      <w:r w:rsidR="00CF64E3" w:rsidRPr="00797CC2">
        <w:t>aints received ranged from 32</w:t>
      </w:r>
      <w:r w:rsidR="00312A60" w:rsidRPr="00797CC2">
        <w:t xml:space="preserve"> complaints per 100,000 discharges to </w:t>
      </w:r>
      <w:r w:rsidR="00DD1A2B" w:rsidRPr="00797CC2">
        <w:t>159</w:t>
      </w:r>
      <w:r w:rsidR="00312A60" w:rsidRPr="00797CC2">
        <w:t xml:space="preserve"> complaints per 100,000 discharges</w:t>
      </w:r>
      <w:r w:rsidR="00CF64E3" w:rsidRPr="00797CC2">
        <w:t xml:space="preserve">.  </w:t>
      </w:r>
    </w:p>
    <w:p w:rsidR="00CF64E3" w:rsidRPr="00797CC2" w:rsidRDefault="00CF64E3" w:rsidP="00E84233"/>
    <w:p w:rsidR="004C794C" w:rsidRPr="00797CC2" w:rsidRDefault="00CF64E3" w:rsidP="00E84233">
      <w:r w:rsidRPr="00797CC2">
        <w:t xml:space="preserve">However, while discharge data is useful for standardising DHB activity over time, it is less accurate when comparing DHBs against </w:t>
      </w:r>
      <w:r w:rsidR="00291ADA" w:rsidRPr="00797CC2">
        <w:t>one another</w:t>
      </w:r>
      <w:r w:rsidRPr="00797CC2">
        <w:t xml:space="preserve">.  </w:t>
      </w:r>
      <w:r w:rsidR="007B4263" w:rsidRPr="00797CC2">
        <w:t>This is because some services are excluded from the discharge data collected,</w:t>
      </w:r>
      <w:r w:rsidR="007B4263" w:rsidRPr="00797CC2">
        <w:rPr>
          <w:rStyle w:val="FootnoteReference"/>
        </w:rPr>
        <w:footnoteReference w:id="4"/>
      </w:r>
      <w:r w:rsidR="007B4263" w:rsidRPr="00797CC2">
        <w:rPr>
          <w:rStyle w:val="FootnoteReference"/>
        </w:rPr>
        <w:t xml:space="preserve"> </w:t>
      </w:r>
      <w:r w:rsidR="007B4263" w:rsidRPr="00797CC2">
        <w:t xml:space="preserve">disproportionately affecting some DHBs more than others.  </w:t>
      </w:r>
      <w:r w:rsidRPr="00797CC2">
        <w:t xml:space="preserve">In addition, discharge data does not take into account the particular services provided by a DHB or the nature of the population and geographical area served. </w:t>
      </w:r>
      <w:r w:rsidRPr="00797CC2">
        <w:rPr>
          <w:rStyle w:val="FootnoteReference"/>
        </w:rPr>
        <w:t xml:space="preserve"> </w:t>
      </w:r>
      <w:bookmarkStart w:id="10" w:name="_Toc398125957"/>
    </w:p>
    <w:p w:rsidR="004C794C" w:rsidRPr="00797CC2" w:rsidRDefault="004C794C">
      <w:r w:rsidRPr="00797CC2">
        <w:br w:type="page"/>
      </w:r>
    </w:p>
    <w:p w:rsidR="00040FEF" w:rsidRPr="00797CC2" w:rsidRDefault="00040FEF" w:rsidP="00E84233"/>
    <w:p w:rsidR="00687E4D" w:rsidRPr="00797CC2" w:rsidRDefault="00687E4D" w:rsidP="00E84233"/>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687E4D" w:rsidRPr="00797CC2" w:rsidTr="00C219ED">
        <w:tc>
          <w:tcPr>
            <w:tcW w:w="9298" w:type="dxa"/>
          </w:tcPr>
          <w:p w:rsidR="00C219ED" w:rsidRDefault="00C219ED" w:rsidP="00C219ED">
            <w:pPr>
              <w:tabs>
                <w:tab w:val="left" w:pos="1440"/>
                <w:tab w:val="left" w:pos="2610"/>
              </w:tabs>
              <w:jc w:val="center"/>
              <w:outlineLvl w:val="0"/>
              <w:rPr>
                <w:rFonts w:ascii="Calibri" w:hAnsi="Calibri"/>
                <w:b/>
                <w:sz w:val="28"/>
                <w:szCs w:val="28"/>
              </w:rPr>
            </w:pPr>
          </w:p>
          <w:p w:rsidR="00687E4D" w:rsidRPr="00797CC2" w:rsidRDefault="00687E4D" w:rsidP="00C219ED">
            <w:pPr>
              <w:tabs>
                <w:tab w:val="left" w:pos="1440"/>
                <w:tab w:val="left" w:pos="2610"/>
              </w:tabs>
              <w:jc w:val="center"/>
              <w:outlineLvl w:val="0"/>
              <w:rPr>
                <w:rFonts w:ascii="Calibri" w:hAnsi="Calibri"/>
                <w:b/>
                <w:sz w:val="28"/>
                <w:szCs w:val="28"/>
              </w:rPr>
            </w:pPr>
            <w:r w:rsidRPr="00797CC2">
              <w:rPr>
                <w:rFonts w:ascii="Calibri" w:hAnsi="Calibri"/>
                <w:b/>
                <w:sz w:val="28"/>
                <w:szCs w:val="28"/>
              </w:rPr>
              <w:t xml:space="preserve">Why are </w:t>
            </w:r>
            <w:r w:rsidR="00DA07F6" w:rsidRPr="00797CC2">
              <w:rPr>
                <w:rFonts w:ascii="Calibri" w:hAnsi="Calibri"/>
                <w:b/>
                <w:sz w:val="28"/>
                <w:szCs w:val="28"/>
              </w:rPr>
              <w:t>complaint numbers</w:t>
            </w:r>
            <w:r w:rsidRPr="00797CC2">
              <w:rPr>
                <w:rFonts w:ascii="Calibri" w:hAnsi="Calibri"/>
                <w:b/>
                <w:sz w:val="28"/>
                <w:szCs w:val="28"/>
              </w:rPr>
              <w:t xml:space="preserve"> increasing?</w:t>
            </w:r>
          </w:p>
          <w:p w:rsidR="00DF2DB3" w:rsidRPr="00797CC2" w:rsidRDefault="004F0D0C" w:rsidP="00DF2DB3">
            <w:pPr>
              <w:tabs>
                <w:tab w:val="left" w:pos="1440"/>
                <w:tab w:val="left" w:pos="2610"/>
              </w:tabs>
              <w:spacing w:after="240"/>
              <w:outlineLvl w:val="0"/>
              <w:rPr>
                <w:lang w:val="en-US"/>
              </w:rPr>
            </w:pPr>
            <w:r w:rsidRPr="00797CC2">
              <w:rPr>
                <w:lang w:val="en-US"/>
              </w:rPr>
              <w:t xml:space="preserve">The increasing number of complaints </w:t>
            </w:r>
            <w:r w:rsidR="00DF2DB3" w:rsidRPr="00797CC2">
              <w:rPr>
                <w:lang w:val="en-US"/>
              </w:rPr>
              <w:t>being received by HDC about DHBs is</w:t>
            </w:r>
            <w:r w:rsidRPr="00797CC2">
              <w:rPr>
                <w:lang w:val="en-US"/>
              </w:rPr>
              <w:t xml:space="preserve"> reflective of an overall trend of sustained grow</w:t>
            </w:r>
            <w:r w:rsidR="00CF64E3" w:rsidRPr="00797CC2">
              <w:rPr>
                <w:lang w:val="en-US"/>
              </w:rPr>
              <w:t>th in complaint numbers to HDC.</w:t>
            </w:r>
            <w:r w:rsidR="00DF2DB3" w:rsidRPr="00797CC2">
              <w:rPr>
                <w:lang w:val="en-US"/>
              </w:rPr>
              <w:t xml:space="preserve">  Over the last four years, the number of complaints to HDC has increased by 27%.</w:t>
            </w:r>
            <w:r w:rsidR="00CF64E3" w:rsidRPr="00797CC2">
              <w:rPr>
                <w:lang w:val="en-US"/>
              </w:rPr>
              <w:t xml:space="preserve">  </w:t>
            </w:r>
          </w:p>
          <w:p w:rsidR="00DF2DB3" w:rsidRPr="00797CC2" w:rsidRDefault="00CF64E3" w:rsidP="00DF2DB3">
            <w:pPr>
              <w:tabs>
                <w:tab w:val="left" w:pos="1440"/>
                <w:tab w:val="left" w:pos="2610"/>
              </w:tabs>
              <w:spacing w:after="240"/>
              <w:outlineLvl w:val="0"/>
              <w:rPr>
                <w:lang w:val="en-US"/>
              </w:rPr>
            </w:pPr>
            <w:r w:rsidRPr="00797CC2">
              <w:rPr>
                <w:lang w:val="en-US"/>
              </w:rPr>
              <w:t>This increase must be interpreted with caution.  HDC has no evidence to suggest that the</w:t>
            </w:r>
            <w:r w:rsidR="004F0D0C" w:rsidRPr="00797CC2">
              <w:rPr>
                <w:lang w:val="en-US"/>
              </w:rPr>
              <w:t xml:space="preserve"> increase in complaints </w:t>
            </w:r>
            <w:r w:rsidR="00DF2DB3" w:rsidRPr="00797CC2">
              <w:rPr>
                <w:lang w:val="en-US"/>
              </w:rPr>
              <w:t xml:space="preserve">relates to </w:t>
            </w:r>
            <w:r w:rsidR="004F0D0C" w:rsidRPr="00797CC2">
              <w:rPr>
                <w:lang w:val="en-US"/>
              </w:rPr>
              <w:t>a decrease in</w:t>
            </w:r>
            <w:r w:rsidR="00DF2DB3" w:rsidRPr="00797CC2">
              <w:rPr>
                <w:lang w:val="en-US"/>
              </w:rPr>
              <w:t xml:space="preserve"> the quality of servi</w:t>
            </w:r>
            <w:r w:rsidR="00064B7B" w:rsidRPr="00797CC2">
              <w:rPr>
                <w:lang w:val="en-US"/>
              </w:rPr>
              <w:t xml:space="preserve">ces, </w:t>
            </w:r>
            <w:r w:rsidR="00DF2DB3" w:rsidRPr="00797CC2">
              <w:rPr>
                <w:lang w:val="en-US"/>
              </w:rPr>
              <w:t xml:space="preserve">by providers generally, or by DHBs in particular. </w:t>
            </w:r>
            <w:r w:rsidR="004F0D0C" w:rsidRPr="00797CC2">
              <w:rPr>
                <w:lang w:val="en-US"/>
              </w:rPr>
              <w:t xml:space="preserve"> </w:t>
            </w:r>
          </w:p>
          <w:p w:rsidR="00DF2DB3" w:rsidRPr="00797CC2" w:rsidRDefault="00DF2DB3" w:rsidP="00DF2DB3">
            <w:pPr>
              <w:tabs>
                <w:tab w:val="left" w:pos="1440"/>
                <w:tab w:val="left" w:pos="2610"/>
              </w:tabs>
              <w:spacing w:after="240"/>
              <w:outlineLvl w:val="0"/>
              <w:rPr>
                <w:lang w:val="en-US"/>
              </w:rPr>
            </w:pPr>
            <w:r w:rsidRPr="00797CC2">
              <w:rPr>
                <w:lang w:val="en-US"/>
              </w:rPr>
              <w:t>T</w:t>
            </w:r>
            <w:r w:rsidR="004F0D0C" w:rsidRPr="00797CC2">
              <w:rPr>
                <w:lang w:val="en-US"/>
              </w:rPr>
              <w:t>he growth</w:t>
            </w:r>
            <w:r w:rsidR="00DF0E0B" w:rsidRPr="00797CC2">
              <w:rPr>
                <w:lang w:val="en-US"/>
              </w:rPr>
              <w:t xml:space="preserve"> </w:t>
            </w:r>
            <w:r w:rsidRPr="00797CC2">
              <w:rPr>
                <w:lang w:val="en-US"/>
              </w:rPr>
              <w:t xml:space="preserve">in complaint numbers </w:t>
            </w:r>
            <w:r w:rsidR="00DF0E0B" w:rsidRPr="00797CC2">
              <w:rPr>
                <w:lang w:val="en-US"/>
              </w:rPr>
              <w:t xml:space="preserve">is more likely to </w:t>
            </w:r>
            <w:r w:rsidRPr="00797CC2">
              <w:rPr>
                <w:lang w:val="en-US"/>
              </w:rPr>
              <w:t>be due to</w:t>
            </w:r>
            <w:r w:rsidR="00DF0E0B" w:rsidRPr="00797CC2">
              <w:rPr>
                <w:lang w:val="en-US"/>
              </w:rPr>
              <w:t xml:space="preserve"> </w:t>
            </w:r>
            <w:r w:rsidR="004F0D0C" w:rsidRPr="00797CC2">
              <w:rPr>
                <w:lang w:val="en-US"/>
              </w:rPr>
              <w:t>the increasing profile of HDC, the improved accessibility of complaints processes</w:t>
            </w:r>
            <w:r w:rsidRPr="00797CC2">
              <w:rPr>
                <w:lang w:val="en-US"/>
              </w:rPr>
              <w:t xml:space="preserve"> due to </w:t>
            </w:r>
            <w:r w:rsidR="007B4263" w:rsidRPr="00797CC2">
              <w:rPr>
                <w:lang w:val="en-US"/>
              </w:rPr>
              <w:t>advancing technology</w:t>
            </w:r>
            <w:r w:rsidRPr="00797CC2">
              <w:rPr>
                <w:lang w:val="en-US"/>
              </w:rPr>
              <w:t>,</w:t>
            </w:r>
            <w:r w:rsidR="004F0D0C" w:rsidRPr="00797CC2">
              <w:rPr>
                <w:lang w:val="en-US"/>
              </w:rPr>
              <w:t xml:space="preserve"> and an increasing knowledge among the public of consumer rights. </w:t>
            </w:r>
            <w:r w:rsidRPr="00797CC2">
              <w:rPr>
                <w:lang w:val="en-US"/>
              </w:rPr>
              <w:t xml:space="preserve"> It may also reflect an increased willingness among consumers to complain about services received.  </w:t>
            </w:r>
          </w:p>
          <w:p w:rsidR="00C219ED" w:rsidRPr="00797CC2" w:rsidRDefault="00DF2DB3" w:rsidP="00DF2DB3">
            <w:pPr>
              <w:tabs>
                <w:tab w:val="left" w:pos="1440"/>
                <w:tab w:val="left" w:pos="2610"/>
              </w:tabs>
              <w:spacing w:after="240"/>
              <w:outlineLvl w:val="0"/>
              <w:rPr>
                <w:lang w:val="en-US"/>
              </w:rPr>
            </w:pPr>
            <w:r w:rsidRPr="00797CC2">
              <w:rPr>
                <w:lang w:val="en-US"/>
              </w:rPr>
              <w:t>HDC’s increasing complaint load is not unique, but is consistent with a trend being observed in complaints agencies both around New Zealand and internationally.</w:t>
            </w:r>
          </w:p>
        </w:tc>
      </w:tr>
    </w:tbl>
    <w:p w:rsidR="00D30C28" w:rsidRPr="00797CC2" w:rsidRDefault="00687E4D" w:rsidP="00D3697C">
      <w:pPr>
        <w:pStyle w:val="Heading2"/>
        <w:spacing w:before="360" w:after="240"/>
        <w:rPr>
          <w:sz w:val="36"/>
          <w:szCs w:val="36"/>
        </w:rPr>
      </w:pPr>
      <w:r w:rsidRPr="00797CC2">
        <w:rPr>
          <w:rFonts w:ascii="Calibri" w:hAnsi="Calibri"/>
          <w:szCs w:val="22"/>
        </w:rPr>
        <w:br w:type="page"/>
      </w:r>
      <w:bookmarkStart w:id="11" w:name="_Toc404344428"/>
      <w:r w:rsidR="00D3697C" w:rsidRPr="00797CC2">
        <w:rPr>
          <w:sz w:val="36"/>
          <w:szCs w:val="36"/>
        </w:rPr>
        <w:t>2.</w:t>
      </w:r>
      <w:r w:rsidR="00D3697C" w:rsidRPr="00797CC2">
        <w:rPr>
          <w:sz w:val="36"/>
          <w:szCs w:val="36"/>
        </w:rPr>
        <w:tab/>
        <w:t>Which DHB services were complained about?</w:t>
      </w:r>
      <w:bookmarkEnd w:id="10"/>
      <w:bookmarkEnd w:id="11"/>
      <w:r w:rsidR="00D30C28" w:rsidRPr="00797CC2">
        <w:rPr>
          <w:sz w:val="36"/>
          <w:szCs w:val="36"/>
        </w:rPr>
        <w:t xml:space="preserve"> </w:t>
      </w:r>
    </w:p>
    <w:p w:rsidR="001726F0" w:rsidRPr="00797CC2" w:rsidRDefault="00A03F0B" w:rsidP="004B06D6">
      <w:pPr>
        <w:pStyle w:val="Heading3"/>
        <w:spacing w:after="120"/>
        <w:rPr>
          <w:b/>
          <w:i w:val="0"/>
          <w:sz w:val="28"/>
          <w:szCs w:val="28"/>
        </w:rPr>
      </w:pPr>
      <w:bookmarkStart w:id="12" w:name="_Toc398125958"/>
      <w:bookmarkStart w:id="13" w:name="_Toc404344429"/>
      <w:r w:rsidRPr="00797CC2">
        <w:rPr>
          <w:b/>
          <w:i w:val="0"/>
          <w:sz w:val="28"/>
          <w:szCs w:val="28"/>
        </w:rPr>
        <w:t>2.1</w:t>
      </w:r>
      <w:r w:rsidR="004C794C" w:rsidRPr="00797CC2">
        <w:rPr>
          <w:b/>
          <w:i w:val="0"/>
          <w:sz w:val="28"/>
          <w:szCs w:val="28"/>
        </w:rPr>
        <w:tab/>
      </w:r>
      <w:r w:rsidR="004C794C" w:rsidRPr="00797CC2">
        <w:rPr>
          <w:b/>
          <w:i w:val="0"/>
          <w:sz w:val="28"/>
          <w:szCs w:val="28"/>
        </w:rPr>
        <w:tab/>
        <w:t>DHB s</w:t>
      </w:r>
      <w:r w:rsidR="001726F0" w:rsidRPr="00797CC2">
        <w:rPr>
          <w:b/>
          <w:i w:val="0"/>
          <w:sz w:val="28"/>
          <w:szCs w:val="28"/>
        </w:rPr>
        <w:t>ervice</w:t>
      </w:r>
      <w:r w:rsidR="008E50B4" w:rsidRPr="00797CC2">
        <w:rPr>
          <w:b/>
          <w:i w:val="0"/>
          <w:sz w:val="28"/>
          <w:szCs w:val="28"/>
        </w:rPr>
        <w:t xml:space="preserve"> types complained about</w:t>
      </w:r>
      <w:bookmarkEnd w:id="12"/>
      <w:bookmarkEnd w:id="13"/>
    </w:p>
    <w:p w:rsidR="004C794C" w:rsidRPr="00797CC2" w:rsidRDefault="004C794C" w:rsidP="00E84233"/>
    <w:p w:rsidR="00D3697C" w:rsidRPr="00797CC2" w:rsidRDefault="00D3697C" w:rsidP="00E84233">
      <w:r w:rsidRPr="00797CC2">
        <w:t xml:space="preserve">DHBs operate a number of different services, both within hospitals and outside of hospitals in clinics and in the community.  </w:t>
      </w:r>
    </w:p>
    <w:p w:rsidR="00D3697C" w:rsidRPr="00797CC2" w:rsidRDefault="00D3697C" w:rsidP="00E84233"/>
    <w:p w:rsidR="00D3697C" w:rsidRPr="00797CC2" w:rsidRDefault="00D3697C" w:rsidP="00E84233">
      <w:r w:rsidRPr="00797CC2">
        <w:t xml:space="preserve">Complaints received by </w:t>
      </w:r>
      <w:r w:rsidR="001726F0" w:rsidRPr="00797CC2">
        <w:t>HDC</w:t>
      </w:r>
      <w:r w:rsidR="00CD1739" w:rsidRPr="00797CC2">
        <w:t xml:space="preserve"> in </w:t>
      </w:r>
      <w:r w:rsidRPr="00797CC2">
        <w:t xml:space="preserve">the </w:t>
      </w:r>
      <w:r w:rsidR="00CD1739" w:rsidRPr="00797CC2">
        <w:t>2013/14</w:t>
      </w:r>
      <w:r w:rsidRPr="00797CC2">
        <w:t xml:space="preserve"> year were spread across many of those service</w:t>
      </w:r>
      <w:r w:rsidR="008E50B4" w:rsidRPr="00797CC2">
        <w:t xml:space="preserve"> types</w:t>
      </w:r>
      <w:r w:rsidRPr="00797CC2">
        <w:t xml:space="preserve">, as shown in Figure 3 below, with the greatest proportion of complaints being about surgery (26%), followed by mental health (19%), general medicine (19%), accident and emergency (13%) and maternity </w:t>
      </w:r>
      <w:r w:rsidR="004C794C" w:rsidRPr="00797CC2">
        <w:t xml:space="preserve">services </w:t>
      </w:r>
      <w:r w:rsidRPr="00797CC2">
        <w:t>(6%).</w:t>
      </w:r>
    </w:p>
    <w:p w:rsidR="00D3697C" w:rsidRPr="00797CC2" w:rsidRDefault="00D3697C" w:rsidP="00E84233"/>
    <w:p w:rsidR="004C794C" w:rsidRPr="00797CC2" w:rsidRDefault="008E50B4" w:rsidP="008E50B4">
      <w:pPr>
        <w:spacing w:after="120"/>
      </w:pPr>
      <w:r w:rsidRPr="00797CC2">
        <w:rPr>
          <w:b/>
        </w:rPr>
        <w:t xml:space="preserve">Figure 3. </w:t>
      </w:r>
      <w:r w:rsidR="004C794C" w:rsidRPr="00797CC2">
        <w:t>DHB s</w:t>
      </w:r>
      <w:r w:rsidRPr="00797CC2">
        <w:t>ervice types complained about</w:t>
      </w:r>
    </w:p>
    <w:p w:rsidR="008E50B4" w:rsidRPr="00797CC2" w:rsidRDefault="008E50B4" w:rsidP="008E50B4">
      <w:pPr>
        <w:rPr>
          <w:rFonts w:ascii="Calibri" w:hAnsi="Calibri"/>
          <w:szCs w:val="22"/>
        </w:rPr>
      </w:pPr>
      <w:r w:rsidRPr="00797CC2">
        <w:rPr>
          <w:noProof/>
          <w:lang w:eastAsia="en-NZ" w:bidi="ar-SA"/>
        </w:rPr>
        <w:drawing>
          <wp:inline distT="0" distB="0" distL="0" distR="0" wp14:anchorId="7146795C" wp14:editId="37AAB602">
            <wp:extent cx="5935287" cy="4738255"/>
            <wp:effectExtent l="0" t="0" r="27940" b="247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50B4" w:rsidRPr="00797CC2" w:rsidRDefault="008E50B4" w:rsidP="008E50B4"/>
    <w:p w:rsidR="008E50B4" w:rsidRPr="00797CC2" w:rsidRDefault="008E50B4" w:rsidP="008E50B4">
      <w:r w:rsidRPr="00797CC2">
        <w:t xml:space="preserve">A more nuanced picture of service types complained about, including individual surgical and general medicine service </w:t>
      </w:r>
      <w:r w:rsidR="0094436F" w:rsidRPr="00797CC2">
        <w:t>categories</w:t>
      </w:r>
      <w:r w:rsidR="00B77ECC" w:rsidRPr="00797CC2">
        <w:t>, is provided in Table 1</w:t>
      </w:r>
      <w:r w:rsidRPr="00797CC2">
        <w:t xml:space="preserve">.  Service types responsible for </w:t>
      </w:r>
      <w:r w:rsidR="0094436F" w:rsidRPr="00797CC2">
        <w:t>less</w:t>
      </w:r>
      <w:r w:rsidRPr="00797CC2">
        <w:t xml:space="preserve"> than 1% of all complaints concerning DHBs are grouped together and classified as “other”.</w:t>
      </w:r>
    </w:p>
    <w:p w:rsidR="008E50B4" w:rsidRPr="00797CC2" w:rsidRDefault="008E50B4" w:rsidP="008E50B4"/>
    <w:p w:rsidR="008E50B4" w:rsidRPr="00797CC2" w:rsidRDefault="008E50B4" w:rsidP="00E84233"/>
    <w:p w:rsidR="00DA6001" w:rsidRPr="00797CC2" w:rsidRDefault="00DA6001" w:rsidP="00E84233"/>
    <w:p w:rsidR="00DA6001" w:rsidRPr="00797CC2" w:rsidRDefault="00DA6001" w:rsidP="00E84233"/>
    <w:p w:rsidR="00DA6001" w:rsidRPr="00797CC2" w:rsidRDefault="00DA6001" w:rsidP="00E84233"/>
    <w:p w:rsidR="00E84233" w:rsidRPr="00797CC2" w:rsidRDefault="00E84233" w:rsidP="00E84233"/>
    <w:p w:rsidR="008E50B4" w:rsidRPr="00797CC2" w:rsidRDefault="008E50B4" w:rsidP="00E84233"/>
    <w:p w:rsidR="008E50B4" w:rsidRPr="00797CC2" w:rsidRDefault="008E50B4" w:rsidP="00E84233"/>
    <w:p w:rsidR="001726F0" w:rsidRPr="00797CC2" w:rsidRDefault="001726F0" w:rsidP="00E84233">
      <w:pPr>
        <w:spacing w:after="120"/>
        <w:rPr>
          <w:rFonts w:ascii="Calibri" w:hAnsi="Calibri"/>
          <w:szCs w:val="22"/>
        </w:rPr>
      </w:pPr>
      <w:r w:rsidRPr="00797CC2">
        <w:rPr>
          <w:rFonts w:ascii="Calibri" w:hAnsi="Calibri"/>
          <w:b/>
          <w:szCs w:val="22"/>
        </w:rPr>
        <w:t xml:space="preserve">Table </w:t>
      </w:r>
      <w:r w:rsidR="008E50B4" w:rsidRPr="00797CC2">
        <w:rPr>
          <w:rFonts w:ascii="Calibri" w:hAnsi="Calibri"/>
          <w:b/>
          <w:szCs w:val="22"/>
        </w:rPr>
        <w:t>1.</w:t>
      </w:r>
      <w:r w:rsidR="00EE07D9" w:rsidRPr="00797CC2">
        <w:rPr>
          <w:rFonts w:ascii="Calibri" w:hAnsi="Calibri"/>
          <w:b/>
          <w:szCs w:val="22"/>
        </w:rPr>
        <w:t xml:space="preserve"> </w:t>
      </w:r>
      <w:r w:rsidR="004C794C" w:rsidRPr="00797CC2">
        <w:rPr>
          <w:rFonts w:ascii="Calibri" w:hAnsi="Calibri"/>
          <w:szCs w:val="22"/>
        </w:rPr>
        <w:t>DHB s</w:t>
      </w:r>
      <w:r w:rsidRPr="00797CC2">
        <w:rPr>
          <w:rFonts w:ascii="Calibri" w:hAnsi="Calibri"/>
          <w:szCs w:val="22"/>
        </w:rPr>
        <w:t>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tblGrid>
      <w:tr w:rsidR="00FF061C" w:rsidRPr="00797CC2" w:rsidTr="00C219ED">
        <w:trPr>
          <w:trHeight w:val="624"/>
          <w:tblHeader/>
        </w:trPr>
        <w:tc>
          <w:tcPr>
            <w:tcW w:w="4678" w:type="dxa"/>
            <w:shd w:val="clear" w:color="auto" w:fill="C00000"/>
          </w:tcPr>
          <w:p w:rsidR="00FF061C" w:rsidRPr="00797CC2" w:rsidRDefault="00FF061C" w:rsidP="002024AC">
            <w:pPr>
              <w:tabs>
                <w:tab w:val="left" w:pos="1440"/>
                <w:tab w:val="decimal" w:pos="4320"/>
              </w:tabs>
              <w:spacing w:before="120" w:after="120"/>
              <w:jc w:val="center"/>
              <w:outlineLvl w:val="0"/>
              <w:rPr>
                <w:rFonts w:ascii="Calibri" w:hAnsi="Calibri"/>
                <w:b/>
                <w:szCs w:val="22"/>
                <w:vertAlign w:val="superscript"/>
              </w:rPr>
            </w:pPr>
            <w:r w:rsidRPr="00797CC2">
              <w:rPr>
                <w:rFonts w:ascii="Calibri" w:hAnsi="Calibri"/>
                <w:b/>
                <w:szCs w:val="22"/>
              </w:rPr>
              <w:t>Service type</w:t>
            </w:r>
          </w:p>
        </w:tc>
        <w:tc>
          <w:tcPr>
            <w:tcW w:w="2268" w:type="dxa"/>
            <w:shd w:val="clear" w:color="auto" w:fill="C00000"/>
          </w:tcPr>
          <w:p w:rsidR="00FF061C" w:rsidRPr="00797CC2" w:rsidRDefault="005B7D43" w:rsidP="002024AC">
            <w:pPr>
              <w:tabs>
                <w:tab w:val="left" w:pos="1440"/>
                <w:tab w:val="decimal" w:pos="4320"/>
              </w:tabs>
              <w:spacing w:before="120" w:after="120"/>
              <w:jc w:val="center"/>
              <w:outlineLvl w:val="0"/>
              <w:rPr>
                <w:rFonts w:ascii="Calibri" w:hAnsi="Calibri"/>
                <w:b/>
                <w:szCs w:val="22"/>
              </w:rPr>
            </w:pPr>
            <w:r w:rsidRPr="00797CC2">
              <w:rPr>
                <w:rFonts w:ascii="Calibri" w:hAnsi="Calibri"/>
                <w:b/>
                <w:szCs w:val="22"/>
              </w:rPr>
              <w:t>Number of services</w:t>
            </w:r>
            <w:r w:rsidR="00FF061C" w:rsidRPr="00797CC2">
              <w:rPr>
                <w:rFonts w:ascii="Calibri" w:hAnsi="Calibri"/>
                <w:b/>
                <w:szCs w:val="22"/>
              </w:rPr>
              <w:t xml:space="preserve"> (%)</w:t>
            </w:r>
          </w:p>
        </w:tc>
      </w:tr>
      <w:tr w:rsidR="00FF061C" w:rsidRPr="00797CC2" w:rsidTr="004B06D6">
        <w:trPr>
          <w:trHeight w:val="301"/>
        </w:trPr>
        <w:tc>
          <w:tcPr>
            <w:tcW w:w="4678" w:type="dxa"/>
            <w:vAlign w:val="bottom"/>
          </w:tcPr>
          <w:p w:rsidR="00FF061C" w:rsidRPr="00797CC2" w:rsidRDefault="00FF061C" w:rsidP="002024AC">
            <w:pPr>
              <w:jc w:val="left"/>
              <w:rPr>
                <w:rFonts w:ascii="Calibri" w:hAnsi="Calibri" w:cs="Calibri"/>
                <w:b/>
                <w:color w:val="000000"/>
                <w:szCs w:val="22"/>
              </w:rPr>
            </w:pPr>
            <w:r w:rsidRPr="00797CC2">
              <w:rPr>
                <w:rFonts w:ascii="Calibri" w:hAnsi="Calibri" w:cs="Calibri"/>
                <w:b/>
                <w:color w:val="000000"/>
                <w:szCs w:val="22"/>
              </w:rPr>
              <w:t>Accident and emergency (including paramedics)</w:t>
            </w:r>
          </w:p>
        </w:tc>
        <w:tc>
          <w:tcPr>
            <w:tcW w:w="2268" w:type="dxa"/>
            <w:vAlign w:val="center"/>
          </w:tcPr>
          <w:p w:rsidR="00FF061C" w:rsidRPr="00797CC2" w:rsidRDefault="00FF061C" w:rsidP="002024AC">
            <w:pPr>
              <w:jc w:val="center"/>
              <w:rPr>
                <w:rFonts w:ascii="Calibri" w:hAnsi="Calibri"/>
                <w:b/>
                <w:color w:val="000000"/>
                <w:szCs w:val="22"/>
              </w:rPr>
            </w:pPr>
            <w:r w:rsidRPr="00797CC2">
              <w:rPr>
                <w:rFonts w:ascii="Calibri" w:hAnsi="Calibri"/>
                <w:b/>
                <w:color w:val="000000"/>
                <w:szCs w:val="22"/>
              </w:rPr>
              <w:t>89 (13)</w:t>
            </w:r>
          </w:p>
        </w:tc>
      </w:tr>
      <w:tr w:rsidR="00FF061C" w:rsidRPr="00797CC2" w:rsidTr="004B06D6">
        <w:trPr>
          <w:trHeight w:val="278"/>
        </w:trPr>
        <w:tc>
          <w:tcPr>
            <w:tcW w:w="4678" w:type="dxa"/>
            <w:vAlign w:val="bottom"/>
          </w:tcPr>
          <w:p w:rsidR="00FF061C" w:rsidRPr="00797CC2" w:rsidRDefault="00FF061C" w:rsidP="002024AC">
            <w:pPr>
              <w:rPr>
                <w:rFonts w:ascii="Calibri" w:hAnsi="Calibri" w:cs="Calibri"/>
                <w:b/>
                <w:color w:val="000000"/>
                <w:szCs w:val="22"/>
              </w:rPr>
            </w:pPr>
            <w:r w:rsidRPr="00797CC2">
              <w:rPr>
                <w:rFonts w:ascii="Calibri" w:hAnsi="Calibri" w:cs="Calibri"/>
                <w:b/>
                <w:color w:val="000000"/>
                <w:szCs w:val="22"/>
              </w:rPr>
              <w:t>Alcohol and drug</w:t>
            </w:r>
          </w:p>
        </w:tc>
        <w:tc>
          <w:tcPr>
            <w:tcW w:w="2268" w:type="dxa"/>
            <w:vAlign w:val="center"/>
          </w:tcPr>
          <w:p w:rsidR="00FF061C" w:rsidRPr="00797CC2" w:rsidRDefault="00FF061C" w:rsidP="002024AC">
            <w:pPr>
              <w:jc w:val="center"/>
              <w:rPr>
                <w:rFonts w:ascii="Calibri" w:hAnsi="Calibri"/>
                <w:b/>
                <w:color w:val="000000"/>
                <w:szCs w:val="22"/>
              </w:rPr>
            </w:pPr>
            <w:r w:rsidRPr="00797CC2">
              <w:rPr>
                <w:rFonts w:ascii="Calibri" w:hAnsi="Calibri"/>
                <w:b/>
                <w:color w:val="000000"/>
                <w:szCs w:val="22"/>
              </w:rPr>
              <w:t>11 (2)</w:t>
            </w:r>
          </w:p>
        </w:tc>
      </w:tr>
      <w:tr w:rsidR="00FF061C" w:rsidRPr="00797CC2" w:rsidTr="004B06D6">
        <w:trPr>
          <w:trHeight w:val="267"/>
        </w:trPr>
        <w:tc>
          <w:tcPr>
            <w:tcW w:w="4678" w:type="dxa"/>
            <w:vAlign w:val="bottom"/>
          </w:tcPr>
          <w:p w:rsidR="00FF061C" w:rsidRPr="00797CC2" w:rsidRDefault="00FF061C" w:rsidP="002024AC">
            <w:pPr>
              <w:rPr>
                <w:rFonts w:ascii="Calibri" w:hAnsi="Calibri" w:cs="Calibri"/>
                <w:b/>
                <w:color w:val="000000"/>
                <w:szCs w:val="22"/>
              </w:rPr>
            </w:pPr>
            <w:r w:rsidRPr="00797CC2">
              <w:rPr>
                <w:rFonts w:ascii="Calibri" w:hAnsi="Calibri" w:cs="Calibri"/>
                <w:b/>
                <w:color w:val="000000"/>
                <w:szCs w:val="22"/>
              </w:rPr>
              <w:t xml:space="preserve">Dental </w:t>
            </w:r>
          </w:p>
        </w:tc>
        <w:tc>
          <w:tcPr>
            <w:tcW w:w="2268" w:type="dxa"/>
            <w:vAlign w:val="center"/>
          </w:tcPr>
          <w:p w:rsidR="00FF061C" w:rsidRPr="00797CC2" w:rsidRDefault="00FF061C" w:rsidP="002024AC">
            <w:pPr>
              <w:jc w:val="center"/>
              <w:rPr>
                <w:rFonts w:ascii="Calibri" w:hAnsi="Calibri"/>
                <w:b/>
                <w:color w:val="000000"/>
                <w:szCs w:val="22"/>
              </w:rPr>
            </w:pPr>
            <w:r w:rsidRPr="00797CC2">
              <w:rPr>
                <w:rFonts w:ascii="Calibri" w:hAnsi="Calibri"/>
                <w:b/>
                <w:color w:val="000000"/>
                <w:szCs w:val="22"/>
              </w:rPr>
              <w:t>8 (1)</w:t>
            </w:r>
          </w:p>
        </w:tc>
      </w:tr>
      <w:tr w:rsidR="00FF061C" w:rsidRPr="00797CC2" w:rsidTr="004B06D6">
        <w:trPr>
          <w:trHeight w:val="286"/>
        </w:trPr>
        <w:tc>
          <w:tcPr>
            <w:tcW w:w="4678" w:type="dxa"/>
            <w:vAlign w:val="bottom"/>
          </w:tcPr>
          <w:p w:rsidR="00FF061C" w:rsidRPr="00797CC2" w:rsidRDefault="00FF061C" w:rsidP="002024AC">
            <w:pPr>
              <w:rPr>
                <w:rFonts w:cs="Arial"/>
                <w:b/>
                <w:szCs w:val="22"/>
              </w:rPr>
            </w:pPr>
            <w:r w:rsidRPr="00797CC2">
              <w:rPr>
                <w:rFonts w:cs="Arial"/>
                <w:b/>
                <w:szCs w:val="22"/>
              </w:rPr>
              <w:t>Diagnostics</w:t>
            </w:r>
          </w:p>
        </w:tc>
        <w:tc>
          <w:tcPr>
            <w:tcW w:w="2268" w:type="dxa"/>
            <w:vAlign w:val="center"/>
          </w:tcPr>
          <w:p w:rsidR="00FF061C" w:rsidRPr="00797CC2" w:rsidRDefault="00FF061C" w:rsidP="002024AC">
            <w:pPr>
              <w:jc w:val="center"/>
              <w:rPr>
                <w:rFonts w:ascii="Calibri" w:hAnsi="Calibri"/>
                <w:b/>
                <w:color w:val="000000"/>
                <w:szCs w:val="22"/>
              </w:rPr>
            </w:pPr>
            <w:r w:rsidRPr="00797CC2">
              <w:rPr>
                <w:rFonts w:ascii="Calibri" w:hAnsi="Calibri"/>
                <w:b/>
                <w:color w:val="000000"/>
                <w:szCs w:val="22"/>
              </w:rPr>
              <w:t>16 (2)</w:t>
            </w:r>
          </w:p>
        </w:tc>
      </w:tr>
      <w:tr w:rsidR="00FF061C" w:rsidRPr="00797CC2" w:rsidTr="00886117">
        <w:trPr>
          <w:trHeight w:val="337"/>
        </w:trPr>
        <w:tc>
          <w:tcPr>
            <w:tcW w:w="4678" w:type="dxa"/>
          </w:tcPr>
          <w:p w:rsidR="00FF061C" w:rsidRPr="00797CC2" w:rsidRDefault="00FF061C" w:rsidP="002024AC">
            <w:pPr>
              <w:jc w:val="left"/>
              <w:rPr>
                <w:rFonts w:ascii="Calibri" w:hAnsi="Calibri" w:cs="Calibri"/>
                <w:b/>
                <w:color w:val="000000"/>
                <w:szCs w:val="22"/>
              </w:rPr>
            </w:pPr>
            <w:r w:rsidRPr="00797CC2">
              <w:rPr>
                <w:rFonts w:ascii="Calibri" w:hAnsi="Calibri" w:cs="Calibri"/>
                <w:b/>
                <w:color w:val="000000"/>
                <w:szCs w:val="22"/>
              </w:rPr>
              <w:t>General medicine</w:t>
            </w:r>
          </w:p>
          <w:p w:rsidR="00FF061C" w:rsidRPr="00797CC2" w:rsidRDefault="00FF061C" w:rsidP="002024AC">
            <w:pPr>
              <w:jc w:val="left"/>
              <w:rPr>
                <w:rFonts w:ascii="Calibri" w:hAnsi="Calibri" w:cs="Calibri"/>
                <w:color w:val="000000"/>
                <w:szCs w:val="22"/>
              </w:rPr>
            </w:pPr>
            <w:r w:rsidRPr="00797CC2">
              <w:rPr>
                <w:rFonts w:ascii="Calibri" w:hAnsi="Calibri" w:cs="Calibri"/>
                <w:color w:val="000000"/>
                <w:szCs w:val="22"/>
              </w:rPr>
              <w:t xml:space="preserve">  Cardiology</w:t>
            </w:r>
          </w:p>
          <w:p w:rsidR="00FF061C" w:rsidRPr="00797CC2" w:rsidRDefault="00FF061C" w:rsidP="002024AC">
            <w:pPr>
              <w:jc w:val="left"/>
              <w:rPr>
                <w:rFonts w:ascii="Calibri" w:hAnsi="Calibri" w:cs="Calibri"/>
                <w:color w:val="000000"/>
                <w:szCs w:val="22"/>
              </w:rPr>
            </w:pPr>
            <w:r w:rsidRPr="00797CC2">
              <w:rPr>
                <w:rFonts w:ascii="Calibri" w:hAnsi="Calibri" w:cs="Calibri"/>
                <w:color w:val="000000"/>
                <w:szCs w:val="22"/>
              </w:rPr>
              <w:t xml:space="preserve">  Gastroenterology</w:t>
            </w:r>
          </w:p>
          <w:p w:rsidR="00FF061C" w:rsidRPr="00797CC2" w:rsidRDefault="00FF061C" w:rsidP="007D65BE">
            <w:pPr>
              <w:jc w:val="left"/>
              <w:rPr>
                <w:rFonts w:ascii="Calibri" w:hAnsi="Calibri" w:cs="Calibri"/>
                <w:color w:val="000000"/>
                <w:szCs w:val="22"/>
              </w:rPr>
            </w:pPr>
            <w:r w:rsidRPr="00797CC2">
              <w:rPr>
                <w:rFonts w:ascii="Calibri" w:hAnsi="Calibri" w:cs="Calibri"/>
                <w:color w:val="000000"/>
                <w:szCs w:val="22"/>
              </w:rPr>
              <w:t xml:space="preserve">  Geriatric medicine</w:t>
            </w:r>
          </w:p>
          <w:p w:rsidR="00FF061C" w:rsidRPr="00797CC2" w:rsidRDefault="00FF061C" w:rsidP="002024AC">
            <w:pPr>
              <w:jc w:val="left"/>
              <w:rPr>
                <w:rFonts w:ascii="Calibri" w:hAnsi="Calibri" w:cs="Calibri"/>
                <w:color w:val="000000"/>
                <w:szCs w:val="22"/>
              </w:rPr>
            </w:pPr>
            <w:r w:rsidRPr="00797CC2">
              <w:rPr>
                <w:rFonts w:ascii="Calibri" w:hAnsi="Calibri" w:cs="Calibri"/>
                <w:color w:val="000000"/>
                <w:szCs w:val="22"/>
              </w:rPr>
              <w:t xml:space="preserve">  Neurology</w:t>
            </w:r>
          </w:p>
          <w:p w:rsidR="00FF061C" w:rsidRPr="00797CC2" w:rsidRDefault="00FF061C" w:rsidP="002024AC">
            <w:pPr>
              <w:jc w:val="left"/>
              <w:rPr>
                <w:rFonts w:ascii="Calibri" w:hAnsi="Calibri" w:cs="Calibri"/>
                <w:color w:val="000000"/>
                <w:szCs w:val="22"/>
              </w:rPr>
            </w:pPr>
            <w:r w:rsidRPr="00797CC2">
              <w:rPr>
                <w:rFonts w:ascii="Calibri" w:hAnsi="Calibri" w:cs="Calibri"/>
                <w:color w:val="000000"/>
                <w:szCs w:val="22"/>
              </w:rPr>
              <w:t xml:space="preserve">  Oncology</w:t>
            </w:r>
          </w:p>
          <w:p w:rsidR="00FF061C" w:rsidRPr="00797CC2" w:rsidRDefault="00FF061C" w:rsidP="002024AC">
            <w:pPr>
              <w:jc w:val="left"/>
              <w:rPr>
                <w:rFonts w:ascii="Calibri" w:hAnsi="Calibri" w:cs="Calibri"/>
                <w:color w:val="000000"/>
                <w:szCs w:val="22"/>
              </w:rPr>
            </w:pPr>
            <w:r w:rsidRPr="00797CC2">
              <w:rPr>
                <w:rFonts w:ascii="Calibri" w:hAnsi="Calibri" w:cs="Calibri"/>
                <w:color w:val="000000"/>
                <w:szCs w:val="22"/>
              </w:rPr>
              <w:t xml:space="preserve">  Respiratory</w:t>
            </w:r>
          </w:p>
          <w:p w:rsidR="00FF061C" w:rsidRPr="00797CC2" w:rsidRDefault="00FF061C" w:rsidP="002024AC">
            <w:pPr>
              <w:jc w:val="left"/>
              <w:rPr>
                <w:rFonts w:ascii="Calibri" w:hAnsi="Calibri" w:cs="Calibri"/>
                <w:color w:val="000000"/>
                <w:szCs w:val="22"/>
              </w:rPr>
            </w:pPr>
            <w:r w:rsidRPr="00797CC2">
              <w:rPr>
                <w:rFonts w:ascii="Calibri" w:hAnsi="Calibri" w:cs="Calibri"/>
                <w:color w:val="000000"/>
                <w:szCs w:val="22"/>
              </w:rPr>
              <w:t xml:space="preserve">  Other/unspecified</w:t>
            </w:r>
          </w:p>
        </w:tc>
        <w:tc>
          <w:tcPr>
            <w:tcW w:w="2268" w:type="dxa"/>
          </w:tcPr>
          <w:p w:rsidR="00FF061C" w:rsidRPr="00797CC2" w:rsidRDefault="00FF061C" w:rsidP="002024AC">
            <w:pPr>
              <w:jc w:val="center"/>
              <w:rPr>
                <w:rFonts w:ascii="Calibri" w:hAnsi="Calibri"/>
                <w:b/>
                <w:color w:val="000000"/>
                <w:szCs w:val="22"/>
              </w:rPr>
            </w:pPr>
            <w:r w:rsidRPr="00797CC2">
              <w:rPr>
                <w:rFonts w:ascii="Calibri" w:hAnsi="Calibri"/>
                <w:b/>
                <w:color w:val="000000"/>
                <w:szCs w:val="22"/>
              </w:rPr>
              <w:t>130 (19)</w:t>
            </w:r>
          </w:p>
          <w:p w:rsidR="00FF061C" w:rsidRPr="00797CC2" w:rsidRDefault="00FF061C" w:rsidP="007D65BE">
            <w:pPr>
              <w:jc w:val="center"/>
              <w:rPr>
                <w:rFonts w:ascii="Calibri" w:hAnsi="Calibri"/>
                <w:color w:val="000000"/>
                <w:szCs w:val="22"/>
              </w:rPr>
            </w:pPr>
            <w:r w:rsidRPr="00797CC2">
              <w:rPr>
                <w:rFonts w:ascii="Calibri" w:hAnsi="Calibri"/>
                <w:color w:val="000000"/>
                <w:szCs w:val="22"/>
              </w:rPr>
              <w:t>13 (2)</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8 (1)</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13 (2)</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13 (2)</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24 (4)</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11 (2)</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48 (7)</w:t>
            </w:r>
          </w:p>
        </w:tc>
      </w:tr>
      <w:tr w:rsidR="00FF061C" w:rsidRPr="00797CC2" w:rsidTr="00886117">
        <w:tc>
          <w:tcPr>
            <w:tcW w:w="4678" w:type="dxa"/>
            <w:vAlign w:val="bottom"/>
          </w:tcPr>
          <w:p w:rsidR="00FF061C" w:rsidRPr="00797CC2" w:rsidRDefault="00FF061C" w:rsidP="002024AC">
            <w:pPr>
              <w:rPr>
                <w:rFonts w:ascii="Calibri" w:hAnsi="Calibri" w:cs="Calibri"/>
                <w:b/>
                <w:color w:val="000000"/>
                <w:szCs w:val="22"/>
              </w:rPr>
            </w:pPr>
            <w:r w:rsidRPr="00797CC2">
              <w:rPr>
                <w:rFonts w:ascii="Calibri" w:hAnsi="Calibri" w:cs="Calibri"/>
                <w:b/>
                <w:color w:val="000000"/>
                <w:szCs w:val="22"/>
              </w:rPr>
              <w:t>Intensive care/critical care</w:t>
            </w:r>
          </w:p>
        </w:tc>
        <w:tc>
          <w:tcPr>
            <w:tcW w:w="2268" w:type="dxa"/>
            <w:vAlign w:val="center"/>
          </w:tcPr>
          <w:p w:rsidR="00FF061C" w:rsidRPr="00797CC2" w:rsidRDefault="00FF061C" w:rsidP="002024AC">
            <w:pPr>
              <w:jc w:val="center"/>
              <w:rPr>
                <w:rFonts w:ascii="Calibri" w:hAnsi="Calibri"/>
                <w:b/>
                <w:color w:val="000000"/>
                <w:szCs w:val="22"/>
              </w:rPr>
            </w:pPr>
            <w:r w:rsidRPr="00797CC2">
              <w:rPr>
                <w:rFonts w:ascii="Calibri" w:hAnsi="Calibri"/>
                <w:b/>
                <w:color w:val="000000"/>
                <w:szCs w:val="22"/>
              </w:rPr>
              <w:t>11 (2)</w:t>
            </w:r>
          </w:p>
        </w:tc>
      </w:tr>
      <w:tr w:rsidR="00FF061C" w:rsidRPr="00797CC2" w:rsidTr="00886117">
        <w:tc>
          <w:tcPr>
            <w:tcW w:w="4678" w:type="dxa"/>
            <w:vAlign w:val="bottom"/>
          </w:tcPr>
          <w:p w:rsidR="00FF061C" w:rsidRPr="00797CC2" w:rsidRDefault="00FF061C" w:rsidP="002024AC">
            <w:pPr>
              <w:rPr>
                <w:rFonts w:ascii="Calibri" w:hAnsi="Calibri" w:cs="Calibri"/>
                <w:b/>
                <w:color w:val="000000"/>
                <w:szCs w:val="22"/>
              </w:rPr>
            </w:pPr>
            <w:r w:rsidRPr="00797CC2">
              <w:rPr>
                <w:rFonts w:ascii="Calibri" w:hAnsi="Calibri" w:cs="Calibri"/>
                <w:b/>
                <w:color w:val="000000"/>
                <w:szCs w:val="22"/>
              </w:rPr>
              <w:t>Maternity</w:t>
            </w:r>
          </w:p>
        </w:tc>
        <w:tc>
          <w:tcPr>
            <w:tcW w:w="2268" w:type="dxa"/>
            <w:vAlign w:val="center"/>
          </w:tcPr>
          <w:p w:rsidR="00FF061C" w:rsidRPr="00797CC2" w:rsidRDefault="00FF061C" w:rsidP="002024AC">
            <w:pPr>
              <w:jc w:val="center"/>
              <w:rPr>
                <w:rFonts w:ascii="Calibri" w:hAnsi="Calibri"/>
                <w:b/>
                <w:color w:val="000000"/>
                <w:szCs w:val="22"/>
              </w:rPr>
            </w:pPr>
            <w:r w:rsidRPr="00797CC2">
              <w:rPr>
                <w:rFonts w:ascii="Calibri" w:hAnsi="Calibri"/>
                <w:b/>
                <w:color w:val="000000"/>
                <w:szCs w:val="22"/>
              </w:rPr>
              <w:t>38 (6)</w:t>
            </w:r>
          </w:p>
        </w:tc>
      </w:tr>
      <w:tr w:rsidR="00FF061C" w:rsidRPr="00797CC2" w:rsidTr="00886117">
        <w:tc>
          <w:tcPr>
            <w:tcW w:w="4678" w:type="dxa"/>
            <w:vAlign w:val="bottom"/>
          </w:tcPr>
          <w:p w:rsidR="00FF061C" w:rsidRPr="00797CC2" w:rsidRDefault="00FF061C" w:rsidP="002024AC">
            <w:pPr>
              <w:rPr>
                <w:rFonts w:ascii="Calibri" w:hAnsi="Calibri" w:cs="Calibri"/>
                <w:b/>
                <w:color w:val="000000"/>
                <w:szCs w:val="22"/>
              </w:rPr>
            </w:pPr>
            <w:r w:rsidRPr="00797CC2">
              <w:rPr>
                <w:rFonts w:ascii="Calibri" w:hAnsi="Calibri" w:cs="Calibri"/>
                <w:b/>
                <w:color w:val="000000"/>
                <w:szCs w:val="22"/>
              </w:rPr>
              <w:t xml:space="preserve">Mental health </w:t>
            </w:r>
          </w:p>
        </w:tc>
        <w:tc>
          <w:tcPr>
            <w:tcW w:w="2268" w:type="dxa"/>
            <w:vAlign w:val="center"/>
          </w:tcPr>
          <w:p w:rsidR="00FF061C" w:rsidRPr="00797CC2" w:rsidRDefault="00FF061C" w:rsidP="002024AC">
            <w:pPr>
              <w:jc w:val="center"/>
              <w:rPr>
                <w:rFonts w:ascii="Calibri" w:hAnsi="Calibri"/>
                <w:b/>
                <w:color w:val="000000"/>
                <w:szCs w:val="22"/>
              </w:rPr>
            </w:pPr>
            <w:r w:rsidRPr="00797CC2">
              <w:rPr>
                <w:rFonts w:ascii="Calibri" w:hAnsi="Calibri"/>
                <w:b/>
                <w:color w:val="000000"/>
                <w:szCs w:val="22"/>
              </w:rPr>
              <w:t>132 (19)</w:t>
            </w:r>
          </w:p>
        </w:tc>
      </w:tr>
      <w:tr w:rsidR="00FF061C" w:rsidRPr="00797CC2" w:rsidTr="00886117">
        <w:tc>
          <w:tcPr>
            <w:tcW w:w="4678" w:type="dxa"/>
            <w:vAlign w:val="bottom"/>
          </w:tcPr>
          <w:p w:rsidR="00FF061C" w:rsidRPr="00797CC2" w:rsidRDefault="00FF061C" w:rsidP="002024AC">
            <w:pPr>
              <w:rPr>
                <w:rFonts w:cs="Arial"/>
                <w:b/>
                <w:szCs w:val="22"/>
              </w:rPr>
            </w:pPr>
            <w:r w:rsidRPr="00797CC2">
              <w:rPr>
                <w:rFonts w:cs="Arial"/>
                <w:b/>
                <w:szCs w:val="22"/>
              </w:rPr>
              <w:t>Paediatrics (not surgical)</w:t>
            </w:r>
          </w:p>
        </w:tc>
        <w:tc>
          <w:tcPr>
            <w:tcW w:w="2268" w:type="dxa"/>
            <w:vAlign w:val="center"/>
          </w:tcPr>
          <w:p w:rsidR="00FF061C" w:rsidRPr="00797CC2" w:rsidRDefault="00FF061C" w:rsidP="002024AC">
            <w:pPr>
              <w:jc w:val="center"/>
              <w:rPr>
                <w:rFonts w:ascii="Calibri" w:hAnsi="Calibri"/>
                <w:b/>
                <w:color w:val="000000"/>
                <w:szCs w:val="22"/>
              </w:rPr>
            </w:pPr>
            <w:r w:rsidRPr="00797CC2">
              <w:rPr>
                <w:rFonts w:ascii="Calibri" w:hAnsi="Calibri"/>
                <w:b/>
                <w:color w:val="000000"/>
                <w:szCs w:val="22"/>
              </w:rPr>
              <w:t>31 (5)</w:t>
            </w:r>
          </w:p>
        </w:tc>
      </w:tr>
      <w:tr w:rsidR="00FF061C" w:rsidRPr="00797CC2" w:rsidTr="00886117">
        <w:tc>
          <w:tcPr>
            <w:tcW w:w="4678" w:type="dxa"/>
            <w:vAlign w:val="bottom"/>
          </w:tcPr>
          <w:p w:rsidR="00FF061C" w:rsidRPr="00797CC2" w:rsidRDefault="00FF061C" w:rsidP="002024AC">
            <w:pPr>
              <w:rPr>
                <w:rFonts w:ascii="Calibri" w:hAnsi="Calibri" w:cs="Calibri"/>
                <w:b/>
                <w:color w:val="000000"/>
                <w:szCs w:val="22"/>
              </w:rPr>
            </w:pPr>
            <w:r w:rsidRPr="00797CC2">
              <w:rPr>
                <w:rFonts w:ascii="Calibri" w:hAnsi="Calibri" w:cs="Calibri"/>
                <w:b/>
                <w:color w:val="000000"/>
                <w:szCs w:val="22"/>
              </w:rPr>
              <w:t xml:space="preserve">Rehabilitation services </w:t>
            </w:r>
          </w:p>
        </w:tc>
        <w:tc>
          <w:tcPr>
            <w:tcW w:w="2268" w:type="dxa"/>
            <w:vAlign w:val="center"/>
          </w:tcPr>
          <w:p w:rsidR="00FF061C" w:rsidRPr="00797CC2" w:rsidRDefault="005B7D43" w:rsidP="002024AC">
            <w:pPr>
              <w:jc w:val="center"/>
              <w:rPr>
                <w:rFonts w:ascii="Calibri" w:hAnsi="Calibri"/>
                <w:b/>
                <w:color w:val="000000"/>
                <w:szCs w:val="22"/>
              </w:rPr>
            </w:pPr>
            <w:r w:rsidRPr="00797CC2">
              <w:rPr>
                <w:rFonts w:ascii="Calibri" w:hAnsi="Calibri"/>
                <w:b/>
                <w:color w:val="000000"/>
                <w:szCs w:val="22"/>
              </w:rPr>
              <w:t>10 (1</w:t>
            </w:r>
            <w:r w:rsidR="00FF061C" w:rsidRPr="00797CC2">
              <w:rPr>
                <w:rFonts w:ascii="Calibri" w:hAnsi="Calibri"/>
                <w:b/>
                <w:color w:val="000000"/>
                <w:szCs w:val="22"/>
              </w:rPr>
              <w:t>)</w:t>
            </w:r>
          </w:p>
        </w:tc>
      </w:tr>
      <w:tr w:rsidR="00FF061C" w:rsidRPr="00797CC2" w:rsidTr="00886117">
        <w:tc>
          <w:tcPr>
            <w:tcW w:w="4678" w:type="dxa"/>
            <w:vAlign w:val="bottom"/>
          </w:tcPr>
          <w:p w:rsidR="00FF061C" w:rsidRPr="00797CC2" w:rsidRDefault="00FF061C" w:rsidP="002024AC">
            <w:pPr>
              <w:rPr>
                <w:rFonts w:ascii="Calibri" w:hAnsi="Calibri" w:cs="Calibri"/>
                <w:b/>
                <w:color w:val="000000"/>
                <w:szCs w:val="22"/>
              </w:rPr>
            </w:pPr>
            <w:r w:rsidRPr="00797CC2">
              <w:rPr>
                <w:rFonts w:ascii="Calibri" w:hAnsi="Calibri" w:cs="Calibri"/>
                <w:b/>
                <w:color w:val="000000"/>
                <w:szCs w:val="22"/>
              </w:rPr>
              <w:t>Surgery</w:t>
            </w:r>
          </w:p>
          <w:p w:rsidR="00FF061C" w:rsidRPr="00797CC2" w:rsidRDefault="00FF061C" w:rsidP="002024AC">
            <w:pPr>
              <w:rPr>
                <w:rFonts w:ascii="Calibri" w:hAnsi="Calibri" w:cs="Calibri"/>
                <w:color w:val="000000"/>
                <w:szCs w:val="22"/>
              </w:rPr>
            </w:pPr>
            <w:r w:rsidRPr="00797CC2">
              <w:rPr>
                <w:rFonts w:ascii="Calibri" w:hAnsi="Calibri" w:cs="Calibri"/>
                <w:b/>
                <w:color w:val="000000"/>
                <w:szCs w:val="22"/>
              </w:rPr>
              <w:t xml:space="preserve">  </w:t>
            </w:r>
            <w:r w:rsidRPr="00797CC2">
              <w:rPr>
                <w:rFonts w:ascii="Calibri" w:hAnsi="Calibri" w:cs="Calibri"/>
                <w:color w:val="000000"/>
                <w:szCs w:val="22"/>
              </w:rPr>
              <w:t>Cardiothoracic</w:t>
            </w:r>
          </w:p>
          <w:p w:rsidR="00FF061C" w:rsidRPr="00797CC2" w:rsidRDefault="00FF061C" w:rsidP="002024AC">
            <w:pPr>
              <w:rPr>
                <w:rFonts w:ascii="Calibri" w:hAnsi="Calibri" w:cs="Calibri"/>
                <w:color w:val="000000"/>
                <w:szCs w:val="22"/>
              </w:rPr>
            </w:pPr>
            <w:r w:rsidRPr="00797CC2">
              <w:rPr>
                <w:rFonts w:ascii="Calibri" w:hAnsi="Calibri" w:cs="Calibri"/>
                <w:color w:val="000000"/>
                <w:szCs w:val="22"/>
              </w:rPr>
              <w:t xml:space="preserve">  General</w:t>
            </w:r>
          </w:p>
          <w:p w:rsidR="00FF061C" w:rsidRPr="00797CC2" w:rsidRDefault="00FF061C" w:rsidP="002024AC">
            <w:pPr>
              <w:rPr>
                <w:rFonts w:ascii="Calibri" w:hAnsi="Calibri" w:cs="Calibri"/>
                <w:color w:val="000000"/>
                <w:szCs w:val="22"/>
              </w:rPr>
            </w:pPr>
            <w:r w:rsidRPr="00797CC2">
              <w:rPr>
                <w:rFonts w:ascii="Calibri" w:hAnsi="Calibri" w:cs="Calibri"/>
                <w:color w:val="000000"/>
                <w:szCs w:val="22"/>
              </w:rPr>
              <w:t xml:space="preserve">  Gynaecology</w:t>
            </w:r>
          </w:p>
          <w:p w:rsidR="00FF061C" w:rsidRPr="00797CC2" w:rsidRDefault="00FF061C" w:rsidP="002024AC">
            <w:pPr>
              <w:rPr>
                <w:rFonts w:ascii="Calibri" w:hAnsi="Calibri" w:cs="Calibri"/>
                <w:color w:val="000000"/>
                <w:szCs w:val="22"/>
              </w:rPr>
            </w:pPr>
            <w:r w:rsidRPr="00797CC2">
              <w:rPr>
                <w:rFonts w:ascii="Calibri" w:hAnsi="Calibri" w:cs="Calibri"/>
                <w:color w:val="000000"/>
                <w:szCs w:val="22"/>
              </w:rPr>
              <w:t xml:space="preserve">  Orthopaedics</w:t>
            </w:r>
          </w:p>
          <w:p w:rsidR="00FF061C" w:rsidRPr="00797CC2" w:rsidRDefault="00FF061C" w:rsidP="002024AC">
            <w:pPr>
              <w:rPr>
                <w:rFonts w:ascii="Calibri" w:hAnsi="Calibri" w:cs="Calibri"/>
                <w:color w:val="000000"/>
                <w:szCs w:val="22"/>
              </w:rPr>
            </w:pPr>
            <w:r w:rsidRPr="00797CC2">
              <w:rPr>
                <w:rFonts w:ascii="Calibri" w:hAnsi="Calibri" w:cs="Calibri"/>
                <w:color w:val="000000"/>
                <w:szCs w:val="22"/>
              </w:rPr>
              <w:t xml:space="preserve">  Otolaryngology</w:t>
            </w:r>
          </w:p>
          <w:p w:rsidR="00FF061C" w:rsidRPr="00797CC2" w:rsidRDefault="00FF061C" w:rsidP="002024AC">
            <w:pPr>
              <w:rPr>
                <w:rFonts w:ascii="Calibri" w:hAnsi="Calibri" w:cs="Calibri"/>
                <w:color w:val="000000"/>
                <w:szCs w:val="22"/>
              </w:rPr>
            </w:pPr>
            <w:r w:rsidRPr="00797CC2">
              <w:rPr>
                <w:rFonts w:ascii="Calibri" w:hAnsi="Calibri" w:cs="Calibri"/>
                <w:color w:val="000000"/>
                <w:szCs w:val="22"/>
              </w:rPr>
              <w:t xml:space="preserve">  Paediatric</w:t>
            </w:r>
          </w:p>
          <w:p w:rsidR="00FF061C" w:rsidRPr="00797CC2" w:rsidRDefault="00FF061C" w:rsidP="002024AC">
            <w:pPr>
              <w:rPr>
                <w:rFonts w:ascii="Calibri" w:hAnsi="Calibri" w:cs="Calibri"/>
                <w:color w:val="000000"/>
                <w:szCs w:val="22"/>
              </w:rPr>
            </w:pPr>
            <w:r w:rsidRPr="00797CC2">
              <w:rPr>
                <w:rFonts w:ascii="Calibri" w:hAnsi="Calibri" w:cs="Calibri"/>
                <w:color w:val="000000"/>
                <w:szCs w:val="22"/>
              </w:rPr>
              <w:t xml:space="preserve">  Urology</w:t>
            </w:r>
          </w:p>
          <w:p w:rsidR="00FF061C" w:rsidRPr="00797CC2" w:rsidRDefault="00FF061C" w:rsidP="002024AC">
            <w:pPr>
              <w:rPr>
                <w:rFonts w:ascii="Calibri" w:hAnsi="Calibri" w:cs="Calibri"/>
                <w:color w:val="000000"/>
                <w:szCs w:val="22"/>
              </w:rPr>
            </w:pPr>
            <w:r w:rsidRPr="00797CC2">
              <w:rPr>
                <w:rFonts w:ascii="Calibri" w:hAnsi="Calibri" w:cs="Calibri"/>
                <w:color w:val="000000"/>
                <w:szCs w:val="22"/>
              </w:rPr>
              <w:t xml:space="preserve">  Vascular</w:t>
            </w:r>
          </w:p>
          <w:p w:rsidR="00FF061C" w:rsidRPr="00797CC2" w:rsidRDefault="00FF061C" w:rsidP="002024AC">
            <w:pPr>
              <w:rPr>
                <w:rFonts w:ascii="Calibri" w:hAnsi="Calibri" w:cs="Calibri"/>
                <w:color w:val="000000"/>
                <w:szCs w:val="22"/>
              </w:rPr>
            </w:pPr>
            <w:r w:rsidRPr="00797CC2">
              <w:rPr>
                <w:rFonts w:ascii="Calibri" w:hAnsi="Calibri" w:cs="Calibri"/>
                <w:color w:val="000000"/>
                <w:szCs w:val="22"/>
              </w:rPr>
              <w:t xml:space="preserve">  Other</w:t>
            </w:r>
          </w:p>
        </w:tc>
        <w:tc>
          <w:tcPr>
            <w:tcW w:w="2268" w:type="dxa"/>
          </w:tcPr>
          <w:p w:rsidR="00FF061C" w:rsidRPr="00797CC2" w:rsidRDefault="00FF061C" w:rsidP="002024AC">
            <w:pPr>
              <w:jc w:val="center"/>
              <w:rPr>
                <w:rFonts w:ascii="Calibri" w:hAnsi="Calibri"/>
                <w:b/>
                <w:color w:val="000000"/>
                <w:szCs w:val="22"/>
              </w:rPr>
            </w:pPr>
            <w:r w:rsidRPr="00797CC2">
              <w:rPr>
                <w:rFonts w:ascii="Calibri" w:hAnsi="Calibri"/>
                <w:b/>
                <w:color w:val="000000"/>
                <w:szCs w:val="22"/>
              </w:rPr>
              <w:t>179 (26)</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12 (2)</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45 (7)</w:t>
            </w:r>
          </w:p>
          <w:p w:rsidR="00FF061C" w:rsidRPr="00797CC2" w:rsidRDefault="00FF061C" w:rsidP="007D65BE">
            <w:pPr>
              <w:jc w:val="center"/>
              <w:rPr>
                <w:rFonts w:ascii="Calibri" w:hAnsi="Calibri"/>
                <w:color w:val="000000"/>
                <w:szCs w:val="22"/>
              </w:rPr>
            </w:pPr>
            <w:r w:rsidRPr="00797CC2">
              <w:rPr>
                <w:rFonts w:ascii="Calibri" w:hAnsi="Calibri"/>
                <w:color w:val="000000"/>
                <w:szCs w:val="22"/>
              </w:rPr>
              <w:t>21 (3)</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60 (9)</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7 (1)</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7 (1)</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13 (2)</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3 (0.5)</w:t>
            </w:r>
          </w:p>
          <w:p w:rsidR="00FF061C" w:rsidRPr="00797CC2" w:rsidRDefault="00FF061C" w:rsidP="002024AC">
            <w:pPr>
              <w:jc w:val="center"/>
              <w:rPr>
                <w:rFonts w:ascii="Calibri" w:hAnsi="Calibri"/>
                <w:color w:val="000000"/>
                <w:szCs w:val="22"/>
              </w:rPr>
            </w:pPr>
            <w:r w:rsidRPr="00797CC2">
              <w:rPr>
                <w:rFonts w:ascii="Calibri" w:hAnsi="Calibri"/>
                <w:color w:val="000000"/>
                <w:szCs w:val="22"/>
              </w:rPr>
              <w:t>11 (2)</w:t>
            </w:r>
          </w:p>
        </w:tc>
      </w:tr>
      <w:tr w:rsidR="00FF061C" w:rsidRPr="00797CC2" w:rsidTr="00886117">
        <w:tc>
          <w:tcPr>
            <w:tcW w:w="4678" w:type="dxa"/>
            <w:vAlign w:val="bottom"/>
          </w:tcPr>
          <w:p w:rsidR="00FF061C" w:rsidRPr="00797CC2" w:rsidRDefault="00FF061C" w:rsidP="002024AC">
            <w:pPr>
              <w:rPr>
                <w:rFonts w:cs="Arial"/>
                <w:b/>
                <w:szCs w:val="22"/>
              </w:rPr>
            </w:pPr>
            <w:r w:rsidRPr="00797CC2">
              <w:rPr>
                <w:rFonts w:cs="Arial"/>
                <w:b/>
                <w:szCs w:val="22"/>
              </w:rPr>
              <w:t>Other health service</w:t>
            </w:r>
          </w:p>
        </w:tc>
        <w:tc>
          <w:tcPr>
            <w:tcW w:w="2268" w:type="dxa"/>
            <w:vAlign w:val="center"/>
          </w:tcPr>
          <w:p w:rsidR="00FF061C" w:rsidRPr="00797CC2" w:rsidRDefault="00FF061C" w:rsidP="002024AC">
            <w:pPr>
              <w:jc w:val="center"/>
              <w:rPr>
                <w:rFonts w:ascii="Calibri" w:hAnsi="Calibri"/>
                <w:b/>
                <w:color w:val="000000"/>
                <w:szCs w:val="22"/>
              </w:rPr>
            </w:pPr>
            <w:r w:rsidRPr="00797CC2">
              <w:rPr>
                <w:rFonts w:ascii="Calibri" w:hAnsi="Calibri"/>
                <w:b/>
                <w:color w:val="000000"/>
                <w:szCs w:val="22"/>
              </w:rPr>
              <w:t>30 (4)</w:t>
            </w:r>
          </w:p>
        </w:tc>
      </w:tr>
      <w:tr w:rsidR="00FF061C" w:rsidRPr="00797CC2" w:rsidTr="00C219ED">
        <w:tc>
          <w:tcPr>
            <w:tcW w:w="4678" w:type="dxa"/>
            <w:shd w:val="clear" w:color="auto" w:fill="C00000"/>
          </w:tcPr>
          <w:p w:rsidR="00FF061C" w:rsidRPr="00797CC2" w:rsidRDefault="00FF061C" w:rsidP="002024AC">
            <w:pPr>
              <w:tabs>
                <w:tab w:val="left" w:pos="1440"/>
                <w:tab w:val="decimal" w:pos="4320"/>
              </w:tabs>
              <w:spacing w:before="100" w:beforeAutospacing="1" w:after="100" w:afterAutospacing="1"/>
              <w:jc w:val="left"/>
              <w:outlineLvl w:val="0"/>
              <w:rPr>
                <w:rFonts w:ascii="Calibri" w:hAnsi="Calibri"/>
                <w:b/>
                <w:szCs w:val="22"/>
              </w:rPr>
            </w:pPr>
            <w:r w:rsidRPr="00797CC2">
              <w:rPr>
                <w:rFonts w:ascii="Calibri" w:hAnsi="Calibri"/>
                <w:b/>
                <w:szCs w:val="22"/>
              </w:rPr>
              <w:t>TOTAL</w:t>
            </w:r>
          </w:p>
        </w:tc>
        <w:tc>
          <w:tcPr>
            <w:tcW w:w="2268" w:type="dxa"/>
            <w:shd w:val="clear" w:color="auto" w:fill="C00000"/>
            <w:vAlign w:val="center"/>
          </w:tcPr>
          <w:p w:rsidR="00FF061C" w:rsidRPr="00797CC2" w:rsidRDefault="00FF061C" w:rsidP="002024AC">
            <w:pPr>
              <w:jc w:val="center"/>
              <w:rPr>
                <w:rFonts w:ascii="Calibri" w:hAnsi="Calibri" w:cs="Calibri"/>
                <w:b/>
                <w:color w:val="000000"/>
                <w:szCs w:val="22"/>
              </w:rPr>
            </w:pPr>
            <w:r w:rsidRPr="00797CC2">
              <w:rPr>
                <w:rFonts w:ascii="Calibri" w:hAnsi="Calibri" w:cs="Calibri"/>
                <w:b/>
                <w:color w:val="000000"/>
                <w:szCs w:val="22"/>
              </w:rPr>
              <w:t>685</w:t>
            </w:r>
          </w:p>
        </w:tc>
      </w:tr>
    </w:tbl>
    <w:p w:rsidR="00E84233" w:rsidRPr="00797CC2" w:rsidRDefault="00E84233" w:rsidP="00E84233"/>
    <w:p w:rsidR="004C794C" w:rsidRPr="00797CC2" w:rsidRDefault="004C794C" w:rsidP="00E84233">
      <w:r w:rsidRPr="00797CC2">
        <w:t xml:space="preserve">It should be noted </w:t>
      </w:r>
      <w:r w:rsidR="005202DE" w:rsidRPr="00797CC2">
        <w:t>that some complaints involve more than one DHB and/or more than one hospital, therefore, although there were 660 complaints about DHBs, 685 services have been complained about.</w:t>
      </w:r>
    </w:p>
    <w:p w:rsidR="004C794C" w:rsidRPr="00797CC2" w:rsidRDefault="004C794C">
      <w:r w:rsidRPr="00797CC2">
        <w:br w:type="page"/>
      </w:r>
    </w:p>
    <w:p w:rsidR="00CF2483" w:rsidRPr="00797CC2" w:rsidRDefault="00CF2483" w:rsidP="00E84233"/>
    <w:p w:rsidR="005202DE" w:rsidRPr="00797CC2" w:rsidRDefault="005202DE">
      <w:pPr>
        <w:rPr>
          <w:rFonts w:ascii="Calibri" w:hAnsi="Calibri"/>
          <w:szCs w:val="22"/>
        </w:rPr>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5202DE" w:rsidRPr="00797CC2" w:rsidTr="00C219ED">
        <w:tc>
          <w:tcPr>
            <w:tcW w:w="9298" w:type="dxa"/>
          </w:tcPr>
          <w:p w:rsidR="00C219ED" w:rsidRDefault="00C219ED" w:rsidP="00E32984">
            <w:pPr>
              <w:tabs>
                <w:tab w:val="left" w:pos="1440"/>
                <w:tab w:val="left" w:pos="2610"/>
              </w:tabs>
              <w:jc w:val="center"/>
              <w:outlineLvl w:val="0"/>
              <w:rPr>
                <w:rFonts w:ascii="Calibri" w:hAnsi="Calibri"/>
                <w:b/>
                <w:sz w:val="28"/>
                <w:szCs w:val="28"/>
              </w:rPr>
            </w:pPr>
            <w:bookmarkStart w:id="14" w:name="_Toc398125959"/>
          </w:p>
          <w:p w:rsidR="00E32984" w:rsidRPr="00797CC2" w:rsidRDefault="00E32984" w:rsidP="00E32984">
            <w:pPr>
              <w:tabs>
                <w:tab w:val="left" w:pos="1440"/>
                <w:tab w:val="left" w:pos="2610"/>
              </w:tabs>
              <w:jc w:val="center"/>
              <w:outlineLvl w:val="0"/>
              <w:rPr>
                <w:rFonts w:ascii="Calibri" w:hAnsi="Calibri"/>
                <w:b/>
                <w:sz w:val="28"/>
                <w:szCs w:val="28"/>
              </w:rPr>
            </w:pPr>
            <w:r w:rsidRPr="00797CC2">
              <w:rPr>
                <w:rFonts w:ascii="Calibri" w:hAnsi="Calibri"/>
                <w:b/>
                <w:sz w:val="28"/>
                <w:szCs w:val="28"/>
              </w:rPr>
              <w:t>Case study</w:t>
            </w:r>
          </w:p>
          <w:p w:rsidR="005202DE" w:rsidRPr="00797CC2" w:rsidRDefault="00ED2B9C" w:rsidP="00E32984">
            <w:pPr>
              <w:tabs>
                <w:tab w:val="left" w:pos="1440"/>
                <w:tab w:val="left" w:pos="2610"/>
              </w:tabs>
              <w:jc w:val="center"/>
              <w:outlineLvl w:val="0"/>
              <w:rPr>
                <w:rFonts w:ascii="Calibri" w:hAnsi="Calibri"/>
                <w:b/>
                <w:sz w:val="28"/>
                <w:szCs w:val="28"/>
              </w:rPr>
            </w:pPr>
            <w:r w:rsidRPr="00797CC2">
              <w:rPr>
                <w:rFonts w:ascii="Calibri" w:hAnsi="Calibri"/>
                <w:b/>
                <w:sz w:val="28"/>
                <w:szCs w:val="28"/>
              </w:rPr>
              <w:t>Complaint about</w:t>
            </w:r>
            <w:r w:rsidR="0056518A" w:rsidRPr="00797CC2">
              <w:rPr>
                <w:rFonts w:ascii="Calibri" w:hAnsi="Calibri"/>
                <w:b/>
                <w:sz w:val="28"/>
                <w:szCs w:val="28"/>
              </w:rPr>
              <w:t xml:space="preserve"> </w:t>
            </w:r>
            <w:r w:rsidR="0093245C" w:rsidRPr="00797CC2">
              <w:rPr>
                <w:rFonts w:ascii="Calibri" w:hAnsi="Calibri"/>
                <w:b/>
                <w:sz w:val="28"/>
                <w:szCs w:val="28"/>
              </w:rPr>
              <w:t>surgery</w:t>
            </w:r>
          </w:p>
          <w:p w:rsidR="00D5021D" w:rsidRPr="00797CC2" w:rsidRDefault="00D5021D" w:rsidP="00D5021D">
            <w:pPr>
              <w:tabs>
                <w:tab w:val="left" w:pos="1440"/>
                <w:tab w:val="left" w:pos="2610"/>
              </w:tabs>
              <w:spacing w:before="240" w:after="120"/>
              <w:outlineLvl w:val="0"/>
              <w:rPr>
                <w:rFonts w:ascii="Calibri" w:hAnsi="Calibri"/>
                <w:szCs w:val="22"/>
              </w:rPr>
            </w:pPr>
            <w:r w:rsidRPr="00797CC2">
              <w:rPr>
                <w:rFonts w:ascii="Calibri" w:hAnsi="Calibri"/>
                <w:szCs w:val="22"/>
              </w:rPr>
              <w:t>A man was admitted to a public hospital for removal of his left kidney and spleen, due to a cancerous growth. The man’s pancreas was damaged during surgery, which caused perit</w:t>
            </w:r>
            <w:r w:rsidR="002A7E59" w:rsidRPr="00797CC2">
              <w:rPr>
                <w:rFonts w:ascii="Calibri" w:hAnsi="Calibri"/>
                <w:szCs w:val="22"/>
              </w:rPr>
              <w:t xml:space="preserve">onitis and led to pneumonia and </w:t>
            </w:r>
            <w:r w:rsidRPr="00797CC2">
              <w:rPr>
                <w:rFonts w:ascii="Calibri" w:hAnsi="Calibri"/>
                <w:szCs w:val="22"/>
              </w:rPr>
              <w:t xml:space="preserve">cardiac arrest. The man’s wife complained to HDC about a number of issues arising from his admission to the public hospital. Her complaint was largely about the lack of information </w:t>
            </w:r>
            <w:r w:rsidR="00C011FA" w:rsidRPr="00797CC2">
              <w:rPr>
                <w:rFonts w:ascii="Calibri" w:hAnsi="Calibri"/>
                <w:szCs w:val="22"/>
              </w:rPr>
              <w:t xml:space="preserve">provided about the man’s condition, including that they were not informed about the damage to his pancreas until 12 days after surgery. She was also concerned about the length of time it took to treat the pancreatic damage, the manner of nurses involved in the man’s care, and the standard of care he received during his recovery. </w:t>
            </w:r>
          </w:p>
          <w:p w:rsidR="004C0742" w:rsidRPr="00797CC2" w:rsidRDefault="0093245C" w:rsidP="004C0742">
            <w:pPr>
              <w:tabs>
                <w:tab w:val="left" w:pos="1440"/>
                <w:tab w:val="left" w:pos="2610"/>
              </w:tabs>
              <w:spacing w:before="240" w:after="120"/>
              <w:outlineLvl w:val="0"/>
              <w:rPr>
                <w:rFonts w:ascii="Calibri" w:hAnsi="Calibri"/>
                <w:szCs w:val="22"/>
              </w:rPr>
            </w:pPr>
            <w:r w:rsidRPr="00797CC2">
              <w:rPr>
                <w:rFonts w:ascii="Calibri" w:hAnsi="Calibri"/>
                <w:szCs w:val="22"/>
              </w:rPr>
              <w:t>HDC sought a response to the</w:t>
            </w:r>
            <w:r w:rsidR="00C011FA" w:rsidRPr="00797CC2">
              <w:rPr>
                <w:rFonts w:ascii="Calibri" w:hAnsi="Calibri"/>
                <w:szCs w:val="22"/>
              </w:rPr>
              <w:t xml:space="preserve"> complaint from the public hospital. </w:t>
            </w:r>
            <w:r w:rsidRPr="00797CC2">
              <w:rPr>
                <w:rFonts w:ascii="Calibri" w:hAnsi="Calibri"/>
                <w:szCs w:val="22"/>
              </w:rPr>
              <w:t>As a result, the hospital</w:t>
            </w:r>
            <w:r w:rsidR="00C011FA" w:rsidRPr="00797CC2">
              <w:rPr>
                <w:rFonts w:ascii="Calibri" w:hAnsi="Calibri"/>
                <w:szCs w:val="22"/>
              </w:rPr>
              <w:t xml:space="preserve"> undertook full, independent nursing and medical reviews into the man’s care. While the reviews found that the standard of </w:t>
            </w:r>
            <w:r w:rsidRPr="00797CC2">
              <w:rPr>
                <w:rFonts w:ascii="Calibri" w:hAnsi="Calibri"/>
                <w:szCs w:val="22"/>
              </w:rPr>
              <w:t xml:space="preserve">clinical </w:t>
            </w:r>
            <w:r w:rsidR="00C011FA" w:rsidRPr="00797CC2">
              <w:rPr>
                <w:rFonts w:ascii="Calibri" w:hAnsi="Calibri"/>
                <w:szCs w:val="22"/>
              </w:rPr>
              <w:t xml:space="preserve">care was generally appropriate, both reviews identified a significant lack of communication between medical staff and the man. </w:t>
            </w:r>
            <w:r w:rsidRPr="00797CC2">
              <w:rPr>
                <w:rFonts w:ascii="Calibri" w:hAnsi="Calibri"/>
                <w:szCs w:val="22"/>
              </w:rPr>
              <w:t xml:space="preserve"> T</w:t>
            </w:r>
            <w:r w:rsidR="004C0742" w:rsidRPr="00797CC2">
              <w:rPr>
                <w:rFonts w:ascii="Calibri" w:hAnsi="Calibri"/>
                <w:szCs w:val="22"/>
              </w:rPr>
              <w:t>he nursing review recommended that there be improvement to documentation, and that communication and</w:t>
            </w:r>
            <w:r w:rsidRPr="00797CC2">
              <w:rPr>
                <w:rFonts w:ascii="Calibri" w:hAnsi="Calibri"/>
                <w:szCs w:val="22"/>
              </w:rPr>
              <w:t xml:space="preserve"> explanations be recorded in patient</w:t>
            </w:r>
            <w:r w:rsidR="004C0742" w:rsidRPr="00797CC2">
              <w:rPr>
                <w:rFonts w:ascii="Calibri" w:hAnsi="Calibri"/>
                <w:szCs w:val="22"/>
              </w:rPr>
              <w:t xml:space="preserve"> notes</w:t>
            </w:r>
            <w:r w:rsidRPr="00797CC2">
              <w:rPr>
                <w:rFonts w:ascii="Calibri" w:hAnsi="Calibri"/>
                <w:szCs w:val="22"/>
              </w:rPr>
              <w:t xml:space="preserve"> going forward</w:t>
            </w:r>
            <w:r w:rsidR="004C0742" w:rsidRPr="00797CC2">
              <w:rPr>
                <w:rFonts w:ascii="Calibri" w:hAnsi="Calibri"/>
                <w:szCs w:val="22"/>
              </w:rPr>
              <w:t xml:space="preserve">. The medical reviewer </w:t>
            </w:r>
            <w:r w:rsidRPr="00797CC2">
              <w:rPr>
                <w:rFonts w:ascii="Calibri" w:hAnsi="Calibri"/>
                <w:szCs w:val="22"/>
              </w:rPr>
              <w:t>not</w:t>
            </w:r>
            <w:r w:rsidR="004C0742" w:rsidRPr="00797CC2">
              <w:rPr>
                <w:rFonts w:ascii="Calibri" w:hAnsi="Calibri"/>
                <w:szCs w:val="22"/>
              </w:rPr>
              <w:t>ed that he would have expected the man and his wife to</w:t>
            </w:r>
            <w:r w:rsidR="00B77ECC" w:rsidRPr="00797CC2">
              <w:rPr>
                <w:rFonts w:ascii="Calibri" w:hAnsi="Calibri"/>
                <w:szCs w:val="22"/>
              </w:rPr>
              <w:t xml:space="preserve"> have</w:t>
            </w:r>
            <w:r w:rsidR="004C0742" w:rsidRPr="00797CC2">
              <w:rPr>
                <w:rFonts w:ascii="Calibri" w:hAnsi="Calibri"/>
                <w:szCs w:val="22"/>
              </w:rPr>
              <w:t xml:space="preserve"> be</w:t>
            </w:r>
            <w:r w:rsidR="00B77ECC" w:rsidRPr="00797CC2">
              <w:rPr>
                <w:rFonts w:ascii="Calibri" w:hAnsi="Calibri"/>
                <w:szCs w:val="22"/>
              </w:rPr>
              <w:t>en</w:t>
            </w:r>
            <w:r w:rsidR="004C0742" w:rsidRPr="00797CC2">
              <w:rPr>
                <w:rFonts w:ascii="Calibri" w:hAnsi="Calibri"/>
                <w:szCs w:val="22"/>
              </w:rPr>
              <w:t xml:space="preserve"> contacted as soon as it was recognised that there was a pancreatic injury.</w:t>
            </w:r>
          </w:p>
          <w:p w:rsidR="004C0742" w:rsidRPr="00797CC2" w:rsidRDefault="004C0742" w:rsidP="004C0742">
            <w:r w:rsidRPr="00797CC2">
              <w:rPr>
                <w:rFonts w:ascii="Calibri" w:hAnsi="Calibri"/>
                <w:szCs w:val="22"/>
              </w:rPr>
              <w:t>The DHB acknowledged that aspects of the care provided were unacceptable, and that</w:t>
            </w:r>
            <w:r w:rsidR="002A7E59" w:rsidRPr="00797CC2">
              <w:rPr>
                <w:rFonts w:ascii="Calibri" w:hAnsi="Calibri"/>
                <w:szCs w:val="22"/>
              </w:rPr>
              <w:t xml:space="preserve"> their</w:t>
            </w:r>
            <w:r w:rsidRPr="00797CC2">
              <w:rPr>
                <w:rFonts w:ascii="Calibri" w:hAnsi="Calibri"/>
                <w:szCs w:val="22"/>
              </w:rPr>
              <w:t xml:space="preserve"> failing </w:t>
            </w:r>
            <w:r w:rsidRPr="00797CC2">
              <w:t xml:space="preserve">to adequately communicate with </w:t>
            </w:r>
            <w:r w:rsidR="00882F17" w:rsidRPr="00797CC2">
              <w:t>the man and his wife</w:t>
            </w:r>
            <w:r w:rsidRPr="00797CC2">
              <w:t xml:space="preserve"> caused a con</w:t>
            </w:r>
            <w:r w:rsidR="0093245C" w:rsidRPr="00797CC2">
              <w:t>siderable amount of distress.  T</w:t>
            </w:r>
            <w:r w:rsidR="00882F17" w:rsidRPr="00797CC2">
              <w:t>he DHB</w:t>
            </w:r>
            <w:r w:rsidRPr="00797CC2">
              <w:t xml:space="preserve"> </w:t>
            </w:r>
            <w:r w:rsidR="0093245C" w:rsidRPr="00797CC2">
              <w:t>decided</w:t>
            </w:r>
            <w:r w:rsidRPr="00797CC2">
              <w:t xml:space="preserve"> to draw up an action plan to address the recommendations outlined in both reviews</w:t>
            </w:r>
            <w:r w:rsidR="00F27DFD" w:rsidRPr="00797CC2">
              <w:t xml:space="preserve">. The DHB also expressed a wish to present the reviews to the couple, apologise directly, and ask for their input into service improvements. </w:t>
            </w:r>
          </w:p>
          <w:p w:rsidR="00C219ED" w:rsidRDefault="00882F17" w:rsidP="00C219ED">
            <w:pPr>
              <w:tabs>
                <w:tab w:val="left" w:pos="1440"/>
                <w:tab w:val="left" w:pos="2610"/>
              </w:tabs>
              <w:spacing w:before="240"/>
              <w:outlineLvl w:val="0"/>
              <w:rPr>
                <w:rFonts w:ascii="Calibri" w:hAnsi="Calibri"/>
                <w:szCs w:val="22"/>
              </w:rPr>
            </w:pPr>
            <w:r w:rsidRPr="00797CC2">
              <w:rPr>
                <w:rFonts w:ascii="Calibri" w:hAnsi="Calibri"/>
                <w:szCs w:val="22"/>
              </w:rPr>
              <w:t xml:space="preserve">The DHB was asked to provide HDC with a copy of the action plan once it had been drawn up, along with the minutes from any meetings held with the couple. </w:t>
            </w:r>
          </w:p>
          <w:p w:rsidR="00C219ED" w:rsidRPr="00797CC2" w:rsidRDefault="00C219ED" w:rsidP="00C219ED">
            <w:pPr>
              <w:tabs>
                <w:tab w:val="left" w:pos="1440"/>
                <w:tab w:val="left" w:pos="2610"/>
              </w:tabs>
              <w:spacing w:before="240"/>
              <w:outlineLvl w:val="0"/>
              <w:rPr>
                <w:rFonts w:ascii="Calibri" w:hAnsi="Calibri"/>
                <w:szCs w:val="22"/>
              </w:rPr>
            </w:pPr>
          </w:p>
        </w:tc>
      </w:tr>
    </w:tbl>
    <w:p w:rsidR="005D4251" w:rsidRPr="00797CC2" w:rsidRDefault="005D4251" w:rsidP="00291ADA"/>
    <w:p w:rsidR="005D4251" w:rsidRPr="00797CC2" w:rsidRDefault="005D4251">
      <w:pPr>
        <w:rPr>
          <w:rFonts w:cs="Arial"/>
          <w:b/>
          <w:bCs/>
          <w:szCs w:val="26"/>
        </w:rPr>
      </w:pPr>
      <w:r w:rsidRPr="00797CC2">
        <w:rPr>
          <w:b/>
          <w:i/>
        </w:rPr>
        <w:br w:type="page"/>
      </w:r>
    </w:p>
    <w:p w:rsidR="003E1C5E" w:rsidRPr="00797CC2" w:rsidRDefault="003E1C5E" w:rsidP="00E84233">
      <w:pPr>
        <w:pStyle w:val="Heading3"/>
        <w:spacing w:before="240" w:after="120"/>
        <w:rPr>
          <w:b/>
          <w:i w:val="0"/>
          <w:sz w:val="28"/>
          <w:szCs w:val="28"/>
        </w:rPr>
      </w:pPr>
      <w:bookmarkStart w:id="15" w:name="_Toc404344430"/>
      <w:r w:rsidRPr="00797CC2">
        <w:rPr>
          <w:b/>
          <w:i w:val="0"/>
          <w:sz w:val="28"/>
          <w:szCs w:val="28"/>
        </w:rPr>
        <w:t>2.2</w:t>
      </w:r>
      <w:r w:rsidRPr="00797CC2">
        <w:rPr>
          <w:b/>
          <w:i w:val="0"/>
          <w:sz w:val="28"/>
          <w:szCs w:val="28"/>
        </w:rPr>
        <w:tab/>
      </w:r>
      <w:bookmarkEnd w:id="14"/>
      <w:r w:rsidR="004C794C" w:rsidRPr="00797CC2">
        <w:rPr>
          <w:b/>
          <w:i w:val="0"/>
          <w:sz w:val="28"/>
          <w:szCs w:val="28"/>
        </w:rPr>
        <w:tab/>
      </w:r>
      <w:r w:rsidR="00DA6001" w:rsidRPr="00797CC2">
        <w:rPr>
          <w:b/>
          <w:i w:val="0"/>
          <w:sz w:val="28"/>
          <w:szCs w:val="28"/>
        </w:rPr>
        <w:t>P</w:t>
      </w:r>
      <w:r w:rsidR="00ED2B9C" w:rsidRPr="00797CC2">
        <w:rPr>
          <w:b/>
          <w:i w:val="0"/>
          <w:sz w:val="28"/>
          <w:szCs w:val="28"/>
        </w:rPr>
        <w:t>rofessions</w:t>
      </w:r>
      <w:r w:rsidR="0093245C" w:rsidRPr="00797CC2">
        <w:rPr>
          <w:b/>
          <w:i w:val="0"/>
          <w:sz w:val="28"/>
          <w:szCs w:val="28"/>
        </w:rPr>
        <w:t xml:space="preserve"> of </w:t>
      </w:r>
      <w:r w:rsidR="004C794C" w:rsidRPr="00797CC2">
        <w:rPr>
          <w:b/>
          <w:i w:val="0"/>
          <w:sz w:val="28"/>
          <w:szCs w:val="28"/>
        </w:rPr>
        <w:t xml:space="preserve">individual providers </w:t>
      </w:r>
      <w:r w:rsidR="0093245C" w:rsidRPr="00797CC2">
        <w:rPr>
          <w:b/>
          <w:i w:val="0"/>
          <w:sz w:val="28"/>
          <w:szCs w:val="28"/>
        </w:rPr>
        <w:t>complained about</w:t>
      </w:r>
      <w:bookmarkEnd w:id="15"/>
    </w:p>
    <w:p w:rsidR="009058FD" w:rsidRPr="00797CC2" w:rsidRDefault="0093245C" w:rsidP="00546D8E">
      <w:pPr>
        <w:rPr>
          <w:b/>
        </w:rPr>
      </w:pPr>
      <w:r w:rsidRPr="00797CC2">
        <w:t xml:space="preserve">When people complain about services provided to them, they often complain about particular individuals involved in the provision of those services.  The </w:t>
      </w:r>
      <w:r w:rsidR="00ED2B9C" w:rsidRPr="00797CC2">
        <w:t>professions</w:t>
      </w:r>
      <w:r w:rsidRPr="00797CC2">
        <w:t xml:space="preserve"> of the individual providers identified in complaints about DHB services are shown in </w:t>
      </w:r>
      <w:r w:rsidR="00ED2B9C" w:rsidRPr="00797CC2">
        <w:t>Table 2</w:t>
      </w:r>
      <w:r w:rsidRPr="00797CC2">
        <w:t xml:space="preserve"> below.  </w:t>
      </w:r>
    </w:p>
    <w:p w:rsidR="00ED2B9C" w:rsidRPr="00797CC2" w:rsidRDefault="00ED2B9C" w:rsidP="00ED2B9C">
      <w:pPr>
        <w:rPr>
          <w:b/>
        </w:rPr>
      </w:pPr>
    </w:p>
    <w:p w:rsidR="00925204" w:rsidRPr="00797CC2" w:rsidRDefault="00ED2B9C" w:rsidP="00E84233">
      <w:pPr>
        <w:spacing w:after="120"/>
      </w:pPr>
      <w:r w:rsidRPr="00797CC2">
        <w:rPr>
          <w:b/>
        </w:rPr>
        <w:t>Table 2</w:t>
      </w:r>
      <w:r w:rsidR="00F46AED" w:rsidRPr="00797CC2">
        <w:rPr>
          <w:b/>
        </w:rPr>
        <w:t xml:space="preserve">. </w:t>
      </w:r>
      <w:r w:rsidR="00DA6001" w:rsidRPr="00797CC2">
        <w:t>Professions</w:t>
      </w:r>
      <w:r w:rsidR="00F46AED" w:rsidRPr="00797CC2">
        <w:t xml:space="preserve"> of individual providers </w:t>
      </w:r>
      <w:r w:rsidR="0056518A" w:rsidRPr="00797CC2">
        <w:t>complained about in</w:t>
      </w:r>
      <w:r w:rsidR="00F46AED" w:rsidRPr="00797CC2">
        <w:t xml:space="preserve"> </w:t>
      </w:r>
      <w:r w:rsidRPr="00797CC2">
        <w:t xml:space="preserve">DHB </w:t>
      </w:r>
      <w:r w:rsidR="00F46AED" w:rsidRPr="00797CC2">
        <w:t>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693"/>
      </w:tblGrid>
      <w:tr w:rsidR="007853C7" w:rsidRPr="00797CC2" w:rsidTr="00EB423D">
        <w:trPr>
          <w:trHeight w:val="624"/>
          <w:tblHeader/>
        </w:trPr>
        <w:tc>
          <w:tcPr>
            <w:tcW w:w="4253" w:type="dxa"/>
          </w:tcPr>
          <w:p w:rsidR="007853C7" w:rsidRPr="00797CC2" w:rsidRDefault="007853C7" w:rsidP="00EB423D">
            <w:pPr>
              <w:tabs>
                <w:tab w:val="left" w:pos="1440"/>
                <w:tab w:val="decimal" w:pos="4320"/>
              </w:tabs>
              <w:spacing w:before="120" w:after="120"/>
              <w:jc w:val="center"/>
              <w:outlineLvl w:val="0"/>
              <w:rPr>
                <w:rFonts w:ascii="Calibri" w:hAnsi="Calibri"/>
                <w:b/>
                <w:szCs w:val="22"/>
                <w:vertAlign w:val="superscript"/>
              </w:rPr>
            </w:pPr>
            <w:r w:rsidRPr="00797CC2">
              <w:rPr>
                <w:rFonts w:ascii="Calibri" w:hAnsi="Calibri"/>
                <w:b/>
                <w:szCs w:val="22"/>
              </w:rPr>
              <w:t>Occupation</w:t>
            </w:r>
          </w:p>
        </w:tc>
        <w:tc>
          <w:tcPr>
            <w:tcW w:w="2693" w:type="dxa"/>
          </w:tcPr>
          <w:p w:rsidR="007853C7" w:rsidRPr="00797CC2" w:rsidRDefault="007853C7" w:rsidP="00EB423D">
            <w:pPr>
              <w:tabs>
                <w:tab w:val="left" w:pos="1440"/>
                <w:tab w:val="decimal" w:pos="4320"/>
              </w:tabs>
              <w:spacing w:before="120" w:after="120"/>
              <w:jc w:val="center"/>
              <w:outlineLvl w:val="0"/>
              <w:rPr>
                <w:rFonts w:ascii="Calibri" w:hAnsi="Calibri"/>
                <w:b/>
                <w:szCs w:val="22"/>
              </w:rPr>
            </w:pPr>
            <w:r w:rsidRPr="00797CC2">
              <w:rPr>
                <w:rFonts w:ascii="Calibri" w:hAnsi="Calibri"/>
                <w:b/>
                <w:szCs w:val="22"/>
              </w:rPr>
              <w:t>Number of individuals (%)</w:t>
            </w:r>
          </w:p>
        </w:tc>
      </w:tr>
      <w:tr w:rsidR="007853C7" w:rsidRPr="00797CC2" w:rsidTr="00C219ED">
        <w:trPr>
          <w:trHeight w:val="168"/>
        </w:trPr>
        <w:tc>
          <w:tcPr>
            <w:tcW w:w="4253" w:type="dxa"/>
            <w:shd w:val="clear" w:color="auto" w:fill="C00000"/>
            <w:vAlign w:val="bottom"/>
          </w:tcPr>
          <w:p w:rsidR="007853C7" w:rsidRPr="00C219ED" w:rsidRDefault="007853C7" w:rsidP="00EB423D">
            <w:pPr>
              <w:jc w:val="left"/>
              <w:rPr>
                <w:rFonts w:ascii="Calibri" w:hAnsi="Calibri" w:cs="Calibri"/>
                <w:b/>
                <w:i/>
                <w:color w:val="FFFFFF" w:themeColor="background1"/>
                <w:szCs w:val="22"/>
              </w:rPr>
            </w:pPr>
            <w:r w:rsidRPr="00C219ED">
              <w:rPr>
                <w:rFonts w:ascii="Calibri" w:hAnsi="Calibri" w:cs="Calibri"/>
                <w:b/>
                <w:i/>
                <w:color w:val="FFFFFF" w:themeColor="background1"/>
                <w:szCs w:val="22"/>
              </w:rPr>
              <w:t>Doctors</w:t>
            </w:r>
          </w:p>
        </w:tc>
        <w:tc>
          <w:tcPr>
            <w:tcW w:w="2693" w:type="dxa"/>
            <w:shd w:val="clear" w:color="auto" w:fill="C00000"/>
            <w:vAlign w:val="center"/>
          </w:tcPr>
          <w:p w:rsidR="007853C7" w:rsidRPr="00C219ED" w:rsidRDefault="007853C7" w:rsidP="00EB423D">
            <w:pPr>
              <w:jc w:val="center"/>
              <w:rPr>
                <w:rFonts w:ascii="Calibri" w:hAnsi="Calibri"/>
                <w:b/>
                <w:i/>
                <w:color w:val="FFFFFF" w:themeColor="background1"/>
                <w:szCs w:val="22"/>
              </w:rPr>
            </w:pPr>
            <w:r w:rsidRPr="00C219ED">
              <w:rPr>
                <w:rFonts w:ascii="Calibri" w:hAnsi="Calibri"/>
                <w:b/>
                <w:i/>
                <w:color w:val="FFFFFF" w:themeColor="background1"/>
                <w:szCs w:val="22"/>
              </w:rPr>
              <w:t>184(75)</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Anaesthetist</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3(1)</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Cardiothoracic surgeon</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3(1)</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Emergency medicine specialist</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5(2)</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General surgeon</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30(12)</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House officer</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3(1)</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Internal medicine specialist</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30(12)</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Medical officer</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4(2)</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Neurosurgeon</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5(2)</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Obstetrician/gynaecologist</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20(8)</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Ophthalmologist</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5(2)</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Orthopaedic surgeon</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18(7)</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Paediatric surgeon</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3(1)</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Paediatrician</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8(3)</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Psychiatrist</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23(9)</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Registrar</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5(2)</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Urgent care specialist</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3(1)</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Urologist</w:t>
            </w:r>
          </w:p>
        </w:tc>
        <w:tc>
          <w:tcPr>
            <w:tcW w:w="2693" w:type="dxa"/>
            <w:shd w:val="clear" w:color="auto" w:fill="FFFFFF" w:themeFill="background1"/>
            <w:vAlign w:val="center"/>
          </w:tcPr>
          <w:p w:rsidR="007853C7" w:rsidRPr="00797CC2" w:rsidRDefault="005B7D43" w:rsidP="00EB423D">
            <w:pPr>
              <w:jc w:val="center"/>
              <w:rPr>
                <w:rFonts w:ascii="Calibri" w:hAnsi="Calibri"/>
                <w:color w:val="000000"/>
                <w:szCs w:val="22"/>
              </w:rPr>
            </w:pPr>
            <w:r w:rsidRPr="00797CC2">
              <w:rPr>
                <w:rFonts w:ascii="Calibri" w:hAnsi="Calibri"/>
                <w:color w:val="000000"/>
                <w:szCs w:val="22"/>
              </w:rPr>
              <w:t>6(2</w:t>
            </w:r>
            <w:r w:rsidR="007853C7" w:rsidRPr="00797CC2">
              <w:rPr>
                <w:rFonts w:ascii="Calibri" w:hAnsi="Calibri"/>
                <w:color w:val="000000"/>
                <w:szCs w:val="22"/>
              </w:rPr>
              <w:t>)</w:t>
            </w:r>
          </w:p>
        </w:tc>
      </w:tr>
      <w:tr w:rsidR="007853C7" w:rsidRPr="00797CC2" w:rsidTr="00EB423D">
        <w:trPr>
          <w:trHeight w:val="185"/>
        </w:trPr>
        <w:tc>
          <w:tcPr>
            <w:tcW w:w="4253" w:type="dxa"/>
            <w:shd w:val="clear" w:color="auto" w:fill="FFFFFF" w:themeFill="background1"/>
            <w:vAlign w:val="bottom"/>
          </w:tcPr>
          <w:p w:rsidR="007853C7" w:rsidRPr="00797CC2" w:rsidRDefault="007853C7" w:rsidP="00EB423D">
            <w:pPr>
              <w:jc w:val="left"/>
              <w:rPr>
                <w:rFonts w:ascii="Calibri" w:hAnsi="Calibri" w:cs="Calibri"/>
                <w:color w:val="000000"/>
                <w:szCs w:val="22"/>
              </w:rPr>
            </w:pPr>
            <w:r w:rsidRPr="00797CC2">
              <w:rPr>
                <w:rFonts w:ascii="Calibri" w:hAnsi="Calibri" w:cs="Calibri"/>
                <w:color w:val="000000"/>
                <w:szCs w:val="22"/>
              </w:rPr>
              <w:t xml:space="preserve">  Other</w:t>
            </w:r>
          </w:p>
        </w:tc>
        <w:tc>
          <w:tcPr>
            <w:tcW w:w="2693" w:type="dxa"/>
            <w:shd w:val="clear" w:color="auto" w:fill="FFFFFF" w:themeFill="background1"/>
            <w:vAlign w:val="center"/>
          </w:tcPr>
          <w:p w:rsidR="007853C7" w:rsidRPr="00797CC2" w:rsidRDefault="007853C7" w:rsidP="00EB423D">
            <w:pPr>
              <w:jc w:val="center"/>
              <w:rPr>
                <w:rFonts w:ascii="Calibri" w:hAnsi="Calibri"/>
                <w:color w:val="000000"/>
                <w:szCs w:val="22"/>
              </w:rPr>
            </w:pPr>
            <w:r w:rsidRPr="00797CC2">
              <w:rPr>
                <w:rFonts w:ascii="Calibri" w:hAnsi="Calibri"/>
                <w:color w:val="000000"/>
                <w:szCs w:val="22"/>
              </w:rPr>
              <w:t>10(4)</w:t>
            </w:r>
          </w:p>
        </w:tc>
      </w:tr>
      <w:tr w:rsidR="007853C7" w:rsidRPr="00797CC2" w:rsidTr="00C219ED">
        <w:trPr>
          <w:trHeight w:val="185"/>
        </w:trPr>
        <w:tc>
          <w:tcPr>
            <w:tcW w:w="4253" w:type="dxa"/>
            <w:shd w:val="clear" w:color="auto" w:fill="C00000"/>
            <w:vAlign w:val="bottom"/>
          </w:tcPr>
          <w:p w:rsidR="007853C7" w:rsidRPr="00C219ED" w:rsidRDefault="007853C7" w:rsidP="005A3DAB">
            <w:pPr>
              <w:jc w:val="left"/>
              <w:rPr>
                <w:rFonts w:ascii="Calibri" w:hAnsi="Calibri" w:cs="Calibri"/>
                <w:b/>
                <w:i/>
                <w:color w:val="FFFFFF" w:themeColor="background1"/>
                <w:szCs w:val="22"/>
              </w:rPr>
            </w:pPr>
            <w:r w:rsidRPr="00C219ED">
              <w:rPr>
                <w:rFonts w:ascii="Calibri" w:hAnsi="Calibri" w:cs="Calibri"/>
                <w:b/>
                <w:i/>
                <w:color w:val="FFFFFF" w:themeColor="background1"/>
                <w:szCs w:val="22"/>
              </w:rPr>
              <w:t>Other health providers</w:t>
            </w:r>
          </w:p>
        </w:tc>
        <w:tc>
          <w:tcPr>
            <w:tcW w:w="2693" w:type="dxa"/>
            <w:shd w:val="clear" w:color="auto" w:fill="C00000"/>
            <w:vAlign w:val="center"/>
          </w:tcPr>
          <w:p w:rsidR="007853C7" w:rsidRPr="00C219ED" w:rsidRDefault="007853C7" w:rsidP="005A3DAB">
            <w:pPr>
              <w:jc w:val="center"/>
              <w:rPr>
                <w:rFonts w:ascii="Calibri" w:hAnsi="Calibri"/>
                <w:b/>
                <w:i/>
                <w:color w:val="FFFFFF" w:themeColor="background1"/>
                <w:szCs w:val="22"/>
              </w:rPr>
            </w:pPr>
            <w:r w:rsidRPr="00C219ED">
              <w:rPr>
                <w:rFonts w:ascii="Calibri" w:hAnsi="Calibri"/>
                <w:b/>
                <w:i/>
                <w:color w:val="FFFFFF" w:themeColor="background1"/>
                <w:szCs w:val="22"/>
              </w:rPr>
              <w:t>59(24)</w:t>
            </w:r>
          </w:p>
        </w:tc>
      </w:tr>
      <w:tr w:rsidR="007853C7" w:rsidRPr="00797CC2" w:rsidTr="005A3DAB">
        <w:trPr>
          <w:trHeight w:val="185"/>
        </w:trPr>
        <w:tc>
          <w:tcPr>
            <w:tcW w:w="4253" w:type="dxa"/>
            <w:shd w:val="clear" w:color="auto" w:fill="FFFFFF" w:themeFill="background1"/>
            <w:vAlign w:val="bottom"/>
          </w:tcPr>
          <w:p w:rsidR="007853C7" w:rsidRPr="00797CC2" w:rsidRDefault="007853C7" w:rsidP="005A3DAB">
            <w:pPr>
              <w:jc w:val="left"/>
              <w:rPr>
                <w:rFonts w:ascii="Calibri" w:hAnsi="Calibri" w:cs="Calibri"/>
                <w:color w:val="000000"/>
                <w:szCs w:val="22"/>
              </w:rPr>
            </w:pPr>
            <w:r w:rsidRPr="00797CC2">
              <w:rPr>
                <w:rFonts w:ascii="Calibri" w:hAnsi="Calibri" w:cs="Calibri"/>
                <w:color w:val="000000"/>
                <w:szCs w:val="22"/>
              </w:rPr>
              <w:t xml:space="preserve">  Midwife </w:t>
            </w:r>
          </w:p>
        </w:tc>
        <w:tc>
          <w:tcPr>
            <w:tcW w:w="2693" w:type="dxa"/>
            <w:shd w:val="clear" w:color="auto" w:fill="FFFFFF" w:themeFill="background1"/>
            <w:vAlign w:val="center"/>
          </w:tcPr>
          <w:p w:rsidR="007853C7" w:rsidRPr="00797CC2" w:rsidRDefault="007853C7" w:rsidP="005A3DAB">
            <w:pPr>
              <w:jc w:val="center"/>
              <w:rPr>
                <w:rFonts w:ascii="Calibri" w:hAnsi="Calibri"/>
                <w:color w:val="000000"/>
                <w:szCs w:val="22"/>
              </w:rPr>
            </w:pPr>
            <w:r w:rsidRPr="00797CC2">
              <w:rPr>
                <w:rFonts w:ascii="Calibri" w:hAnsi="Calibri"/>
                <w:color w:val="000000"/>
                <w:szCs w:val="22"/>
              </w:rPr>
              <w:t>16(7)</w:t>
            </w:r>
          </w:p>
        </w:tc>
      </w:tr>
      <w:tr w:rsidR="007853C7" w:rsidRPr="00797CC2" w:rsidTr="005A3DAB">
        <w:trPr>
          <w:trHeight w:val="185"/>
        </w:trPr>
        <w:tc>
          <w:tcPr>
            <w:tcW w:w="4253" w:type="dxa"/>
            <w:shd w:val="clear" w:color="auto" w:fill="FFFFFF" w:themeFill="background1"/>
            <w:vAlign w:val="bottom"/>
          </w:tcPr>
          <w:p w:rsidR="007853C7" w:rsidRPr="00797CC2" w:rsidRDefault="007853C7" w:rsidP="005A3DAB">
            <w:pPr>
              <w:jc w:val="left"/>
              <w:rPr>
                <w:rFonts w:ascii="Calibri" w:hAnsi="Calibri" w:cs="Calibri"/>
                <w:color w:val="000000"/>
                <w:szCs w:val="22"/>
              </w:rPr>
            </w:pPr>
            <w:r w:rsidRPr="00797CC2">
              <w:rPr>
                <w:rFonts w:ascii="Calibri" w:hAnsi="Calibri" w:cs="Calibri"/>
                <w:color w:val="000000"/>
                <w:szCs w:val="22"/>
              </w:rPr>
              <w:t xml:space="preserve">  Nurse</w:t>
            </w:r>
          </w:p>
        </w:tc>
        <w:tc>
          <w:tcPr>
            <w:tcW w:w="2693" w:type="dxa"/>
            <w:shd w:val="clear" w:color="auto" w:fill="FFFFFF" w:themeFill="background1"/>
            <w:vAlign w:val="center"/>
          </w:tcPr>
          <w:p w:rsidR="007853C7" w:rsidRPr="00797CC2" w:rsidRDefault="007853C7" w:rsidP="005A3DAB">
            <w:pPr>
              <w:jc w:val="center"/>
              <w:rPr>
                <w:rFonts w:ascii="Calibri" w:hAnsi="Calibri"/>
                <w:color w:val="000000"/>
                <w:szCs w:val="22"/>
              </w:rPr>
            </w:pPr>
            <w:r w:rsidRPr="00797CC2">
              <w:rPr>
                <w:rFonts w:ascii="Calibri" w:hAnsi="Calibri"/>
                <w:color w:val="000000"/>
                <w:szCs w:val="22"/>
              </w:rPr>
              <w:t>30(12)</w:t>
            </w:r>
          </w:p>
        </w:tc>
      </w:tr>
      <w:tr w:rsidR="007853C7" w:rsidRPr="00797CC2" w:rsidTr="005A3DAB">
        <w:trPr>
          <w:trHeight w:val="185"/>
        </w:trPr>
        <w:tc>
          <w:tcPr>
            <w:tcW w:w="4253" w:type="dxa"/>
            <w:shd w:val="clear" w:color="auto" w:fill="FFFFFF" w:themeFill="background1"/>
            <w:vAlign w:val="bottom"/>
          </w:tcPr>
          <w:p w:rsidR="007853C7" w:rsidRPr="00797CC2" w:rsidRDefault="007853C7" w:rsidP="005A3DAB">
            <w:pPr>
              <w:jc w:val="left"/>
              <w:rPr>
                <w:rFonts w:ascii="Calibri" w:hAnsi="Calibri" w:cs="Calibri"/>
                <w:color w:val="000000"/>
                <w:szCs w:val="22"/>
              </w:rPr>
            </w:pPr>
            <w:r w:rsidRPr="00797CC2">
              <w:rPr>
                <w:rFonts w:ascii="Calibri" w:hAnsi="Calibri" w:cs="Calibri"/>
                <w:color w:val="000000"/>
                <w:szCs w:val="22"/>
              </w:rPr>
              <w:t xml:space="preserve">  Psychologist</w:t>
            </w:r>
          </w:p>
        </w:tc>
        <w:tc>
          <w:tcPr>
            <w:tcW w:w="2693" w:type="dxa"/>
            <w:shd w:val="clear" w:color="auto" w:fill="FFFFFF" w:themeFill="background1"/>
            <w:vAlign w:val="center"/>
          </w:tcPr>
          <w:p w:rsidR="007853C7" w:rsidRPr="00797CC2" w:rsidRDefault="007853C7" w:rsidP="005A3DAB">
            <w:pPr>
              <w:jc w:val="center"/>
              <w:rPr>
                <w:rFonts w:ascii="Calibri" w:hAnsi="Calibri"/>
                <w:color w:val="000000"/>
                <w:szCs w:val="22"/>
              </w:rPr>
            </w:pPr>
            <w:r w:rsidRPr="00797CC2">
              <w:rPr>
                <w:rFonts w:ascii="Calibri" w:hAnsi="Calibri"/>
                <w:color w:val="000000"/>
                <w:szCs w:val="22"/>
              </w:rPr>
              <w:t>3(1)</w:t>
            </w:r>
          </w:p>
        </w:tc>
      </w:tr>
      <w:tr w:rsidR="007853C7" w:rsidRPr="00797CC2" w:rsidTr="005A3DAB">
        <w:trPr>
          <w:trHeight w:val="185"/>
        </w:trPr>
        <w:tc>
          <w:tcPr>
            <w:tcW w:w="4253" w:type="dxa"/>
            <w:shd w:val="clear" w:color="auto" w:fill="FFFFFF" w:themeFill="background1"/>
            <w:vAlign w:val="bottom"/>
          </w:tcPr>
          <w:p w:rsidR="007853C7" w:rsidRPr="00797CC2" w:rsidRDefault="007853C7" w:rsidP="005A3DAB">
            <w:pPr>
              <w:jc w:val="left"/>
              <w:rPr>
                <w:rFonts w:ascii="Calibri" w:hAnsi="Calibri" w:cs="Calibri"/>
                <w:color w:val="000000"/>
                <w:szCs w:val="22"/>
              </w:rPr>
            </w:pPr>
            <w:r w:rsidRPr="00797CC2">
              <w:rPr>
                <w:rFonts w:ascii="Calibri" w:hAnsi="Calibri" w:cs="Calibri"/>
                <w:color w:val="000000"/>
                <w:szCs w:val="22"/>
              </w:rPr>
              <w:t xml:space="preserve">  Social worker</w:t>
            </w:r>
          </w:p>
        </w:tc>
        <w:tc>
          <w:tcPr>
            <w:tcW w:w="2693" w:type="dxa"/>
            <w:shd w:val="clear" w:color="auto" w:fill="FFFFFF" w:themeFill="background1"/>
            <w:vAlign w:val="center"/>
          </w:tcPr>
          <w:p w:rsidR="007853C7" w:rsidRPr="00797CC2" w:rsidRDefault="007853C7" w:rsidP="005A3DAB">
            <w:pPr>
              <w:jc w:val="center"/>
              <w:rPr>
                <w:rFonts w:ascii="Calibri" w:hAnsi="Calibri"/>
                <w:color w:val="000000"/>
                <w:szCs w:val="22"/>
              </w:rPr>
            </w:pPr>
            <w:r w:rsidRPr="00797CC2">
              <w:rPr>
                <w:rFonts w:ascii="Calibri" w:hAnsi="Calibri"/>
                <w:color w:val="000000"/>
                <w:szCs w:val="22"/>
              </w:rPr>
              <w:t>3(1)</w:t>
            </w:r>
          </w:p>
        </w:tc>
      </w:tr>
      <w:tr w:rsidR="007853C7" w:rsidRPr="00797CC2" w:rsidTr="005A3DAB">
        <w:trPr>
          <w:trHeight w:val="185"/>
        </w:trPr>
        <w:tc>
          <w:tcPr>
            <w:tcW w:w="4253" w:type="dxa"/>
            <w:shd w:val="clear" w:color="auto" w:fill="FFFFFF" w:themeFill="background1"/>
            <w:vAlign w:val="bottom"/>
          </w:tcPr>
          <w:p w:rsidR="007853C7" w:rsidRPr="00797CC2" w:rsidRDefault="007853C7" w:rsidP="005A3DAB">
            <w:pPr>
              <w:jc w:val="left"/>
              <w:rPr>
                <w:rFonts w:ascii="Calibri" w:hAnsi="Calibri" w:cs="Calibri"/>
                <w:color w:val="000000"/>
                <w:szCs w:val="22"/>
              </w:rPr>
            </w:pPr>
            <w:r w:rsidRPr="00797CC2">
              <w:rPr>
                <w:rFonts w:ascii="Calibri" w:hAnsi="Calibri" w:cs="Calibri"/>
                <w:color w:val="000000"/>
                <w:szCs w:val="22"/>
              </w:rPr>
              <w:t xml:space="preserve">  Other</w:t>
            </w:r>
          </w:p>
        </w:tc>
        <w:tc>
          <w:tcPr>
            <w:tcW w:w="2693" w:type="dxa"/>
            <w:shd w:val="clear" w:color="auto" w:fill="FFFFFF" w:themeFill="background1"/>
            <w:vAlign w:val="center"/>
          </w:tcPr>
          <w:p w:rsidR="007853C7" w:rsidRPr="00797CC2" w:rsidRDefault="007853C7" w:rsidP="005A3DAB">
            <w:pPr>
              <w:jc w:val="center"/>
              <w:rPr>
                <w:rFonts w:ascii="Calibri" w:hAnsi="Calibri"/>
                <w:color w:val="000000"/>
                <w:szCs w:val="22"/>
              </w:rPr>
            </w:pPr>
            <w:r w:rsidRPr="00797CC2">
              <w:rPr>
                <w:rFonts w:ascii="Calibri" w:hAnsi="Calibri"/>
                <w:color w:val="000000"/>
                <w:szCs w:val="22"/>
              </w:rPr>
              <w:t>7(3)</w:t>
            </w:r>
          </w:p>
        </w:tc>
      </w:tr>
      <w:tr w:rsidR="007853C7" w:rsidRPr="00797CC2" w:rsidTr="00C219ED">
        <w:trPr>
          <w:trHeight w:val="185"/>
        </w:trPr>
        <w:tc>
          <w:tcPr>
            <w:tcW w:w="4253" w:type="dxa"/>
            <w:shd w:val="clear" w:color="auto" w:fill="C00000"/>
            <w:vAlign w:val="bottom"/>
          </w:tcPr>
          <w:p w:rsidR="007853C7" w:rsidRPr="00C219ED" w:rsidRDefault="007853C7" w:rsidP="005A3DAB">
            <w:pPr>
              <w:jc w:val="left"/>
              <w:rPr>
                <w:rFonts w:ascii="Calibri" w:hAnsi="Calibri" w:cs="Calibri"/>
                <w:b/>
                <w:i/>
                <w:color w:val="FFFFFF" w:themeColor="background1"/>
                <w:szCs w:val="22"/>
              </w:rPr>
            </w:pPr>
            <w:r w:rsidRPr="00C219ED">
              <w:rPr>
                <w:rFonts w:ascii="Calibri" w:hAnsi="Calibri" w:cs="Calibri"/>
                <w:b/>
                <w:i/>
                <w:color w:val="FFFFFF" w:themeColor="background1"/>
                <w:szCs w:val="22"/>
              </w:rPr>
              <w:t>Non-health providers</w:t>
            </w:r>
          </w:p>
        </w:tc>
        <w:tc>
          <w:tcPr>
            <w:tcW w:w="2693" w:type="dxa"/>
            <w:shd w:val="clear" w:color="auto" w:fill="C00000"/>
            <w:vAlign w:val="center"/>
          </w:tcPr>
          <w:p w:rsidR="007853C7" w:rsidRPr="00C219ED" w:rsidRDefault="007853C7" w:rsidP="005A3DAB">
            <w:pPr>
              <w:jc w:val="center"/>
              <w:rPr>
                <w:rFonts w:ascii="Calibri" w:hAnsi="Calibri"/>
                <w:b/>
                <w:i/>
                <w:color w:val="FFFFFF" w:themeColor="background1"/>
                <w:szCs w:val="22"/>
              </w:rPr>
            </w:pPr>
            <w:r w:rsidRPr="00C219ED">
              <w:rPr>
                <w:rFonts w:ascii="Calibri" w:hAnsi="Calibri"/>
                <w:b/>
                <w:i/>
                <w:color w:val="FFFFFF" w:themeColor="background1"/>
                <w:szCs w:val="22"/>
              </w:rPr>
              <w:t>1(0.4)</w:t>
            </w:r>
          </w:p>
        </w:tc>
      </w:tr>
      <w:tr w:rsidR="007853C7" w:rsidRPr="00797CC2" w:rsidTr="00C219ED">
        <w:trPr>
          <w:trHeight w:val="185"/>
        </w:trPr>
        <w:tc>
          <w:tcPr>
            <w:tcW w:w="4253" w:type="dxa"/>
            <w:shd w:val="clear" w:color="auto" w:fill="C00000"/>
            <w:vAlign w:val="bottom"/>
          </w:tcPr>
          <w:p w:rsidR="007853C7" w:rsidRPr="00C219ED" w:rsidRDefault="007853C7" w:rsidP="005A3DAB">
            <w:pPr>
              <w:jc w:val="left"/>
              <w:rPr>
                <w:rFonts w:ascii="Calibri" w:hAnsi="Calibri" w:cs="Calibri"/>
                <w:b/>
                <w:color w:val="FFFFFF" w:themeColor="background1"/>
                <w:szCs w:val="22"/>
              </w:rPr>
            </w:pPr>
            <w:r w:rsidRPr="00C219ED">
              <w:rPr>
                <w:rFonts w:ascii="Calibri" w:hAnsi="Calibri" w:cs="Calibri"/>
                <w:b/>
                <w:color w:val="FFFFFF" w:themeColor="background1"/>
                <w:szCs w:val="22"/>
              </w:rPr>
              <w:t>TOTAL</w:t>
            </w:r>
          </w:p>
        </w:tc>
        <w:tc>
          <w:tcPr>
            <w:tcW w:w="2693" w:type="dxa"/>
            <w:shd w:val="clear" w:color="auto" w:fill="C00000"/>
            <w:vAlign w:val="center"/>
          </w:tcPr>
          <w:p w:rsidR="007853C7" w:rsidRPr="00C219ED" w:rsidRDefault="007853C7" w:rsidP="005A3DAB">
            <w:pPr>
              <w:jc w:val="center"/>
              <w:rPr>
                <w:rFonts w:ascii="Calibri" w:hAnsi="Calibri"/>
                <w:b/>
                <w:color w:val="FFFFFF" w:themeColor="background1"/>
                <w:szCs w:val="22"/>
              </w:rPr>
            </w:pPr>
            <w:r w:rsidRPr="00C219ED">
              <w:rPr>
                <w:rFonts w:ascii="Calibri" w:hAnsi="Calibri"/>
                <w:b/>
                <w:color w:val="FFFFFF" w:themeColor="background1"/>
                <w:szCs w:val="22"/>
              </w:rPr>
              <w:t>244</w:t>
            </w:r>
          </w:p>
        </w:tc>
      </w:tr>
    </w:tbl>
    <w:p w:rsidR="00E84233" w:rsidRPr="00797CC2" w:rsidRDefault="00E84233" w:rsidP="00E84233"/>
    <w:p w:rsidR="00964F78" w:rsidRPr="00797CC2" w:rsidRDefault="00964F78" w:rsidP="00E84233"/>
    <w:p w:rsidR="004C794C" w:rsidRPr="00797CC2" w:rsidRDefault="0094436F" w:rsidP="00E84233">
      <w:r w:rsidRPr="00797CC2">
        <w:t xml:space="preserve">Three quarters of the individual providers identified in </w:t>
      </w:r>
      <w:r w:rsidR="00964F78" w:rsidRPr="00797CC2">
        <w:t>DHB complaints received in the 2013/14 year we</w:t>
      </w:r>
      <w:r w:rsidRPr="00797CC2">
        <w:t xml:space="preserve">re doctors.  Nurses and midwives were identified in 12% and 7% of complaints respectively.  It is likely that doctors are more often seen by complainants as being responsible for the services provided and the outcomes of those services and are, therefore, more frequently </w:t>
      </w:r>
      <w:r w:rsidR="007B4263" w:rsidRPr="00797CC2">
        <w:t>viewed as</w:t>
      </w:r>
      <w:r w:rsidR="00964F78" w:rsidRPr="00797CC2">
        <w:t xml:space="preserve"> individually responsible for any perceived shortcomings.</w:t>
      </w:r>
    </w:p>
    <w:p w:rsidR="004C794C" w:rsidRPr="00797CC2" w:rsidRDefault="004C794C">
      <w:r w:rsidRPr="00797CC2">
        <w:br w:type="page"/>
      </w:r>
    </w:p>
    <w:p w:rsidR="00E84233" w:rsidRPr="00797CC2" w:rsidRDefault="00E84233" w:rsidP="00E84233"/>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56518A" w:rsidRPr="00797CC2" w:rsidTr="00C219ED">
        <w:tc>
          <w:tcPr>
            <w:tcW w:w="9298" w:type="dxa"/>
          </w:tcPr>
          <w:p w:rsidR="00C219ED" w:rsidRDefault="00E32984" w:rsidP="00ED2B9C">
            <w:pPr>
              <w:jc w:val="center"/>
            </w:pPr>
            <w:r w:rsidRPr="00797CC2">
              <w:tab/>
            </w:r>
            <w:bookmarkStart w:id="16" w:name="_Toc398125960"/>
          </w:p>
          <w:p w:rsidR="00E32984" w:rsidRPr="00797CC2" w:rsidRDefault="00E32984" w:rsidP="00ED2B9C">
            <w:pPr>
              <w:jc w:val="center"/>
              <w:rPr>
                <w:b/>
                <w:sz w:val="28"/>
                <w:szCs w:val="28"/>
              </w:rPr>
            </w:pPr>
            <w:r w:rsidRPr="00797CC2">
              <w:rPr>
                <w:b/>
                <w:sz w:val="28"/>
                <w:szCs w:val="28"/>
              </w:rPr>
              <w:t>Case Study</w:t>
            </w:r>
          </w:p>
          <w:p w:rsidR="0056518A" w:rsidRPr="00797CC2" w:rsidRDefault="0056518A" w:rsidP="00ED2B9C">
            <w:pPr>
              <w:jc w:val="center"/>
              <w:rPr>
                <w:b/>
                <w:sz w:val="28"/>
                <w:szCs w:val="28"/>
              </w:rPr>
            </w:pPr>
            <w:r w:rsidRPr="00797CC2">
              <w:rPr>
                <w:b/>
                <w:sz w:val="28"/>
                <w:szCs w:val="28"/>
              </w:rPr>
              <w:t>Complaint about a nurse working at a DHB</w:t>
            </w:r>
          </w:p>
          <w:p w:rsidR="00ED2B9C" w:rsidRPr="00797CC2" w:rsidRDefault="00ED2B9C" w:rsidP="004321BB">
            <w:pPr>
              <w:rPr>
                <w:lang w:val="en-AU" w:bidi="ar-SA"/>
              </w:rPr>
            </w:pPr>
          </w:p>
          <w:p w:rsidR="0024071F" w:rsidRPr="00797CC2" w:rsidRDefault="00B80B14" w:rsidP="004321BB">
            <w:pPr>
              <w:rPr>
                <w:lang w:val="en-AU" w:bidi="ar-SA"/>
              </w:rPr>
            </w:pPr>
            <w:r w:rsidRPr="00797CC2">
              <w:rPr>
                <w:lang w:val="en-AU" w:bidi="ar-SA"/>
              </w:rPr>
              <w:t>A woman complained</w:t>
            </w:r>
            <w:r w:rsidR="00623EA6" w:rsidRPr="00797CC2">
              <w:rPr>
                <w:lang w:val="en-AU" w:bidi="ar-SA"/>
              </w:rPr>
              <w:t xml:space="preserve"> about </w:t>
            </w:r>
            <w:r w:rsidR="0024071F" w:rsidRPr="00797CC2">
              <w:rPr>
                <w:lang w:val="en-AU" w:bidi="ar-SA"/>
              </w:rPr>
              <w:t xml:space="preserve">a number of </w:t>
            </w:r>
            <w:r w:rsidR="00623EA6" w:rsidRPr="00797CC2">
              <w:rPr>
                <w:lang w:val="en-AU" w:bidi="ar-SA"/>
              </w:rPr>
              <w:t>events that occurred during her adm</w:t>
            </w:r>
            <w:r w:rsidR="00ED2B9C" w:rsidRPr="00797CC2">
              <w:rPr>
                <w:lang w:val="en-AU" w:bidi="ar-SA"/>
              </w:rPr>
              <w:t>ission to a public hospital.  In particular, she alleged that:</w:t>
            </w:r>
          </w:p>
          <w:p w:rsidR="0024071F" w:rsidRPr="00797CC2" w:rsidRDefault="00ED2B9C" w:rsidP="0024071F">
            <w:pPr>
              <w:pStyle w:val="ListParagraph"/>
              <w:numPr>
                <w:ilvl w:val="0"/>
                <w:numId w:val="10"/>
              </w:numPr>
              <w:rPr>
                <w:lang w:val="en-AU" w:bidi="ar-SA"/>
              </w:rPr>
            </w:pPr>
            <w:r w:rsidRPr="00797CC2">
              <w:rPr>
                <w:lang w:val="en-AU" w:bidi="ar-SA"/>
              </w:rPr>
              <w:t xml:space="preserve">after she was advised she was to receive an </w:t>
            </w:r>
            <w:r w:rsidR="0024071F" w:rsidRPr="00797CC2">
              <w:rPr>
                <w:lang w:val="en-AU" w:bidi="ar-SA"/>
              </w:rPr>
              <w:t xml:space="preserve">enema, </w:t>
            </w:r>
            <w:r w:rsidR="00623EA6" w:rsidRPr="00797CC2">
              <w:rPr>
                <w:lang w:val="en-AU" w:bidi="ar-SA"/>
              </w:rPr>
              <w:t xml:space="preserve">a nurse entered her ward room, abruptly told her to turn over, and roughly inserted the enema, causing pain, and </w:t>
            </w:r>
            <w:r w:rsidR="007E03B9" w:rsidRPr="00797CC2">
              <w:rPr>
                <w:lang w:val="en-AU" w:bidi="ar-SA"/>
              </w:rPr>
              <w:t>that</w:t>
            </w:r>
            <w:r w:rsidRPr="00797CC2">
              <w:rPr>
                <w:lang w:val="en-AU" w:bidi="ar-SA"/>
              </w:rPr>
              <w:t>,</w:t>
            </w:r>
            <w:r w:rsidR="007E03B9" w:rsidRPr="00797CC2">
              <w:rPr>
                <w:lang w:val="en-AU" w:bidi="ar-SA"/>
              </w:rPr>
              <w:t xml:space="preserve"> </w:t>
            </w:r>
            <w:r w:rsidR="00623EA6" w:rsidRPr="00797CC2">
              <w:rPr>
                <w:lang w:val="en-AU" w:bidi="ar-SA"/>
              </w:rPr>
              <w:t>despite</w:t>
            </w:r>
            <w:r w:rsidRPr="00797CC2">
              <w:rPr>
                <w:lang w:val="en-AU" w:bidi="ar-SA"/>
              </w:rPr>
              <w:t xml:space="preserve"> the woman</w:t>
            </w:r>
            <w:r w:rsidR="00623EA6" w:rsidRPr="00797CC2">
              <w:rPr>
                <w:lang w:val="en-AU" w:bidi="ar-SA"/>
              </w:rPr>
              <w:t xml:space="preserve"> asking the nurse </w:t>
            </w:r>
            <w:r w:rsidRPr="00797CC2">
              <w:rPr>
                <w:lang w:val="en-AU" w:bidi="ar-SA"/>
              </w:rPr>
              <w:t xml:space="preserve">on a number of occasions </w:t>
            </w:r>
            <w:r w:rsidR="00623EA6" w:rsidRPr="00797CC2">
              <w:rPr>
                <w:lang w:val="en-AU" w:bidi="ar-SA"/>
              </w:rPr>
              <w:t>to st</w:t>
            </w:r>
            <w:r w:rsidR="002A7E59" w:rsidRPr="00797CC2">
              <w:rPr>
                <w:lang w:val="en-AU" w:bidi="ar-SA"/>
              </w:rPr>
              <w:t>op</w:t>
            </w:r>
            <w:r w:rsidRPr="00797CC2">
              <w:rPr>
                <w:lang w:val="en-AU" w:bidi="ar-SA"/>
              </w:rPr>
              <w:t>,</w:t>
            </w:r>
            <w:r w:rsidR="002A7E59" w:rsidRPr="00797CC2">
              <w:rPr>
                <w:lang w:val="en-AU" w:bidi="ar-SA"/>
              </w:rPr>
              <w:t xml:space="preserve"> the nurse</w:t>
            </w:r>
            <w:r w:rsidR="00623EA6" w:rsidRPr="00797CC2">
              <w:rPr>
                <w:lang w:val="en-AU" w:bidi="ar-SA"/>
              </w:rPr>
              <w:t xml:space="preserve"> </w:t>
            </w:r>
            <w:r w:rsidRPr="00797CC2">
              <w:rPr>
                <w:lang w:val="en-AU" w:bidi="ar-SA"/>
              </w:rPr>
              <w:t>continued;</w:t>
            </w:r>
            <w:r w:rsidR="00623EA6" w:rsidRPr="00797CC2">
              <w:rPr>
                <w:lang w:val="en-AU" w:bidi="ar-SA"/>
              </w:rPr>
              <w:t xml:space="preserve"> </w:t>
            </w:r>
          </w:p>
          <w:p w:rsidR="00BE0BE7" w:rsidRPr="00797CC2" w:rsidRDefault="00ED2B9C" w:rsidP="00F643A5">
            <w:pPr>
              <w:pStyle w:val="ListParagraph"/>
              <w:numPr>
                <w:ilvl w:val="0"/>
                <w:numId w:val="10"/>
              </w:numPr>
              <w:rPr>
                <w:lang w:val="en-AU" w:bidi="ar-SA"/>
              </w:rPr>
            </w:pPr>
            <w:r w:rsidRPr="00797CC2">
              <w:rPr>
                <w:lang w:val="en-AU" w:bidi="ar-SA"/>
              </w:rPr>
              <w:t>a</w:t>
            </w:r>
            <w:r w:rsidR="00623EA6" w:rsidRPr="00797CC2">
              <w:rPr>
                <w:lang w:val="en-AU" w:bidi="ar-SA"/>
              </w:rPr>
              <w:t xml:space="preserve">fter the procedure the nurse told </w:t>
            </w:r>
            <w:r w:rsidR="004321BB" w:rsidRPr="00797CC2">
              <w:rPr>
                <w:lang w:val="en-AU" w:bidi="ar-SA"/>
              </w:rPr>
              <w:t>her</w:t>
            </w:r>
            <w:r w:rsidR="00623EA6" w:rsidRPr="00797CC2">
              <w:rPr>
                <w:lang w:val="en-AU" w:bidi="ar-SA"/>
              </w:rPr>
              <w:t xml:space="preserve"> to</w:t>
            </w:r>
            <w:r w:rsidR="004321BB" w:rsidRPr="00797CC2">
              <w:rPr>
                <w:lang w:val="en-AU" w:bidi="ar-SA"/>
              </w:rPr>
              <w:t xml:space="preserve"> go</w:t>
            </w:r>
            <w:r w:rsidR="00623EA6" w:rsidRPr="00797CC2">
              <w:rPr>
                <w:lang w:val="en-AU" w:bidi="ar-SA"/>
              </w:rPr>
              <w:t xml:space="preserve"> “clean yourself up”, an</w:t>
            </w:r>
            <w:r w:rsidRPr="00797CC2">
              <w:rPr>
                <w:lang w:val="en-AU" w:bidi="ar-SA"/>
              </w:rPr>
              <w:t>d did not offer support or help; and</w:t>
            </w:r>
            <w:r w:rsidR="00623EA6" w:rsidRPr="00797CC2">
              <w:rPr>
                <w:lang w:val="en-AU" w:bidi="ar-SA"/>
              </w:rPr>
              <w:t xml:space="preserve"> </w:t>
            </w:r>
          </w:p>
          <w:p w:rsidR="00F643A5" w:rsidRPr="00797CC2" w:rsidRDefault="00ED2B9C" w:rsidP="00F643A5">
            <w:pPr>
              <w:pStyle w:val="ListParagraph"/>
              <w:numPr>
                <w:ilvl w:val="0"/>
                <w:numId w:val="10"/>
              </w:numPr>
              <w:rPr>
                <w:lang w:val="en-AU" w:bidi="ar-SA"/>
              </w:rPr>
            </w:pPr>
            <w:r w:rsidRPr="00797CC2">
              <w:rPr>
                <w:lang w:val="en-AU" w:bidi="ar-SA"/>
              </w:rPr>
              <w:t>s</w:t>
            </w:r>
            <w:r w:rsidR="00F643A5" w:rsidRPr="00797CC2">
              <w:rPr>
                <w:lang w:val="en-AU" w:bidi="ar-SA"/>
              </w:rPr>
              <w:t>he overheard the nurse making d</w:t>
            </w:r>
            <w:r w:rsidRPr="00797CC2">
              <w:rPr>
                <w:lang w:val="en-AU" w:bidi="ar-SA"/>
              </w:rPr>
              <w:t>erogatory comments about her</w:t>
            </w:r>
            <w:r w:rsidR="00F643A5" w:rsidRPr="00797CC2">
              <w:rPr>
                <w:lang w:val="en-AU" w:bidi="ar-SA"/>
              </w:rPr>
              <w:t xml:space="preserve"> and another patient.</w:t>
            </w:r>
          </w:p>
          <w:p w:rsidR="00F643A5" w:rsidRPr="00797CC2" w:rsidRDefault="00F643A5" w:rsidP="00F643A5">
            <w:pPr>
              <w:pStyle w:val="ListParagraph"/>
              <w:rPr>
                <w:lang w:val="en-AU" w:bidi="ar-SA"/>
              </w:rPr>
            </w:pPr>
          </w:p>
          <w:p w:rsidR="004321BB" w:rsidRPr="00797CC2" w:rsidRDefault="00014578" w:rsidP="00BE0BE7">
            <w:pPr>
              <w:rPr>
                <w:lang w:val="en-AU" w:bidi="ar-SA"/>
              </w:rPr>
            </w:pPr>
            <w:r w:rsidRPr="00797CC2">
              <w:rPr>
                <w:lang w:val="en-AU" w:bidi="ar-SA"/>
              </w:rPr>
              <w:t>HDC requested a response from the DHB, which acknowledged that shortly after the enema was inserted, the woman requested that the nurse stop. However, the nurse stated that much of the procedure had been completed at th</w:t>
            </w:r>
            <w:r w:rsidR="007E03B9" w:rsidRPr="00797CC2">
              <w:rPr>
                <w:lang w:val="en-AU" w:bidi="ar-SA"/>
              </w:rPr>
              <w:t>at</w:t>
            </w:r>
            <w:r w:rsidRPr="00797CC2">
              <w:rPr>
                <w:lang w:val="en-AU" w:bidi="ar-SA"/>
              </w:rPr>
              <w:t xml:space="preserve"> point and</w:t>
            </w:r>
            <w:r w:rsidR="00245511" w:rsidRPr="00797CC2">
              <w:rPr>
                <w:lang w:val="en-AU" w:bidi="ar-SA"/>
              </w:rPr>
              <w:t xml:space="preserve"> so she elected to complete it.</w:t>
            </w:r>
            <w:r w:rsidR="00BE0BE7" w:rsidRPr="00797CC2">
              <w:rPr>
                <w:lang w:val="en-AU" w:bidi="ar-SA"/>
              </w:rPr>
              <w:t xml:space="preserve"> </w:t>
            </w:r>
            <w:r w:rsidR="007E03B9" w:rsidRPr="00797CC2">
              <w:rPr>
                <w:lang w:val="en-AU" w:bidi="ar-SA"/>
              </w:rPr>
              <w:t xml:space="preserve"> </w:t>
            </w:r>
            <w:r w:rsidR="00F643A5" w:rsidRPr="00797CC2">
              <w:t>The nurse apologised to the woman that her experience of care was negative.</w:t>
            </w:r>
          </w:p>
          <w:p w:rsidR="00BE0BE7" w:rsidRPr="00797CC2" w:rsidRDefault="00BE0BE7" w:rsidP="00BE0BE7">
            <w:pPr>
              <w:rPr>
                <w:lang w:val="en-AU" w:bidi="ar-SA"/>
              </w:rPr>
            </w:pPr>
          </w:p>
          <w:p w:rsidR="0024071F" w:rsidRPr="00797CC2" w:rsidRDefault="00ED2B9C" w:rsidP="0024071F">
            <w:r w:rsidRPr="00797CC2">
              <w:rPr>
                <w:lang w:val="en-AU" w:bidi="ar-SA"/>
              </w:rPr>
              <w:t xml:space="preserve">The DHB advised that, in response to </w:t>
            </w:r>
            <w:r w:rsidR="00BE0BE7" w:rsidRPr="00797CC2">
              <w:rPr>
                <w:lang w:val="en-AU" w:bidi="ar-SA"/>
              </w:rPr>
              <w:t xml:space="preserve">the woman’s concerns, </w:t>
            </w:r>
            <w:r w:rsidR="0024071F" w:rsidRPr="00797CC2">
              <w:rPr>
                <w:lang w:val="en-AU" w:bidi="ar-SA"/>
              </w:rPr>
              <w:t>the</w:t>
            </w:r>
            <w:r w:rsidRPr="00797CC2">
              <w:t xml:space="preserve"> nurse would be given ad</w:t>
            </w:r>
            <w:r w:rsidR="0024071F" w:rsidRPr="00797CC2">
              <w:t xml:space="preserve">ditional education regarding communication, with a particular focus on understanding informed consent. </w:t>
            </w:r>
          </w:p>
          <w:p w:rsidR="00173186" w:rsidRPr="00797CC2" w:rsidRDefault="00173186" w:rsidP="00BE0BE7">
            <w:pPr>
              <w:rPr>
                <w:lang w:val="en-AU" w:bidi="ar-SA"/>
              </w:rPr>
            </w:pPr>
          </w:p>
          <w:p w:rsidR="00173186" w:rsidRPr="00797CC2" w:rsidRDefault="00B80B14" w:rsidP="00ED2B9C">
            <w:pPr>
              <w:rPr>
                <w:lang w:val="en-AU" w:bidi="ar-SA"/>
              </w:rPr>
            </w:pPr>
            <w:r w:rsidRPr="00797CC2">
              <w:rPr>
                <w:lang w:val="en-AU" w:bidi="ar-SA"/>
              </w:rPr>
              <w:t xml:space="preserve">The Deputy Commissioner </w:t>
            </w:r>
            <w:r w:rsidR="00ED2B9C" w:rsidRPr="00797CC2">
              <w:rPr>
                <w:lang w:val="en-AU" w:bidi="ar-SA"/>
              </w:rPr>
              <w:t xml:space="preserve">decided not to formally investigate the complaint, but wrote instead to the Nursing Council and asked it to </w:t>
            </w:r>
            <w:r w:rsidRPr="00797CC2">
              <w:rPr>
                <w:lang w:val="en-AU" w:bidi="ar-SA"/>
              </w:rPr>
              <w:t>consider the appropriateness of the nurse’s conduct.</w:t>
            </w:r>
            <w:r w:rsidR="00173186" w:rsidRPr="00797CC2">
              <w:rPr>
                <w:lang w:val="en-AU" w:bidi="ar-SA"/>
              </w:rPr>
              <w:t xml:space="preserve"> </w:t>
            </w:r>
            <w:r w:rsidR="00ED2B9C" w:rsidRPr="00797CC2">
              <w:rPr>
                <w:lang w:val="en-AU" w:bidi="ar-SA"/>
              </w:rPr>
              <w:t>The Deputy Commissioner</w:t>
            </w:r>
            <w:r w:rsidR="00F643A5" w:rsidRPr="00797CC2">
              <w:rPr>
                <w:lang w:val="en-AU" w:bidi="ar-SA"/>
              </w:rPr>
              <w:t xml:space="preserve"> also </w:t>
            </w:r>
            <w:r w:rsidR="00ED2B9C" w:rsidRPr="00797CC2">
              <w:rPr>
                <w:lang w:val="en-AU" w:bidi="ar-SA"/>
              </w:rPr>
              <w:t xml:space="preserve">asked the </w:t>
            </w:r>
            <w:r w:rsidR="00F643A5" w:rsidRPr="00797CC2">
              <w:rPr>
                <w:lang w:val="en-AU" w:bidi="ar-SA"/>
              </w:rPr>
              <w:t xml:space="preserve">DHB </w:t>
            </w:r>
            <w:r w:rsidR="00ED2B9C" w:rsidRPr="00797CC2">
              <w:rPr>
                <w:lang w:val="en-AU" w:bidi="ar-SA"/>
              </w:rPr>
              <w:t xml:space="preserve">to </w:t>
            </w:r>
            <w:r w:rsidR="00F643A5" w:rsidRPr="00797CC2">
              <w:rPr>
                <w:lang w:val="en-AU" w:bidi="ar-SA"/>
              </w:rPr>
              <w:t>advise H</w:t>
            </w:r>
            <w:r w:rsidR="00E32984" w:rsidRPr="00797CC2">
              <w:rPr>
                <w:lang w:val="en-AU" w:bidi="ar-SA"/>
              </w:rPr>
              <w:t>DC of the steps taken in relation</w:t>
            </w:r>
            <w:r w:rsidR="00F643A5" w:rsidRPr="00797CC2">
              <w:rPr>
                <w:lang w:val="en-AU" w:bidi="ar-SA"/>
              </w:rPr>
              <w:t xml:space="preserve"> to the comments the woman </w:t>
            </w:r>
            <w:r w:rsidR="00ED2B9C" w:rsidRPr="00797CC2">
              <w:rPr>
                <w:lang w:val="en-AU" w:bidi="ar-SA"/>
              </w:rPr>
              <w:t xml:space="preserve">said she </w:t>
            </w:r>
            <w:r w:rsidR="00F643A5" w:rsidRPr="00797CC2">
              <w:rPr>
                <w:lang w:val="en-AU" w:bidi="ar-SA"/>
              </w:rPr>
              <w:t xml:space="preserve">overheard. </w:t>
            </w:r>
            <w:r w:rsidR="003A2F02" w:rsidRPr="00797CC2">
              <w:rPr>
                <w:lang w:val="en-AU" w:bidi="ar-SA"/>
              </w:rPr>
              <w:t>The DHB advised HDC that all nursing staff had been reminded that no offensive comments would be tolerated at any level.</w:t>
            </w:r>
          </w:p>
          <w:p w:rsidR="004C794C" w:rsidRPr="00797CC2" w:rsidRDefault="004C794C" w:rsidP="00ED2B9C">
            <w:pPr>
              <w:rPr>
                <w:b/>
                <w:lang w:val="en-AU" w:bidi="ar-SA"/>
              </w:rPr>
            </w:pPr>
          </w:p>
        </w:tc>
      </w:tr>
    </w:tbl>
    <w:p w:rsidR="001200CE" w:rsidRPr="00797CC2" w:rsidRDefault="001200CE" w:rsidP="00E84233"/>
    <w:p w:rsidR="00E84233" w:rsidRPr="00797CC2" w:rsidRDefault="00E84233" w:rsidP="00E84233">
      <w:pPr>
        <w:rPr>
          <w:b/>
          <w:iCs/>
          <w:sz w:val="24"/>
          <w:lang w:val="en-AU" w:bidi="ar-SA"/>
        </w:rPr>
      </w:pPr>
      <w:bookmarkStart w:id="17" w:name="_Toc398125961"/>
      <w:bookmarkEnd w:id="16"/>
    </w:p>
    <w:p w:rsidR="00E32984" w:rsidRPr="00797CC2" w:rsidRDefault="00E32984">
      <w:pPr>
        <w:rPr>
          <w:b/>
          <w:iCs/>
          <w:sz w:val="24"/>
          <w:lang w:val="en-AU" w:bidi="ar-SA"/>
        </w:rPr>
      </w:pPr>
      <w:r w:rsidRPr="00797CC2">
        <w:rPr>
          <w:b/>
          <w:iCs/>
          <w:sz w:val="24"/>
          <w:lang w:val="en-AU" w:bidi="ar-SA"/>
        </w:rPr>
        <w:br w:type="page"/>
      </w:r>
    </w:p>
    <w:p w:rsidR="004B06D6" w:rsidRPr="00797CC2" w:rsidRDefault="004B06D6" w:rsidP="00985CEE">
      <w:pPr>
        <w:pStyle w:val="Heading2"/>
        <w:spacing w:after="240"/>
        <w:rPr>
          <w:sz w:val="36"/>
          <w:szCs w:val="36"/>
        </w:rPr>
      </w:pPr>
      <w:bookmarkStart w:id="18" w:name="_Toc404344431"/>
      <w:r w:rsidRPr="00797CC2">
        <w:rPr>
          <w:sz w:val="36"/>
          <w:szCs w:val="36"/>
        </w:rPr>
        <w:t>3.</w:t>
      </w:r>
      <w:r w:rsidRPr="00797CC2">
        <w:rPr>
          <w:sz w:val="36"/>
          <w:szCs w:val="36"/>
        </w:rPr>
        <w:tab/>
      </w:r>
      <w:r w:rsidR="00E32984" w:rsidRPr="00797CC2">
        <w:rPr>
          <w:sz w:val="36"/>
          <w:szCs w:val="36"/>
        </w:rPr>
        <w:t>What did people complain about?</w:t>
      </w:r>
      <w:bookmarkEnd w:id="18"/>
      <w:r w:rsidRPr="00797CC2">
        <w:rPr>
          <w:sz w:val="36"/>
          <w:szCs w:val="36"/>
        </w:rPr>
        <w:t xml:space="preserve"> </w:t>
      </w:r>
    </w:p>
    <w:p w:rsidR="001726F0" w:rsidRPr="00797CC2" w:rsidRDefault="004C2154" w:rsidP="004B06D6">
      <w:pPr>
        <w:pStyle w:val="Heading3"/>
        <w:spacing w:after="120"/>
        <w:rPr>
          <w:b/>
          <w:i w:val="0"/>
          <w:sz w:val="28"/>
          <w:szCs w:val="28"/>
        </w:rPr>
      </w:pPr>
      <w:bookmarkStart w:id="19" w:name="_Toc404344432"/>
      <w:r w:rsidRPr="00797CC2">
        <w:rPr>
          <w:b/>
          <w:i w:val="0"/>
          <w:sz w:val="28"/>
          <w:szCs w:val="28"/>
        </w:rPr>
        <w:t>3</w:t>
      </w:r>
      <w:r w:rsidR="001726F0" w:rsidRPr="00797CC2">
        <w:rPr>
          <w:b/>
          <w:i w:val="0"/>
          <w:sz w:val="28"/>
          <w:szCs w:val="28"/>
        </w:rPr>
        <w:t>.</w:t>
      </w:r>
      <w:r w:rsidRPr="00797CC2">
        <w:rPr>
          <w:b/>
          <w:i w:val="0"/>
          <w:sz w:val="28"/>
          <w:szCs w:val="28"/>
        </w:rPr>
        <w:t>1</w:t>
      </w:r>
      <w:r w:rsidR="00E32984" w:rsidRPr="00797CC2">
        <w:rPr>
          <w:b/>
          <w:i w:val="0"/>
          <w:sz w:val="28"/>
          <w:szCs w:val="28"/>
        </w:rPr>
        <w:tab/>
      </w:r>
      <w:r w:rsidR="007605D6" w:rsidRPr="00797CC2">
        <w:rPr>
          <w:b/>
          <w:i w:val="0"/>
          <w:sz w:val="28"/>
          <w:szCs w:val="28"/>
        </w:rPr>
        <w:t>I</w:t>
      </w:r>
      <w:r w:rsidR="00E32984" w:rsidRPr="00797CC2">
        <w:rPr>
          <w:b/>
          <w:i w:val="0"/>
          <w:sz w:val="28"/>
          <w:szCs w:val="28"/>
        </w:rPr>
        <w:t>ssues identified in complaints</w:t>
      </w:r>
      <w:bookmarkEnd w:id="17"/>
      <w:bookmarkEnd w:id="19"/>
      <w:r w:rsidR="004C794C" w:rsidRPr="00797CC2">
        <w:rPr>
          <w:b/>
          <w:i w:val="0"/>
          <w:sz w:val="28"/>
          <w:szCs w:val="28"/>
        </w:rPr>
        <w:t xml:space="preserve"> </w:t>
      </w:r>
    </w:p>
    <w:p w:rsidR="004C794C" w:rsidRPr="00797CC2" w:rsidRDefault="004C794C" w:rsidP="00964F78"/>
    <w:p w:rsidR="007605D6" w:rsidRPr="00797CC2" w:rsidRDefault="00E32984" w:rsidP="00964F78">
      <w:pPr>
        <w:rPr>
          <w:rFonts w:ascii="Calibri" w:hAnsi="Calibri"/>
          <w:szCs w:val="22"/>
        </w:rPr>
      </w:pPr>
      <w:r w:rsidRPr="00797CC2">
        <w:t>Many complaints to HDC contain multiple issues of concern to the complainant.</w:t>
      </w:r>
      <w:r w:rsidR="007605D6" w:rsidRPr="00797CC2">
        <w:t xml:space="preserve">  F</w:t>
      </w:r>
      <w:r w:rsidRPr="00797CC2">
        <w:t>or the purposes of analysis, we identified the primary issue being complained about</w:t>
      </w:r>
      <w:r w:rsidR="007605D6" w:rsidRPr="00797CC2">
        <w:t xml:space="preserve"> plus up to f</w:t>
      </w:r>
      <w:r w:rsidR="00964F78" w:rsidRPr="00797CC2">
        <w:rPr>
          <w:rFonts w:ascii="Calibri" w:hAnsi="Calibri"/>
          <w:szCs w:val="22"/>
        </w:rPr>
        <w:t>ive additional complaint issues for each complaint received.</w:t>
      </w:r>
    </w:p>
    <w:p w:rsidR="007605D6" w:rsidRPr="00797CC2" w:rsidRDefault="007605D6" w:rsidP="00964F78">
      <w:pPr>
        <w:rPr>
          <w:rFonts w:ascii="Calibri" w:hAnsi="Calibri"/>
          <w:szCs w:val="22"/>
        </w:rPr>
      </w:pPr>
    </w:p>
    <w:p w:rsidR="007B0923" w:rsidRPr="00797CC2" w:rsidRDefault="007605D6" w:rsidP="007B0923">
      <w:pPr>
        <w:rPr>
          <w:rFonts w:ascii="Calibri" w:hAnsi="Calibri"/>
          <w:szCs w:val="22"/>
        </w:rPr>
      </w:pPr>
      <w:r w:rsidRPr="00797CC2">
        <w:rPr>
          <w:rFonts w:ascii="Calibri" w:hAnsi="Calibri"/>
          <w:szCs w:val="22"/>
        </w:rPr>
        <w:t xml:space="preserve">As shown in Table </w:t>
      </w:r>
      <w:r w:rsidR="0050177B" w:rsidRPr="00797CC2">
        <w:rPr>
          <w:rFonts w:ascii="Calibri" w:hAnsi="Calibri"/>
          <w:szCs w:val="22"/>
        </w:rPr>
        <w:t>3</w:t>
      </w:r>
      <w:r w:rsidRPr="00797CC2">
        <w:rPr>
          <w:rFonts w:ascii="Calibri" w:hAnsi="Calibri"/>
          <w:szCs w:val="22"/>
        </w:rPr>
        <w:t>, we grouped the complaint</w:t>
      </w:r>
      <w:r w:rsidR="005B7D43" w:rsidRPr="00797CC2">
        <w:rPr>
          <w:rFonts w:ascii="Calibri" w:hAnsi="Calibri"/>
          <w:szCs w:val="22"/>
        </w:rPr>
        <w:t xml:space="preserve"> issues into several categories. </w:t>
      </w:r>
      <w:r w:rsidRPr="00797CC2">
        <w:rPr>
          <w:rFonts w:ascii="Calibri" w:hAnsi="Calibri"/>
          <w:szCs w:val="22"/>
        </w:rPr>
        <w:t>Among these</w:t>
      </w:r>
      <w:r w:rsidR="005B7D43" w:rsidRPr="00797CC2">
        <w:rPr>
          <w:rFonts w:ascii="Calibri" w:hAnsi="Calibri"/>
          <w:szCs w:val="22"/>
        </w:rPr>
        <w:t xml:space="preserve"> categories</w:t>
      </w:r>
      <w:r w:rsidRPr="00797CC2">
        <w:rPr>
          <w:rFonts w:ascii="Calibri" w:hAnsi="Calibri"/>
          <w:szCs w:val="22"/>
        </w:rPr>
        <w:t xml:space="preserve">, issues relating to care/treatment, communication, and consent/information were most prevalent, appearing as the primary complaint </w:t>
      </w:r>
      <w:r w:rsidR="005B7D43" w:rsidRPr="00797CC2">
        <w:rPr>
          <w:rFonts w:ascii="Calibri" w:hAnsi="Calibri"/>
          <w:szCs w:val="22"/>
        </w:rPr>
        <w:t>category</w:t>
      </w:r>
      <w:r w:rsidRPr="00797CC2">
        <w:rPr>
          <w:rFonts w:ascii="Calibri" w:hAnsi="Calibri"/>
          <w:szCs w:val="22"/>
        </w:rPr>
        <w:t xml:space="preserve"> in 57%, 11% and 6% of complaints respectively.</w:t>
      </w:r>
      <w:r w:rsidR="0050177B" w:rsidRPr="00797CC2">
        <w:rPr>
          <w:rFonts w:ascii="Calibri" w:hAnsi="Calibri"/>
          <w:szCs w:val="22"/>
        </w:rPr>
        <w:t xml:space="preserve"> </w:t>
      </w:r>
      <w:r w:rsidRPr="00797CC2">
        <w:rPr>
          <w:rFonts w:ascii="Calibri" w:hAnsi="Calibri"/>
          <w:szCs w:val="22"/>
        </w:rPr>
        <w:t xml:space="preserve">When </w:t>
      </w:r>
      <w:r w:rsidR="007B0923" w:rsidRPr="00797CC2">
        <w:rPr>
          <w:rFonts w:ascii="Calibri" w:hAnsi="Calibri"/>
          <w:szCs w:val="22"/>
        </w:rPr>
        <w:t>separate</w:t>
      </w:r>
      <w:r w:rsidRPr="00797CC2">
        <w:rPr>
          <w:rFonts w:ascii="Calibri" w:hAnsi="Calibri"/>
          <w:szCs w:val="22"/>
        </w:rPr>
        <w:t xml:space="preserve"> complaint issues are considered, </w:t>
      </w:r>
      <w:r w:rsidR="007B0923" w:rsidRPr="00797CC2">
        <w:rPr>
          <w:rFonts w:ascii="Calibri" w:hAnsi="Calibri"/>
          <w:szCs w:val="22"/>
        </w:rPr>
        <w:t>inadequate/inappropriate treatment (14%) and missed/incorrect/delayed diagnosis (17%) emerge as the</w:t>
      </w:r>
      <w:r w:rsidR="005B7D43" w:rsidRPr="00797CC2">
        <w:rPr>
          <w:rFonts w:ascii="Calibri" w:hAnsi="Calibri"/>
          <w:szCs w:val="22"/>
        </w:rPr>
        <w:t xml:space="preserve"> most common primary complaint issues.</w:t>
      </w:r>
      <w:r w:rsidR="007B0923" w:rsidRPr="00797CC2">
        <w:rPr>
          <w:rFonts w:ascii="Calibri" w:hAnsi="Calibri"/>
          <w:szCs w:val="22"/>
        </w:rPr>
        <w:t xml:space="preserve">  </w:t>
      </w:r>
    </w:p>
    <w:p w:rsidR="007B0923" w:rsidRPr="00797CC2" w:rsidRDefault="007B0923" w:rsidP="007B0923">
      <w:pPr>
        <w:rPr>
          <w:rFonts w:ascii="Calibri" w:hAnsi="Calibri"/>
          <w:szCs w:val="22"/>
        </w:rPr>
      </w:pPr>
    </w:p>
    <w:p w:rsidR="005D4251" w:rsidRPr="00797CC2" w:rsidRDefault="005D4251" w:rsidP="005D4251"/>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5D4251" w:rsidRPr="00797CC2" w:rsidTr="00C219ED">
        <w:tc>
          <w:tcPr>
            <w:tcW w:w="9298" w:type="dxa"/>
          </w:tcPr>
          <w:p w:rsidR="00C219ED" w:rsidRDefault="00C219ED" w:rsidP="004C794C">
            <w:pPr>
              <w:jc w:val="center"/>
              <w:rPr>
                <w:b/>
                <w:sz w:val="28"/>
                <w:szCs w:val="28"/>
              </w:rPr>
            </w:pPr>
          </w:p>
          <w:p w:rsidR="005D4251" w:rsidRPr="00797CC2" w:rsidRDefault="005D4251" w:rsidP="004C794C">
            <w:pPr>
              <w:jc w:val="center"/>
              <w:rPr>
                <w:b/>
                <w:sz w:val="28"/>
                <w:szCs w:val="28"/>
              </w:rPr>
            </w:pPr>
            <w:r w:rsidRPr="00797CC2">
              <w:rPr>
                <w:b/>
                <w:sz w:val="28"/>
                <w:szCs w:val="28"/>
              </w:rPr>
              <w:t>Case study</w:t>
            </w:r>
          </w:p>
          <w:p w:rsidR="005D4251" w:rsidRPr="00797CC2" w:rsidRDefault="005D4251" w:rsidP="004C794C">
            <w:pPr>
              <w:jc w:val="center"/>
              <w:rPr>
                <w:b/>
                <w:sz w:val="28"/>
                <w:szCs w:val="28"/>
              </w:rPr>
            </w:pPr>
            <w:r w:rsidRPr="00797CC2">
              <w:rPr>
                <w:b/>
                <w:sz w:val="28"/>
                <w:szCs w:val="28"/>
              </w:rPr>
              <w:t>Consent not obtained/inadequate</w:t>
            </w:r>
          </w:p>
          <w:p w:rsidR="005D4251" w:rsidRPr="00797CC2" w:rsidRDefault="005D4251" w:rsidP="004C794C">
            <w:pPr>
              <w:jc w:val="center"/>
              <w:rPr>
                <w:b/>
                <w:sz w:val="28"/>
                <w:szCs w:val="28"/>
              </w:rPr>
            </w:pPr>
          </w:p>
          <w:p w:rsidR="005D4251" w:rsidRPr="00797CC2" w:rsidRDefault="005D4251" w:rsidP="004C794C">
            <w:r w:rsidRPr="00797CC2">
              <w:t xml:space="preserve">A woman had a tubal ligation after an emergency Caesarean section. She complained to </w:t>
            </w:r>
            <w:r w:rsidR="007B4263" w:rsidRPr="00797CC2">
              <w:t>HDC that</w:t>
            </w:r>
            <w:r w:rsidRPr="00797CC2">
              <w:t xml:space="preserve"> she was asked for consent to the tubal ligation when she was on the operating table, and after she had been medicated. She stated that assurances about her baby’s health at the time unduly influenced her decision and that her husband had not been present. The woman told HDC that she regrets having had the tubal ligation. </w:t>
            </w:r>
          </w:p>
          <w:p w:rsidR="005D4251" w:rsidRPr="00797CC2" w:rsidRDefault="005D4251" w:rsidP="004C794C"/>
          <w:p w:rsidR="005D4251" w:rsidRPr="00797CC2" w:rsidRDefault="005D4251" w:rsidP="004C794C">
            <w:r w:rsidRPr="00797CC2">
              <w:t xml:space="preserve">The DHB advised HDC that the woman had been admitted to hospital two days before the Caesarean section and, on her admission, the possibility of a Caesarean section and the option of tubal ligation had been discussed with her. The woman signed two different consent forms; one of which was an agreement to sterilisation, and the other an agreement to Caesarean section and tubal ligation. The consent form documented that various risks associated with the tubal ligation had been discussed with the </w:t>
            </w:r>
            <w:r w:rsidR="007B4263" w:rsidRPr="00797CC2">
              <w:t>woman;</w:t>
            </w:r>
            <w:r w:rsidRPr="00797CC2">
              <w:t xml:space="preserve"> however, the risk of regret was not discussed. The surgery was carried out by a different team of doctors from those who had initially obtained the woman’s consent. Those doctors told HDC they had asked the woman whether she wished to proceed with the surgery but did not recall having had a specific discussion with her regarding the tubal ligation prior to commencing the surgery. </w:t>
            </w:r>
          </w:p>
          <w:p w:rsidR="005D4251" w:rsidRPr="00797CC2" w:rsidRDefault="005D4251" w:rsidP="004C794C"/>
          <w:p w:rsidR="005D4251" w:rsidRPr="00797CC2" w:rsidRDefault="005D4251" w:rsidP="007853C7">
            <w:pPr>
              <w:spacing w:after="120"/>
              <w:rPr>
                <w:b/>
              </w:rPr>
            </w:pPr>
            <w:r w:rsidRPr="00797CC2">
              <w:t>As a result of this complaint, the DHB now requires consent to be readdressed by the operating team before proceeding with tubal ligations, when the operating team is different from the team who obtained consent.</w:t>
            </w:r>
            <w:r w:rsidR="003A2F02" w:rsidRPr="00797CC2">
              <w:t xml:space="preserve">  The DHB is amending its consent form for sterilisation procedures to allow operating surgeons to annotate the form at the time consent is readdressed.</w:t>
            </w:r>
            <w:r w:rsidRPr="00797CC2">
              <w:t xml:space="preserve">  The DHB provide</w:t>
            </w:r>
            <w:r w:rsidR="003A2F02" w:rsidRPr="00797CC2">
              <w:t>d</w:t>
            </w:r>
            <w:r w:rsidRPr="00797CC2">
              <w:t xml:space="preserve"> HDC with the outcome of its audit of the new consent process,</w:t>
            </w:r>
            <w:r w:rsidR="003A2F02" w:rsidRPr="00797CC2">
              <w:t xml:space="preserve"> which showed 100% compliance with the new consent process for tubal ligation performed in conjunction with an emergency Caesarean section.  As recommended by the Deputy Commissioner, the DHB also formally reminded</w:t>
            </w:r>
            <w:r w:rsidRPr="00797CC2">
              <w:t xml:space="preserve"> staff undertaking tubal ligations</w:t>
            </w:r>
            <w:r w:rsidR="003A2F02" w:rsidRPr="00797CC2">
              <w:t xml:space="preserve"> in conjunction with a Caesarean section</w:t>
            </w:r>
            <w:r w:rsidRPr="00797CC2">
              <w:t xml:space="preserve"> to ensure that they discuss the risk of regret with consumers and adequately document any such discussions in the clinical notes. </w:t>
            </w:r>
            <w:r w:rsidR="004C794C" w:rsidRPr="00797CC2">
              <w:t xml:space="preserve"> </w:t>
            </w:r>
          </w:p>
        </w:tc>
      </w:tr>
    </w:tbl>
    <w:p w:rsidR="005D4251" w:rsidRPr="00797CC2" w:rsidRDefault="005D4251" w:rsidP="007B0923">
      <w:pPr>
        <w:rPr>
          <w:rFonts w:ascii="Calibri" w:hAnsi="Calibri"/>
          <w:szCs w:val="22"/>
        </w:rPr>
      </w:pPr>
    </w:p>
    <w:p w:rsidR="00F27427" w:rsidRPr="00797CC2" w:rsidRDefault="007B0923" w:rsidP="007B0923">
      <w:pPr>
        <w:rPr>
          <w:rFonts w:ascii="Calibri" w:hAnsi="Calibri"/>
          <w:szCs w:val="22"/>
        </w:rPr>
      </w:pPr>
      <w:r w:rsidRPr="00797CC2">
        <w:rPr>
          <w:rFonts w:ascii="Calibri" w:hAnsi="Calibri"/>
          <w:szCs w:val="22"/>
        </w:rPr>
        <w:t>On analysis of all issues identified in complaints against DHBs, the most common complaint issues are inadequate/inappropriate treatment (37%), missed/incorrect/delayed diagnosis (27%), failure to communicate effectively with consumer (21%), failure to communicate effectively with family (21%), disrespectful manner/attitude (20%), and inadequate response to consu</w:t>
      </w:r>
      <w:r w:rsidR="00797CC2">
        <w:rPr>
          <w:rFonts w:ascii="Calibri" w:hAnsi="Calibri"/>
          <w:szCs w:val="22"/>
        </w:rPr>
        <w:t xml:space="preserve">mer’s complaint by the DHB </w:t>
      </w:r>
      <w:r w:rsidR="00797CC2" w:rsidRPr="00C219ED">
        <w:rPr>
          <w:rFonts w:ascii="Calibri" w:hAnsi="Calibri"/>
          <w:szCs w:val="22"/>
        </w:rPr>
        <w:t>(20</w:t>
      </w:r>
      <w:r w:rsidRPr="00C219ED">
        <w:rPr>
          <w:rFonts w:ascii="Calibri" w:hAnsi="Calibri"/>
          <w:szCs w:val="22"/>
        </w:rPr>
        <w:t>%)</w:t>
      </w:r>
      <w:r w:rsidR="00064640" w:rsidRPr="00C219ED">
        <w:rPr>
          <w:rFonts w:ascii="Calibri" w:hAnsi="Calibri"/>
          <w:szCs w:val="22"/>
        </w:rPr>
        <w:t>.</w:t>
      </w:r>
      <w:r w:rsidR="00064640" w:rsidRPr="00797CC2">
        <w:rPr>
          <w:rFonts w:ascii="Calibri" w:hAnsi="Calibri"/>
          <w:szCs w:val="22"/>
        </w:rPr>
        <w:t xml:space="preserve"> </w:t>
      </w:r>
      <w:r w:rsidRPr="00797CC2">
        <w:rPr>
          <w:rFonts w:ascii="Calibri" w:hAnsi="Calibri"/>
          <w:szCs w:val="22"/>
        </w:rPr>
        <w:t>Many complaints involved issues categorised as care/treatment, such as inadequate assessment, delay in treatment, inadequate testing, inappropriate/delayed discharge/transfer, inadequate coordination of care or treatment, and unexpected treatment outcome; each of these were mentioned in around 14% of complaints.</w:t>
      </w:r>
    </w:p>
    <w:p w:rsidR="00F27427" w:rsidRPr="00797CC2" w:rsidRDefault="00F27427" w:rsidP="007B0923">
      <w:pPr>
        <w:rPr>
          <w:rFonts w:ascii="Calibri" w:hAnsi="Calibri"/>
          <w:szCs w:val="22"/>
        </w:rPr>
      </w:pPr>
    </w:p>
    <w:p w:rsidR="00F27427" w:rsidRPr="00797CC2" w:rsidRDefault="00F27427" w:rsidP="007B0923">
      <w:pPr>
        <w:rPr>
          <w:rFonts w:ascii="Calibri" w:hAnsi="Calibri"/>
          <w:szCs w:val="22"/>
        </w:rPr>
      </w:pPr>
      <w:r w:rsidRPr="00797CC2">
        <w:rPr>
          <w:rFonts w:ascii="Calibri" w:hAnsi="Calibri"/>
          <w:b/>
          <w:szCs w:val="22"/>
        </w:rPr>
        <w:t>Table 3.</w:t>
      </w:r>
      <w:r w:rsidRPr="00797CC2">
        <w:rPr>
          <w:rFonts w:ascii="Calibri" w:hAnsi="Calibri"/>
          <w:szCs w:val="22"/>
        </w:rPr>
        <w:t xml:space="preserve"> Issues complained about in DHB complaints</w:t>
      </w:r>
    </w:p>
    <w:p w:rsidR="00F27427" w:rsidRPr="00797CC2" w:rsidRDefault="00F27427" w:rsidP="007B0923">
      <w:pPr>
        <w:rPr>
          <w:rFonts w:ascii="Calibri" w:hAnsi="Calibri"/>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268"/>
        <w:gridCol w:w="1842"/>
      </w:tblGrid>
      <w:tr w:rsidR="00F27427" w:rsidRPr="00797CC2" w:rsidTr="00F87F57">
        <w:trPr>
          <w:tblHeader/>
        </w:trPr>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B8276F">
            <w:pPr>
              <w:jc w:val="left"/>
              <w:rPr>
                <w:rFonts w:ascii="Calibri" w:hAnsi="Calibri"/>
                <w:b/>
                <w:szCs w:val="22"/>
              </w:rPr>
            </w:pPr>
            <w:r w:rsidRPr="00797CC2">
              <w:rPr>
                <w:rFonts w:ascii="Calibri" w:hAnsi="Calibri"/>
                <w:b/>
                <w:szCs w:val="22"/>
              </w:rPr>
              <w:t xml:space="preserve">Primary issue </w:t>
            </w:r>
          </w:p>
        </w:tc>
        <w:tc>
          <w:tcPr>
            <w:tcW w:w="2268" w:type="dxa"/>
            <w:tcBorders>
              <w:top w:val="single" w:sz="4" w:space="0" w:color="auto"/>
              <w:left w:val="single" w:sz="4" w:space="0" w:color="auto"/>
              <w:bottom w:val="single" w:sz="4" w:space="0" w:color="auto"/>
              <w:right w:val="single" w:sz="4" w:space="0" w:color="auto"/>
            </w:tcBorders>
          </w:tcPr>
          <w:p w:rsidR="00F27427" w:rsidRPr="00797CC2" w:rsidRDefault="00F27427" w:rsidP="00B8276F">
            <w:pPr>
              <w:jc w:val="left"/>
              <w:rPr>
                <w:rFonts w:ascii="Calibri" w:hAnsi="Calibri"/>
                <w:b/>
                <w:szCs w:val="22"/>
              </w:rPr>
            </w:pPr>
            <w:r w:rsidRPr="00797CC2">
              <w:rPr>
                <w:rFonts w:ascii="Calibri" w:hAnsi="Calibri"/>
                <w:b/>
                <w:szCs w:val="22"/>
              </w:rPr>
              <w:t>Number of complai</w:t>
            </w:r>
            <w:r w:rsidR="00FC06CA" w:rsidRPr="00797CC2">
              <w:rPr>
                <w:rFonts w:ascii="Calibri" w:hAnsi="Calibri"/>
                <w:b/>
                <w:szCs w:val="22"/>
              </w:rPr>
              <w:t xml:space="preserve">nts primarily about this issue </w:t>
            </w:r>
            <w:r w:rsidRPr="00797CC2">
              <w:rPr>
                <w:rFonts w:ascii="Calibri" w:hAnsi="Calibri"/>
                <w:b/>
                <w:szCs w:val="22"/>
              </w:rPr>
              <w:t>(%)</w:t>
            </w:r>
          </w:p>
        </w:tc>
        <w:tc>
          <w:tcPr>
            <w:tcW w:w="1842" w:type="dxa"/>
            <w:tcBorders>
              <w:top w:val="single" w:sz="4" w:space="0" w:color="auto"/>
              <w:left w:val="single" w:sz="4" w:space="0" w:color="auto"/>
              <w:bottom w:val="single" w:sz="4" w:space="0" w:color="auto"/>
              <w:right w:val="single" w:sz="4" w:space="0" w:color="auto"/>
            </w:tcBorders>
          </w:tcPr>
          <w:p w:rsidR="00F27427" w:rsidRPr="00797CC2" w:rsidRDefault="00F27427" w:rsidP="00B8276F">
            <w:pPr>
              <w:jc w:val="left"/>
              <w:rPr>
                <w:rFonts w:ascii="Calibri" w:hAnsi="Calibri"/>
                <w:b/>
                <w:szCs w:val="22"/>
              </w:rPr>
            </w:pPr>
            <w:r w:rsidRPr="00797CC2">
              <w:rPr>
                <w:rFonts w:ascii="Calibri" w:hAnsi="Calibri"/>
                <w:b/>
                <w:szCs w:val="22"/>
              </w:rPr>
              <w:t>Number of c</w:t>
            </w:r>
            <w:r w:rsidR="00B8276F" w:rsidRPr="00797CC2">
              <w:rPr>
                <w:rFonts w:ascii="Calibri" w:hAnsi="Calibri"/>
                <w:b/>
                <w:szCs w:val="22"/>
              </w:rPr>
              <w:t xml:space="preserve">omplaints involving this issue </w:t>
            </w:r>
            <w:r w:rsidRPr="00797CC2">
              <w:rPr>
                <w:rFonts w:ascii="Calibri" w:hAnsi="Calibri"/>
                <w:b/>
                <w:szCs w:val="22"/>
              </w:rPr>
              <w:t>(%)</w:t>
            </w:r>
          </w:p>
        </w:tc>
      </w:tr>
      <w:tr w:rsidR="00F27427" w:rsidRPr="00797CC2" w:rsidTr="00C219ED">
        <w:tc>
          <w:tcPr>
            <w:tcW w:w="5529" w:type="dxa"/>
            <w:tcBorders>
              <w:top w:val="single" w:sz="4" w:space="0" w:color="auto"/>
              <w:left w:val="single" w:sz="4" w:space="0" w:color="auto"/>
              <w:bottom w:val="single" w:sz="4" w:space="0" w:color="auto"/>
              <w:right w:val="single" w:sz="4" w:space="0" w:color="auto"/>
            </w:tcBorders>
            <w:shd w:val="clear" w:color="auto" w:fill="C00000"/>
            <w:vAlign w:val="bottom"/>
          </w:tcPr>
          <w:p w:rsidR="00F27427" w:rsidRPr="00797CC2" w:rsidRDefault="00F27427" w:rsidP="00F27427">
            <w:pPr>
              <w:rPr>
                <w:rFonts w:ascii="Calibri" w:hAnsi="Calibri"/>
                <w:b/>
                <w:i/>
                <w:szCs w:val="22"/>
              </w:rPr>
            </w:pPr>
            <w:r w:rsidRPr="00797CC2">
              <w:rPr>
                <w:rFonts w:ascii="Calibri" w:hAnsi="Calibri"/>
                <w:b/>
                <w:i/>
                <w:szCs w:val="22"/>
              </w:rPr>
              <w:t>Access/Funding</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50177B" w:rsidP="00F27427">
            <w:pPr>
              <w:rPr>
                <w:rFonts w:ascii="Calibri" w:hAnsi="Calibri"/>
                <w:b/>
                <w:i/>
                <w:szCs w:val="22"/>
              </w:rPr>
            </w:pPr>
            <w:r w:rsidRPr="00797CC2">
              <w:rPr>
                <w:rFonts w:ascii="Calibri" w:hAnsi="Calibri"/>
                <w:b/>
                <w:i/>
                <w:szCs w:val="22"/>
              </w:rPr>
              <w:t>47(7</w:t>
            </w:r>
            <w:r w:rsidR="00F27427" w:rsidRPr="00797CC2">
              <w:rPr>
                <w:rFonts w:ascii="Calibri" w:hAnsi="Calibri"/>
                <w:b/>
                <w:i/>
                <w:szCs w:val="22"/>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F27427" w:rsidP="00F27427">
            <w:pPr>
              <w:rPr>
                <w:rFonts w:ascii="Calibri" w:hAnsi="Calibri"/>
                <w:b/>
                <w:i/>
                <w:szCs w:val="22"/>
              </w:rPr>
            </w:pP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vAlign w:val="bottom"/>
          </w:tcPr>
          <w:p w:rsidR="00F27427" w:rsidRPr="00797CC2" w:rsidRDefault="00F27427" w:rsidP="00F27427">
            <w:pPr>
              <w:rPr>
                <w:rFonts w:ascii="Calibri" w:hAnsi="Calibri"/>
                <w:szCs w:val="22"/>
              </w:rPr>
            </w:pPr>
            <w:r w:rsidRPr="00797CC2">
              <w:rPr>
                <w:rFonts w:ascii="Calibri" w:hAnsi="Calibri"/>
                <w:szCs w:val="22"/>
              </w:rPr>
              <w:t>ACC compensation issue</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F27427" w:rsidP="00F27427">
            <w:pPr>
              <w:rPr>
                <w:rFonts w:ascii="Calibri" w:hAnsi="Calibri"/>
                <w:szCs w:val="22"/>
              </w:rPr>
            </w:pPr>
            <w:r w:rsidRPr="00797CC2">
              <w:rPr>
                <w:rFonts w:ascii="Calibri" w:hAnsi="Calibri"/>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17(3</w:t>
            </w:r>
            <w:r w:rsidR="00F27427"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vAlign w:val="bottom"/>
          </w:tcPr>
          <w:p w:rsidR="00F27427" w:rsidRPr="00797CC2" w:rsidRDefault="00F27427" w:rsidP="00F27427">
            <w:pPr>
              <w:rPr>
                <w:rFonts w:ascii="Calibri" w:hAnsi="Calibri"/>
                <w:szCs w:val="22"/>
              </w:rPr>
            </w:pPr>
            <w:r w:rsidRPr="00797CC2">
              <w:rPr>
                <w:rFonts w:ascii="Calibri" w:hAnsi="Calibri"/>
                <w:szCs w:val="22"/>
              </w:rPr>
              <w:t>Lack of access to services</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20(3</w:t>
            </w:r>
            <w:r w:rsidR="00F27427"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63(10</w:t>
            </w:r>
            <w:r w:rsidR="00F27427"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vAlign w:val="bottom"/>
          </w:tcPr>
          <w:p w:rsidR="00F27427" w:rsidRPr="00797CC2" w:rsidRDefault="00F27427" w:rsidP="00F27427">
            <w:pPr>
              <w:rPr>
                <w:rFonts w:ascii="Calibri" w:hAnsi="Calibri"/>
                <w:szCs w:val="22"/>
              </w:rPr>
            </w:pPr>
            <w:r w:rsidRPr="00797CC2">
              <w:rPr>
                <w:rFonts w:ascii="Calibri" w:hAnsi="Calibri"/>
                <w:szCs w:val="22"/>
              </w:rPr>
              <w:t>Lack of access to subsidies/funding</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8(1</w:t>
            </w:r>
            <w:r w:rsidR="00F27427"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15(2</w:t>
            </w:r>
            <w:r w:rsidR="00F27427"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vAlign w:val="bottom"/>
          </w:tcPr>
          <w:p w:rsidR="00F27427" w:rsidRPr="00797CC2" w:rsidRDefault="00F27427" w:rsidP="00F27427">
            <w:pPr>
              <w:rPr>
                <w:rFonts w:ascii="Calibri" w:hAnsi="Calibri"/>
                <w:szCs w:val="22"/>
              </w:rPr>
            </w:pPr>
            <w:r w:rsidRPr="00797CC2">
              <w:rPr>
                <w:rFonts w:ascii="Calibri" w:hAnsi="Calibri"/>
                <w:szCs w:val="22"/>
              </w:rPr>
              <w:t>Waiting list/prioritisation issue</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19(3</w:t>
            </w:r>
            <w:r w:rsidR="00F27427"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41(6</w:t>
            </w:r>
            <w:r w:rsidR="00F27427" w:rsidRPr="00797CC2">
              <w:rPr>
                <w:rFonts w:ascii="Calibri" w:hAnsi="Calibri"/>
                <w:szCs w:val="22"/>
              </w:rPr>
              <w:t>)</w:t>
            </w:r>
          </w:p>
        </w:tc>
      </w:tr>
      <w:tr w:rsidR="00F27427" w:rsidRPr="00797CC2" w:rsidTr="00C219ED">
        <w:tc>
          <w:tcPr>
            <w:tcW w:w="5529" w:type="dxa"/>
            <w:tcBorders>
              <w:top w:val="single" w:sz="4" w:space="0" w:color="auto"/>
              <w:left w:val="single" w:sz="4" w:space="0" w:color="auto"/>
              <w:bottom w:val="single" w:sz="4" w:space="0" w:color="auto"/>
              <w:right w:val="single" w:sz="4" w:space="0" w:color="auto"/>
            </w:tcBorders>
            <w:shd w:val="clear" w:color="auto" w:fill="C00000"/>
            <w:vAlign w:val="bottom"/>
          </w:tcPr>
          <w:p w:rsidR="00F27427" w:rsidRPr="00797CC2" w:rsidRDefault="00F27427" w:rsidP="00F27427">
            <w:pPr>
              <w:rPr>
                <w:rFonts w:ascii="Calibri" w:hAnsi="Calibri"/>
                <w:b/>
                <w:i/>
                <w:szCs w:val="22"/>
              </w:rPr>
            </w:pPr>
            <w:r w:rsidRPr="00797CC2">
              <w:rPr>
                <w:rFonts w:ascii="Calibri" w:hAnsi="Calibri"/>
                <w:b/>
                <w:i/>
                <w:szCs w:val="22"/>
              </w:rPr>
              <w:t>Boundary violation</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50177B" w:rsidP="00F27427">
            <w:pPr>
              <w:rPr>
                <w:rFonts w:ascii="Calibri" w:hAnsi="Calibri"/>
                <w:b/>
                <w:i/>
                <w:szCs w:val="22"/>
              </w:rPr>
            </w:pPr>
            <w:r w:rsidRPr="00797CC2">
              <w:rPr>
                <w:rFonts w:ascii="Calibri" w:hAnsi="Calibri"/>
                <w:b/>
                <w:i/>
                <w:szCs w:val="22"/>
              </w:rPr>
              <w:t>9(1</w:t>
            </w:r>
            <w:r w:rsidR="00F27427" w:rsidRPr="00797CC2">
              <w:rPr>
                <w:rFonts w:ascii="Calibri" w:hAnsi="Calibri"/>
                <w:b/>
                <w: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F27427" w:rsidP="00F27427">
            <w:pPr>
              <w:rPr>
                <w:rFonts w:ascii="Calibri" w:hAnsi="Calibri"/>
                <w:b/>
                <w:i/>
                <w:szCs w:val="22"/>
              </w:rPr>
            </w:pPr>
          </w:p>
        </w:tc>
      </w:tr>
      <w:tr w:rsidR="00FC06CA" w:rsidRPr="00797CC2" w:rsidTr="00F87F57">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FC06CA" w:rsidRPr="00797CC2" w:rsidRDefault="00B620AC" w:rsidP="00F27427">
            <w:pPr>
              <w:rPr>
                <w:rFonts w:ascii="Calibri" w:hAnsi="Calibri"/>
                <w:szCs w:val="22"/>
              </w:rPr>
            </w:pPr>
            <w:r w:rsidRPr="00797CC2">
              <w:rPr>
                <w:rFonts w:ascii="Calibri" w:hAnsi="Calibri"/>
                <w:szCs w:val="22"/>
              </w:rPr>
              <w:t>Inappropriate non-sexual physical contact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C06CA" w:rsidRPr="00797CC2" w:rsidRDefault="00B620AC" w:rsidP="00F27427">
            <w:pPr>
              <w:rPr>
                <w:rFonts w:ascii="Calibri" w:hAnsi="Calibri"/>
                <w:szCs w:val="22"/>
              </w:rPr>
            </w:pPr>
            <w:r w:rsidRPr="00797CC2">
              <w:rPr>
                <w:rFonts w:ascii="Calibri" w:hAnsi="Calibri"/>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C06CA" w:rsidRPr="00797CC2" w:rsidRDefault="00B620AC" w:rsidP="00F27427">
            <w:pPr>
              <w:rPr>
                <w:rFonts w:ascii="Calibri" w:hAnsi="Calibri"/>
                <w:szCs w:val="22"/>
              </w:rPr>
            </w:pPr>
            <w:r w:rsidRPr="00797CC2">
              <w:rPr>
                <w:rFonts w:ascii="Calibri" w:hAnsi="Calibri"/>
                <w:szCs w:val="22"/>
              </w:rPr>
              <w:t>2(0.3)</w:t>
            </w:r>
          </w:p>
        </w:tc>
      </w:tr>
      <w:tr w:rsidR="00FC06CA" w:rsidRPr="00797CC2" w:rsidTr="00F87F57">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FC06CA" w:rsidRPr="00797CC2" w:rsidRDefault="00B620AC" w:rsidP="00F27427">
            <w:pPr>
              <w:rPr>
                <w:rFonts w:ascii="Calibri" w:hAnsi="Calibri"/>
                <w:szCs w:val="22"/>
              </w:rPr>
            </w:pPr>
            <w:r w:rsidRPr="00797CC2">
              <w:rPr>
                <w:rFonts w:ascii="Calibri" w:hAnsi="Calibri"/>
                <w:szCs w:val="22"/>
              </w:rPr>
              <w:t>Inappropriate sexual physical contact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C06CA" w:rsidRPr="00797CC2" w:rsidRDefault="00B620AC" w:rsidP="00F27427">
            <w:pPr>
              <w:rPr>
                <w:rFonts w:ascii="Calibri" w:hAnsi="Calibri"/>
                <w:szCs w:val="22"/>
              </w:rPr>
            </w:pPr>
            <w:r w:rsidRPr="00797CC2">
              <w:rPr>
                <w:rFonts w:ascii="Calibri" w:hAnsi="Calibri"/>
                <w:szCs w:val="22"/>
              </w:rPr>
              <w:t>6(0.9)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C06CA" w:rsidRPr="00797CC2" w:rsidRDefault="0050177B" w:rsidP="00F27427">
            <w:pPr>
              <w:rPr>
                <w:rFonts w:ascii="Calibri" w:hAnsi="Calibri"/>
                <w:szCs w:val="22"/>
              </w:rPr>
            </w:pPr>
            <w:r w:rsidRPr="00797CC2">
              <w:rPr>
                <w:rFonts w:ascii="Calibri" w:hAnsi="Calibri"/>
                <w:szCs w:val="22"/>
              </w:rPr>
              <w:t>7(1</w:t>
            </w:r>
            <w:r w:rsidR="00B620AC" w:rsidRPr="00797CC2">
              <w:rPr>
                <w:rFonts w:ascii="Calibri" w:hAnsi="Calibri"/>
                <w:szCs w:val="22"/>
              </w:rPr>
              <w:t>)</w:t>
            </w:r>
          </w:p>
        </w:tc>
      </w:tr>
      <w:tr w:rsidR="00B620AC" w:rsidRPr="00797CC2" w:rsidTr="00F87F57">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B620AC" w:rsidRPr="00797CC2" w:rsidRDefault="00B620AC" w:rsidP="00F27427">
            <w:pPr>
              <w:rPr>
                <w:rFonts w:ascii="Calibri" w:hAnsi="Calibri"/>
                <w:szCs w:val="22"/>
              </w:rPr>
            </w:pPr>
            <w:r w:rsidRPr="00797CC2">
              <w:rPr>
                <w:rFonts w:ascii="Calibri" w:hAnsi="Calibri"/>
                <w:szCs w:val="22"/>
              </w:rPr>
              <w:t>Inappropriate sexual relationship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620AC" w:rsidRPr="00797CC2" w:rsidRDefault="00B620AC" w:rsidP="00F27427">
            <w:pPr>
              <w:rPr>
                <w:rFonts w:ascii="Calibri" w:hAnsi="Calibri"/>
                <w:szCs w:val="22"/>
              </w:rPr>
            </w:pPr>
            <w:r w:rsidRPr="00797CC2">
              <w:rPr>
                <w:rFonts w:ascii="Calibri" w:hAnsi="Calibri"/>
                <w:szCs w:val="22"/>
              </w:rPr>
              <w:t>3(0.5)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620AC" w:rsidRPr="00797CC2" w:rsidRDefault="00223CA8" w:rsidP="00F27427">
            <w:pPr>
              <w:rPr>
                <w:rFonts w:ascii="Calibri" w:hAnsi="Calibri"/>
                <w:szCs w:val="22"/>
              </w:rPr>
            </w:pPr>
            <w:r w:rsidRPr="00797CC2">
              <w:rPr>
                <w:rFonts w:ascii="Calibri" w:hAnsi="Calibri"/>
                <w:szCs w:val="22"/>
              </w:rPr>
              <w:t>3(0.5)</w:t>
            </w:r>
          </w:p>
        </w:tc>
      </w:tr>
      <w:tr w:rsidR="00F27427" w:rsidRPr="00797CC2" w:rsidTr="00C219ED">
        <w:tc>
          <w:tcPr>
            <w:tcW w:w="5529" w:type="dxa"/>
            <w:tcBorders>
              <w:top w:val="single" w:sz="4" w:space="0" w:color="auto"/>
              <w:left w:val="single" w:sz="4" w:space="0" w:color="auto"/>
              <w:bottom w:val="single" w:sz="4" w:space="0" w:color="auto"/>
              <w:right w:val="single" w:sz="4" w:space="0" w:color="auto"/>
            </w:tcBorders>
            <w:shd w:val="clear" w:color="auto" w:fill="C00000"/>
            <w:vAlign w:val="bottom"/>
          </w:tcPr>
          <w:p w:rsidR="00F27427" w:rsidRPr="00797CC2" w:rsidRDefault="00F27427" w:rsidP="00F27427">
            <w:pPr>
              <w:rPr>
                <w:rFonts w:ascii="Calibri" w:hAnsi="Calibri"/>
                <w:b/>
                <w:i/>
                <w:szCs w:val="22"/>
              </w:rPr>
            </w:pPr>
            <w:r w:rsidRPr="00797CC2">
              <w:rPr>
                <w:rFonts w:ascii="Calibri" w:hAnsi="Calibri"/>
                <w:b/>
                <w:i/>
                <w:szCs w:val="22"/>
              </w:rPr>
              <w:t>Care/Treatment</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50177B" w:rsidP="00F27427">
            <w:pPr>
              <w:rPr>
                <w:rFonts w:ascii="Calibri" w:hAnsi="Calibri"/>
                <w:b/>
                <w:i/>
                <w:szCs w:val="22"/>
              </w:rPr>
            </w:pPr>
            <w:r w:rsidRPr="00797CC2">
              <w:rPr>
                <w:rFonts w:ascii="Calibri" w:hAnsi="Calibri"/>
                <w:b/>
                <w:i/>
                <w:szCs w:val="22"/>
              </w:rPr>
              <w:t>378(57</w:t>
            </w:r>
            <w:r w:rsidR="00B8276F" w:rsidRPr="00797CC2">
              <w:rPr>
                <w:rFonts w:ascii="Calibri" w:hAnsi="Calibri"/>
                <w:b/>
                <w: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F27427" w:rsidP="00F27427">
            <w:pPr>
              <w:rPr>
                <w:rFonts w:ascii="Calibri" w:hAnsi="Calibri"/>
                <w:b/>
                <w:i/>
                <w:szCs w:val="22"/>
              </w:rPr>
            </w:pP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vAlign w:val="bottom"/>
          </w:tcPr>
          <w:p w:rsidR="00F27427" w:rsidRPr="00797CC2" w:rsidRDefault="00F27427" w:rsidP="00F27427">
            <w:pPr>
              <w:rPr>
                <w:rFonts w:ascii="Calibri" w:hAnsi="Calibri"/>
                <w:szCs w:val="22"/>
              </w:rPr>
            </w:pPr>
            <w:r w:rsidRPr="00797CC2">
              <w:rPr>
                <w:rFonts w:ascii="Calibri" w:hAnsi="Calibri"/>
                <w:szCs w:val="22"/>
              </w:rPr>
              <w:t xml:space="preserve">Delay in treatment </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12(2</w:t>
            </w:r>
            <w:r w:rsidR="00B8276F"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98(15</w:t>
            </w:r>
            <w:r w:rsidR="00B8276F"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vAlign w:val="bottom"/>
          </w:tcPr>
          <w:p w:rsidR="00F27427" w:rsidRPr="00797CC2" w:rsidRDefault="00F27427" w:rsidP="00F27427">
            <w:pPr>
              <w:rPr>
                <w:rFonts w:ascii="Calibri" w:hAnsi="Calibri"/>
                <w:szCs w:val="22"/>
              </w:rPr>
            </w:pPr>
            <w:r w:rsidRPr="00797CC2">
              <w:rPr>
                <w:rFonts w:ascii="Calibri" w:hAnsi="Calibri"/>
                <w:szCs w:val="22"/>
              </w:rPr>
              <w:t>Delayed/inadequate/inappropriate referral</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18(3</w:t>
            </w:r>
            <w:r w:rsidR="00B8276F"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84(13</w:t>
            </w:r>
            <w:r w:rsidR="00B8276F"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vAlign w:val="bottom"/>
          </w:tcPr>
          <w:p w:rsidR="00F27427" w:rsidRPr="00797CC2" w:rsidRDefault="00F27427" w:rsidP="00F27427">
            <w:pPr>
              <w:rPr>
                <w:rFonts w:ascii="Calibri" w:hAnsi="Calibri"/>
                <w:szCs w:val="22"/>
              </w:rPr>
            </w:pPr>
            <w:r w:rsidRPr="00797CC2">
              <w:rPr>
                <w:rFonts w:ascii="Calibri" w:hAnsi="Calibri"/>
                <w:szCs w:val="22"/>
              </w:rPr>
              <w:t>Inadequate coordination of care or treatment</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7(1</w:t>
            </w:r>
            <w:r w:rsidR="00B8276F"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91(14</w:t>
            </w:r>
            <w:r w:rsidR="00B8276F"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vAlign w:val="bottom"/>
          </w:tcPr>
          <w:p w:rsidR="00F27427" w:rsidRPr="00797CC2" w:rsidRDefault="00F27427" w:rsidP="00F27427">
            <w:pPr>
              <w:rPr>
                <w:rFonts w:ascii="Calibri" w:hAnsi="Calibri"/>
                <w:szCs w:val="22"/>
              </w:rPr>
            </w:pPr>
            <w:r w:rsidRPr="00797CC2">
              <w:rPr>
                <w:rFonts w:ascii="Calibri" w:hAnsi="Calibri"/>
                <w:szCs w:val="22"/>
              </w:rPr>
              <w:t xml:space="preserve">Inadequate/inappropriate clinical treatment </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92(14</w:t>
            </w:r>
            <w:r w:rsidR="00B8276F"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242(3</w:t>
            </w:r>
            <w:r w:rsidR="00B8276F" w:rsidRPr="00797CC2">
              <w:rPr>
                <w:rFonts w:ascii="Calibri" w:hAnsi="Calibri"/>
                <w:szCs w:val="22"/>
              </w:rPr>
              <w:t>7)</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Inadequate/inappropriate examination/assessment</w:t>
            </w:r>
          </w:p>
        </w:tc>
        <w:tc>
          <w:tcPr>
            <w:tcW w:w="2268" w:type="dxa"/>
            <w:tcBorders>
              <w:top w:val="single" w:sz="4" w:space="0" w:color="auto"/>
              <w:left w:val="single" w:sz="4" w:space="0" w:color="auto"/>
              <w:bottom w:val="single" w:sz="4" w:space="0" w:color="auto"/>
              <w:right w:val="single" w:sz="4" w:space="0" w:color="auto"/>
            </w:tcBorders>
            <w:vAlign w:val="center"/>
          </w:tcPr>
          <w:p w:rsidR="00B8276F" w:rsidRPr="00797CC2" w:rsidRDefault="0050177B" w:rsidP="00F27427">
            <w:pPr>
              <w:rPr>
                <w:rFonts w:ascii="Calibri" w:hAnsi="Calibri"/>
                <w:szCs w:val="22"/>
              </w:rPr>
            </w:pPr>
            <w:r w:rsidRPr="00797CC2">
              <w:rPr>
                <w:rFonts w:ascii="Calibri" w:hAnsi="Calibri"/>
                <w:szCs w:val="22"/>
              </w:rPr>
              <w:t>15(2</w:t>
            </w:r>
            <w:r w:rsidR="00B8276F"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95(14</w:t>
            </w:r>
            <w:r w:rsidR="00B8604D" w:rsidRPr="00797CC2">
              <w:rPr>
                <w:rFonts w:ascii="Calibri" w:hAnsi="Calibri"/>
                <w:szCs w:val="22"/>
              </w:rPr>
              <w:t>)</w:t>
            </w:r>
          </w:p>
        </w:tc>
      </w:tr>
      <w:tr w:rsidR="00B8604D" w:rsidRPr="00797CC2" w:rsidTr="00C219ED">
        <w:tc>
          <w:tcPr>
            <w:tcW w:w="5529" w:type="dxa"/>
            <w:tcBorders>
              <w:top w:val="single" w:sz="4" w:space="0" w:color="auto"/>
              <w:left w:val="single" w:sz="4" w:space="0" w:color="auto"/>
              <w:bottom w:val="single" w:sz="4" w:space="0" w:color="auto"/>
              <w:right w:val="single" w:sz="4" w:space="0" w:color="auto"/>
            </w:tcBorders>
            <w:shd w:val="clear" w:color="auto" w:fill="C00000"/>
            <w:vAlign w:val="bottom"/>
          </w:tcPr>
          <w:p w:rsidR="00B8604D" w:rsidRPr="00797CC2" w:rsidRDefault="00B8604D" w:rsidP="00F27427">
            <w:pPr>
              <w:rPr>
                <w:rFonts w:ascii="Calibri" w:hAnsi="Calibri"/>
                <w:szCs w:val="22"/>
              </w:rPr>
            </w:pPr>
            <w:r w:rsidRPr="00797CC2">
              <w:rPr>
                <w:rFonts w:ascii="Calibri" w:hAnsi="Calibri"/>
                <w:szCs w:val="22"/>
              </w:rPr>
              <w:t>Inadequate/inappropriate follow-up</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B8604D" w:rsidRPr="00797CC2" w:rsidRDefault="00B8604D" w:rsidP="00F27427">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B8604D" w:rsidRPr="00797CC2" w:rsidRDefault="0050177B" w:rsidP="00F27427">
            <w:pPr>
              <w:rPr>
                <w:rFonts w:ascii="Calibri" w:hAnsi="Calibri"/>
                <w:szCs w:val="22"/>
              </w:rPr>
            </w:pPr>
            <w:r w:rsidRPr="00797CC2">
              <w:rPr>
                <w:rFonts w:ascii="Calibri" w:hAnsi="Calibri"/>
                <w:szCs w:val="22"/>
              </w:rPr>
              <w:t>36(6</w:t>
            </w:r>
            <w:r w:rsidR="00B8604D" w:rsidRPr="00797CC2">
              <w:rPr>
                <w:rFonts w:ascii="Calibri" w:hAnsi="Calibri"/>
                <w:szCs w:val="22"/>
              </w:rPr>
              <w:t>)</w:t>
            </w:r>
          </w:p>
        </w:tc>
      </w:tr>
      <w:tr w:rsidR="00B620AC" w:rsidRPr="00797CC2" w:rsidTr="00F87F57">
        <w:tc>
          <w:tcPr>
            <w:tcW w:w="5529" w:type="dxa"/>
            <w:tcBorders>
              <w:top w:val="single" w:sz="4" w:space="0" w:color="auto"/>
              <w:left w:val="single" w:sz="4" w:space="0" w:color="auto"/>
              <w:bottom w:val="single" w:sz="4" w:space="0" w:color="auto"/>
              <w:right w:val="single" w:sz="4" w:space="0" w:color="auto"/>
            </w:tcBorders>
            <w:vAlign w:val="bottom"/>
          </w:tcPr>
          <w:p w:rsidR="00B620AC" w:rsidRPr="00797CC2" w:rsidRDefault="00B620AC" w:rsidP="00F27427">
            <w:pPr>
              <w:rPr>
                <w:rFonts w:ascii="Calibri" w:hAnsi="Calibri"/>
                <w:szCs w:val="22"/>
              </w:rPr>
            </w:pPr>
            <w:r w:rsidRPr="00797CC2">
              <w:rPr>
                <w:rFonts w:ascii="Calibri" w:hAnsi="Calibri"/>
                <w:szCs w:val="22"/>
              </w:rPr>
              <w:t>Inadequate/inappropriate monitoring</w:t>
            </w:r>
          </w:p>
        </w:tc>
        <w:tc>
          <w:tcPr>
            <w:tcW w:w="2268" w:type="dxa"/>
            <w:tcBorders>
              <w:top w:val="single" w:sz="4" w:space="0" w:color="auto"/>
              <w:left w:val="single" w:sz="4" w:space="0" w:color="auto"/>
              <w:bottom w:val="single" w:sz="4" w:space="0" w:color="auto"/>
              <w:right w:val="single" w:sz="4" w:space="0" w:color="auto"/>
            </w:tcBorders>
            <w:vAlign w:val="center"/>
          </w:tcPr>
          <w:p w:rsidR="00B620AC" w:rsidRPr="00797CC2" w:rsidRDefault="00B620AC" w:rsidP="00F27427">
            <w:pPr>
              <w:rPr>
                <w:rFonts w:ascii="Calibri" w:hAnsi="Calibri"/>
                <w:szCs w:val="22"/>
              </w:rPr>
            </w:pPr>
            <w:r w:rsidRPr="00797CC2">
              <w:rPr>
                <w:rFonts w:ascii="Calibri" w:hAnsi="Calibri"/>
                <w:szCs w:val="22"/>
              </w:rPr>
              <w:t>3</w:t>
            </w:r>
            <w:r w:rsidR="00223CA8" w:rsidRPr="00797CC2">
              <w:rPr>
                <w:rFonts w:ascii="Calibri" w:hAnsi="Calibri"/>
                <w:szCs w:val="22"/>
              </w:rPr>
              <w:t>(0.5)</w:t>
            </w:r>
          </w:p>
        </w:tc>
        <w:tc>
          <w:tcPr>
            <w:tcW w:w="1842" w:type="dxa"/>
            <w:tcBorders>
              <w:top w:val="single" w:sz="4" w:space="0" w:color="auto"/>
              <w:left w:val="single" w:sz="4" w:space="0" w:color="auto"/>
              <w:bottom w:val="single" w:sz="4" w:space="0" w:color="auto"/>
              <w:right w:val="single" w:sz="4" w:space="0" w:color="auto"/>
            </w:tcBorders>
            <w:vAlign w:val="center"/>
          </w:tcPr>
          <w:p w:rsidR="00B620AC" w:rsidRPr="00797CC2" w:rsidRDefault="0050177B" w:rsidP="00F27427">
            <w:pPr>
              <w:rPr>
                <w:rFonts w:ascii="Calibri" w:hAnsi="Calibri"/>
                <w:szCs w:val="22"/>
              </w:rPr>
            </w:pPr>
            <w:r w:rsidRPr="00797CC2">
              <w:rPr>
                <w:rFonts w:ascii="Calibri" w:hAnsi="Calibri"/>
                <w:szCs w:val="22"/>
              </w:rPr>
              <w:t>28(4</w:t>
            </w:r>
            <w:r w:rsidR="00223CA8"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vAlign w:val="bottom"/>
          </w:tcPr>
          <w:p w:rsidR="00F27427" w:rsidRPr="00797CC2" w:rsidRDefault="00F27427" w:rsidP="00F27427">
            <w:pPr>
              <w:rPr>
                <w:rFonts w:ascii="Calibri" w:hAnsi="Calibri"/>
                <w:szCs w:val="22"/>
              </w:rPr>
            </w:pPr>
            <w:r w:rsidRPr="00797CC2">
              <w:rPr>
                <w:rFonts w:ascii="Calibri" w:hAnsi="Calibri"/>
                <w:szCs w:val="22"/>
              </w:rPr>
              <w:t xml:space="preserve">Inadequate/inappropriate non-clinical care </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B7D43" w:rsidP="00F27427">
            <w:pPr>
              <w:rPr>
                <w:rFonts w:ascii="Calibri" w:hAnsi="Calibri"/>
                <w:szCs w:val="22"/>
              </w:rPr>
            </w:pPr>
            <w:r w:rsidRPr="00797CC2">
              <w:rPr>
                <w:rFonts w:ascii="Calibri" w:hAnsi="Calibri"/>
                <w:szCs w:val="22"/>
              </w:rPr>
              <w:t>22(3</w:t>
            </w:r>
            <w:r w:rsidR="00B8276F"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64(10</w:t>
            </w:r>
            <w:r w:rsidR="00B8604D" w:rsidRPr="00797CC2">
              <w:rPr>
                <w:rFonts w:ascii="Calibri" w:hAnsi="Calibri"/>
                <w:szCs w:val="22"/>
              </w:rPr>
              <w:t>)</w:t>
            </w:r>
          </w:p>
        </w:tc>
      </w:tr>
      <w:tr w:rsidR="00223CA8" w:rsidRPr="00797CC2" w:rsidTr="00F87F57">
        <w:tc>
          <w:tcPr>
            <w:tcW w:w="5529" w:type="dxa"/>
            <w:tcBorders>
              <w:top w:val="single" w:sz="4" w:space="0" w:color="auto"/>
              <w:left w:val="single" w:sz="4" w:space="0" w:color="auto"/>
              <w:bottom w:val="single" w:sz="4" w:space="0" w:color="auto"/>
              <w:right w:val="single" w:sz="4" w:space="0" w:color="auto"/>
            </w:tcBorders>
            <w:vAlign w:val="bottom"/>
          </w:tcPr>
          <w:p w:rsidR="00223CA8" w:rsidRPr="00797CC2" w:rsidRDefault="00223CA8" w:rsidP="00F27427">
            <w:pPr>
              <w:rPr>
                <w:rFonts w:ascii="Calibri" w:hAnsi="Calibri"/>
                <w:szCs w:val="22"/>
              </w:rPr>
            </w:pPr>
            <w:r w:rsidRPr="00797CC2">
              <w:rPr>
                <w:rFonts w:ascii="Calibri" w:hAnsi="Calibri"/>
                <w:szCs w:val="22"/>
              </w:rPr>
              <w:t>Inadequate/inappropriate testing</w:t>
            </w:r>
          </w:p>
        </w:tc>
        <w:tc>
          <w:tcPr>
            <w:tcW w:w="2268" w:type="dxa"/>
            <w:tcBorders>
              <w:top w:val="single" w:sz="4" w:space="0" w:color="auto"/>
              <w:left w:val="single" w:sz="4" w:space="0" w:color="auto"/>
              <w:bottom w:val="single" w:sz="4" w:space="0" w:color="auto"/>
              <w:right w:val="single" w:sz="4" w:space="0" w:color="auto"/>
            </w:tcBorders>
            <w:vAlign w:val="center"/>
          </w:tcPr>
          <w:p w:rsidR="00223CA8" w:rsidRPr="00797CC2" w:rsidRDefault="00223CA8" w:rsidP="00F27427">
            <w:pPr>
              <w:rPr>
                <w:rFonts w:ascii="Calibri" w:hAnsi="Calibri"/>
                <w:szCs w:val="22"/>
              </w:rPr>
            </w:pPr>
            <w:r w:rsidRPr="00797CC2">
              <w:rPr>
                <w:rFonts w:ascii="Calibri" w:hAnsi="Calibri"/>
                <w:szCs w:val="22"/>
              </w:rPr>
              <w:t>4(0.6)</w:t>
            </w:r>
          </w:p>
        </w:tc>
        <w:tc>
          <w:tcPr>
            <w:tcW w:w="1842" w:type="dxa"/>
            <w:tcBorders>
              <w:top w:val="single" w:sz="4" w:space="0" w:color="auto"/>
              <w:left w:val="single" w:sz="4" w:space="0" w:color="auto"/>
              <w:bottom w:val="single" w:sz="4" w:space="0" w:color="auto"/>
              <w:right w:val="single" w:sz="4" w:space="0" w:color="auto"/>
            </w:tcBorders>
            <w:vAlign w:val="center"/>
          </w:tcPr>
          <w:p w:rsidR="00223CA8" w:rsidRPr="00797CC2" w:rsidRDefault="0050177B" w:rsidP="00F27427">
            <w:pPr>
              <w:rPr>
                <w:rFonts w:ascii="Calibri" w:hAnsi="Calibri"/>
                <w:szCs w:val="22"/>
              </w:rPr>
            </w:pPr>
            <w:r w:rsidRPr="00797CC2">
              <w:rPr>
                <w:rFonts w:ascii="Calibri" w:hAnsi="Calibri"/>
                <w:szCs w:val="22"/>
              </w:rPr>
              <w:t>97(15</w:t>
            </w:r>
            <w:r w:rsidR="00223CA8" w:rsidRPr="00797CC2">
              <w:rPr>
                <w:rFonts w:ascii="Calibri" w:hAnsi="Calibri"/>
                <w:szCs w:val="22"/>
              </w:rPr>
              <w:t>)</w:t>
            </w:r>
          </w:p>
        </w:tc>
      </w:tr>
      <w:tr w:rsidR="00223CA8" w:rsidRPr="00797CC2" w:rsidTr="00F87F57">
        <w:tc>
          <w:tcPr>
            <w:tcW w:w="5529" w:type="dxa"/>
            <w:tcBorders>
              <w:top w:val="single" w:sz="4" w:space="0" w:color="auto"/>
              <w:left w:val="single" w:sz="4" w:space="0" w:color="auto"/>
              <w:bottom w:val="single" w:sz="4" w:space="0" w:color="auto"/>
              <w:right w:val="single" w:sz="4" w:space="0" w:color="auto"/>
            </w:tcBorders>
          </w:tcPr>
          <w:p w:rsidR="00223CA8" w:rsidRPr="00797CC2" w:rsidRDefault="00223CA8" w:rsidP="00F27427">
            <w:pPr>
              <w:rPr>
                <w:rFonts w:ascii="Calibri" w:hAnsi="Calibri"/>
                <w:szCs w:val="22"/>
              </w:rPr>
            </w:pPr>
            <w:r w:rsidRPr="00797CC2">
              <w:rPr>
                <w:rFonts w:ascii="Calibri" w:hAnsi="Calibri"/>
                <w:szCs w:val="22"/>
              </w:rPr>
              <w:t>Inappropriate admission/failure to admit</w:t>
            </w:r>
          </w:p>
        </w:tc>
        <w:tc>
          <w:tcPr>
            <w:tcW w:w="2268" w:type="dxa"/>
            <w:tcBorders>
              <w:top w:val="single" w:sz="4" w:space="0" w:color="auto"/>
              <w:left w:val="single" w:sz="4" w:space="0" w:color="auto"/>
              <w:bottom w:val="single" w:sz="4" w:space="0" w:color="auto"/>
              <w:right w:val="single" w:sz="4" w:space="0" w:color="auto"/>
            </w:tcBorders>
            <w:vAlign w:val="center"/>
          </w:tcPr>
          <w:p w:rsidR="00223CA8" w:rsidRPr="00797CC2" w:rsidRDefault="00192164" w:rsidP="00F27427">
            <w:pPr>
              <w:rPr>
                <w:rFonts w:ascii="Calibri" w:hAnsi="Calibri"/>
                <w:szCs w:val="22"/>
              </w:rPr>
            </w:pPr>
            <w:r w:rsidRPr="00797CC2">
              <w:rPr>
                <w:rFonts w:ascii="Calibri" w:hAnsi="Calibri"/>
                <w:szCs w:val="22"/>
              </w:rPr>
              <w:t>1(0.2</w:t>
            </w:r>
            <w:r w:rsidR="00223CA8"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223CA8" w:rsidRPr="00797CC2" w:rsidRDefault="0050177B" w:rsidP="00F27427">
            <w:pPr>
              <w:rPr>
                <w:rFonts w:ascii="Calibri" w:hAnsi="Calibri"/>
                <w:szCs w:val="22"/>
              </w:rPr>
            </w:pPr>
            <w:r w:rsidRPr="00797CC2">
              <w:rPr>
                <w:rFonts w:ascii="Calibri" w:hAnsi="Calibri"/>
                <w:szCs w:val="22"/>
              </w:rPr>
              <w:t>13(2</w:t>
            </w:r>
            <w:r w:rsidR="00223CA8"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Inappropriate/delayed discharge/transfer</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26(4</w:t>
            </w:r>
            <w:r w:rsidR="00B8276F"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88(13</w:t>
            </w:r>
            <w:r w:rsidR="00B8604D" w:rsidRPr="00797CC2">
              <w:rPr>
                <w:rFonts w:ascii="Calibri" w:hAnsi="Calibri"/>
                <w:szCs w:val="22"/>
              </w:rPr>
              <w:t>)</w:t>
            </w:r>
          </w:p>
        </w:tc>
      </w:tr>
      <w:tr w:rsidR="00C809AB" w:rsidRPr="00797CC2" w:rsidTr="00F87F57">
        <w:tc>
          <w:tcPr>
            <w:tcW w:w="5529" w:type="dxa"/>
            <w:tcBorders>
              <w:top w:val="single" w:sz="4" w:space="0" w:color="auto"/>
              <w:left w:val="single" w:sz="4" w:space="0" w:color="auto"/>
              <w:bottom w:val="single" w:sz="4" w:space="0" w:color="auto"/>
              <w:right w:val="single" w:sz="4" w:space="0" w:color="auto"/>
            </w:tcBorders>
          </w:tcPr>
          <w:p w:rsidR="00C809AB" w:rsidRPr="00797CC2" w:rsidRDefault="00C809AB" w:rsidP="00F27427">
            <w:pPr>
              <w:rPr>
                <w:rFonts w:ascii="Calibri" w:hAnsi="Calibri"/>
                <w:szCs w:val="22"/>
              </w:rPr>
            </w:pPr>
            <w:r w:rsidRPr="00797CC2">
              <w:rPr>
                <w:rFonts w:ascii="Calibri" w:hAnsi="Calibri"/>
                <w:szCs w:val="22"/>
              </w:rPr>
              <w:t>Inappropriate withdrawal of treatment</w:t>
            </w:r>
          </w:p>
        </w:tc>
        <w:tc>
          <w:tcPr>
            <w:tcW w:w="2268" w:type="dxa"/>
            <w:tcBorders>
              <w:top w:val="single" w:sz="4" w:space="0" w:color="auto"/>
              <w:left w:val="single" w:sz="4" w:space="0" w:color="auto"/>
              <w:bottom w:val="single" w:sz="4" w:space="0" w:color="auto"/>
              <w:right w:val="single" w:sz="4" w:space="0" w:color="auto"/>
            </w:tcBorders>
            <w:vAlign w:val="center"/>
          </w:tcPr>
          <w:p w:rsidR="00C809AB" w:rsidRPr="00797CC2" w:rsidRDefault="00C809AB" w:rsidP="00F27427">
            <w:pPr>
              <w:rPr>
                <w:rFonts w:ascii="Calibri" w:hAnsi="Calibri"/>
                <w:szCs w:val="22"/>
              </w:rPr>
            </w:pPr>
            <w:r w:rsidRPr="00797CC2">
              <w:rPr>
                <w:rFonts w:ascii="Calibri" w:hAnsi="Calibri"/>
                <w:szCs w:val="22"/>
              </w:rPr>
              <w:t>2(0.3)</w:t>
            </w:r>
          </w:p>
        </w:tc>
        <w:tc>
          <w:tcPr>
            <w:tcW w:w="1842" w:type="dxa"/>
            <w:tcBorders>
              <w:top w:val="single" w:sz="4" w:space="0" w:color="auto"/>
              <w:left w:val="single" w:sz="4" w:space="0" w:color="auto"/>
              <w:bottom w:val="single" w:sz="4" w:space="0" w:color="auto"/>
              <w:right w:val="single" w:sz="4" w:space="0" w:color="auto"/>
            </w:tcBorders>
            <w:vAlign w:val="center"/>
          </w:tcPr>
          <w:p w:rsidR="00C809AB" w:rsidRPr="00797CC2" w:rsidRDefault="0050177B" w:rsidP="00F27427">
            <w:pPr>
              <w:rPr>
                <w:rFonts w:ascii="Calibri" w:hAnsi="Calibri"/>
                <w:szCs w:val="22"/>
              </w:rPr>
            </w:pPr>
            <w:r w:rsidRPr="00797CC2">
              <w:rPr>
                <w:rFonts w:ascii="Calibri" w:hAnsi="Calibri"/>
                <w:szCs w:val="22"/>
              </w:rPr>
              <w:t>11(2</w:t>
            </w:r>
            <w:r w:rsidR="00C809AB"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Missed/incorrect/delayed diagnosis</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113(17</w:t>
            </w:r>
            <w:r w:rsidR="00B8276F"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B8604D" w:rsidP="00F27427">
            <w:pPr>
              <w:rPr>
                <w:rFonts w:ascii="Calibri" w:hAnsi="Calibri"/>
                <w:szCs w:val="22"/>
              </w:rPr>
            </w:pPr>
            <w:r w:rsidRPr="00797CC2">
              <w:rPr>
                <w:rFonts w:ascii="Calibri" w:hAnsi="Calibri"/>
                <w:szCs w:val="22"/>
              </w:rPr>
              <w:t>181(</w:t>
            </w:r>
            <w:r w:rsidR="0050177B" w:rsidRPr="00797CC2">
              <w:rPr>
                <w:rFonts w:ascii="Calibri" w:hAnsi="Calibri"/>
                <w:szCs w:val="22"/>
              </w:rPr>
              <w:t>27</w:t>
            </w:r>
            <w:r w:rsidRPr="00797CC2">
              <w:rPr>
                <w:rFonts w:ascii="Calibri" w:hAnsi="Calibri"/>
                <w:szCs w:val="22"/>
              </w:rPr>
              <w:t>)</w:t>
            </w:r>
          </w:p>
        </w:tc>
      </w:tr>
      <w:tr w:rsidR="00C809AB" w:rsidRPr="00797CC2" w:rsidTr="00F87F57">
        <w:tc>
          <w:tcPr>
            <w:tcW w:w="5529" w:type="dxa"/>
            <w:tcBorders>
              <w:top w:val="single" w:sz="4" w:space="0" w:color="auto"/>
              <w:left w:val="single" w:sz="4" w:space="0" w:color="auto"/>
              <w:bottom w:val="single" w:sz="4" w:space="0" w:color="auto"/>
              <w:right w:val="single" w:sz="4" w:space="0" w:color="auto"/>
            </w:tcBorders>
          </w:tcPr>
          <w:p w:rsidR="00C809AB" w:rsidRPr="00797CC2" w:rsidRDefault="00C809AB" w:rsidP="00F27427">
            <w:pPr>
              <w:rPr>
                <w:rFonts w:ascii="Calibri" w:hAnsi="Calibri"/>
                <w:szCs w:val="22"/>
              </w:rPr>
            </w:pPr>
            <w:r w:rsidRPr="00797CC2">
              <w:rPr>
                <w:rFonts w:ascii="Calibri" w:hAnsi="Calibri"/>
                <w:szCs w:val="22"/>
              </w:rPr>
              <w:t>Personal privacy not respected</w:t>
            </w:r>
          </w:p>
        </w:tc>
        <w:tc>
          <w:tcPr>
            <w:tcW w:w="2268" w:type="dxa"/>
            <w:tcBorders>
              <w:top w:val="single" w:sz="4" w:space="0" w:color="auto"/>
              <w:left w:val="single" w:sz="4" w:space="0" w:color="auto"/>
              <w:bottom w:val="single" w:sz="4" w:space="0" w:color="auto"/>
              <w:right w:val="single" w:sz="4" w:space="0" w:color="auto"/>
            </w:tcBorders>
            <w:vAlign w:val="center"/>
          </w:tcPr>
          <w:p w:rsidR="00C809AB" w:rsidRPr="00797CC2" w:rsidRDefault="00C809AB" w:rsidP="00F27427">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vAlign w:val="center"/>
          </w:tcPr>
          <w:p w:rsidR="00C809AB" w:rsidRPr="00797CC2" w:rsidRDefault="0050177B" w:rsidP="00F27427">
            <w:pPr>
              <w:rPr>
                <w:rFonts w:ascii="Calibri" w:hAnsi="Calibri"/>
                <w:szCs w:val="22"/>
              </w:rPr>
            </w:pPr>
            <w:r w:rsidRPr="00797CC2">
              <w:rPr>
                <w:rFonts w:ascii="Calibri" w:hAnsi="Calibri"/>
                <w:szCs w:val="22"/>
              </w:rPr>
              <w:t>11(2</w:t>
            </w:r>
            <w:r w:rsidR="00C809AB" w:rsidRPr="00797CC2">
              <w:rPr>
                <w:rFonts w:ascii="Calibri" w:hAnsi="Calibri"/>
                <w:szCs w:val="22"/>
              </w:rPr>
              <w:t>)</w:t>
            </w:r>
          </w:p>
        </w:tc>
      </w:tr>
      <w:tr w:rsidR="00B8604D" w:rsidRPr="00797CC2" w:rsidTr="00F87F57">
        <w:tc>
          <w:tcPr>
            <w:tcW w:w="5529" w:type="dxa"/>
            <w:tcBorders>
              <w:top w:val="single" w:sz="4" w:space="0" w:color="auto"/>
              <w:left w:val="single" w:sz="4" w:space="0" w:color="auto"/>
              <w:bottom w:val="single" w:sz="4" w:space="0" w:color="auto"/>
              <w:right w:val="single" w:sz="4" w:space="0" w:color="auto"/>
            </w:tcBorders>
          </w:tcPr>
          <w:p w:rsidR="00B8604D" w:rsidRPr="00797CC2" w:rsidRDefault="00B8604D" w:rsidP="00F27427">
            <w:pPr>
              <w:rPr>
                <w:rFonts w:ascii="Calibri" w:hAnsi="Calibri"/>
                <w:szCs w:val="22"/>
              </w:rPr>
            </w:pPr>
            <w:r w:rsidRPr="00797CC2">
              <w:rPr>
                <w:rFonts w:ascii="Calibri" w:hAnsi="Calibri"/>
                <w:szCs w:val="22"/>
              </w:rPr>
              <w:t>Refusal to assist/attend</w:t>
            </w:r>
          </w:p>
        </w:tc>
        <w:tc>
          <w:tcPr>
            <w:tcW w:w="2268" w:type="dxa"/>
            <w:tcBorders>
              <w:top w:val="single" w:sz="4" w:space="0" w:color="auto"/>
              <w:left w:val="single" w:sz="4" w:space="0" w:color="auto"/>
              <w:bottom w:val="single" w:sz="4" w:space="0" w:color="auto"/>
              <w:right w:val="single" w:sz="4" w:space="0" w:color="auto"/>
            </w:tcBorders>
            <w:vAlign w:val="center"/>
          </w:tcPr>
          <w:p w:rsidR="00B8604D" w:rsidRPr="00797CC2" w:rsidRDefault="00B8604D" w:rsidP="00F27427">
            <w:pPr>
              <w:rPr>
                <w:rFonts w:ascii="Calibri" w:hAnsi="Calibri"/>
                <w:szCs w:val="22"/>
              </w:rPr>
            </w:pPr>
            <w:r w:rsidRPr="00797CC2">
              <w:rPr>
                <w:rFonts w:ascii="Calibri" w:hAnsi="Calibri"/>
                <w:szCs w:val="22"/>
              </w:rPr>
              <w:t>6(0.9)</w:t>
            </w:r>
          </w:p>
        </w:tc>
        <w:tc>
          <w:tcPr>
            <w:tcW w:w="1842" w:type="dxa"/>
            <w:tcBorders>
              <w:top w:val="single" w:sz="4" w:space="0" w:color="auto"/>
              <w:left w:val="single" w:sz="4" w:space="0" w:color="auto"/>
              <w:bottom w:val="single" w:sz="4" w:space="0" w:color="auto"/>
              <w:right w:val="single" w:sz="4" w:space="0" w:color="auto"/>
            </w:tcBorders>
            <w:vAlign w:val="center"/>
          </w:tcPr>
          <w:p w:rsidR="00B8604D" w:rsidRPr="00797CC2" w:rsidRDefault="0050177B" w:rsidP="00F27427">
            <w:pPr>
              <w:rPr>
                <w:rFonts w:ascii="Calibri" w:hAnsi="Calibri"/>
                <w:szCs w:val="22"/>
              </w:rPr>
            </w:pPr>
            <w:r w:rsidRPr="00797CC2">
              <w:rPr>
                <w:rFonts w:ascii="Calibri" w:hAnsi="Calibri"/>
                <w:szCs w:val="22"/>
              </w:rPr>
              <w:t>46(7</w:t>
            </w:r>
            <w:r w:rsidR="00B8604D"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Refusal to treat</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B8276F" w:rsidP="00F27427">
            <w:pPr>
              <w:rPr>
                <w:rFonts w:ascii="Calibri" w:hAnsi="Calibri"/>
                <w:szCs w:val="22"/>
              </w:rPr>
            </w:pPr>
            <w:r w:rsidRPr="00797CC2">
              <w:rPr>
                <w:rFonts w:ascii="Calibri" w:hAnsi="Calibri"/>
                <w:szCs w:val="22"/>
              </w:rPr>
              <w:t>8(1.2)</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25(4</w:t>
            </w:r>
            <w:r w:rsidR="008044B8"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Rough/painful care or treatment</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B8276F" w:rsidP="00F27427">
            <w:pPr>
              <w:rPr>
                <w:rFonts w:ascii="Calibri" w:hAnsi="Calibri"/>
                <w:szCs w:val="22"/>
              </w:rPr>
            </w:pPr>
            <w:r w:rsidRPr="00797CC2">
              <w:rPr>
                <w:rFonts w:ascii="Calibri" w:hAnsi="Calibri"/>
                <w:szCs w:val="22"/>
              </w:rPr>
              <w:t>13(2.0)</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40(6</w:t>
            </w:r>
            <w:r w:rsidR="008044B8"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Unexpected treatment outcome</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30(</w:t>
            </w:r>
            <w:r w:rsidR="00B8276F" w:rsidRPr="00797CC2">
              <w:rPr>
                <w:rFonts w:ascii="Calibri" w:hAnsi="Calibri"/>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99(15</w:t>
            </w:r>
            <w:r w:rsidR="008044B8" w:rsidRPr="00797CC2">
              <w:rPr>
                <w:rFonts w:ascii="Calibri" w:hAnsi="Calibri"/>
                <w:szCs w:val="22"/>
              </w:rPr>
              <w:t>)</w:t>
            </w:r>
          </w:p>
        </w:tc>
      </w:tr>
      <w:tr w:rsidR="00C809AB" w:rsidRPr="00797CC2" w:rsidTr="00F87F57">
        <w:tc>
          <w:tcPr>
            <w:tcW w:w="5529" w:type="dxa"/>
            <w:tcBorders>
              <w:top w:val="single" w:sz="4" w:space="0" w:color="auto"/>
              <w:left w:val="single" w:sz="4" w:space="0" w:color="auto"/>
              <w:bottom w:val="single" w:sz="4" w:space="0" w:color="auto"/>
              <w:right w:val="single" w:sz="4" w:space="0" w:color="auto"/>
            </w:tcBorders>
          </w:tcPr>
          <w:p w:rsidR="00C809AB" w:rsidRPr="00797CC2" w:rsidRDefault="00C809AB" w:rsidP="00F27427">
            <w:pPr>
              <w:rPr>
                <w:rFonts w:ascii="Calibri" w:hAnsi="Calibri"/>
                <w:szCs w:val="22"/>
              </w:rPr>
            </w:pPr>
            <w:r w:rsidRPr="00797CC2">
              <w:rPr>
                <w:rFonts w:ascii="Calibri" w:hAnsi="Calibri"/>
                <w:szCs w:val="22"/>
              </w:rPr>
              <w:t>Unnecessary treatment/over-servicing</w:t>
            </w:r>
          </w:p>
        </w:tc>
        <w:tc>
          <w:tcPr>
            <w:tcW w:w="2268" w:type="dxa"/>
            <w:tcBorders>
              <w:top w:val="single" w:sz="4" w:space="0" w:color="auto"/>
              <w:left w:val="single" w:sz="4" w:space="0" w:color="auto"/>
              <w:bottom w:val="single" w:sz="4" w:space="0" w:color="auto"/>
              <w:right w:val="single" w:sz="4" w:space="0" w:color="auto"/>
            </w:tcBorders>
            <w:vAlign w:val="center"/>
          </w:tcPr>
          <w:p w:rsidR="00C809AB" w:rsidRPr="00797CC2" w:rsidRDefault="00C809AB" w:rsidP="00F27427">
            <w:pPr>
              <w:rPr>
                <w:rFonts w:ascii="Calibri" w:hAnsi="Calibri"/>
                <w:szCs w:val="22"/>
              </w:rPr>
            </w:pPr>
            <w:r w:rsidRPr="00797CC2">
              <w:rPr>
                <w:rFonts w:ascii="Calibri" w:hAnsi="Calibri"/>
                <w:szCs w:val="22"/>
              </w:rPr>
              <w:t>3(0.5)</w:t>
            </w:r>
          </w:p>
        </w:tc>
        <w:tc>
          <w:tcPr>
            <w:tcW w:w="1842" w:type="dxa"/>
            <w:tcBorders>
              <w:top w:val="single" w:sz="4" w:space="0" w:color="auto"/>
              <w:left w:val="single" w:sz="4" w:space="0" w:color="auto"/>
              <w:bottom w:val="single" w:sz="4" w:space="0" w:color="auto"/>
              <w:right w:val="single" w:sz="4" w:space="0" w:color="auto"/>
            </w:tcBorders>
            <w:vAlign w:val="center"/>
          </w:tcPr>
          <w:p w:rsidR="00C809AB" w:rsidRPr="00797CC2" w:rsidRDefault="0050177B" w:rsidP="00F27427">
            <w:pPr>
              <w:rPr>
                <w:rFonts w:ascii="Calibri" w:hAnsi="Calibri"/>
                <w:szCs w:val="22"/>
              </w:rPr>
            </w:pPr>
            <w:r w:rsidRPr="00797CC2">
              <w:rPr>
                <w:rFonts w:ascii="Calibri" w:hAnsi="Calibri"/>
                <w:szCs w:val="22"/>
              </w:rPr>
              <w:t>15(2</w:t>
            </w:r>
            <w:r w:rsidR="00C809AB"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Other</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C809AB" w:rsidP="00F27427">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C809AB" w:rsidP="00F27427">
            <w:pPr>
              <w:rPr>
                <w:rFonts w:ascii="Calibri" w:hAnsi="Calibri"/>
                <w:szCs w:val="22"/>
              </w:rPr>
            </w:pPr>
            <w:r w:rsidRPr="00797CC2">
              <w:rPr>
                <w:rFonts w:ascii="Calibri" w:hAnsi="Calibri"/>
                <w:szCs w:val="22"/>
              </w:rPr>
              <w:t>1(0.2)</w:t>
            </w:r>
          </w:p>
        </w:tc>
      </w:tr>
      <w:tr w:rsidR="00F27427" w:rsidRPr="00797CC2" w:rsidTr="00C219ED">
        <w:tc>
          <w:tcPr>
            <w:tcW w:w="5529" w:type="dxa"/>
            <w:tcBorders>
              <w:top w:val="single" w:sz="4" w:space="0" w:color="auto"/>
              <w:left w:val="single" w:sz="4" w:space="0" w:color="auto"/>
              <w:bottom w:val="single" w:sz="4" w:space="0" w:color="auto"/>
              <w:right w:val="single" w:sz="4" w:space="0" w:color="auto"/>
            </w:tcBorders>
            <w:shd w:val="clear" w:color="auto" w:fill="C00000"/>
          </w:tcPr>
          <w:p w:rsidR="00F27427" w:rsidRPr="00797CC2" w:rsidRDefault="00F27427" w:rsidP="00F27427">
            <w:pPr>
              <w:rPr>
                <w:rFonts w:ascii="Calibri" w:hAnsi="Calibri"/>
                <w:b/>
                <w:i/>
                <w:szCs w:val="22"/>
              </w:rPr>
            </w:pPr>
            <w:r w:rsidRPr="00797CC2">
              <w:rPr>
                <w:rFonts w:ascii="Calibri" w:hAnsi="Calibri"/>
                <w:b/>
                <w:i/>
                <w:szCs w:val="22"/>
              </w:rPr>
              <w:t>Communication</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50177B" w:rsidP="00F27427">
            <w:pPr>
              <w:rPr>
                <w:rFonts w:ascii="Calibri" w:hAnsi="Calibri"/>
                <w:b/>
                <w:i/>
                <w:szCs w:val="22"/>
              </w:rPr>
            </w:pPr>
            <w:r w:rsidRPr="00797CC2">
              <w:rPr>
                <w:rFonts w:ascii="Calibri" w:hAnsi="Calibri"/>
                <w:b/>
                <w:i/>
                <w:szCs w:val="22"/>
              </w:rPr>
              <w:t>72(11</w:t>
            </w:r>
            <w:r w:rsidR="008044B8" w:rsidRPr="00797CC2">
              <w:rPr>
                <w:rFonts w:ascii="Calibri" w:hAnsi="Calibri"/>
                <w:b/>
                <w: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F27427" w:rsidP="00F27427">
            <w:pPr>
              <w:rPr>
                <w:rFonts w:ascii="Calibri" w:hAnsi="Calibri"/>
                <w:b/>
                <w:i/>
                <w:szCs w:val="22"/>
              </w:rPr>
            </w:pP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Disrespectful manner/attitude</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B7D43" w:rsidP="00F27427">
            <w:pPr>
              <w:rPr>
                <w:rFonts w:ascii="Calibri" w:hAnsi="Calibri"/>
                <w:szCs w:val="22"/>
              </w:rPr>
            </w:pPr>
            <w:r w:rsidRPr="00797CC2">
              <w:rPr>
                <w:rFonts w:ascii="Calibri" w:hAnsi="Calibri"/>
                <w:szCs w:val="22"/>
              </w:rPr>
              <w:t>36(5</w:t>
            </w:r>
            <w:r w:rsidR="008044B8"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132(20</w:t>
            </w:r>
            <w:r w:rsidR="008044B8" w:rsidRPr="00797CC2">
              <w:rPr>
                <w:rFonts w:ascii="Calibri" w:hAnsi="Calibri"/>
                <w:szCs w:val="22"/>
              </w:rPr>
              <w:t>)</w:t>
            </w:r>
          </w:p>
        </w:tc>
      </w:tr>
      <w:tr w:rsidR="00AD0604" w:rsidRPr="00797CC2" w:rsidTr="00F87F57">
        <w:tc>
          <w:tcPr>
            <w:tcW w:w="5529" w:type="dxa"/>
            <w:tcBorders>
              <w:top w:val="single" w:sz="4" w:space="0" w:color="auto"/>
              <w:left w:val="single" w:sz="4" w:space="0" w:color="auto"/>
              <w:bottom w:val="single" w:sz="4" w:space="0" w:color="auto"/>
              <w:right w:val="single" w:sz="4" w:space="0" w:color="auto"/>
            </w:tcBorders>
          </w:tcPr>
          <w:p w:rsidR="00AD0604" w:rsidRPr="00797CC2" w:rsidRDefault="00AD0604" w:rsidP="00F27427">
            <w:pPr>
              <w:rPr>
                <w:rFonts w:ascii="Calibri" w:hAnsi="Calibri"/>
                <w:szCs w:val="22"/>
              </w:rPr>
            </w:pPr>
            <w:r w:rsidRPr="00797CC2">
              <w:rPr>
                <w:rFonts w:ascii="Calibri" w:hAnsi="Calibri"/>
                <w:szCs w:val="22"/>
              </w:rPr>
              <w:t>Failure to accommodate cultural/language needs</w:t>
            </w:r>
          </w:p>
        </w:tc>
        <w:tc>
          <w:tcPr>
            <w:tcW w:w="2268" w:type="dxa"/>
            <w:tcBorders>
              <w:top w:val="single" w:sz="4" w:space="0" w:color="auto"/>
              <w:left w:val="single" w:sz="4" w:space="0" w:color="auto"/>
              <w:bottom w:val="single" w:sz="4" w:space="0" w:color="auto"/>
              <w:right w:val="single" w:sz="4" w:space="0" w:color="auto"/>
            </w:tcBorders>
            <w:vAlign w:val="center"/>
          </w:tcPr>
          <w:p w:rsidR="00AD0604" w:rsidRPr="00797CC2" w:rsidRDefault="00AD0604" w:rsidP="00F27427">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vAlign w:val="center"/>
          </w:tcPr>
          <w:p w:rsidR="00AD0604" w:rsidRPr="00797CC2" w:rsidRDefault="0050177B" w:rsidP="00F27427">
            <w:pPr>
              <w:rPr>
                <w:rFonts w:ascii="Calibri" w:hAnsi="Calibri"/>
                <w:szCs w:val="22"/>
              </w:rPr>
            </w:pPr>
            <w:r w:rsidRPr="00797CC2">
              <w:rPr>
                <w:rFonts w:ascii="Calibri" w:hAnsi="Calibri"/>
                <w:szCs w:val="22"/>
              </w:rPr>
              <w:t>16(2</w:t>
            </w:r>
            <w:r w:rsidR="00AD0604" w:rsidRPr="00797CC2">
              <w:rPr>
                <w:rFonts w:ascii="Calibri" w:hAnsi="Calibri"/>
                <w:szCs w:val="22"/>
              </w:rPr>
              <w:t>)</w:t>
            </w:r>
          </w:p>
        </w:tc>
      </w:tr>
      <w:tr w:rsidR="00F27427" w:rsidRPr="00797CC2" w:rsidTr="00F87F57">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Failure to communicate openly/honestly/effectively with consumer</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12(2</w:t>
            </w:r>
            <w:r w:rsidR="008044B8"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8044B8" w:rsidP="00F27427">
            <w:pPr>
              <w:rPr>
                <w:rFonts w:ascii="Calibri" w:hAnsi="Calibri"/>
                <w:szCs w:val="22"/>
              </w:rPr>
            </w:pPr>
            <w:r w:rsidRPr="00797CC2">
              <w:rPr>
                <w:rFonts w:ascii="Calibri" w:hAnsi="Calibri"/>
                <w:szCs w:val="22"/>
              </w:rPr>
              <w:t>137(</w:t>
            </w:r>
            <w:r w:rsidR="0050177B" w:rsidRPr="00797CC2">
              <w:rPr>
                <w:rFonts w:ascii="Calibri" w:hAnsi="Calibri"/>
                <w:szCs w:val="22"/>
              </w:rPr>
              <w:t>21</w:t>
            </w:r>
            <w:r w:rsidRPr="00797CC2">
              <w:rPr>
                <w:rFonts w:ascii="Calibri" w:hAnsi="Calibri"/>
                <w:szCs w:val="22"/>
              </w:rPr>
              <w:t>)</w:t>
            </w:r>
          </w:p>
        </w:tc>
      </w:tr>
      <w:tr w:rsidR="00F27427"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Failure to communicate openly/honestly/effectively with family</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B7D43" w:rsidP="00F27427">
            <w:pPr>
              <w:rPr>
                <w:rFonts w:ascii="Calibri" w:hAnsi="Calibri"/>
                <w:szCs w:val="22"/>
              </w:rPr>
            </w:pPr>
            <w:r w:rsidRPr="00797CC2">
              <w:rPr>
                <w:rFonts w:ascii="Calibri" w:hAnsi="Calibri"/>
                <w:szCs w:val="22"/>
              </w:rPr>
              <w:t>20(3</w:t>
            </w:r>
            <w:r w:rsidR="008044B8"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136(21</w:t>
            </w:r>
            <w:r w:rsidR="008044B8" w:rsidRPr="00797CC2">
              <w:rPr>
                <w:rFonts w:ascii="Calibri" w:hAnsi="Calibri"/>
                <w:szCs w:val="22"/>
              </w:rPr>
              <w:t>)</w:t>
            </w:r>
          </w:p>
        </w:tc>
      </w:tr>
      <w:tr w:rsidR="00F27427"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F27427" w:rsidRPr="00797CC2" w:rsidRDefault="008044B8" w:rsidP="00F27427">
            <w:pPr>
              <w:rPr>
                <w:rFonts w:ascii="Calibri" w:hAnsi="Calibri"/>
                <w:szCs w:val="22"/>
              </w:rPr>
            </w:pPr>
            <w:r w:rsidRPr="00797CC2">
              <w:rPr>
                <w:rFonts w:ascii="Calibri" w:hAnsi="Calibri"/>
                <w:szCs w:val="22"/>
              </w:rPr>
              <w:t>Insensitive/inappropriate comments (not sexual)</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8044B8" w:rsidP="00F27427">
            <w:pPr>
              <w:rPr>
                <w:rFonts w:ascii="Calibri" w:hAnsi="Calibri"/>
                <w:szCs w:val="22"/>
              </w:rPr>
            </w:pPr>
            <w:r w:rsidRPr="00797CC2">
              <w:rPr>
                <w:rFonts w:ascii="Calibri" w:hAnsi="Calibri"/>
                <w:szCs w:val="22"/>
              </w:rPr>
              <w:t>3(</w:t>
            </w:r>
            <w:r w:rsidR="00BC6417" w:rsidRPr="00797CC2">
              <w:rPr>
                <w:rFonts w:ascii="Calibri" w:hAnsi="Calibri"/>
                <w:szCs w:val="22"/>
              </w:rPr>
              <w:t>0.5)</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52(8</w:t>
            </w:r>
            <w:r w:rsidR="008044B8" w:rsidRPr="00797CC2">
              <w:rPr>
                <w:rFonts w:ascii="Calibri" w:hAnsi="Calibri"/>
                <w:szCs w:val="22"/>
              </w:rPr>
              <w:t>)</w:t>
            </w:r>
          </w:p>
        </w:tc>
      </w:tr>
      <w:tr w:rsidR="009E3A55" w:rsidRPr="00797CC2" w:rsidTr="00C219ED">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C00000"/>
          </w:tcPr>
          <w:p w:rsidR="009E3A55" w:rsidRPr="00797CC2" w:rsidRDefault="009E3A55" w:rsidP="00F27427">
            <w:pPr>
              <w:rPr>
                <w:rFonts w:ascii="Calibri" w:hAnsi="Calibri"/>
                <w:b/>
                <w:i/>
                <w:szCs w:val="22"/>
              </w:rPr>
            </w:pPr>
            <w:r w:rsidRPr="00797CC2">
              <w:rPr>
                <w:rFonts w:ascii="Calibri" w:hAnsi="Calibri"/>
                <w:b/>
                <w:i/>
                <w:szCs w:val="22"/>
              </w:rPr>
              <w:t>Complaints process</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9E3A55" w:rsidRPr="00797CC2" w:rsidRDefault="003F0990" w:rsidP="00F27427">
            <w:pPr>
              <w:rPr>
                <w:rFonts w:ascii="Calibri" w:hAnsi="Calibri"/>
                <w:b/>
                <w:i/>
                <w:szCs w:val="22"/>
              </w:rPr>
            </w:pPr>
            <w:r w:rsidRPr="00797CC2">
              <w:rPr>
                <w:rFonts w:ascii="Calibri" w:hAnsi="Calibri"/>
                <w:b/>
                <w:i/>
                <w:szCs w:val="22"/>
              </w:rPr>
              <w:t>6</w:t>
            </w:r>
            <w:r w:rsidR="0050177B" w:rsidRPr="00797CC2">
              <w:rPr>
                <w:rFonts w:ascii="Calibri" w:hAnsi="Calibri"/>
                <w:b/>
                <w:i/>
                <w:szCs w:val="22"/>
              </w:rPr>
              <w:t>(0.9</w:t>
            </w:r>
            <w:r w:rsidR="00306C8F" w:rsidRPr="00797CC2">
              <w:rPr>
                <w:rFonts w:ascii="Calibri" w:hAnsi="Calibri"/>
                <w:b/>
                <w: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9E3A55" w:rsidRPr="00797CC2" w:rsidRDefault="009E3A55" w:rsidP="00F27427">
            <w:pPr>
              <w:rPr>
                <w:rFonts w:ascii="Calibri" w:hAnsi="Calibri"/>
                <w:b/>
                <w:i/>
                <w:szCs w:val="22"/>
              </w:rPr>
            </w:pPr>
          </w:p>
        </w:tc>
      </w:tr>
      <w:tr w:rsidR="009E3A55"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9E3A55" w:rsidRPr="00797CC2" w:rsidRDefault="009E3A55" w:rsidP="00F27427">
            <w:pPr>
              <w:rPr>
                <w:rFonts w:ascii="Calibri" w:hAnsi="Calibri"/>
                <w:szCs w:val="22"/>
              </w:rPr>
            </w:pPr>
            <w:r w:rsidRPr="00797CC2">
              <w:rPr>
                <w:rFonts w:ascii="Calibri" w:hAnsi="Calibri"/>
                <w:szCs w:val="22"/>
              </w:rPr>
              <w:t>Inadequate response to complaint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3A55" w:rsidRPr="00797CC2" w:rsidRDefault="009E3A55" w:rsidP="00F27427">
            <w:pPr>
              <w:rPr>
                <w:rFonts w:ascii="Calibri" w:hAnsi="Calibri"/>
                <w:szCs w:val="22"/>
              </w:rPr>
            </w:pPr>
            <w:r w:rsidRPr="00797CC2">
              <w:rPr>
                <w:rFonts w:ascii="Calibri" w:hAnsi="Calibri"/>
                <w:szCs w:val="22"/>
              </w:rPr>
              <w:t>4(0.6)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3A55" w:rsidRPr="00797CC2" w:rsidRDefault="0050177B" w:rsidP="00F27427">
            <w:pPr>
              <w:rPr>
                <w:rFonts w:ascii="Calibri" w:hAnsi="Calibri"/>
                <w:szCs w:val="22"/>
              </w:rPr>
            </w:pPr>
            <w:r w:rsidRPr="00797CC2">
              <w:rPr>
                <w:rFonts w:ascii="Calibri" w:hAnsi="Calibri"/>
                <w:szCs w:val="22"/>
              </w:rPr>
              <w:t>131(20</w:t>
            </w:r>
            <w:r w:rsidR="009E3A55" w:rsidRPr="00797CC2">
              <w:rPr>
                <w:rFonts w:ascii="Calibri" w:hAnsi="Calibri"/>
                <w:szCs w:val="22"/>
              </w:rPr>
              <w:t>)</w:t>
            </w:r>
          </w:p>
        </w:tc>
      </w:tr>
      <w:tr w:rsidR="009E3A55"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9E3A55" w:rsidRPr="00797CC2" w:rsidRDefault="009E3A55" w:rsidP="00F27427">
            <w:pPr>
              <w:rPr>
                <w:rFonts w:ascii="Calibri" w:hAnsi="Calibri"/>
                <w:szCs w:val="22"/>
              </w:rPr>
            </w:pPr>
            <w:r w:rsidRPr="00797CC2">
              <w:rPr>
                <w:rFonts w:ascii="Calibri" w:hAnsi="Calibri"/>
                <w:szCs w:val="22"/>
              </w:rPr>
              <w:t>Retaliation/discrimination as a result of a complaint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3A55" w:rsidRPr="00797CC2" w:rsidRDefault="009E3A55" w:rsidP="00F27427">
            <w:pPr>
              <w:rPr>
                <w:rFonts w:ascii="Calibri" w:hAnsi="Calibri"/>
                <w:szCs w:val="22"/>
              </w:rPr>
            </w:pPr>
            <w:r w:rsidRPr="00797CC2">
              <w:rPr>
                <w:rFonts w:ascii="Calibri" w:hAnsi="Calibri"/>
                <w:szCs w:val="22"/>
              </w:rPr>
              <w:t>2(0.3)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3A55" w:rsidRPr="00797CC2" w:rsidRDefault="009E3A55" w:rsidP="00F27427">
            <w:pPr>
              <w:rPr>
                <w:rFonts w:ascii="Calibri" w:hAnsi="Calibri"/>
                <w:szCs w:val="22"/>
              </w:rPr>
            </w:pPr>
            <w:r w:rsidRPr="00797CC2">
              <w:rPr>
                <w:rFonts w:ascii="Calibri" w:hAnsi="Calibri"/>
                <w:szCs w:val="22"/>
              </w:rPr>
              <w:t>4(0.6)</w:t>
            </w:r>
          </w:p>
        </w:tc>
      </w:tr>
      <w:tr w:rsidR="00F27427" w:rsidRPr="00797CC2" w:rsidTr="00C219ED">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C00000"/>
          </w:tcPr>
          <w:p w:rsidR="00F27427" w:rsidRPr="00797CC2" w:rsidRDefault="00F27427" w:rsidP="00F27427">
            <w:pPr>
              <w:rPr>
                <w:rFonts w:ascii="Calibri" w:hAnsi="Calibri"/>
                <w:b/>
                <w:i/>
                <w:szCs w:val="22"/>
              </w:rPr>
            </w:pPr>
            <w:r w:rsidRPr="00797CC2">
              <w:rPr>
                <w:rFonts w:ascii="Calibri" w:hAnsi="Calibri"/>
                <w:b/>
                <w:i/>
                <w:szCs w:val="22"/>
              </w:rPr>
              <w:t>Consent/Information</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50177B" w:rsidP="00F27427">
            <w:pPr>
              <w:rPr>
                <w:rFonts w:ascii="Calibri" w:hAnsi="Calibri"/>
                <w:b/>
                <w:i/>
                <w:szCs w:val="22"/>
              </w:rPr>
            </w:pPr>
            <w:r w:rsidRPr="00797CC2">
              <w:rPr>
                <w:rFonts w:ascii="Calibri" w:hAnsi="Calibri"/>
                <w:b/>
                <w:i/>
                <w:szCs w:val="22"/>
              </w:rPr>
              <w:t>53(8</w:t>
            </w:r>
            <w:r w:rsidR="00012E81" w:rsidRPr="00797CC2">
              <w:rPr>
                <w:rFonts w:ascii="Calibri" w:hAnsi="Calibri"/>
                <w:b/>
                <w: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F27427" w:rsidP="00F27427">
            <w:pPr>
              <w:rPr>
                <w:rFonts w:ascii="Calibri" w:hAnsi="Calibri"/>
                <w:b/>
                <w:i/>
                <w:szCs w:val="22"/>
              </w:rPr>
            </w:pPr>
          </w:p>
        </w:tc>
      </w:tr>
      <w:tr w:rsidR="00F87F57"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F87F57" w:rsidRPr="00797CC2" w:rsidRDefault="00F87F57" w:rsidP="00F27427">
            <w:pPr>
              <w:rPr>
                <w:rFonts w:ascii="Calibri" w:hAnsi="Calibri"/>
                <w:szCs w:val="22"/>
              </w:rPr>
            </w:pPr>
            <w:r w:rsidRPr="00797CC2">
              <w:rPr>
                <w:rFonts w:ascii="Calibri" w:hAnsi="Calibri"/>
                <w:szCs w:val="22"/>
              </w:rPr>
              <w:t>Coercion by provider to obtain consent</w:t>
            </w:r>
          </w:p>
        </w:tc>
        <w:tc>
          <w:tcPr>
            <w:tcW w:w="2268" w:type="dxa"/>
            <w:tcBorders>
              <w:top w:val="single" w:sz="4" w:space="0" w:color="auto"/>
              <w:left w:val="single" w:sz="4" w:space="0" w:color="auto"/>
              <w:bottom w:val="single" w:sz="4" w:space="0" w:color="auto"/>
              <w:right w:val="single" w:sz="4" w:space="0" w:color="auto"/>
            </w:tcBorders>
            <w:vAlign w:val="center"/>
          </w:tcPr>
          <w:p w:rsidR="00F87F57" w:rsidRPr="00797CC2" w:rsidRDefault="00F87F57" w:rsidP="00F27427">
            <w:pPr>
              <w:rPr>
                <w:rFonts w:ascii="Calibri" w:hAnsi="Calibri"/>
                <w:szCs w:val="22"/>
              </w:rPr>
            </w:pPr>
            <w:r w:rsidRPr="00797CC2">
              <w:rPr>
                <w:rFonts w:ascii="Calibri" w:hAnsi="Calibri"/>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F87F57" w:rsidRPr="00797CC2" w:rsidRDefault="00F87F57" w:rsidP="00F27427">
            <w:pPr>
              <w:rPr>
                <w:rFonts w:ascii="Calibri" w:hAnsi="Calibri"/>
                <w:szCs w:val="22"/>
              </w:rPr>
            </w:pPr>
            <w:r w:rsidRPr="00797CC2">
              <w:rPr>
                <w:rFonts w:ascii="Calibri" w:hAnsi="Calibri"/>
                <w:szCs w:val="22"/>
              </w:rPr>
              <w:t>4(0.6)</w:t>
            </w:r>
          </w:p>
        </w:tc>
      </w:tr>
      <w:tr w:rsidR="00F27427"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Consent not obtained/adequate</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11(2</w:t>
            </w:r>
            <w:r w:rsidR="00590932"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37(6</w:t>
            </w:r>
            <w:r w:rsidR="00590932" w:rsidRPr="00797CC2">
              <w:rPr>
                <w:rFonts w:ascii="Calibri" w:hAnsi="Calibri"/>
                <w:szCs w:val="22"/>
              </w:rPr>
              <w:t>)</w:t>
            </w:r>
          </w:p>
        </w:tc>
      </w:tr>
      <w:tr w:rsidR="00F87F57"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F87F57" w:rsidRPr="00797CC2" w:rsidRDefault="00F87F57" w:rsidP="00F27427">
            <w:pPr>
              <w:rPr>
                <w:rFonts w:ascii="Calibri" w:hAnsi="Calibri"/>
                <w:szCs w:val="22"/>
              </w:rPr>
            </w:pPr>
            <w:r w:rsidRPr="00797CC2">
              <w:rPr>
                <w:rFonts w:ascii="Calibri" w:hAnsi="Calibri"/>
                <w:szCs w:val="22"/>
              </w:rPr>
              <w:t>Failure to assess capacity to consent</w:t>
            </w:r>
          </w:p>
        </w:tc>
        <w:tc>
          <w:tcPr>
            <w:tcW w:w="2268" w:type="dxa"/>
            <w:tcBorders>
              <w:top w:val="single" w:sz="4" w:space="0" w:color="auto"/>
              <w:left w:val="single" w:sz="4" w:space="0" w:color="auto"/>
              <w:bottom w:val="single" w:sz="4" w:space="0" w:color="auto"/>
              <w:right w:val="single" w:sz="4" w:space="0" w:color="auto"/>
            </w:tcBorders>
            <w:vAlign w:val="center"/>
          </w:tcPr>
          <w:p w:rsidR="00F87F57" w:rsidRPr="00797CC2" w:rsidRDefault="00F87F57" w:rsidP="00F27427">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vAlign w:val="center"/>
          </w:tcPr>
          <w:p w:rsidR="00F87F57" w:rsidRPr="00797CC2" w:rsidRDefault="00F87F57" w:rsidP="00F27427">
            <w:pPr>
              <w:rPr>
                <w:rFonts w:ascii="Calibri" w:hAnsi="Calibri"/>
                <w:szCs w:val="22"/>
              </w:rPr>
            </w:pPr>
            <w:r w:rsidRPr="00797CC2">
              <w:rPr>
                <w:rFonts w:ascii="Calibri" w:hAnsi="Calibri"/>
                <w:szCs w:val="22"/>
              </w:rPr>
              <w:t>6(0.9)</w:t>
            </w:r>
          </w:p>
        </w:tc>
      </w:tr>
      <w:tr w:rsidR="00F87F57"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F87F57" w:rsidRPr="00797CC2" w:rsidRDefault="00F87F57" w:rsidP="00F27427">
            <w:pPr>
              <w:rPr>
                <w:rFonts w:ascii="Calibri" w:hAnsi="Calibri"/>
                <w:szCs w:val="22"/>
              </w:rPr>
            </w:pPr>
            <w:r w:rsidRPr="00797CC2">
              <w:rPr>
                <w:rFonts w:ascii="Calibri" w:hAnsi="Calibri"/>
                <w:szCs w:val="22"/>
              </w:rPr>
              <w:t>Inadequate information provided regarding adverse event</w:t>
            </w:r>
          </w:p>
        </w:tc>
        <w:tc>
          <w:tcPr>
            <w:tcW w:w="2268" w:type="dxa"/>
            <w:tcBorders>
              <w:top w:val="single" w:sz="4" w:space="0" w:color="auto"/>
              <w:left w:val="single" w:sz="4" w:space="0" w:color="auto"/>
              <w:bottom w:val="single" w:sz="4" w:space="0" w:color="auto"/>
              <w:right w:val="single" w:sz="4" w:space="0" w:color="auto"/>
            </w:tcBorders>
            <w:vAlign w:val="center"/>
          </w:tcPr>
          <w:p w:rsidR="00F87F57" w:rsidRPr="00797CC2" w:rsidRDefault="00F87F57" w:rsidP="00F27427">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vAlign w:val="center"/>
          </w:tcPr>
          <w:p w:rsidR="00F87F57" w:rsidRPr="00797CC2" w:rsidRDefault="0050177B" w:rsidP="00F27427">
            <w:pPr>
              <w:rPr>
                <w:rFonts w:ascii="Calibri" w:hAnsi="Calibri"/>
                <w:szCs w:val="22"/>
              </w:rPr>
            </w:pPr>
            <w:r w:rsidRPr="00797CC2">
              <w:rPr>
                <w:rFonts w:ascii="Calibri" w:hAnsi="Calibri"/>
                <w:szCs w:val="22"/>
              </w:rPr>
              <w:t>24(4</w:t>
            </w:r>
            <w:r w:rsidR="00F87F57" w:rsidRPr="00797CC2">
              <w:rPr>
                <w:rFonts w:ascii="Calibri" w:hAnsi="Calibri"/>
                <w:szCs w:val="22"/>
              </w:rPr>
              <w:t>)</w:t>
            </w:r>
          </w:p>
        </w:tc>
      </w:tr>
      <w:tr w:rsidR="00F87F57"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F87F57" w:rsidRPr="00797CC2" w:rsidRDefault="00F87F57" w:rsidP="00F27427">
            <w:pPr>
              <w:rPr>
                <w:rFonts w:ascii="Calibri" w:hAnsi="Calibri"/>
                <w:szCs w:val="22"/>
              </w:rPr>
            </w:pPr>
            <w:r w:rsidRPr="00797CC2">
              <w:rPr>
                <w:rFonts w:ascii="Calibri" w:hAnsi="Calibri"/>
                <w:szCs w:val="22"/>
              </w:rPr>
              <w:t>Inadequate information provided regarding condition</w:t>
            </w:r>
          </w:p>
        </w:tc>
        <w:tc>
          <w:tcPr>
            <w:tcW w:w="2268" w:type="dxa"/>
            <w:tcBorders>
              <w:top w:val="single" w:sz="4" w:space="0" w:color="auto"/>
              <w:left w:val="single" w:sz="4" w:space="0" w:color="auto"/>
              <w:bottom w:val="single" w:sz="4" w:space="0" w:color="auto"/>
              <w:right w:val="single" w:sz="4" w:space="0" w:color="auto"/>
            </w:tcBorders>
            <w:vAlign w:val="center"/>
          </w:tcPr>
          <w:p w:rsidR="00F87F57" w:rsidRPr="00797CC2" w:rsidRDefault="00F87F57" w:rsidP="00F27427">
            <w:pPr>
              <w:rPr>
                <w:rFonts w:ascii="Calibri" w:hAnsi="Calibri"/>
                <w:szCs w:val="22"/>
              </w:rPr>
            </w:pPr>
            <w:r w:rsidRPr="00797CC2">
              <w:rPr>
                <w:rFonts w:ascii="Calibri" w:hAnsi="Calibri"/>
                <w:szCs w:val="22"/>
              </w:rPr>
              <w:t>4(0.6)</w:t>
            </w:r>
          </w:p>
        </w:tc>
        <w:tc>
          <w:tcPr>
            <w:tcW w:w="1842" w:type="dxa"/>
            <w:tcBorders>
              <w:top w:val="single" w:sz="4" w:space="0" w:color="auto"/>
              <w:left w:val="single" w:sz="4" w:space="0" w:color="auto"/>
              <w:bottom w:val="single" w:sz="4" w:space="0" w:color="auto"/>
              <w:right w:val="single" w:sz="4" w:space="0" w:color="auto"/>
            </w:tcBorders>
            <w:vAlign w:val="center"/>
          </w:tcPr>
          <w:p w:rsidR="00F87F57" w:rsidRPr="00797CC2" w:rsidRDefault="0050177B" w:rsidP="00F27427">
            <w:pPr>
              <w:rPr>
                <w:rFonts w:ascii="Calibri" w:hAnsi="Calibri"/>
                <w:szCs w:val="22"/>
              </w:rPr>
            </w:pPr>
            <w:r w:rsidRPr="00797CC2">
              <w:rPr>
                <w:rFonts w:ascii="Calibri" w:hAnsi="Calibri"/>
                <w:szCs w:val="22"/>
              </w:rPr>
              <w:t>22(3</w:t>
            </w:r>
            <w:r w:rsidR="00F87F57" w:rsidRPr="00797CC2">
              <w:rPr>
                <w:rFonts w:ascii="Calibri" w:hAnsi="Calibri"/>
                <w:szCs w:val="22"/>
              </w:rPr>
              <w:t>)</w:t>
            </w:r>
          </w:p>
        </w:tc>
      </w:tr>
      <w:tr w:rsidR="00F87F57"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F87F57" w:rsidRPr="00797CC2" w:rsidRDefault="00F87F57" w:rsidP="00F27427">
            <w:pPr>
              <w:rPr>
                <w:rFonts w:ascii="Calibri" w:hAnsi="Calibri"/>
                <w:szCs w:val="22"/>
              </w:rPr>
            </w:pPr>
            <w:r w:rsidRPr="00797CC2">
              <w:rPr>
                <w:rFonts w:ascii="Calibri" w:hAnsi="Calibri"/>
                <w:szCs w:val="22"/>
              </w:rPr>
              <w:t>Inadequate information provided re fees/costs</w:t>
            </w:r>
          </w:p>
        </w:tc>
        <w:tc>
          <w:tcPr>
            <w:tcW w:w="2268" w:type="dxa"/>
            <w:tcBorders>
              <w:top w:val="single" w:sz="4" w:space="0" w:color="auto"/>
              <w:left w:val="single" w:sz="4" w:space="0" w:color="auto"/>
              <w:bottom w:val="single" w:sz="4" w:space="0" w:color="auto"/>
              <w:right w:val="single" w:sz="4" w:space="0" w:color="auto"/>
            </w:tcBorders>
            <w:vAlign w:val="center"/>
          </w:tcPr>
          <w:p w:rsidR="00F87F57" w:rsidRPr="00797CC2" w:rsidRDefault="00F87F57" w:rsidP="00F27427">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vAlign w:val="center"/>
          </w:tcPr>
          <w:p w:rsidR="00F87F57" w:rsidRPr="00797CC2" w:rsidRDefault="00F87F57" w:rsidP="00F27427">
            <w:pPr>
              <w:rPr>
                <w:rFonts w:ascii="Calibri" w:hAnsi="Calibri"/>
                <w:szCs w:val="22"/>
              </w:rPr>
            </w:pPr>
            <w:r w:rsidRPr="00797CC2">
              <w:rPr>
                <w:rFonts w:ascii="Calibri" w:hAnsi="Calibri"/>
                <w:szCs w:val="22"/>
              </w:rPr>
              <w:t>1(0.2)</w:t>
            </w:r>
          </w:p>
        </w:tc>
      </w:tr>
      <w:tr w:rsidR="00F87F57"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F87F57" w:rsidRPr="00797CC2" w:rsidRDefault="00491A13" w:rsidP="00F27427">
            <w:pPr>
              <w:rPr>
                <w:rFonts w:ascii="Calibri" w:hAnsi="Calibri"/>
                <w:szCs w:val="22"/>
              </w:rPr>
            </w:pPr>
            <w:r w:rsidRPr="00797CC2">
              <w:rPr>
                <w:rFonts w:ascii="Calibri" w:hAnsi="Calibri"/>
                <w:szCs w:val="22"/>
              </w:rPr>
              <w:t>Inadequate information provided re options</w:t>
            </w:r>
          </w:p>
        </w:tc>
        <w:tc>
          <w:tcPr>
            <w:tcW w:w="2268" w:type="dxa"/>
            <w:tcBorders>
              <w:top w:val="single" w:sz="4" w:space="0" w:color="auto"/>
              <w:left w:val="single" w:sz="4" w:space="0" w:color="auto"/>
              <w:bottom w:val="single" w:sz="4" w:space="0" w:color="auto"/>
              <w:right w:val="single" w:sz="4" w:space="0" w:color="auto"/>
            </w:tcBorders>
            <w:vAlign w:val="center"/>
          </w:tcPr>
          <w:p w:rsidR="00F87F57" w:rsidRPr="00797CC2" w:rsidRDefault="00491A13" w:rsidP="00F27427">
            <w:pPr>
              <w:rPr>
                <w:rFonts w:ascii="Calibri" w:hAnsi="Calibri"/>
                <w:szCs w:val="22"/>
              </w:rPr>
            </w:pPr>
            <w:r w:rsidRPr="00797CC2">
              <w:rPr>
                <w:rFonts w:ascii="Calibri" w:hAnsi="Calibri"/>
                <w:szCs w:val="22"/>
              </w:rPr>
              <w:t>3(0.5)</w:t>
            </w:r>
          </w:p>
        </w:tc>
        <w:tc>
          <w:tcPr>
            <w:tcW w:w="1842" w:type="dxa"/>
            <w:tcBorders>
              <w:top w:val="single" w:sz="4" w:space="0" w:color="auto"/>
              <w:left w:val="single" w:sz="4" w:space="0" w:color="auto"/>
              <w:bottom w:val="single" w:sz="4" w:space="0" w:color="auto"/>
              <w:right w:val="single" w:sz="4" w:space="0" w:color="auto"/>
            </w:tcBorders>
            <w:vAlign w:val="center"/>
          </w:tcPr>
          <w:p w:rsidR="00F87F57" w:rsidRPr="00797CC2" w:rsidRDefault="0050177B" w:rsidP="00F27427">
            <w:pPr>
              <w:rPr>
                <w:rFonts w:ascii="Calibri" w:hAnsi="Calibri"/>
                <w:szCs w:val="22"/>
              </w:rPr>
            </w:pPr>
            <w:r w:rsidRPr="00797CC2">
              <w:rPr>
                <w:rFonts w:ascii="Calibri" w:hAnsi="Calibri"/>
                <w:szCs w:val="22"/>
              </w:rPr>
              <w:t>12(2</w:t>
            </w:r>
            <w:r w:rsidR="00491A13" w:rsidRPr="00797CC2">
              <w:rPr>
                <w:rFonts w:ascii="Calibri" w:hAnsi="Calibri"/>
                <w:szCs w:val="22"/>
              </w:rPr>
              <w:t>)</w:t>
            </w:r>
          </w:p>
        </w:tc>
      </w:tr>
      <w:tr w:rsidR="00491A13"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491A13" w:rsidRPr="00797CC2" w:rsidRDefault="00491A13" w:rsidP="00F27427">
            <w:pPr>
              <w:rPr>
                <w:rFonts w:ascii="Calibri" w:hAnsi="Calibri"/>
                <w:szCs w:val="22"/>
              </w:rPr>
            </w:pPr>
            <w:r w:rsidRPr="00797CC2">
              <w:rPr>
                <w:rFonts w:ascii="Calibri" w:hAnsi="Calibri"/>
                <w:szCs w:val="22"/>
              </w:rPr>
              <w:t>Inadequate information regarding results</w:t>
            </w:r>
          </w:p>
        </w:tc>
        <w:tc>
          <w:tcPr>
            <w:tcW w:w="2268" w:type="dxa"/>
            <w:tcBorders>
              <w:top w:val="single" w:sz="4" w:space="0" w:color="auto"/>
              <w:left w:val="single" w:sz="4" w:space="0" w:color="auto"/>
              <w:bottom w:val="single" w:sz="4" w:space="0" w:color="auto"/>
              <w:right w:val="single" w:sz="4" w:space="0" w:color="auto"/>
            </w:tcBorders>
            <w:vAlign w:val="center"/>
          </w:tcPr>
          <w:p w:rsidR="00491A13" w:rsidRPr="00797CC2" w:rsidRDefault="00931FA6" w:rsidP="00F27427">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vAlign w:val="center"/>
          </w:tcPr>
          <w:p w:rsidR="00491A13" w:rsidRPr="00797CC2" w:rsidRDefault="0050177B" w:rsidP="00F27427">
            <w:pPr>
              <w:rPr>
                <w:rFonts w:ascii="Calibri" w:hAnsi="Calibri"/>
                <w:szCs w:val="22"/>
              </w:rPr>
            </w:pPr>
            <w:r w:rsidRPr="00797CC2">
              <w:rPr>
                <w:rFonts w:ascii="Calibri" w:hAnsi="Calibri"/>
                <w:szCs w:val="22"/>
              </w:rPr>
              <w:t>12(2</w:t>
            </w:r>
            <w:r w:rsidR="00491A13" w:rsidRPr="00797CC2">
              <w:rPr>
                <w:rFonts w:ascii="Calibri" w:hAnsi="Calibri"/>
                <w:szCs w:val="22"/>
              </w:rPr>
              <w:t>)</w:t>
            </w:r>
          </w:p>
        </w:tc>
      </w:tr>
      <w:tr w:rsidR="00590932"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590932" w:rsidRPr="00797CC2" w:rsidRDefault="00590932" w:rsidP="00F27427">
            <w:pPr>
              <w:rPr>
                <w:rFonts w:ascii="Calibri" w:hAnsi="Calibri"/>
                <w:szCs w:val="22"/>
              </w:rPr>
            </w:pPr>
            <w:r w:rsidRPr="00797CC2">
              <w:rPr>
                <w:rFonts w:ascii="Calibri" w:hAnsi="Calibri"/>
                <w:szCs w:val="22"/>
              </w:rPr>
              <w:t>Inadequate information provided regarding treatment</w:t>
            </w:r>
          </w:p>
        </w:tc>
        <w:tc>
          <w:tcPr>
            <w:tcW w:w="2268" w:type="dxa"/>
            <w:tcBorders>
              <w:top w:val="single" w:sz="4" w:space="0" w:color="auto"/>
              <w:left w:val="single" w:sz="4" w:space="0" w:color="auto"/>
              <w:bottom w:val="single" w:sz="4" w:space="0" w:color="auto"/>
              <w:right w:val="single" w:sz="4" w:space="0" w:color="auto"/>
            </w:tcBorders>
            <w:vAlign w:val="center"/>
          </w:tcPr>
          <w:p w:rsidR="00590932" w:rsidRPr="00797CC2" w:rsidRDefault="00590932" w:rsidP="00F27427">
            <w:pPr>
              <w:rPr>
                <w:rFonts w:ascii="Calibri" w:hAnsi="Calibri"/>
                <w:szCs w:val="22"/>
              </w:rPr>
            </w:pPr>
            <w:r w:rsidRPr="00797CC2">
              <w:rPr>
                <w:rFonts w:ascii="Calibri" w:hAnsi="Calibri"/>
                <w:szCs w:val="22"/>
              </w:rPr>
              <w:t>5(0.8)</w:t>
            </w:r>
          </w:p>
        </w:tc>
        <w:tc>
          <w:tcPr>
            <w:tcW w:w="1842" w:type="dxa"/>
            <w:tcBorders>
              <w:top w:val="single" w:sz="4" w:space="0" w:color="auto"/>
              <w:left w:val="single" w:sz="4" w:space="0" w:color="auto"/>
              <w:bottom w:val="single" w:sz="4" w:space="0" w:color="auto"/>
              <w:right w:val="single" w:sz="4" w:space="0" w:color="auto"/>
            </w:tcBorders>
            <w:vAlign w:val="center"/>
          </w:tcPr>
          <w:p w:rsidR="00590932" w:rsidRPr="00797CC2" w:rsidRDefault="0050177B" w:rsidP="00F27427">
            <w:pPr>
              <w:rPr>
                <w:rFonts w:ascii="Calibri" w:hAnsi="Calibri"/>
                <w:szCs w:val="22"/>
              </w:rPr>
            </w:pPr>
            <w:r w:rsidRPr="00797CC2">
              <w:rPr>
                <w:rFonts w:ascii="Calibri" w:hAnsi="Calibri"/>
                <w:szCs w:val="22"/>
              </w:rPr>
              <w:t>41(6</w:t>
            </w:r>
            <w:r w:rsidR="00590932" w:rsidRPr="00797CC2">
              <w:rPr>
                <w:rFonts w:ascii="Calibri" w:hAnsi="Calibri"/>
                <w:szCs w:val="22"/>
              </w:rPr>
              <w:t>)</w:t>
            </w:r>
          </w:p>
        </w:tc>
      </w:tr>
      <w:tr w:rsidR="00491A13"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491A13" w:rsidRPr="00797CC2" w:rsidRDefault="00491A13" w:rsidP="00F27427">
            <w:pPr>
              <w:rPr>
                <w:rFonts w:ascii="Calibri" w:hAnsi="Calibri"/>
                <w:szCs w:val="22"/>
              </w:rPr>
            </w:pPr>
            <w:r w:rsidRPr="00797CC2">
              <w:rPr>
                <w:rFonts w:ascii="Calibri" w:hAnsi="Calibri"/>
                <w:szCs w:val="22"/>
              </w:rPr>
              <w:t>Incorrect/misleading information provided</w:t>
            </w:r>
          </w:p>
        </w:tc>
        <w:tc>
          <w:tcPr>
            <w:tcW w:w="2268" w:type="dxa"/>
            <w:tcBorders>
              <w:top w:val="single" w:sz="4" w:space="0" w:color="auto"/>
              <w:left w:val="single" w:sz="4" w:space="0" w:color="auto"/>
              <w:bottom w:val="single" w:sz="4" w:space="0" w:color="auto"/>
              <w:right w:val="single" w:sz="4" w:space="0" w:color="auto"/>
            </w:tcBorders>
            <w:vAlign w:val="center"/>
          </w:tcPr>
          <w:p w:rsidR="00491A13" w:rsidRPr="00797CC2" w:rsidRDefault="00491A13" w:rsidP="00F27427">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vAlign w:val="center"/>
          </w:tcPr>
          <w:p w:rsidR="00491A13" w:rsidRPr="00797CC2" w:rsidRDefault="0050177B" w:rsidP="00F27427">
            <w:pPr>
              <w:rPr>
                <w:rFonts w:ascii="Calibri" w:hAnsi="Calibri"/>
                <w:szCs w:val="22"/>
              </w:rPr>
            </w:pPr>
            <w:r w:rsidRPr="00797CC2">
              <w:rPr>
                <w:rFonts w:ascii="Calibri" w:hAnsi="Calibri"/>
                <w:szCs w:val="22"/>
              </w:rPr>
              <w:t>35(5</w:t>
            </w:r>
            <w:r w:rsidR="00491A13" w:rsidRPr="00797CC2">
              <w:rPr>
                <w:rFonts w:ascii="Calibri" w:hAnsi="Calibri"/>
                <w:szCs w:val="22"/>
              </w:rPr>
              <w:t>)</w:t>
            </w:r>
          </w:p>
        </w:tc>
      </w:tr>
      <w:tr w:rsidR="00491A13"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491A13" w:rsidRPr="00797CC2" w:rsidRDefault="00491A13" w:rsidP="00F27427">
            <w:pPr>
              <w:rPr>
                <w:rFonts w:ascii="Calibri" w:hAnsi="Calibri"/>
                <w:szCs w:val="22"/>
              </w:rPr>
            </w:pPr>
            <w:r w:rsidRPr="00797CC2">
              <w:rPr>
                <w:rFonts w:ascii="Calibri" w:hAnsi="Calibri"/>
                <w:szCs w:val="22"/>
              </w:rPr>
              <w:t>Issues regarding consent when consumer not competent</w:t>
            </w:r>
          </w:p>
        </w:tc>
        <w:tc>
          <w:tcPr>
            <w:tcW w:w="2268" w:type="dxa"/>
            <w:tcBorders>
              <w:top w:val="single" w:sz="4" w:space="0" w:color="auto"/>
              <w:left w:val="single" w:sz="4" w:space="0" w:color="auto"/>
              <w:bottom w:val="single" w:sz="4" w:space="0" w:color="auto"/>
              <w:right w:val="single" w:sz="4" w:space="0" w:color="auto"/>
            </w:tcBorders>
            <w:vAlign w:val="center"/>
          </w:tcPr>
          <w:p w:rsidR="00491A13" w:rsidRPr="00797CC2" w:rsidRDefault="00491A13" w:rsidP="00F27427">
            <w:pPr>
              <w:rPr>
                <w:rFonts w:ascii="Calibri" w:hAnsi="Calibri"/>
                <w:szCs w:val="22"/>
              </w:rPr>
            </w:pPr>
            <w:r w:rsidRPr="00797CC2">
              <w:rPr>
                <w:rFonts w:ascii="Calibri" w:hAnsi="Calibri"/>
                <w:szCs w:val="22"/>
              </w:rPr>
              <w:t>5(0.8)</w:t>
            </w:r>
          </w:p>
        </w:tc>
        <w:tc>
          <w:tcPr>
            <w:tcW w:w="1842" w:type="dxa"/>
            <w:tcBorders>
              <w:top w:val="single" w:sz="4" w:space="0" w:color="auto"/>
              <w:left w:val="single" w:sz="4" w:space="0" w:color="auto"/>
              <w:bottom w:val="single" w:sz="4" w:space="0" w:color="auto"/>
              <w:right w:val="single" w:sz="4" w:space="0" w:color="auto"/>
            </w:tcBorders>
            <w:vAlign w:val="center"/>
          </w:tcPr>
          <w:p w:rsidR="00491A13" w:rsidRPr="00797CC2" w:rsidRDefault="0050177B" w:rsidP="00F27427">
            <w:pPr>
              <w:rPr>
                <w:rFonts w:ascii="Calibri" w:hAnsi="Calibri"/>
                <w:szCs w:val="22"/>
              </w:rPr>
            </w:pPr>
            <w:r w:rsidRPr="00797CC2">
              <w:rPr>
                <w:rFonts w:ascii="Calibri" w:hAnsi="Calibri"/>
                <w:szCs w:val="22"/>
              </w:rPr>
              <w:t>16(2</w:t>
            </w:r>
            <w:r w:rsidR="00491A13" w:rsidRPr="00797CC2">
              <w:rPr>
                <w:rFonts w:ascii="Calibri" w:hAnsi="Calibri"/>
                <w:szCs w:val="22"/>
              </w:rPr>
              <w:t>)</w:t>
            </w:r>
          </w:p>
        </w:tc>
      </w:tr>
      <w:tr w:rsidR="00F27427"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F27427" w:rsidRPr="00797CC2" w:rsidRDefault="00F27427" w:rsidP="00F27427">
            <w:pPr>
              <w:rPr>
                <w:rFonts w:ascii="Calibri" w:hAnsi="Calibri"/>
                <w:szCs w:val="22"/>
              </w:rPr>
            </w:pPr>
            <w:r w:rsidRPr="00797CC2">
              <w:rPr>
                <w:rFonts w:ascii="Calibri" w:hAnsi="Calibri"/>
                <w:szCs w:val="22"/>
              </w:rPr>
              <w:t>Issues with involuntary admission/treatment</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20(3</w:t>
            </w:r>
            <w:r w:rsidR="00590932"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491A13" w:rsidP="00F27427">
            <w:pPr>
              <w:rPr>
                <w:rFonts w:ascii="Calibri" w:hAnsi="Calibri"/>
                <w:szCs w:val="22"/>
              </w:rPr>
            </w:pPr>
            <w:r w:rsidRPr="00797CC2">
              <w:rPr>
                <w:rFonts w:ascii="Calibri" w:hAnsi="Calibri"/>
                <w:szCs w:val="22"/>
              </w:rPr>
              <w:t>25</w:t>
            </w:r>
            <w:r w:rsidR="0050177B" w:rsidRPr="00797CC2">
              <w:rPr>
                <w:rFonts w:ascii="Calibri" w:hAnsi="Calibri"/>
                <w:szCs w:val="22"/>
              </w:rPr>
              <w:t>(4</w:t>
            </w:r>
            <w:r w:rsidR="00590932" w:rsidRPr="00797CC2">
              <w:rPr>
                <w:rFonts w:ascii="Calibri" w:hAnsi="Calibri"/>
                <w:szCs w:val="22"/>
              </w:rPr>
              <w:t>)</w:t>
            </w:r>
          </w:p>
        </w:tc>
      </w:tr>
      <w:tr w:rsidR="00F27427" w:rsidRPr="00797CC2" w:rsidTr="00C219ED">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C00000"/>
          </w:tcPr>
          <w:p w:rsidR="00F27427" w:rsidRPr="00797CC2" w:rsidRDefault="00F27427" w:rsidP="00F27427">
            <w:pPr>
              <w:rPr>
                <w:rFonts w:ascii="Calibri" w:hAnsi="Calibri"/>
                <w:b/>
                <w:i/>
                <w:szCs w:val="22"/>
              </w:rPr>
            </w:pPr>
            <w:r w:rsidRPr="00797CC2">
              <w:rPr>
                <w:rFonts w:ascii="Calibri" w:hAnsi="Calibri"/>
                <w:b/>
                <w:i/>
                <w:szCs w:val="22"/>
              </w:rPr>
              <w:t>Documentation</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50177B" w:rsidP="00F27427">
            <w:pPr>
              <w:rPr>
                <w:rFonts w:ascii="Calibri" w:hAnsi="Calibri"/>
                <w:b/>
                <w:i/>
                <w:szCs w:val="22"/>
              </w:rPr>
            </w:pPr>
            <w:r w:rsidRPr="00797CC2">
              <w:rPr>
                <w:rFonts w:ascii="Calibri" w:hAnsi="Calibri"/>
                <w:b/>
                <w:i/>
                <w:szCs w:val="22"/>
              </w:rPr>
              <w:t>12(2</w:t>
            </w:r>
            <w:r w:rsidR="00012E81" w:rsidRPr="00797CC2">
              <w:rPr>
                <w:rFonts w:ascii="Calibri" w:hAnsi="Calibri"/>
                <w:b/>
                <w: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F27427" w:rsidRPr="00797CC2" w:rsidRDefault="00F27427" w:rsidP="00F27427">
            <w:pPr>
              <w:rPr>
                <w:rFonts w:ascii="Calibri" w:hAnsi="Calibri"/>
                <w:b/>
                <w:i/>
                <w:szCs w:val="22"/>
              </w:rPr>
            </w:pPr>
          </w:p>
        </w:tc>
      </w:tr>
      <w:tr w:rsidR="00F27427"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F27427" w:rsidRPr="00797CC2" w:rsidRDefault="00931FA6" w:rsidP="00F27427">
            <w:pPr>
              <w:rPr>
                <w:rFonts w:ascii="Calibri" w:hAnsi="Calibri"/>
                <w:szCs w:val="22"/>
              </w:rPr>
            </w:pPr>
            <w:r w:rsidRPr="00797CC2">
              <w:rPr>
                <w:rFonts w:ascii="Calibri" w:hAnsi="Calibri"/>
                <w:szCs w:val="22"/>
              </w:rPr>
              <w:t>Delay/failure to disclose documentation</w:t>
            </w:r>
          </w:p>
        </w:tc>
        <w:tc>
          <w:tcPr>
            <w:tcW w:w="2268" w:type="dxa"/>
            <w:tcBorders>
              <w:top w:val="single" w:sz="4" w:space="0" w:color="auto"/>
              <w:left w:val="single" w:sz="4" w:space="0" w:color="auto"/>
              <w:bottom w:val="single" w:sz="4" w:space="0" w:color="auto"/>
              <w:right w:val="single" w:sz="4" w:space="0" w:color="auto"/>
            </w:tcBorders>
            <w:vAlign w:val="center"/>
          </w:tcPr>
          <w:p w:rsidR="00F27427" w:rsidRPr="00797CC2" w:rsidRDefault="00931FA6" w:rsidP="00F27427">
            <w:pPr>
              <w:rPr>
                <w:rFonts w:ascii="Calibri" w:hAnsi="Calibri"/>
                <w:szCs w:val="22"/>
              </w:rPr>
            </w:pPr>
            <w:r w:rsidRPr="00797CC2">
              <w:rPr>
                <w:rFonts w:ascii="Calibri" w:hAnsi="Calibri"/>
                <w:szCs w:val="22"/>
              </w:rPr>
              <w:t>2(0.3)</w:t>
            </w:r>
          </w:p>
        </w:tc>
        <w:tc>
          <w:tcPr>
            <w:tcW w:w="1842" w:type="dxa"/>
            <w:tcBorders>
              <w:top w:val="single" w:sz="4" w:space="0" w:color="auto"/>
              <w:left w:val="single" w:sz="4" w:space="0" w:color="auto"/>
              <w:bottom w:val="single" w:sz="4" w:space="0" w:color="auto"/>
              <w:right w:val="single" w:sz="4" w:space="0" w:color="auto"/>
            </w:tcBorders>
            <w:vAlign w:val="center"/>
          </w:tcPr>
          <w:p w:rsidR="00F27427" w:rsidRPr="00797CC2" w:rsidRDefault="0050177B" w:rsidP="00F27427">
            <w:pPr>
              <w:rPr>
                <w:rFonts w:ascii="Calibri" w:hAnsi="Calibri"/>
                <w:szCs w:val="22"/>
              </w:rPr>
            </w:pPr>
            <w:r w:rsidRPr="00797CC2">
              <w:rPr>
                <w:rFonts w:ascii="Calibri" w:hAnsi="Calibri"/>
                <w:szCs w:val="22"/>
              </w:rPr>
              <w:t>19(3</w:t>
            </w:r>
            <w:r w:rsidR="00931FA6" w:rsidRPr="00797CC2">
              <w:rPr>
                <w:rFonts w:ascii="Calibri" w:hAnsi="Calibri"/>
                <w:szCs w:val="22"/>
              </w:rPr>
              <w:t>)</w:t>
            </w:r>
          </w:p>
        </w:tc>
      </w:tr>
      <w:tr w:rsidR="00931FA6"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931FA6" w:rsidRPr="00797CC2" w:rsidRDefault="00931FA6" w:rsidP="00F27427">
            <w:pPr>
              <w:rPr>
                <w:rFonts w:ascii="Calibri" w:hAnsi="Calibri"/>
                <w:szCs w:val="22"/>
              </w:rPr>
            </w:pPr>
            <w:r w:rsidRPr="00797CC2">
              <w:rPr>
                <w:rFonts w:ascii="Calibri" w:hAnsi="Calibri"/>
                <w:szCs w:val="22"/>
              </w:rPr>
              <w:t>Delay/failure to transfer documentation</w:t>
            </w:r>
          </w:p>
        </w:tc>
        <w:tc>
          <w:tcPr>
            <w:tcW w:w="2268" w:type="dxa"/>
            <w:tcBorders>
              <w:top w:val="single" w:sz="4" w:space="0" w:color="auto"/>
              <w:left w:val="single" w:sz="4" w:space="0" w:color="auto"/>
              <w:bottom w:val="single" w:sz="4" w:space="0" w:color="auto"/>
              <w:right w:val="single" w:sz="4" w:space="0" w:color="auto"/>
            </w:tcBorders>
            <w:vAlign w:val="center"/>
          </w:tcPr>
          <w:p w:rsidR="00931FA6" w:rsidRPr="00797CC2" w:rsidRDefault="00931FA6" w:rsidP="00F27427">
            <w:pPr>
              <w:rPr>
                <w:rFonts w:ascii="Calibri" w:hAnsi="Calibri"/>
                <w:szCs w:val="22"/>
              </w:rPr>
            </w:pPr>
            <w:r w:rsidRPr="00797CC2">
              <w:rPr>
                <w:rFonts w:ascii="Calibri" w:hAnsi="Calibri"/>
                <w:szCs w:val="22"/>
              </w:rPr>
              <w:t>2(0.3)</w:t>
            </w:r>
          </w:p>
        </w:tc>
        <w:tc>
          <w:tcPr>
            <w:tcW w:w="1842" w:type="dxa"/>
            <w:tcBorders>
              <w:top w:val="single" w:sz="4" w:space="0" w:color="auto"/>
              <w:left w:val="single" w:sz="4" w:space="0" w:color="auto"/>
              <w:bottom w:val="single" w:sz="4" w:space="0" w:color="auto"/>
              <w:right w:val="single" w:sz="4" w:space="0" w:color="auto"/>
            </w:tcBorders>
            <w:vAlign w:val="center"/>
          </w:tcPr>
          <w:p w:rsidR="00931FA6" w:rsidRPr="00797CC2" w:rsidRDefault="00931FA6" w:rsidP="00F27427">
            <w:pPr>
              <w:rPr>
                <w:rFonts w:ascii="Calibri" w:hAnsi="Calibri"/>
                <w:szCs w:val="22"/>
              </w:rPr>
            </w:pPr>
            <w:r w:rsidRPr="00797CC2">
              <w:rPr>
                <w:rFonts w:ascii="Calibri" w:hAnsi="Calibri"/>
                <w:szCs w:val="22"/>
              </w:rPr>
              <w:t>5(0.8)</w:t>
            </w:r>
          </w:p>
        </w:tc>
      </w:tr>
      <w:tr w:rsidR="00931FA6"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931FA6" w:rsidRPr="00797CC2" w:rsidRDefault="00931FA6" w:rsidP="00931FA6">
            <w:pPr>
              <w:rPr>
                <w:rFonts w:ascii="Calibri" w:hAnsi="Calibri"/>
                <w:szCs w:val="22"/>
              </w:rPr>
            </w:pPr>
            <w:r w:rsidRPr="00797CC2">
              <w:rPr>
                <w:rFonts w:ascii="Calibri" w:hAnsi="Calibri"/>
                <w:szCs w:val="22"/>
              </w:rPr>
              <w:t>Inadequate/inaccurate documentation</w:t>
            </w:r>
          </w:p>
        </w:tc>
        <w:tc>
          <w:tcPr>
            <w:tcW w:w="2268" w:type="dxa"/>
            <w:tcBorders>
              <w:top w:val="single" w:sz="4" w:space="0" w:color="auto"/>
              <w:left w:val="single" w:sz="4" w:space="0" w:color="auto"/>
              <w:bottom w:val="single" w:sz="4" w:space="0" w:color="auto"/>
              <w:right w:val="single" w:sz="4" w:space="0" w:color="auto"/>
            </w:tcBorders>
            <w:vAlign w:val="center"/>
          </w:tcPr>
          <w:p w:rsidR="00931FA6" w:rsidRPr="00797CC2" w:rsidRDefault="00931FA6" w:rsidP="00931FA6">
            <w:pPr>
              <w:rPr>
                <w:rFonts w:ascii="Calibri" w:hAnsi="Calibri"/>
                <w:szCs w:val="22"/>
              </w:rPr>
            </w:pPr>
            <w:r w:rsidRPr="00797CC2">
              <w:rPr>
                <w:rFonts w:ascii="Calibri" w:hAnsi="Calibri"/>
                <w:szCs w:val="22"/>
              </w:rPr>
              <w:t>8(1.2)</w:t>
            </w:r>
          </w:p>
        </w:tc>
        <w:tc>
          <w:tcPr>
            <w:tcW w:w="1842" w:type="dxa"/>
            <w:tcBorders>
              <w:top w:val="single" w:sz="4" w:space="0" w:color="auto"/>
              <w:left w:val="single" w:sz="4" w:space="0" w:color="auto"/>
              <w:bottom w:val="single" w:sz="4" w:space="0" w:color="auto"/>
              <w:right w:val="single" w:sz="4" w:space="0" w:color="auto"/>
            </w:tcBorders>
            <w:vAlign w:val="center"/>
          </w:tcPr>
          <w:p w:rsidR="00931FA6" w:rsidRPr="00797CC2" w:rsidRDefault="0050177B" w:rsidP="00931FA6">
            <w:pPr>
              <w:rPr>
                <w:rFonts w:ascii="Calibri" w:hAnsi="Calibri"/>
                <w:szCs w:val="22"/>
              </w:rPr>
            </w:pPr>
            <w:r w:rsidRPr="00797CC2">
              <w:rPr>
                <w:rFonts w:ascii="Calibri" w:hAnsi="Calibri"/>
                <w:szCs w:val="22"/>
              </w:rPr>
              <w:t>59(</w:t>
            </w:r>
            <w:r w:rsidR="00931FA6" w:rsidRPr="00797CC2">
              <w:rPr>
                <w:rFonts w:ascii="Calibri" w:hAnsi="Calibri"/>
                <w:szCs w:val="22"/>
              </w:rPr>
              <w:t>9)</w:t>
            </w:r>
          </w:p>
        </w:tc>
      </w:tr>
      <w:tr w:rsidR="00931FA6" w:rsidRPr="00797CC2" w:rsidTr="00C219ED">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C00000"/>
          </w:tcPr>
          <w:p w:rsidR="00931FA6" w:rsidRPr="00797CC2" w:rsidRDefault="00931FA6" w:rsidP="00F27427">
            <w:pPr>
              <w:rPr>
                <w:rFonts w:ascii="Calibri" w:hAnsi="Calibri"/>
                <w:b/>
                <w:i/>
                <w:szCs w:val="22"/>
              </w:rPr>
            </w:pPr>
            <w:r w:rsidRPr="00797CC2">
              <w:rPr>
                <w:rFonts w:ascii="Calibri" w:hAnsi="Calibri"/>
                <w:b/>
                <w:i/>
                <w:szCs w:val="22"/>
              </w:rPr>
              <w:t>Facility issues</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931FA6" w:rsidRPr="00797CC2" w:rsidRDefault="00931FA6" w:rsidP="00F27427">
            <w:pPr>
              <w:rPr>
                <w:rFonts w:ascii="Calibri" w:hAnsi="Calibri"/>
                <w:b/>
                <w:i/>
                <w:szCs w:val="22"/>
              </w:rPr>
            </w:pPr>
            <w:r w:rsidRPr="00797CC2">
              <w:rPr>
                <w:rFonts w:ascii="Calibri" w:hAnsi="Calibri"/>
                <w:b/>
                <w:i/>
                <w:szCs w:val="22"/>
              </w:rPr>
              <w:t>18</w:t>
            </w:r>
            <w:r w:rsidR="009A1F29" w:rsidRPr="00797CC2">
              <w:rPr>
                <w:rFonts w:ascii="Calibri" w:hAnsi="Calibri"/>
                <w:b/>
                <w:i/>
                <w:szCs w:val="22"/>
              </w:rPr>
              <w:t>(3</w:t>
            </w:r>
            <w:r w:rsidR="00306C8F" w:rsidRPr="00797CC2">
              <w:rPr>
                <w:rFonts w:ascii="Calibri" w:hAnsi="Calibri"/>
                <w:b/>
                <w: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931FA6" w:rsidRPr="00797CC2" w:rsidRDefault="00931FA6" w:rsidP="00F27427">
            <w:pPr>
              <w:rPr>
                <w:rFonts w:ascii="Calibri" w:hAnsi="Calibri"/>
                <w:b/>
                <w:i/>
                <w:szCs w:val="22"/>
              </w:rPr>
            </w:pPr>
          </w:p>
        </w:tc>
      </w:tr>
      <w:tr w:rsidR="00931FA6"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931FA6" w:rsidRPr="00797CC2" w:rsidRDefault="00931FA6" w:rsidP="00F27427">
            <w:pPr>
              <w:rPr>
                <w:rFonts w:ascii="Calibri" w:hAnsi="Calibri"/>
                <w:szCs w:val="22"/>
              </w:rPr>
            </w:pPr>
            <w:r w:rsidRPr="00797CC2">
              <w:rPr>
                <w:rFonts w:ascii="Calibri" w:hAnsi="Calibri"/>
                <w:szCs w:val="22"/>
              </w:rPr>
              <w:t>Cleanliness/hygiene issue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1FA6" w:rsidRPr="00797CC2" w:rsidRDefault="00931FA6" w:rsidP="00F27427">
            <w:pPr>
              <w:rPr>
                <w:rFonts w:ascii="Calibri" w:hAnsi="Calibri"/>
                <w:szCs w:val="22"/>
              </w:rPr>
            </w:pPr>
            <w:r w:rsidRPr="00797CC2">
              <w:rPr>
                <w:rFonts w:ascii="Calibri" w:hAnsi="Calibri"/>
                <w:szCs w:val="22"/>
              </w:rPr>
              <w:t>3(0.5)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31FA6" w:rsidRPr="00797CC2" w:rsidRDefault="0050177B" w:rsidP="00F27427">
            <w:pPr>
              <w:rPr>
                <w:rFonts w:ascii="Calibri" w:hAnsi="Calibri"/>
                <w:szCs w:val="22"/>
              </w:rPr>
            </w:pPr>
            <w:r w:rsidRPr="00797CC2">
              <w:rPr>
                <w:rFonts w:ascii="Calibri" w:hAnsi="Calibri"/>
                <w:szCs w:val="22"/>
              </w:rPr>
              <w:t>15(2</w:t>
            </w:r>
            <w:r w:rsidR="00931FA6" w:rsidRPr="00797CC2">
              <w:rPr>
                <w:rFonts w:ascii="Calibri" w:hAnsi="Calibri"/>
                <w:szCs w:val="22"/>
              </w:rPr>
              <w:t>)</w:t>
            </w:r>
          </w:p>
        </w:tc>
      </w:tr>
      <w:tr w:rsidR="00434121"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434121" w:rsidRPr="00797CC2" w:rsidRDefault="00434121" w:rsidP="00F27427">
            <w:pPr>
              <w:rPr>
                <w:rFonts w:ascii="Calibri" w:hAnsi="Calibri"/>
                <w:szCs w:val="22"/>
              </w:rPr>
            </w:pPr>
            <w:r w:rsidRPr="00797CC2">
              <w:rPr>
                <w:rFonts w:ascii="Calibri" w:hAnsi="Calibri"/>
                <w:szCs w:val="22"/>
              </w:rPr>
              <w:t>Failure to follow policies/procedures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34121" w:rsidRPr="00797CC2" w:rsidRDefault="00434121" w:rsidP="00F27427">
            <w:pPr>
              <w:rPr>
                <w:rFonts w:ascii="Calibri" w:hAnsi="Calibri"/>
                <w:szCs w:val="22"/>
              </w:rPr>
            </w:pPr>
            <w:r w:rsidRPr="00797CC2">
              <w:rPr>
                <w:rFonts w:ascii="Calibri" w:hAnsi="Calibri"/>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34121" w:rsidRPr="00797CC2" w:rsidRDefault="0050177B" w:rsidP="00F27427">
            <w:pPr>
              <w:rPr>
                <w:rFonts w:ascii="Calibri" w:hAnsi="Calibri"/>
                <w:szCs w:val="22"/>
              </w:rPr>
            </w:pPr>
            <w:r w:rsidRPr="00797CC2">
              <w:rPr>
                <w:rFonts w:ascii="Calibri" w:hAnsi="Calibri"/>
                <w:szCs w:val="22"/>
              </w:rPr>
              <w:t>19(3</w:t>
            </w:r>
            <w:r w:rsidR="00434121" w:rsidRPr="00797CC2">
              <w:rPr>
                <w:rFonts w:ascii="Calibri" w:hAnsi="Calibri"/>
                <w:szCs w:val="22"/>
              </w:rPr>
              <w:t>)</w:t>
            </w:r>
          </w:p>
        </w:tc>
      </w:tr>
      <w:tr w:rsidR="00931FA6"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931FA6" w:rsidRPr="00797CC2" w:rsidRDefault="00434121" w:rsidP="00F27427">
            <w:pPr>
              <w:rPr>
                <w:rFonts w:ascii="Calibri" w:hAnsi="Calibri"/>
                <w:szCs w:val="22"/>
              </w:rPr>
            </w:pPr>
            <w:r w:rsidRPr="00797CC2">
              <w:rPr>
                <w:rFonts w:ascii="Calibri" w:hAnsi="Calibri"/>
                <w:szCs w:val="22"/>
              </w:rPr>
              <w:t>General safety issue for consumer in 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1FA6" w:rsidRPr="00797CC2" w:rsidRDefault="00434121" w:rsidP="00F27427">
            <w:pPr>
              <w:rPr>
                <w:rFonts w:ascii="Calibri" w:hAnsi="Calibri"/>
                <w:szCs w:val="22"/>
              </w:rPr>
            </w:pPr>
            <w:r w:rsidRPr="00797CC2">
              <w:rPr>
                <w:rFonts w:ascii="Calibri" w:hAnsi="Calibri"/>
                <w:szCs w:val="22"/>
              </w:rPr>
              <w:t>2(0.3)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31FA6" w:rsidRPr="00797CC2" w:rsidRDefault="0050177B" w:rsidP="00F27427">
            <w:pPr>
              <w:rPr>
                <w:rFonts w:ascii="Calibri" w:hAnsi="Calibri"/>
                <w:szCs w:val="22"/>
              </w:rPr>
            </w:pPr>
            <w:r w:rsidRPr="00797CC2">
              <w:rPr>
                <w:rFonts w:ascii="Calibri" w:hAnsi="Calibri"/>
                <w:szCs w:val="22"/>
              </w:rPr>
              <w:t>9(1</w:t>
            </w:r>
            <w:r w:rsidR="00434121" w:rsidRPr="00797CC2">
              <w:rPr>
                <w:rFonts w:ascii="Calibri" w:hAnsi="Calibri"/>
                <w:szCs w:val="22"/>
              </w:rPr>
              <w:t>)</w:t>
            </w:r>
          </w:p>
        </w:tc>
      </w:tr>
      <w:tr w:rsidR="00931FA6"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931FA6" w:rsidRPr="00797CC2" w:rsidRDefault="00434121" w:rsidP="00931FA6">
            <w:pPr>
              <w:rPr>
                <w:rFonts w:ascii="Calibri" w:hAnsi="Calibri"/>
                <w:szCs w:val="22"/>
              </w:rPr>
            </w:pPr>
            <w:r w:rsidRPr="00797CC2">
              <w:rPr>
                <w:rFonts w:ascii="Calibri" w:hAnsi="Calibri"/>
                <w:szCs w:val="22"/>
              </w:rPr>
              <w:t>Inadequate/inappropriate policies/procedures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1FA6" w:rsidRPr="00797CC2" w:rsidRDefault="00434121" w:rsidP="00931FA6">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31FA6" w:rsidRPr="00797CC2" w:rsidRDefault="0050177B" w:rsidP="00931FA6">
            <w:pPr>
              <w:rPr>
                <w:rFonts w:ascii="Calibri" w:hAnsi="Calibri"/>
                <w:szCs w:val="22"/>
              </w:rPr>
            </w:pPr>
            <w:r w:rsidRPr="00797CC2">
              <w:rPr>
                <w:rFonts w:ascii="Calibri" w:hAnsi="Calibri"/>
                <w:szCs w:val="22"/>
              </w:rPr>
              <w:t>20(3</w:t>
            </w:r>
            <w:r w:rsidR="00434121" w:rsidRPr="00797CC2">
              <w:rPr>
                <w:rFonts w:ascii="Calibri" w:hAnsi="Calibri"/>
                <w:szCs w:val="22"/>
              </w:rPr>
              <w:t>)</w:t>
            </w:r>
          </w:p>
        </w:tc>
      </w:tr>
      <w:tr w:rsidR="00434121"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434121" w:rsidRPr="00797CC2" w:rsidRDefault="001D602C" w:rsidP="00931FA6">
            <w:pPr>
              <w:rPr>
                <w:rFonts w:ascii="Calibri" w:hAnsi="Calibri"/>
                <w:szCs w:val="22"/>
              </w:rPr>
            </w:pPr>
            <w:r w:rsidRPr="00797CC2">
              <w:rPr>
                <w:rFonts w:ascii="Calibri" w:hAnsi="Calibri"/>
                <w:szCs w:val="22"/>
              </w:rPr>
              <w:t>Issue with sharing facility with other consumers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34121" w:rsidRPr="00797CC2" w:rsidRDefault="001D602C" w:rsidP="00931FA6">
            <w:pPr>
              <w:rPr>
                <w:rFonts w:ascii="Calibri" w:hAnsi="Calibri"/>
                <w:szCs w:val="22"/>
              </w:rPr>
            </w:pPr>
            <w:r w:rsidRPr="00797CC2">
              <w:rPr>
                <w:rFonts w:ascii="Calibri" w:hAnsi="Calibri"/>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34121" w:rsidRPr="00797CC2" w:rsidRDefault="001D602C" w:rsidP="00931FA6">
            <w:pPr>
              <w:rPr>
                <w:rFonts w:ascii="Calibri" w:hAnsi="Calibri"/>
                <w:szCs w:val="22"/>
              </w:rPr>
            </w:pPr>
            <w:r w:rsidRPr="00797CC2">
              <w:rPr>
                <w:rFonts w:ascii="Calibri" w:hAnsi="Calibri"/>
                <w:szCs w:val="22"/>
              </w:rPr>
              <w:t>6(0.9)</w:t>
            </w:r>
          </w:p>
        </w:tc>
      </w:tr>
      <w:tr w:rsidR="001D602C"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1D602C" w:rsidRPr="00797CC2" w:rsidRDefault="001D602C" w:rsidP="00931FA6">
            <w:pPr>
              <w:rPr>
                <w:rFonts w:ascii="Calibri" w:hAnsi="Calibri"/>
                <w:szCs w:val="22"/>
              </w:rPr>
            </w:pPr>
            <w:r w:rsidRPr="00797CC2">
              <w:rPr>
                <w:rFonts w:ascii="Calibri" w:hAnsi="Calibri"/>
                <w:szCs w:val="22"/>
              </w:rPr>
              <w:t>Issue with quality of aids/equipment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602C" w:rsidRPr="00797CC2" w:rsidRDefault="001D602C" w:rsidP="00931FA6">
            <w:pPr>
              <w:rPr>
                <w:rFonts w:ascii="Calibri" w:hAnsi="Calibri"/>
                <w:szCs w:val="22"/>
              </w:rPr>
            </w:pPr>
            <w:r w:rsidRPr="00797CC2">
              <w:rPr>
                <w:rFonts w:ascii="Calibri" w:hAnsi="Calibri"/>
                <w:szCs w:val="22"/>
              </w:rPr>
              <w:t>3(0.5)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D602C" w:rsidRPr="00797CC2" w:rsidRDefault="0050177B" w:rsidP="00931FA6">
            <w:pPr>
              <w:rPr>
                <w:rFonts w:ascii="Calibri" w:hAnsi="Calibri"/>
                <w:szCs w:val="22"/>
              </w:rPr>
            </w:pPr>
            <w:r w:rsidRPr="00797CC2">
              <w:rPr>
                <w:rFonts w:ascii="Calibri" w:hAnsi="Calibri"/>
                <w:szCs w:val="22"/>
              </w:rPr>
              <w:t>11(2</w:t>
            </w:r>
            <w:r w:rsidR="001D602C" w:rsidRPr="00797CC2">
              <w:rPr>
                <w:rFonts w:ascii="Calibri" w:hAnsi="Calibri"/>
                <w:szCs w:val="22"/>
              </w:rPr>
              <w:t>)</w:t>
            </w:r>
          </w:p>
        </w:tc>
      </w:tr>
      <w:tr w:rsidR="001D602C"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1D602C" w:rsidRPr="00797CC2" w:rsidRDefault="001D602C" w:rsidP="00931FA6">
            <w:pPr>
              <w:rPr>
                <w:rFonts w:ascii="Calibri" w:hAnsi="Calibri"/>
                <w:szCs w:val="22"/>
              </w:rPr>
            </w:pPr>
            <w:r w:rsidRPr="00797CC2">
              <w:rPr>
                <w:rFonts w:ascii="Calibri" w:hAnsi="Calibri"/>
                <w:szCs w:val="22"/>
              </w:rPr>
              <w:t>Staffing/rostering/other HR issue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602C" w:rsidRPr="00797CC2" w:rsidRDefault="001D602C" w:rsidP="00931FA6">
            <w:pPr>
              <w:rPr>
                <w:rFonts w:ascii="Calibri" w:hAnsi="Calibri"/>
                <w:szCs w:val="22"/>
              </w:rPr>
            </w:pPr>
            <w:r w:rsidRPr="00797CC2">
              <w:rPr>
                <w:rFonts w:ascii="Calibri" w:hAnsi="Calibri"/>
                <w:szCs w:val="22"/>
              </w:rPr>
              <w:t>3(0.5)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D602C" w:rsidRPr="00797CC2" w:rsidRDefault="0050177B" w:rsidP="00931FA6">
            <w:pPr>
              <w:rPr>
                <w:rFonts w:ascii="Calibri" w:hAnsi="Calibri"/>
                <w:szCs w:val="22"/>
              </w:rPr>
            </w:pPr>
            <w:r w:rsidRPr="00797CC2">
              <w:rPr>
                <w:rFonts w:ascii="Calibri" w:hAnsi="Calibri"/>
                <w:szCs w:val="22"/>
              </w:rPr>
              <w:t>14(2</w:t>
            </w:r>
            <w:r w:rsidR="001D602C" w:rsidRPr="00797CC2">
              <w:rPr>
                <w:rFonts w:ascii="Calibri" w:hAnsi="Calibri"/>
                <w:szCs w:val="22"/>
              </w:rPr>
              <w:t>)</w:t>
            </w:r>
          </w:p>
        </w:tc>
      </w:tr>
      <w:tr w:rsidR="001D602C"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1D602C" w:rsidRPr="00797CC2" w:rsidRDefault="001D602C" w:rsidP="00931FA6">
            <w:pPr>
              <w:rPr>
                <w:rFonts w:ascii="Calibri" w:hAnsi="Calibri"/>
                <w:szCs w:val="22"/>
              </w:rPr>
            </w:pPr>
            <w:r w:rsidRPr="00797CC2">
              <w:rPr>
                <w:rFonts w:ascii="Calibri" w:hAnsi="Calibri"/>
                <w:szCs w:val="22"/>
              </w:rPr>
              <w:t>Waiting times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602C" w:rsidRPr="00797CC2" w:rsidRDefault="001D602C" w:rsidP="00931FA6">
            <w:pPr>
              <w:rPr>
                <w:rFonts w:ascii="Calibri" w:hAnsi="Calibri"/>
                <w:szCs w:val="22"/>
              </w:rPr>
            </w:pPr>
            <w:r w:rsidRPr="00797CC2">
              <w:rPr>
                <w:rFonts w:ascii="Calibri" w:hAnsi="Calibri"/>
                <w:szCs w:val="22"/>
              </w:rPr>
              <w:t>5(0.8)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D602C" w:rsidRPr="00797CC2" w:rsidRDefault="0050177B" w:rsidP="00931FA6">
            <w:pPr>
              <w:rPr>
                <w:rFonts w:ascii="Calibri" w:hAnsi="Calibri"/>
                <w:szCs w:val="22"/>
              </w:rPr>
            </w:pPr>
            <w:r w:rsidRPr="00797CC2">
              <w:rPr>
                <w:rFonts w:ascii="Calibri" w:hAnsi="Calibri"/>
                <w:szCs w:val="22"/>
              </w:rPr>
              <w:t>16(2</w:t>
            </w:r>
            <w:r w:rsidR="001D602C" w:rsidRPr="00797CC2">
              <w:rPr>
                <w:rFonts w:ascii="Calibri" w:hAnsi="Calibri"/>
                <w:szCs w:val="22"/>
              </w:rPr>
              <w:t>)</w:t>
            </w:r>
          </w:p>
        </w:tc>
      </w:tr>
      <w:tr w:rsidR="001D602C"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1D602C" w:rsidRPr="00797CC2" w:rsidRDefault="001D602C" w:rsidP="00931FA6">
            <w:pPr>
              <w:rPr>
                <w:rFonts w:ascii="Calibri" w:hAnsi="Calibri"/>
                <w:szCs w:val="22"/>
              </w:rPr>
            </w:pPr>
            <w:r w:rsidRPr="00797CC2">
              <w:rPr>
                <w:rFonts w:ascii="Calibri" w:hAnsi="Calibri"/>
                <w:szCs w:val="22"/>
              </w:rPr>
              <w:t>Other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602C" w:rsidRPr="00797CC2" w:rsidRDefault="001D602C" w:rsidP="00931FA6">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D602C" w:rsidRPr="00797CC2" w:rsidRDefault="001D602C" w:rsidP="00931FA6">
            <w:pPr>
              <w:rPr>
                <w:rFonts w:ascii="Calibri" w:hAnsi="Calibri"/>
                <w:szCs w:val="22"/>
              </w:rPr>
            </w:pPr>
            <w:r w:rsidRPr="00797CC2">
              <w:rPr>
                <w:rFonts w:ascii="Calibri" w:hAnsi="Calibri"/>
                <w:szCs w:val="22"/>
              </w:rPr>
              <w:t>1(0.2)</w:t>
            </w:r>
          </w:p>
        </w:tc>
      </w:tr>
      <w:tr w:rsidR="00931FA6" w:rsidRPr="00797CC2" w:rsidTr="00C219ED">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C00000"/>
          </w:tcPr>
          <w:p w:rsidR="00931FA6" w:rsidRPr="00797CC2" w:rsidRDefault="00931FA6" w:rsidP="00F27427">
            <w:pPr>
              <w:rPr>
                <w:rFonts w:ascii="Calibri" w:hAnsi="Calibri"/>
                <w:b/>
                <w:i/>
                <w:szCs w:val="22"/>
              </w:rPr>
            </w:pPr>
            <w:r w:rsidRPr="00797CC2">
              <w:rPr>
                <w:rFonts w:ascii="Calibri" w:hAnsi="Calibri"/>
                <w:b/>
                <w:i/>
                <w:szCs w:val="22"/>
              </w:rPr>
              <w:t>Medication</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931FA6" w:rsidRPr="00797CC2" w:rsidRDefault="004B2DEA" w:rsidP="00F27427">
            <w:pPr>
              <w:rPr>
                <w:rFonts w:ascii="Calibri" w:hAnsi="Calibri"/>
                <w:b/>
                <w:i/>
                <w:szCs w:val="22"/>
              </w:rPr>
            </w:pPr>
            <w:r w:rsidRPr="00797CC2">
              <w:rPr>
                <w:rFonts w:ascii="Calibri" w:hAnsi="Calibri"/>
                <w:b/>
                <w:i/>
                <w:szCs w:val="22"/>
              </w:rPr>
              <w:t>35</w:t>
            </w:r>
            <w:r w:rsidR="009A1F29" w:rsidRPr="00797CC2">
              <w:rPr>
                <w:rFonts w:ascii="Calibri" w:hAnsi="Calibri"/>
                <w:b/>
                <w:i/>
                <w:szCs w:val="22"/>
              </w:rPr>
              <w:t>(5</w:t>
            </w:r>
            <w:r w:rsidR="00306C8F" w:rsidRPr="00797CC2">
              <w:rPr>
                <w:rFonts w:ascii="Calibri" w:hAnsi="Calibri"/>
                <w:b/>
                <w: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931FA6" w:rsidRPr="00797CC2" w:rsidRDefault="00931FA6" w:rsidP="00F27427">
            <w:pPr>
              <w:rPr>
                <w:rFonts w:ascii="Calibri" w:hAnsi="Calibri"/>
                <w:b/>
                <w:i/>
                <w:szCs w:val="22"/>
              </w:rPr>
            </w:pPr>
          </w:p>
        </w:tc>
      </w:tr>
      <w:tr w:rsidR="00B31F9B"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B31F9B" w:rsidRPr="00797CC2" w:rsidRDefault="00B31F9B" w:rsidP="00F27427">
            <w:pPr>
              <w:rPr>
                <w:rFonts w:ascii="Calibri" w:hAnsi="Calibri"/>
                <w:szCs w:val="22"/>
              </w:rPr>
            </w:pPr>
            <w:r w:rsidRPr="00797CC2">
              <w:rPr>
                <w:rFonts w:ascii="Calibri" w:hAnsi="Calibri"/>
                <w:szCs w:val="22"/>
              </w:rPr>
              <w:t>Administration error</w:t>
            </w:r>
          </w:p>
        </w:tc>
        <w:tc>
          <w:tcPr>
            <w:tcW w:w="2268" w:type="dxa"/>
            <w:tcBorders>
              <w:top w:val="single" w:sz="4" w:space="0" w:color="auto"/>
              <w:left w:val="single" w:sz="4" w:space="0" w:color="auto"/>
              <w:bottom w:val="single" w:sz="4" w:space="0" w:color="auto"/>
              <w:right w:val="single" w:sz="4" w:space="0" w:color="auto"/>
            </w:tcBorders>
            <w:vAlign w:val="center"/>
          </w:tcPr>
          <w:p w:rsidR="00B31F9B" w:rsidRPr="00797CC2" w:rsidRDefault="004B2DEA" w:rsidP="00F27427">
            <w:pPr>
              <w:rPr>
                <w:rFonts w:ascii="Calibri" w:hAnsi="Calibri"/>
                <w:szCs w:val="22"/>
              </w:rPr>
            </w:pPr>
            <w:r w:rsidRPr="00797CC2">
              <w:rPr>
                <w:rFonts w:ascii="Calibri" w:hAnsi="Calibri"/>
                <w:szCs w:val="22"/>
              </w:rPr>
              <w:t>4(0.6)</w:t>
            </w:r>
          </w:p>
        </w:tc>
        <w:tc>
          <w:tcPr>
            <w:tcW w:w="1842" w:type="dxa"/>
            <w:tcBorders>
              <w:top w:val="single" w:sz="4" w:space="0" w:color="auto"/>
              <w:left w:val="single" w:sz="4" w:space="0" w:color="auto"/>
              <w:bottom w:val="single" w:sz="4" w:space="0" w:color="auto"/>
              <w:right w:val="single" w:sz="4" w:space="0" w:color="auto"/>
            </w:tcBorders>
            <w:vAlign w:val="center"/>
          </w:tcPr>
          <w:p w:rsidR="00B31F9B" w:rsidRPr="00797CC2" w:rsidRDefault="0050177B" w:rsidP="00F27427">
            <w:pPr>
              <w:rPr>
                <w:rFonts w:ascii="Calibri" w:hAnsi="Calibri"/>
                <w:szCs w:val="22"/>
              </w:rPr>
            </w:pPr>
            <w:r w:rsidRPr="00797CC2">
              <w:rPr>
                <w:rFonts w:ascii="Calibri" w:hAnsi="Calibri"/>
                <w:szCs w:val="22"/>
              </w:rPr>
              <w:t>12(2</w:t>
            </w:r>
            <w:r w:rsidR="004B2DEA" w:rsidRPr="00797CC2">
              <w:rPr>
                <w:rFonts w:ascii="Calibri" w:hAnsi="Calibri"/>
                <w:szCs w:val="22"/>
              </w:rPr>
              <w:t>)</w:t>
            </w:r>
          </w:p>
        </w:tc>
      </w:tr>
      <w:tr w:rsidR="00B31F9B"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B31F9B" w:rsidRPr="00797CC2" w:rsidRDefault="004B2DEA" w:rsidP="00F27427">
            <w:pPr>
              <w:rPr>
                <w:rFonts w:ascii="Calibri" w:hAnsi="Calibri"/>
                <w:szCs w:val="22"/>
              </w:rPr>
            </w:pPr>
            <w:r w:rsidRPr="00797CC2">
              <w:rPr>
                <w:rFonts w:ascii="Calibri" w:hAnsi="Calibri"/>
                <w:szCs w:val="22"/>
              </w:rPr>
              <w:t>Inappropriate administration</w:t>
            </w:r>
          </w:p>
        </w:tc>
        <w:tc>
          <w:tcPr>
            <w:tcW w:w="2268" w:type="dxa"/>
            <w:tcBorders>
              <w:top w:val="single" w:sz="4" w:space="0" w:color="auto"/>
              <w:left w:val="single" w:sz="4" w:space="0" w:color="auto"/>
              <w:bottom w:val="single" w:sz="4" w:space="0" w:color="auto"/>
              <w:right w:val="single" w:sz="4" w:space="0" w:color="auto"/>
            </w:tcBorders>
            <w:vAlign w:val="center"/>
          </w:tcPr>
          <w:p w:rsidR="00B31F9B" w:rsidRPr="00797CC2" w:rsidRDefault="004B2DEA" w:rsidP="00F27427">
            <w:pPr>
              <w:rPr>
                <w:rFonts w:ascii="Calibri" w:hAnsi="Calibri"/>
                <w:szCs w:val="22"/>
              </w:rPr>
            </w:pPr>
            <w:r w:rsidRPr="00797CC2">
              <w:rPr>
                <w:rFonts w:ascii="Calibri" w:hAnsi="Calibri"/>
                <w:szCs w:val="22"/>
              </w:rPr>
              <w:t>2(0.3)</w:t>
            </w:r>
          </w:p>
        </w:tc>
        <w:tc>
          <w:tcPr>
            <w:tcW w:w="1842" w:type="dxa"/>
            <w:tcBorders>
              <w:top w:val="single" w:sz="4" w:space="0" w:color="auto"/>
              <w:left w:val="single" w:sz="4" w:space="0" w:color="auto"/>
              <w:bottom w:val="single" w:sz="4" w:space="0" w:color="auto"/>
              <w:right w:val="single" w:sz="4" w:space="0" w:color="auto"/>
            </w:tcBorders>
            <w:vAlign w:val="center"/>
          </w:tcPr>
          <w:p w:rsidR="00B31F9B" w:rsidRPr="00797CC2" w:rsidRDefault="0050177B" w:rsidP="00F27427">
            <w:pPr>
              <w:rPr>
                <w:rFonts w:ascii="Calibri" w:hAnsi="Calibri"/>
                <w:szCs w:val="22"/>
              </w:rPr>
            </w:pPr>
            <w:r w:rsidRPr="00797CC2">
              <w:rPr>
                <w:rFonts w:ascii="Calibri" w:hAnsi="Calibri"/>
                <w:szCs w:val="22"/>
              </w:rPr>
              <w:t>18(3</w:t>
            </w:r>
            <w:r w:rsidR="004B2DEA" w:rsidRPr="00797CC2">
              <w:rPr>
                <w:rFonts w:ascii="Calibri" w:hAnsi="Calibri"/>
                <w:szCs w:val="22"/>
              </w:rPr>
              <w:t>)</w:t>
            </w:r>
          </w:p>
        </w:tc>
      </w:tr>
      <w:tr w:rsidR="004B2DEA"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4B2DEA" w:rsidRPr="00797CC2" w:rsidRDefault="004B2DEA" w:rsidP="00F27427">
            <w:pPr>
              <w:rPr>
                <w:rFonts w:ascii="Calibri" w:hAnsi="Calibri"/>
                <w:szCs w:val="22"/>
              </w:rPr>
            </w:pPr>
            <w:r w:rsidRPr="00797CC2">
              <w:rPr>
                <w:rFonts w:ascii="Calibri" w:hAnsi="Calibri"/>
                <w:szCs w:val="22"/>
              </w:rPr>
              <w:t>Inappropriate dispensing</w:t>
            </w:r>
          </w:p>
        </w:tc>
        <w:tc>
          <w:tcPr>
            <w:tcW w:w="2268" w:type="dxa"/>
            <w:tcBorders>
              <w:top w:val="single" w:sz="4" w:space="0" w:color="auto"/>
              <w:left w:val="single" w:sz="4" w:space="0" w:color="auto"/>
              <w:bottom w:val="single" w:sz="4" w:space="0" w:color="auto"/>
              <w:right w:val="single" w:sz="4" w:space="0" w:color="auto"/>
            </w:tcBorders>
            <w:vAlign w:val="center"/>
          </w:tcPr>
          <w:p w:rsidR="004B2DEA" w:rsidRPr="00797CC2" w:rsidRDefault="004B2DEA" w:rsidP="00F27427">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vAlign w:val="center"/>
          </w:tcPr>
          <w:p w:rsidR="004B2DEA" w:rsidRPr="00797CC2" w:rsidRDefault="004B2DEA" w:rsidP="00F27427">
            <w:pPr>
              <w:rPr>
                <w:rFonts w:ascii="Calibri" w:hAnsi="Calibri"/>
                <w:szCs w:val="22"/>
              </w:rPr>
            </w:pPr>
            <w:r w:rsidRPr="00797CC2">
              <w:rPr>
                <w:rFonts w:ascii="Calibri" w:hAnsi="Calibri"/>
                <w:szCs w:val="22"/>
              </w:rPr>
              <w:t>2(0.3)</w:t>
            </w:r>
          </w:p>
        </w:tc>
      </w:tr>
      <w:tr w:rsidR="00931FA6"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931FA6" w:rsidRPr="00797CC2" w:rsidRDefault="00931FA6" w:rsidP="00F27427">
            <w:pPr>
              <w:rPr>
                <w:rFonts w:ascii="Calibri" w:hAnsi="Calibri"/>
                <w:szCs w:val="22"/>
              </w:rPr>
            </w:pPr>
            <w:r w:rsidRPr="00797CC2">
              <w:rPr>
                <w:rFonts w:ascii="Calibri" w:hAnsi="Calibri"/>
                <w:szCs w:val="22"/>
              </w:rPr>
              <w:t>Inappropriate prescribing</w:t>
            </w:r>
          </w:p>
        </w:tc>
        <w:tc>
          <w:tcPr>
            <w:tcW w:w="2268" w:type="dxa"/>
            <w:tcBorders>
              <w:top w:val="single" w:sz="4" w:space="0" w:color="auto"/>
              <w:left w:val="single" w:sz="4" w:space="0" w:color="auto"/>
              <w:bottom w:val="single" w:sz="4" w:space="0" w:color="auto"/>
              <w:right w:val="single" w:sz="4" w:space="0" w:color="auto"/>
            </w:tcBorders>
            <w:vAlign w:val="center"/>
          </w:tcPr>
          <w:p w:rsidR="00931FA6" w:rsidRPr="00797CC2" w:rsidRDefault="0050177B" w:rsidP="00F27427">
            <w:pPr>
              <w:rPr>
                <w:rFonts w:ascii="Calibri" w:hAnsi="Calibri"/>
                <w:szCs w:val="22"/>
              </w:rPr>
            </w:pPr>
            <w:r w:rsidRPr="00797CC2">
              <w:rPr>
                <w:rFonts w:ascii="Calibri" w:hAnsi="Calibri"/>
                <w:szCs w:val="22"/>
              </w:rPr>
              <w:t>18(3</w:t>
            </w:r>
            <w:r w:rsidR="004B2DEA"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931FA6" w:rsidRPr="00797CC2" w:rsidRDefault="0050177B" w:rsidP="00F27427">
            <w:pPr>
              <w:rPr>
                <w:rFonts w:ascii="Calibri" w:hAnsi="Calibri"/>
                <w:szCs w:val="22"/>
              </w:rPr>
            </w:pPr>
            <w:r w:rsidRPr="00797CC2">
              <w:rPr>
                <w:rFonts w:ascii="Calibri" w:hAnsi="Calibri"/>
                <w:szCs w:val="22"/>
              </w:rPr>
              <w:t>57(9</w:t>
            </w:r>
            <w:r w:rsidR="004B2DEA" w:rsidRPr="00797CC2">
              <w:rPr>
                <w:rFonts w:ascii="Calibri" w:hAnsi="Calibri"/>
                <w:szCs w:val="22"/>
              </w:rPr>
              <w:t>)</w:t>
            </w:r>
          </w:p>
        </w:tc>
      </w:tr>
      <w:tr w:rsidR="004B2DEA"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4B2DEA" w:rsidRPr="00797CC2" w:rsidRDefault="004B2DEA" w:rsidP="00F27427">
            <w:pPr>
              <w:rPr>
                <w:rFonts w:ascii="Calibri" w:hAnsi="Calibri"/>
                <w:szCs w:val="22"/>
              </w:rPr>
            </w:pPr>
            <w:r w:rsidRPr="00797CC2">
              <w:rPr>
                <w:rFonts w:ascii="Calibri" w:hAnsi="Calibri"/>
                <w:szCs w:val="22"/>
              </w:rPr>
              <w:t>Inappropriate supply</w:t>
            </w:r>
          </w:p>
        </w:tc>
        <w:tc>
          <w:tcPr>
            <w:tcW w:w="2268" w:type="dxa"/>
            <w:tcBorders>
              <w:top w:val="single" w:sz="4" w:space="0" w:color="auto"/>
              <w:left w:val="single" w:sz="4" w:space="0" w:color="auto"/>
              <w:bottom w:val="single" w:sz="4" w:space="0" w:color="auto"/>
              <w:right w:val="single" w:sz="4" w:space="0" w:color="auto"/>
            </w:tcBorders>
            <w:vAlign w:val="center"/>
          </w:tcPr>
          <w:p w:rsidR="004B2DEA" w:rsidRPr="00797CC2" w:rsidRDefault="004B2DEA" w:rsidP="00F27427">
            <w:pPr>
              <w:rPr>
                <w:rFonts w:ascii="Calibri" w:hAnsi="Calibri"/>
                <w:szCs w:val="22"/>
              </w:rPr>
            </w:pPr>
            <w:r w:rsidRPr="00797CC2">
              <w:rPr>
                <w:rFonts w:ascii="Calibri" w:hAnsi="Calibri"/>
                <w:szCs w:val="22"/>
              </w:rPr>
              <w:t>1(0.2)</w:t>
            </w:r>
          </w:p>
        </w:tc>
        <w:tc>
          <w:tcPr>
            <w:tcW w:w="1842" w:type="dxa"/>
            <w:tcBorders>
              <w:top w:val="single" w:sz="4" w:space="0" w:color="auto"/>
              <w:left w:val="single" w:sz="4" w:space="0" w:color="auto"/>
              <w:bottom w:val="single" w:sz="4" w:space="0" w:color="auto"/>
              <w:right w:val="single" w:sz="4" w:space="0" w:color="auto"/>
            </w:tcBorders>
            <w:vAlign w:val="center"/>
          </w:tcPr>
          <w:p w:rsidR="004B2DEA" w:rsidRPr="00797CC2" w:rsidRDefault="004B2DEA" w:rsidP="004B2DEA">
            <w:pPr>
              <w:rPr>
                <w:rFonts w:ascii="Calibri" w:hAnsi="Calibri"/>
                <w:szCs w:val="22"/>
              </w:rPr>
            </w:pPr>
            <w:r w:rsidRPr="00797CC2">
              <w:rPr>
                <w:rFonts w:ascii="Calibri" w:hAnsi="Calibri"/>
                <w:szCs w:val="22"/>
              </w:rPr>
              <w:t>1(0.2)</w:t>
            </w:r>
          </w:p>
        </w:tc>
      </w:tr>
      <w:tr w:rsidR="004B2DEA"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4B2DEA" w:rsidRPr="00797CC2" w:rsidRDefault="004B2DEA" w:rsidP="00F27427">
            <w:pPr>
              <w:rPr>
                <w:rFonts w:ascii="Calibri" w:hAnsi="Calibri"/>
                <w:szCs w:val="22"/>
              </w:rPr>
            </w:pPr>
            <w:r w:rsidRPr="00797CC2">
              <w:rPr>
                <w:rFonts w:ascii="Calibri" w:hAnsi="Calibri"/>
                <w:szCs w:val="22"/>
              </w:rPr>
              <w:t>Prescribing error</w:t>
            </w:r>
          </w:p>
        </w:tc>
        <w:tc>
          <w:tcPr>
            <w:tcW w:w="2268" w:type="dxa"/>
            <w:tcBorders>
              <w:top w:val="single" w:sz="4" w:space="0" w:color="auto"/>
              <w:left w:val="single" w:sz="4" w:space="0" w:color="auto"/>
              <w:bottom w:val="single" w:sz="4" w:space="0" w:color="auto"/>
              <w:right w:val="single" w:sz="4" w:space="0" w:color="auto"/>
            </w:tcBorders>
            <w:vAlign w:val="center"/>
          </w:tcPr>
          <w:p w:rsidR="004B2DEA" w:rsidRPr="00797CC2" w:rsidRDefault="004B2DEA" w:rsidP="00F27427">
            <w:pPr>
              <w:rPr>
                <w:rFonts w:ascii="Calibri" w:hAnsi="Calibri"/>
                <w:szCs w:val="22"/>
              </w:rPr>
            </w:pPr>
            <w:r w:rsidRPr="00797CC2">
              <w:rPr>
                <w:rFonts w:ascii="Calibri" w:hAnsi="Calibri"/>
                <w:szCs w:val="22"/>
              </w:rPr>
              <w:t>3(0.5)</w:t>
            </w:r>
          </w:p>
        </w:tc>
        <w:tc>
          <w:tcPr>
            <w:tcW w:w="1842" w:type="dxa"/>
            <w:tcBorders>
              <w:top w:val="single" w:sz="4" w:space="0" w:color="auto"/>
              <w:left w:val="single" w:sz="4" w:space="0" w:color="auto"/>
              <w:bottom w:val="single" w:sz="4" w:space="0" w:color="auto"/>
              <w:right w:val="single" w:sz="4" w:space="0" w:color="auto"/>
            </w:tcBorders>
            <w:vAlign w:val="center"/>
          </w:tcPr>
          <w:p w:rsidR="004B2DEA" w:rsidRPr="00797CC2" w:rsidRDefault="004B2DEA" w:rsidP="00F27427">
            <w:pPr>
              <w:rPr>
                <w:rFonts w:ascii="Calibri" w:hAnsi="Calibri"/>
                <w:szCs w:val="22"/>
              </w:rPr>
            </w:pPr>
            <w:r w:rsidRPr="00797CC2">
              <w:rPr>
                <w:rFonts w:ascii="Calibri" w:hAnsi="Calibri"/>
                <w:szCs w:val="22"/>
              </w:rPr>
              <w:t>4(0.6)</w:t>
            </w:r>
          </w:p>
        </w:tc>
      </w:tr>
      <w:tr w:rsidR="004B2DEA"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tcPr>
          <w:p w:rsidR="004B2DEA" w:rsidRPr="00797CC2" w:rsidRDefault="004B2DEA" w:rsidP="00F27427">
            <w:pPr>
              <w:rPr>
                <w:rFonts w:ascii="Calibri" w:hAnsi="Calibri"/>
                <w:szCs w:val="22"/>
              </w:rPr>
            </w:pPr>
            <w:r w:rsidRPr="00797CC2">
              <w:rPr>
                <w:rFonts w:ascii="Calibri" w:hAnsi="Calibri"/>
                <w:szCs w:val="22"/>
              </w:rPr>
              <w:t>Refusal to prescribe/dispense/supply</w:t>
            </w:r>
          </w:p>
        </w:tc>
        <w:tc>
          <w:tcPr>
            <w:tcW w:w="2268" w:type="dxa"/>
            <w:tcBorders>
              <w:top w:val="single" w:sz="4" w:space="0" w:color="auto"/>
              <w:left w:val="single" w:sz="4" w:space="0" w:color="auto"/>
              <w:bottom w:val="single" w:sz="4" w:space="0" w:color="auto"/>
              <w:right w:val="single" w:sz="4" w:space="0" w:color="auto"/>
            </w:tcBorders>
            <w:vAlign w:val="center"/>
          </w:tcPr>
          <w:p w:rsidR="004B2DEA" w:rsidRPr="00797CC2" w:rsidRDefault="004B2DEA" w:rsidP="00F27427">
            <w:pPr>
              <w:rPr>
                <w:rFonts w:ascii="Calibri" w:hAnsi="Calibri"/>
                <w:szCs w:val="22"/>
              </w:rPr>
            </w:pPr>
            <w:r w:rsidRPr="00797CC2">
              <w:rPr>
                <w:rFonts w:ascii="Calibri" w:hAnsi="Calibri"/>
                <w:szCs w:val="22"/>
              </w:rPr>
              <w:t>6(0.9)</w:t>
            </w:r>
          </w:p>
        </w:tc>
        <w:tc>
          <w:tcPr>
            <w:tcW w:w="1842" w:type="dxa"/>
            <w:tcBorders>
              <w:top w:val="single" w:sz="4" w:space="0" w:color="auto"/>
              <w:left w:val="single" w:sz="4" w:space="0" w:color="auto"/>
              <w:bottom w:val="single" w:sz="4" w:space="0" w:color="auto"/>
              <w:right w:val="single" w:sz="4" w:space="0" w:color="auto"/>
            </w:tcBorders>
            <w:vAlign w:val="center"/>
          </w:tcPr>
          <w:p w:rsidR="004B2DEA" w:rsidRPr="00797CC2" w:rsidRDefault="0050177B" w:rsidP="00F27427">
            <w:pPr>
              <w:rPr>
                <w:rFonts w:ascii="Calibri" w:hAnsi="Calibri"/>
                <w:szCs w:val="22"/>
              </w:rPr>
            </w:pPr>
            <w:r w:rsidRPr="00797CC2">
              <w:rPr>
                <w:rFonts w:ascii="Calibri" w:hAnsi="Calibri"/>
                <w:szCs w:val="22"/>
              </w:rPr>
              <w:t>28(4</w:t>
            </w:r>
            <w:r w:rsidR="004B2DEA" w:rsidRPr="00797CC2">
              <w:rPr>
                <w:rFonts w:ascii="Calibri" w:hAnsi="Calibri"/>
                <w:szCs w:val="22"/>
              </w:rPr>
              <w:t>)</w:t>
            </w:r>
          </w:p>
        </w:tc>
      </w:tr>
      <w:tr w:rsidR="004B2DEA" w:rsidRPr="00797CC2" w:rsidTr="00C219ED">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C00000"/>
          </w:tcPr>
          <w:p w:rsidR="004B2DEA" w:rsidRPr="00797CC2" w:rsidRDefault="004B2DEA" w:rsidP="00F27427">
            <w:pPr>
              <w:rPr>
                <w:rFonts w:ascii="Calibri" w:hAnsi="Calibri"/>
                <w:b/>
                <w:i/>
                <w:szCs w:val="22"/>
              </w:rPr>
            </w:pPr>
            <w:r w:rsidRPr="00797CC2">
              <w:rPr>
                <w:rFonts w:ascii="Calibri" w:hAnsi="Calibri"/>
                <w:b/>
                <w:i/>
                <w:szCs w:val="22"/>
              </w:rPr>
              <w:t>Reports/Certificates</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4B2DEA" w:rsidRPr="00797CC2" w:rsidRDefault="003F0990" w:rsidP="00F27427">
            <w:pPr>
              <w:rPr>
                <w:rFonts w:ascii="Calibri" w:hAnsi="Calibri"/>
                <w:b/>
                <w:i/>
                <w:szCs w:val="22"/>
              </w:rPr>
            </w:pPr>
            <w:r w:rsidRPr="00797CC2">
              <w:rPr>
                <w:rFonts w:ascii="Calibri" w:hAnsi="Calibri"/>
                <w:b/>
                <w:i/>
                <w:szCs w:val="22"/>
              </w:rPr>
              <w:t>8</w:t>
            </w:r>
            <w:r w:rsidR="0050177B" w:rsidRPr="00797CC2">
              <w:rPr>
                <w:rFonts w:ascii="Calibri" w:hAnsi="Calibri"/>
                <w:b/>
                <w:i/>
                <w:szCs w:val="22"/>
              </w:rPr>
              <w:t>(1</w:t>
            </w:r>
            <w:r w:rsidR="00306C8F" w:rsidRPr="00797CC2">
              <w:rPr>
                <w:rFonts w:ascii="Calibri" w:hAnsi="Calibri"/>
                <w:b/>
                <w: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4B2DEA" w:rsidRPr="00797CC2" w:rsidRDefault="004B2DEA" w:rsidP="00F27427">
            <w:pPr>
              <w:rPr>
                <w:rFonts w:ascii="Calibri" w:hAnsi="Calibri"/>
                <w:b/>
                <w:i/>
                <w:szCs w:val="22"/>
              </w:rPr>
            </w:pPr>
          </w:p>
        </w:tc>
      </w:tr>
      <w:tr w:rsidR="004B2DEA"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rsidR="004B2DEA" w:rsidRPr="00797CC2" w:rsidRDefault="004B2DEA" w:rsidP="00F27427">
            <w:pPr>
              <w:rPr>
                <w:rFonts w:ascii="Calibri" w:hAnsi="Calibri"/>
                <w:szCs w:val="22"/>
              </w:rPr>
            </w:pPr>
            <w:r w:rsidRPr="00797CC2">
              <w:rPr>
                <w:rFonts w:ascii="Calibri" w:hAnsi="Calibri"/>
                <w:szCs w:val="22"/>
              </w:rPr>
              <w:t>Inaccurate report/certificate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2DEA" w:rsidRPr="00797CC2" w:rsidRDefault="0050177B" w:rsidP="00F27427">
            <w:pPr>
              <w:rPr>
                <w:rFonts w:ascii="Calibri" w:hAnsi="Calibri"/>
                <w:szCs w:val="22"/>
              </w:rPr>
            </w:pPr>
            <w:r w:rsidRPr="00797CC2">
              <w:rPr>
                <w:rFonts w:ascii="Calibri" w:hAnsi="Calibri"/>
                <w:szCs w:val="22"/>
              </w:rPr>
              <w:t>8(1</w:t>
            </w:r>
            <w:r w:rsidR="003F0990" w:rsidRPr="00797CC2">
              <w:rPr>
                <w:rFonts w:ascii="Calibri" w:hAnsi="Calibr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2DEA" w:rsidRPr="00797CC2" w:rsidRDefault="0050177B" w:rsidP="00F27427">
            <w:pPr>
              <w:rPr>
                <w:rFonts w:ascii="Calibri" w:hAnsi="Calibri"/>
                <w:szCs w:val="22"/>
              </w:rPr>
            </w:pPr>
            <w:r w:rsidRPr="00797CC2">
              <w:rPr>
                <w:rFonts w:ascii="Calibri" w:hAnsi="Calibri"/>
                <w:szCs w:val="22"/>
              </w:rPr>
              <w:t>23(4</w:t>
            </w:r>
            <w:r w:rsidR="003F0990" w:rsidRPr="00797CC2">
              <w:rPr>
                <w:rFonts w:ascii="Calibri" w:hAnsi="Calibri"/>
                <w:szCs w:val="22"/>
              </w:rPr>
              <w:t>)</w:t>
            </w:r>
          </w:p>
        </w:tc>
      </w:tr>
      <w:tr w:rsidR="003F0990" w:rsidRPr="00797CC2" w:rsidTr="00F87F57">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rsidR="003F0990" w:rsidRPr="00797CC2" w:rsidRDefault="003F0990" w:rsidP="00F27427">
            <w:pPr>
              <w:rPr>
                <w:rFonts w:ascii="Calibri" w:hAnsi="Calibri"/>
                <w:szCs w:val="22"/>
              </w:rPr>
            </w:pPr>
            <w:r w:rsidRPr="00797CC2">
              <w:rPr>
                <w:rFonts w:ascii="Calibri" w:hAnsi="Calibri"/>
                <w:szCs w:val="22"/>
              </w:rPr>
              <w:t>Refusal to complete report/certificate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0990" w:rsidRPr="00797CC2" w:rsidRDefault="003F0990" w:rsidP="00F27427">
            <w:pPr>
              <w:rPr>
                <w:rFonts w:ascii="Calibri" w:hAnsi="Calibri"/>
                <w:szCs w:val="22"/>
              </w:rPr>
            </w:pPr>
            <w:r w:rsidRPr="00797CC2">
              <w:rPr>
                <w:rFonts w:ascii="Calibri" w:hAnsi="Calibri"/>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0990" w:rsidRPr="00797CC2" w:rsidRDefault="003F0990" w:rsidP="00F27427">
            <w:pPr>
              <w:rPr>
                <w:rFonts w:ascii="Calibri" w:hAnsi="Calibri"/>
                <w:szCs w:val="22"/>
              </w:rPr>
            </w:pPr>
            <w:r w:rsidRPr="00797CC2">
              <w:rPr>
                <w:rFonts w:ascii="Calibri" w:hAnsi="Calibri"/>
                <w:szCs w:val="22"/>
              </w:rPr>
              <w:t>2(0.3)</w:t>
            </w:r>
          </w:p>
        </w:tc>
      </w:tr>
      <w:tr w:rsidR="004B2DEA" w:rsidRPr="00797CC2" w:rsidTr="00C219ED">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C00000"/>
          </w:tcPr>
          <w:p w:rsidR="004B2DEA" w:rsidRPr="00797CC2" w:rsidRDefault="004B2DEA" w:rsidP="00F27427">
            <w:pPr>
              <w:rPr>
                <w:rFonts w:ascii="Calibri" w:hAnsi="Calibri"/>
                <w:b/>
                <w:i/>
                <w:szCs w:val="22"/>
              </w:rPr>
            </w:pPr>
            <w:r w:rsidRPr="00797CC2">
              <w:rPr>
                <w:rFonts w:ascii="Calibri" w:hAnsi="Calibri"/>
                <w:b/>
                <w:i/>
                <w:szCs w:val="22"/>
              </w:rPr>
              <w:t>Other professional conduct issues</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4B2DEA" w:rsidRPr="00797CC2" w:rsidRDefault="003F0990" w:rsidP="00F27427">
            <w:pPr>
              <w:rPr>
                <w:rFonts w:ascii="Calibri" w:hAnsi="Calibri"/>
                <w:b/>
                <w:i/>
                <w:szCs w:val="22"/>
              </w:rPr>
            </w:pPr>
            <w:r w:rsidRPr="00797CC2">
              <w:rPr>
                <w:rFonts w:ascii="Calibri" w:hAnsi="Calibri"/>
                <w:b/>
                <w:i/>
                <w:szCs w:val="22"/>
              </w:rPr>
              <w:t>14</w:t>
            </w:r>
            <w:r w:rsidR="0050177B" w:rsidRPr="00797CC2">
              <w:rPr>
                <w:rFonts w:ascii="Calibri" w:hAnsi="Calibri"/>
                <w:b/>
                <w:i/>
                <w:szCs w:val="22"/>
              </w:rPr>
              <w:t>(2</w:t>
            </w:r>
            <w:r w:rsidR="00306C8F" w:rsidRPr="00797CC2">
              <w:rPr>
                <w:rFonts w:ascii="Calibri" w:hAnsi="Calibri"/>
                <w:b/>
                <w: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4B2DEA" w:rsidRPr="00797CC2" w:rsidRDefault="00306C8F" w:rsidP="00F27427">
            <w:pPr>
              <w:rPr>
                <w:rFonts w:ascii="Calibri" w:hAnsi="Calibri"/>
                <w:b/>
                <w:i/>
                <w:szCs w:val="22"/>
              </w:rPr>
            </w:pPr>
            <w:r w:rsidRPr="00797CC2">
              <w:rPr>
                <w:rFonts w:ascii="Calibri" w:hAnsi="Calibri"/>
                <w:b/>
                <w:i/>
                <w:szCs w:val="22"/>
              </w:rPr>
              <w:t>44</w:t>
            </w:r>
          </w:p>
        </w:tc>
      </w:tr>
      <w:tr w:rsidR="004B2DEA" w:rsidRPr="00797CC2" w:rsidTr="00C219ED">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C00000"/>
          </w:tcPr>
          <w:p w:rsidR="004B2DEA" w:rsidRPr="00797CC2" w:rsidRDefault="004B2DEA" w:rsidP="00F27427">
            <w:pPr>
              <w:rPr>
                <w:rFonts w:ascii="Calibri" w:hAnsi="Calibri"/>
                <w:b/>
                <w:i/>
                <w:szCs w:val="22"/>
              </w:rPr>
            </w:pPr>
            <w:r w:rsidRPr="00797CC2">
              <w:rPr>
                <w:rFonts w:ascii="Calibri" w:hAnsi="Calibri"/>
                <w:b/>
                <w:i/>
                <w:szCs w:val="22"/>
              </w:rPr>
              <w:t>Other issues</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4B2DEA" w:rsidRPr="00797CC2" w:rsidRDefault="003F0990" w:rsidP="00F27427">
            <w:pPr>
              <w:rPr>
                <w:rFonts w:ascii="Calibri" w:hAnsi="Calibri"/>
                <w:b/>
                <w:i/>
                <w:szCs w:val="22"/>
              </w:rPr>
            </w:pPr>
            <w:r w:rsidRPr="00797CC2">
              <w:rPr>
                <w:rFonts w:ascii="Calibri" w:hAnsi="Calibri"/>
                <w:b/>
                <w:i/>
                <w:szCs w:val="22"/>
              </w:rPr>
              <w:t>8</w:t>
            </w:r>
            <w:r w:rsidR="0050177B" w:rsidRPr="00797CC2">
              <w:rPr>
                <w:rFonts w:ascii="Calibri" w:hAnsi="Calibri"/>
                <w:b/>
                <w:i/>
                <w:szCs w:val="22"/>
              </w:rPr>
              <w:t>(1</w:t>
            </w:r>
            <w:r w:rsidR="00306C8F" w:rsidRPr="00797CC2">
              <w:rPr>
                <w:rFonts w:ascii="Calibri" w:hAnsi="Calibri"/>
                <w:b/>
                <w: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4B2DEA" w:rsidRPr="00797CC2" w:rsidRDefault="00306C8F" w:rsidP="00F27427">
            <w:pPr>
              <w:rPr>
                <w:rFonts w:ascii="Calibri" w:hAnsi="Calibri"/>
                <w:b/>
                <w:i/>
                <w:szCs w:val="22"/>
              </w:rPr>
            </w:pPr>
            <w:r w:rsidRPr="00797CC2">
              <w:rPr>
                <w:rFonts w:ascii="Calibri" w:hAnsi="Calibri"/>
                <w:b/>
                <w:i/>
                <w:szCs w:val="22"/>
              </w:rPr>
              <w:t>9</w:t>
            </w:r>
          </w:p>
        </w:tc>
      </w:tr>
      <w:tr w:rsidR="004B2DEA" w:rsidRPr="00797CC2" w:rsidTr="00C219ED">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C00000"/>
          </w:tcPr>
          <w:p w:rsidR="004B2DEA" w:rsidRPr="00797CC2" w:rsidRDefault="004B2DEA" w:rsidP="00F27427">
            <w:pPr>
              <w:rPr>
                <w:rFonts w:ascii="Calibri" w:hAnsi="Calibri"/>
                <w:b/>
                <w:i/>
                <w:szCs w:val="22"/>
              </w:rPr>
            </w:pPr>
            <w:r w:rsidRPr="00797CC2">
              <w:rPr>
                <w:rFonts w:ascii="Calibri" w:hAnsi="Calibri"/>
                <w:b/>
                <w:i/>
                <w:szCs w:val="22"/>
              </w:rPr>
              <w:t>TOTAL</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rsidR="004B2DEA" w:rsidRPr="00797CC2" w:rsidRDefault="004B2DEA" w:rsidP="00F27427">
            <w:pPr>
              <w:rPr>
                <w:rFonts w:ascii="Calibri" w:hAnsi="Calibri"/>
                <w:b/>
                <w:i/>
                <w:szCs w:val="22"/>
              </w:rPr>
            </w:pPr>
            <w:r w:rsidRPr="00797CC2">
              <w:rPr>
                <w:rFonts w:ascii="Calibri" w:hAnsi="Calibri"/>
                <w:b/>
                <w:i/>
                <w:szCs w:val="22"/>
              </w:rPr>
              <w:t>660</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4B2DEA" w:rsidRPr="00797CC2" w:rsidRDefault="004B2DEA" w:rsidP="00F27427">
            <w:pPr>
              <w:rPr>
                <w:rFonts w:ascii="Calibri" w:hAnsi="Calibri"/>
                <w:b/>
                <w:i/>
                <w:szCs w:val="22"/>
              </w:rPr>
            </w:pPr>
          </w:p>
        </w:tc>
      </w:tr>
    </w:tbl>
    <w:p w:rsidR="00F27427" w:rsidRPr="00797CC2" w:rsidRDefault="00F27427" w:rsidP="007B0923">
      <w:pPr>
        <w:rPr>
          <w:rFonts w:ascii="Calibri" w:hAnsi="Calibri"/>
          <w:szCs w:val="22"/>
        </w:rPr>
      </w:pPr>
    </w:p>
    <w:p w:rsidR="00F27427" w:rsidRPr="00797CC2" w:rsidRDefault="00F27427">
      <w:pPr>
        <w:rPr>
          <w:rFonts w:ascii="Calibri" w:hAnsi="Calibri"/>
          <w:szCs w:val="22"/>
        </w:rPr>
      </w:pPr>
      <w:r w:rsidRPr="00797CC2">
        <w:rPr>
          <w:rFonts w:ascii="Calibri" w:hAnsi="Calibri"/>
          <w:szCs w:val="22"/>
        </w:rPr>
        <w:br w:type="page"/>
      </w:r>
    </w:p>
    <w:p w:rsidR="005D4251" w:rsidRPr="00797CC2" w:rsidRDefault="005D4251" w:rsidP="007B0923">
      <w:pPr>
        <w:rPr>
          <w:rFonts w:ascii="Calibri" w:hAnsi="Calibri"/>
          <w:szCs w:val="22"/>
        </w:rPr>
      </w:pPr>
    </w:p>
    <w:tbl>
      <w:tblPr>
        <w:tblStyle w:val="TableGrid"/>
        <w:tblpPr w:leftFromText="180" w:rightFromText="180" w:vertAnchor="text" w:horzAnchor="margin" w:tblpY="77"/>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F27427" w:rsidRPr="00797CC2" w:rsidTr="00C219ED">
        <w:tc>
          <w:tcPr>
            <w:tcW w:w="9298" w:type="dxa"/>
          </w:tcPr>
          <w:p w:rsidR="00F27427" w:rsidRPr="00797CC2" w:rsidRDefault="00F27427" w:rsidP="00085EFD">
            <w:pPr>
              <w:spacing w:after="120"/>
              <w:jc w:val="center"/>
              <w:rPr>
                <w:b/>
                <w:sz w:val="28"/>
                <w:szCs w:val="28"/>
              </w:rPr>
            </w:pPr>
            <w:r w:rsidRPr="00797CC2">
              <w:rPr>
                <w:b/>
                <w:sz w:val="28"/>
                <w:szCs w:val="28"/>
              </w:rPr>
              <w:t>Case study</w:t>
            </w:r>
          </w:p>
          <w:p w:rsidR="00F27427" w:rsidRPr="00797CC2" w:rsidRDefault="00F27427" w:rsidP="00F27427">
            <w:pPr>
              <w:spacing w:after="120"/>
              <w:jc w:val="center"/>
            </w:pPr>
            <w:r w:rsidRPr="00797CC2">
              <w:rPr>
                <w:b/>
                <w:sz w:val="28"/>
                <w:szCs w:val="28"/>
              </w:rPr>
              <w:t xml:space="preserve">Inadequate/inappropriate treatment </w:t>
            </w:r>
          </w:p>
          <w:p w:rsidR="00F27427" w:rsidRPr="00797CC2" w:rsidRDefault="00F27427" w:rsidP="00F27427">
            <w:pPr>
              <w:spacing w:after="240"/>
            </w:pPr>
            <w:r w:rsidRPr="00797CC2">
              <w:t xml:space="preserve">A woman was admitted to hospital in labour, however progress was slow and the decision was made to deliver the baby by Caesarean section. The anaesthetist conducted an “ice test” to check the woman’s sensation, and she said she could feel that the ice was quite cold. However, the anaesthetist advised the obstetrician that she could begin the surgery. When the obstetrician entered the peritoneal cavity, the woman complained of pain but the anaesthetist assured the obstetrician that she could continue with the surgery. When the obstetrician attempted to deliver the baby the woman complained of pain and began lifting both her knees. The anaesthetist told the woman that she was feeling pressure rather than pain. He said that she could not have any more pain relief unless they “put her under”, which would not be good for the baby.  After the delivery, the woman continued to complain of pain while the obstetrician sutured the incision. The anaesthetist declined to administer extra pain relief. </w:t>
            </w:r>
          </w:p>
          <w:p w:rsidR="00F27427" w:rsidRPr="00797CC2" w:rsidRDefault="00F27427" w:rsidP="00F27427">
            <w:pPr>
              <w:spacing w:after="240"/>
            </w:pPr>
            <w:r w:rsidRPr="00797CC2">
              <w:t>The Commissioner found the anaesthetist breached the Code by failing to ensure that the anaesthesia/analgesia was adequate during the operation,</w:t>
            </w:r>
            <w:r w:rsidRPr="00797CC2">
              <w:rPr>
                <w:i/>
              </w:rPr>
              <w:t xml:space="preserve"> </w:t>
            </w:r>
            <w:r w:rsidRPr="00797CC2">
              <w:t>and because the information provided to the woman fell seriously short of accepted standards.  The anaesthetist was referred to the Director of Proceedings due to the severity of his breach of the Code</w:t>
            </w:r>
            <w:r w:rsidRPr="00797CC2">
              <w:rPr>
                <w:iCs/>
              </w:rPr>
              <w:t xml:space="preserve">. </w:t>
            </w:r>
            <w:r w:rsidRPr="00797CC2">
              <w:t xml:space="preserve">The obstetrician was also found in breach of the Code for not ensuring that appropriate analgesia was administered once the obstetrician became aware of the woman’s pain. </w:t>
            </w:r>
          </w:p>
          <w:p w:rsidR="00F27427" w:rsidRPr="00797CC2" w:rsidRDefault="00F27427" w:rsidP="007853C7">
            <w:pPr>
              <w:spacing w:after="120"/>
            </w:pPr>
            <w:r w:rsidRPr="00797CC2">
              <w:t xml:space="preserve">The DHB was not found in breach of the Code but the Commissioner recommended that the DHB review the orientation of locum staff and audit the implementation and effectiveness of its policies and protocols for epidural anaesthesia. The Commissioner noted that he had “previously commented on the need for clinicians to advocate on behalf of patients, and for institutional providers to normalise a culture where such actions are accepted and expected”. The Commissioner recommended that the DHB include information in its training that the practice of asking questions </w:t>
            </w:r>
            <w:r w:rsidR="007E4888" w:rsidRPr="00797CC2">
              <w:t>and the reporting of concerns i</w:t>
            </w:r>
            <w:r w:rsidRPr="00797CC2">
              <w:t xml:space="preserve">s expected and accepted from all members of the multidisciplinary team. </w:t>
            </w:r>
          </w:p>
        </w:tc>
      </w:tr>
    </w:tbl>
    <w:p w:rsidR="00F27427" w:rsidRPr="00797CC2" w:rsidRDefault="00F27427" w:rsidP="005D4251"/>
    <w:p w:rsidR="007B0923" w:rsidRPr="00797CC2" w:rsidRDefault="007B0923" w:rsidP="007B0923">
      <w:r w:rsidRPr="00797CC2">
        <w:t xml:space="preserve">Figure </w:t>
      </w:r>
      <w:r w:rsidR="00F27427" w:rsidRPr="00797CC2">
        <w:t>4</w:t>
      </w:r>
      <w:r w:rsidRPr="00797CC2">
        <w:t xml:space="preserve"> </w:t>
      </w:r>
      <w:r w:rsidR="008130FF" w:rsidRPr="00797CC2">
        <w:t>details</w:t>
      </w:r>
      <w:r w:rsidRPr="00797CC2">
        <w:t xml:space="preserve"> the seven most common complaint issues raised in complaints about DHBs received in the</w:t>
      </w:r>
      <w:r w:rsidR="005D4251" w:rsidRPr="00797CC2">
        <w:t xml:space="preserve"> 2013/14 ye</w:t>
      </w:r>
      <w:r w:rsidR="009A1F29" w:rsidRPr="00797CC2">
        <w:t>ar.  The light red</w:t>
      </w:r>
      <w:r w:rsidR="005D4251" w:rsidRPr="00797CC2">
        <w:t xml:space="preserve"> </w:t>
      </w:r>
      <w:r w:rsidRPr="00797CC2">
        <w:t xml:space="preserve">bars show the percentage of cases in which the particular complaint issue was identified as the primary complaint issue, while the </w:t>
      </w:r>
      <w:r w:rsidR="009A1F29" w:rsidRPr="00797CC2">
        <w:t xml:space="preserve">dark </w:t>
      </w:r>
      <w:r w:rsidR="005D4251" w:rsidRPr="00797CC2">
        <w:t>red</w:t>
      </w:r>
      <w:r w:rsidRPr="00797CC2">
        <w:t xml:space="preserve"> bars show the percentage of cases in which the particular complaint issue was raised at all.  As can be seen from the large difference in the size of the </w:t>
      </w:r>
      <w:r w:rsidR="009A1F29" w:rsidRPr="00797CC2">
        <w:t>light and dark red</w:t>
      </w:r>
      <w:r w:rsidRPr="00797CC2">
        <w:t xml:space="preserve"> bars, communication-related complaint issues (disrespectful manner/attitude, and failure to communicate effectively with family or consumer) are present in a significant number of complaints, but are not often the primary issue raised.</w:t>
      </w:r>
    </w:p>
    <w:p w:rsidR="00F27427" w:rsidRPr="00797CC2" w:rsidRDefault="00F27427" w:rsidP="007B0923"/>
    <w:p w:rsidR="00F27427" w:rsidRPr="00797CC2" w:rsidRDefault="00F27427" w:rsidP="007B0923"/>
    <w:p w:rsidR="00F27427" w:rsidRPr="00797CC2" w:rsidRDefault="00F27427" w:rsidP="007B0923"/>
    <w:p w:rsidR="00F27427" w:rsidRPr="00797CC2" w:rsidRDefault="00F27427" w:rsidP="007B0923"/>
    <w:p w:rsidR="00F27427" w:rsidRPr="00797CC2" w:rsidRDefault="00F27427" w:rsidP="007B0923"/>
    <w:p w:rsidR="00F27427" w:rsidRPr="00797CC2" w:rsidRDefault="00F27427" w:rsidP="007B0923"/>
    <w:p w:rsidR="00F27427" w:rsidRPr="00797CC2" w:rsidRDefault="00F27427" w:rsidP="007B0923"/>
    <w:p w:rsidR="00F27427" w:rsidRPr="00797CC2" w:rsidRDefault="00F27427" w:rsidP="007B0923"/>
    <w:p w:rsidR="00F27427" w:rsidRPr="00797CC2" w:rsidRDefault="00F27427" w:rsidP="007B0923"/>
    <w:p w:rsidR="00F27427" w:rsidRPr="00797CC2" w:rsidRDefault="00F27427" w:rsidP="007B0923"/>
    <w:p w:rsidR="00F27427" w:rsidRPr="00797CC2" w:rsidRDefault="00F27427" w:rsidP="007B0923"/>
    <w:p w:rsidR="00F27427" w:rsidRPr="00797CC2" w:rsidRDefault="00F27427" w:rsidP="007B0923"/>
    <w:p w:rsidR="00F27427" w:rsidRPr="00797CC2" w:rsidRDefault="00F27427" w:rsidP="00C219ED">
      <w:r w:rsidRPr="00797CC2">
        <w:br w:type="page"/>
      </w:r>
      <w:r w:rsidRPr="00797CC2">
        <w:rPr>
          <w:b/>
        </w:rPr>
        <w:t xml:space="preserve">Figure 4. </w:t>
      </w:r>
      <w:r w:rsidRPr="00797CC2">
        <w:t>Most common primary and all issues in complaints received</w:t>
      </w:r>
    </w:p>
    <w:p w:rsidR="00F27427" w:rsidRPr="00797CC2" w:rsidRDefault="00F27427" w:rsidP="00F27427">
      <w:pPr>
        <w:spacing w:after="120"/>
      </w:pPr>
    </w:p>
    <w:p w:rsidR="00F27427" w:rsidRPr="00797CC2" w:rsidRDefault="00F27427" w:rsidP="00F27427">
      <w:pPr>
        <w:rPr>
          <w:rFonts w:ascii="Calibri" w:hAnsi="Calibri"/>
          <w:b/>
          <w:szCs w:val="22"/>
        </w:rPr>
      </w:pPr>
      <w:r w:rsidRPr="00797CC2">
        <w:rPr>
          <w:noProof/>
          <w:lang w:eastAsia="en-NZ" w:bidi="ar-SA"/>
        </w:rPr>
        <w:drawing>
          <wp:inline distT="0" distB="0" distL="0" distR="0" wp14:anchorId="2B1540AC" wp14:editId="695EC712">
            <wp:extent cx="6409112" cy="4572000"/>
            <wp:effectExtent l="0" t="0" r="1079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27427" w:rsidRPr="00797CC2" w:rsidRDefault="00F27427" w:rsidP="00F27427">
      <w:pPr>
        <w:spacing w:before="120" w:after="120"/>
        <w:rPr>
          <w:rFonts w:ascii="Calibri" w:hAnsi="Calibri"/>
          <w:b/>
          <w:vanish/>
          <w:szCs w:val="22"/>
        </w:rPr>
      </w:pPr>
    </w:p>
    <w:tbl>
      <w:tblPr>
        <w:tblStyle w:val="TableGrid"/>
        <w:tblW w:w="0" w:type="auto"/>
        <w:tblLook w:val="04A0" w:firstRow="1" w:lastRow="0" w:firstColumn="1" w:lastColumn="0" w:noHBand="0" w:noVBand="1"/>
      </w:tblPr>
      <w:tblGrid>
        <w:gridCol w:w="9298"/>
      </w:tblGrid>
      <w:tr w:rsidR="00F27427" w:rsidRPr="00797CC2" w:rsidTr="00F27427">
        <w:trPr>
          <w:hidden/>
        </w:trPr>
        <w:tc>
          <w:tcPr>
            <w:tcW w:w="9298" w:type="dxa"/>
          </w:tcPr>
          <w:p w:rsidR="00F27427" w:rsidRPr="00797CC2" w:rsidRDefault="00F27427" w:rsidP="00F27427">
            <w:pPr>
              <w:spacing w:before="120" w:after="120"/>
              <w:rPr>
                <w:rFonts w:ascii="Calibri" w:hAnsi="Calibri"/>
                <w:vanish/>
                <w:szCs w:val="22"/>
              </w:rPr>
            </w:pPr>
          </w:p>
        </w:tc>
      </w:tr>
    </w:tbl>
    <w:p w:rsidR="00F27427" w:rsidRPr="00797CC2" w:rsidRDefault="00F27427" w:rsidP="00F27427"/>
    <w:p w:rsidR="00F27427" w:rsidRPr="00797CC2" w:rsidRDefault="00F27427" w:rsidP="005D4251"/>
    <w:tbl>
      <w:tblPr>
        <w:tblStyle w:val="TableGrid"/>
        <w:tblW w:w="0" w:type="auto"/>
        <w:tblLook w:val="04A0" w:firstRow="1" w:lastRow="0" w:firstColumn="1" w:lastColumn="0" w:noHBand="0" w:noVBand="1"/>
      </w:tblPr>
      <w:tblGrid>
        <w:gridCol w:w="9298"/>
      </w:tblGrid>
      <w:tr w:rsidR="005D4251" w:rsidRPr="00797CC2" w:rsidTr="00C219ED">
        <w:trPr>
          <w:hidden/>
        </w:trPr>
        <w:tc>
          <w:tcPr>
            <w:tcW w:w="9298" w:type="dxa"/>
            <w:tcBorders>
              <w:bottom w:val="single" w:sz="24" w:space="0" w:color="C00000"/>
            </w:tcBorders>
          </w:tcPr>
          <w:p w:rsidR="005D4251" w:rsidRPr="00797CC2" w:rsidRDefault="005D4251" w:rsidP="004C794C">
            <w:pPr>
              <w:spacing w:before="120" w:after="120"/>
              <w:rPr>
                <w:rFonts w:ascii="Calibri" w:hAnsi="Calibri"/>
                <w:vanish/>
                <w:szCs w:val="22"/>
              </w:rPr>
            </w:pPr>
          </w:p>
        </w:tc>
      </w:tr>
      <w:tr w:rsidR="005D4251" w:rsidRPr="00797CC2" w:rsidTr="00C219ED">
        <w:tc>
          <w:tcPr>
            <w:tcW w:w="9298" w:type="dxa"/>
            <w:tcBorders>
              <w:top w:val="single" w:sz="24" w:space="0" w:color="C00000"/>
              <w:left w:val="single" w:sz="24" w:space="0" w:color="C00000"/>
              <w:bottom w:val="single" w:sz="24" w:space="0" w:color="C00000"/>
              <w:right w:val="single" w:sz="24" w:space="0" w:color="C00000"/>
            </w:tcBorders>
          </w:tcPr>
          <w:p w:rsidR="005D4251" w:rsidRPr="00797CC2" w:rsidRDefault="005D4251" w:rsidP="004C794C">
            <w:pPr>
              <w:spacing w:after="120"/>
              <w:jc w:val="center"/>
              <w:rPr>
                <w:b/>
                <w:sz w:val="28"/>
                <w:szCs w:val="28"/>
              </w:rPr>
            </w:pPr>
            <w:r w:rsidRPr="00797CC2">
              <w:rPr>
                <w:b/>
                <w:sz w:val="28"/>
                <w:szCs w:val="28"/>
              </w:rPr>
              <w:t>Case study</w:t>
            </w:r>
          </w:p>
          <w:p w:rsidR="005D4251" w:rsidRPr="00797CC2" w:rsidRDefault="005D4251" w:rsidP="004C794C">
            <w:pPr>
              <w:spacing w:after="120"/>
              <w:jc w:val="center"/>
              <w:rPr>
                <w:b/>
                <w:sz w:val="28"/>
                <w:szCs w:val="28"/>
              </w:rPr>
            </w:pPr>
            <w:r w:rsidRPr="00797CC2">
              <w:rPr>
                <w:b/>
                <w:sz w:val="28"/>
                <w:szCs w:val="28"/>
              </w:rPr>
              <w:t>Failure to communicate effectively with family</w:t>
            </w:r>
          </w:p>
          <w:p w:rsidR="005D4251" w:rsidRPr="00797CC2" w:rsidRDefault="005D4251" w:rsidP="004C794C">
            <w:r w:rsidRPr="00797CC2">
              <w:t xml:space="preserve">A father took his </w:t>
            </w:r>
            <w:r w:rsidR="003A2F02" w:rsidRPr="00797CC2">
              <w:t xml:space="preserve">two week old </w:t>
            </w:r>
            <w:r w:rsidRPr="00797CC2">
              <w:t xml:space="preserve">daughter to the ED of a public hospital because she had an unusually high temperature. He complained that although he was told his daughter would need a blood test, IV line and a lumbar puncture, he was not provided with any information about those procedures. Multiple attempts were required to obtain intravenous access and lumbar puncture, which caused the daughter stress and pain. </w:t>
            </w:r>
          </w:p>
          <w:p w:rsidR="005D4251" w:rsidRPr="00797CC2" w:rsidRDefault="005D4251" w:rsidP="004C794C"/>
          <w:p w:rsidR="005D4251" w:rsidRPr="00797CC2" w:rsidRDefault="005D4251" w:rsidP="007853C7">
            <w:pPr>
              <w:spacing w:after="120"/>
            </w:pPr>
            <w:r w:rsidRPr="00797CC2">
              <w:t xml:space="preserve">The DHB acknowledged in its response to HDC that the daughter’s care in ED was unnecessarily traumatic because of the lack of adequate explanation provided to her father. The DHB advised that it expects staff to fully inform parents about procedures and the impact of those on their child. The DHB apologised to the father, and reminded staff of the importance of providing adequate information to families. The DHB also advised HDC that it had recently started using the AI²DET tool to assist staff in communicating with parents and whanau before delivering care, and that this tool provides a more structured format for communication and documentation. </w:t>
            </w:r>
          </w:p>
        </w:tc>
      </w:tr>
    </w:tbl>
    <w:p w:rsidR="00C219ED" w:rsidRDefault="00C219ED" w:rsidP="00F27427"/>
    <w:p w:rsidR="003A2F02" w:rsidRPr="00797CC2" w:rsidRDefault="007B0923" w:rsidP="00F27427">
      <w:r w:rsidRPr="00797CC2">
        <w:t xml:space="preserve">It is important to note that Table 3 and Figure </w:t>
      </w:r>
      <w:r w:rsidR="00F27427" w:rsidRPr="00797CC2">
        <w:t>4</w:t>
      </w:r>
      <w:r w:rsidRPr="00797CC2">
        <w:t xml:space="preserve"> are analyses of the issues raised by complainants in their complaints, rather than analyses of HDC’s assessment of the issues raised.  Inevitably, some of the complaint issues raised will have been found, on subsequent assessment, no</w:t>
      </w:r>
      <w:r w:rsidR="00F27427" w:rsidRPr="00797CC2">
        <w:t xml:space="preserve">t to have been substantiated.  </w:t>
      </w:r>
      <w:bookmarkStart w:id="20" w:name="_Toc398125963"/>
    </w:p>
    <w:p w:rsidR="003A2F02" w:rsidRPr="00797CC2" w:rsidRDefault="003A2F02"/>
    <w:p w:rsidR="009058FD" w:rsidRPr="00797CC2" w:rsidRDefault="00D05B3B" w:rsidP="00F27427">
      <w:pPr>
        <w:rPr>
          <w:b/>
          <w:sz w:val="28"/>
          <w:szCs w:val="28"/>
        </w:rPr>
      </w:pPr>
      <w:r w:rsidRPr="00797CC2">
        <w:rPr>
          <w:b/>
          <w:sz w:val="28"/>
          <w:szCs w:val="28"/>
        </w:rPr>
        <w:t>3.</w:t>
      </w:r>
      <w:r w:rsidR="005D4251" w:rsidRPr="00797CC2">
        <w:rPr>
          <w:b/>
          <w:sz w:val="28"/>
          <w:szCs w:val="28"/>
        </w:rPr>
        <w:t>2</w:t>
      </w:r>
      <w:r w:rsidRPr="00797CC2">
        <w:rPr>
          <w:b/>
          <w:sz w:val="28"/>
          <w:szCs w:val="28"/>
        </w:rPr>
        <w:tab/>
      </w:r>
      <w:bookmarkEnd w:id="20"/>
      <w:r w:rsidR="00490A00" w:rsidRPr="00797CC2">
        <w:rPr>
          <w:b/>
          <w:sz w:val="28"/>
          <w:szCs w:val="28"/>
        </w:rPr>
        <w:t>Complaint issues by service type</w:t>
      </w:r>
    </w:p>
    <w:p w:rsidR="00F27427" w:rsidRPr="00797CC2" w:rsidRDefault="00F27427" w:rsidP="00F27427">
      <w:pPr>
        <w:rPr>
          <w:b/>
          <w:sz w:val="28"/>
          <w:szCs w:val="28"/>
        </w:rPr>
      </w:pPr>
    </w:p>
    <w:p w:rsidR="000B23CC" w:rsidRPr="00797CC2" w:rsidRDefault="00490A00" w:rsidP="001200CE">
      <w:pPr>
        <w:spacing w:after="120"/>
      </w:pPr>
      <w:r w:rsidRPr="00797CC2">
        <w:t>Issues raised in complaints vary, at least to some degree, according to the DHB service type concerned.</w:t>
      </w:r>
      <w:r w:rsidR="00F27427" w:rsidRPr="00797CC2">
        <w:t xml:space="preserve">  As shown in Table 4</w:t>
      </w:r>
      <w:r w:rsidR="009A2335" w:rsidRPr="00797CC2">
        <w:t xml:space="preserve"> below, diagnostic issues were most prevalent in complaints about services with high diagnostic workloads (general medicine, accident and emergency and maternity), with 33% of accident and emergency complaints being primarily about missed/incorrect/delayed diagnosis.  </w:t>
      </w:r>
      <w:r w:rsidR="000B23CC" w:rsidRPr="00797CC2">
        <w:t xml:space="preserve">In surgical services, diagnostic issues came second to inadequate/inappropriate treatment issues, and were followed closely by complaints concerning unexpected treatment outcomes.  </w:t>
      </w:r>
    </w:p>
    <w:p w:rsidR="00490A00" w:rsidRPr="00797CC2" w:rsidRDefault="000B23CC" w:rsidP="001200CE">
      <w:pPr>
        <w:spacing w:after="120"/>
      </w:pPr>
      <w:r w:rsidRPr="00797CC2">
        <w:t>Primary issues in complaints about mental health services were quite distinct, with issues relating to involuntary admission/treatment being the most prevalent primary issue, and failure to communicate effectively with family being the primary issue in 9% of complaints.</w:t>
      </w:r>
    </w:p>
    <w:p w:rsidR="00F27427" w:rsidRPr="00797CC2" w:rsidRDefault="00F27427" w:rsidP="00485AA8">
      <w:pPr>
        <w:spacing w:after="120"/>
        <w:rPr>
          <w:b/>
          <w:szCs w:val="22"/>
        </w:rPr>
      </w:pPr>
    </w:p>
    <w:p w:rsidR="00485AA8" w:rsidRPr="00797CC2" w:rsidRDefault="00485AA8" w:rsidP="00485AA8">
      <w:pPr>
        <w:spacing w:after="120"/>
        <w:rPr>
          <w:i/>
        </w:rPr>
      </w:pPr>
      <w:r w:rsidRPr="00797CC2">
        <w:rPr>
          <w:b/>
          <w:szCs w:val="22"/>
        </w:rPr>
        <w:t>Tabl</w:t>
      </w:r>
      <w:r w:rsidR="00F27427" w:rsidRPr="00797CC2">
        <w:rPr>
          <w:b/>
          <w:szCs w:val="22"/>
        </w:rPr>
        <w:t>e 4</w:t>
      </w:r>
      <w:r w:rsidRPr="00797CC2">
        <w:rPr>
          <w:b/>
          <w:szCs w:val="22"/>
        </w:rPr>
        <w:t xml:space="preserve">. </w:t>
      </w:r>
      <w:r w:rsidRPr="00797CC2">
        <w:rPr>
          <w:szCs w:val="22"/>
        </w:rPr>
        <w:t>Three most common primary issues in complaints by service type</w:t>
      </w:r>
    </w:p>
    <w:tbl>
      <w:tblPr>
        <w:tblStyle w:val="TableGrid"/>
        <w:tblW w:w="0" w:type="auto"/>
        <w:tblLook w:val="04A0" w:firstRow="1" w:lastRow="0" w:firstColumn="1" w:lastColumn="0" w:noHBand="0" w:noVBand="1"/>
      </w:tblPr>
      <w:tblGrid>
        <w:gridCol w:w="9298"/>
      </w:tblGrid>
      <w:tr w:rsidR="00485AA8" w:rsidRPr="00797CC2" w:rsidTr="00485AA8">
        <w:trPr>
          <w:hidden/>
        </w:trPr>
        <w:tc>
          <w:tcPr>
            <w:tcW w:w="9298" w:type="dxa"/>
          </w:tcPr>
          <w:p w:rsidR="00485AA8" w:rsidRPr="00797CC2" w:rsidRDefault="00485AA8" w:rsidP="00485AA8">
            <w:pPr>
              <w:spacing w:before="120" w:after="120"/>
              <w:rPr>
                <w:rFonts w:ascii="Calibri" w:hAnsi="Calibri"/>
                <w:vanish/>
                <w:szCs w:val="22"/>
              </w:rPr>
            </w:pPr>
          </w:p>
        </w:tc>
      </w:tr>
    </w:tbl>
    <w:tbl>
      <w:tblPr>
        <w:tblpPr w:leftFromText="180" w:rightFromText="180" w:vertAnchor="text" w:horzAnchor="margin" w:tblpY="99"/>
        <w:tblW w:w="5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71"/>
        <w:gridCol w:w="1559"/>
        <w:gridCol w:w="568"/>
        <w:gridCol w:w="1418"/>
        <w:gridCol w:w="566"/>
        <w:gridCol w:w="1561"/>
        <w:gridCol w:w="568"/>
        <w:gridCol w:w="1418"/>
        <w:gridCol w:w="568"/>
      </w:tblGrid>
      <w:tr w:rsidR="00F27427" w:rsidRPr="00797CC2" w:rsidTr="00C219ED">
        <w:tc>
          <w:tcPr>
            <w:tcW w:w="957" w:type="pct"/>
            <w:gridSpan w:val="2"/>
            <w:shd w:val="clear" w:color="auto" w:fill="C00000"/>
            <w:vAlign w:val="center"/>
          </w:tcPr>
          <w:p w:rsidR="00F27427" w:rsidRPr="00797CC2" w:rsidRDefault="00F27427" w:rsidP="00C219ED">
            <w:pPr>
              <w:keepNext/>
              <w:keepLines/>
              <w:tabs>
                <w:tab w:val="left" w:pos="1440"/>
                <w:tab w:val="decimal" w:pos="4320"/>
              </w:tabs>
              <w:ind w:left="139" w:right="10" w:firstLine="13"/>
              <w:jc w:val="center"/>
              <w:outlineLvl w:val="0"/>
              <w:rPr>
                <w:rFonts w:ascii="Calibri" w:hAnsi="Calibri"/>
                <w:b/>
                <w:sz w:val="20"/>
                <w:szCs w:val="20"/>
              </w:rPr>
            </w:pPr>
            <w:r w:rsidRPr="00797CC2">
              <w:rPr>
                <w:rFonts w:ascii="Calibri" w:hAnsi="Calibri"/>
                <w:b/>
                <w:sz w:val="20"/>
                <w:szCs w:val="20"/>
              </w:rPr>
              <w:t>Surgery</w:t>
            </w:r>
          </w:p>
          <w:p w:rsidR="00F27427" w:rsidRPr="00797CC2" w:rsidRDefault="00F27427" w:rsidP="00C219ED">
            <w:pPr>
              <w:keepNext/>
              <w:keepLines/>
              <w:tabs>
                <w:tab w:val="left" w:pos="1440"/>
                <w:tab w:val="decimal" w:pos="4320"/>
              </w:tabs>
              <w:ind w:left="139" w:right="10" w:firstLine="13"/>
              <w:jc w:val="center"/>
              <w:outlineLvl w:val="0"/>
              <w:rPr>
                <w:rFonts w:ascii="Calibri" w:hAnsi="Calibri"/>
                <w:b/>
                <w:sz w:val="20"/>
                <w:szCs w:val="20"/>
              </w:rPr>
            </w:pPr>
            <w:r w:rsidRPr="00797CC2">
              <w:rPr>
                <w:rFonts w:ascii="Calibri" w:hAnsi="Calibri"/>
                <w:b/>
                <w:sz w:val="20"/>
                <w:szCs w:val="20"/>
              </w:rPr>
              <w:t>n=179</w:t>
            </w:r>
          </w:p>
        </w:tc>
        <w:tc>
          <w:tcPr>
            <w:tcW w:w="1045" w:type="pct"/>
            <w:gridSpan w:val="2"/>
            <w:shd w:val="clear" w:color="auto" w:fill="C00000"/>
            <w:vAlign w:val="center"/>
          </w:tcPr>
          <w:p w:rsidR="00F27427" w:rsidRPr="00797CC2" w:rsidRDefault="00F27427" w:rsidP="00C219ED">
            <w:pPr>
              <w:keepNext/>
              <w:keepLines/>
              <w:tabs>
                <w:tab w:val="left" w:pos="1440"/>
                <w:tab w:val="decimal" w:pos="4320"/>
              </w:tabs>
              <w:ind w:left="139" w:right="10" w:firstLine="13"/>
              <w:jc w:val="center"/>
              <w:outlineLvl w:val="0"/>
              <w:rPr>
                <w:rFonts w:ascii="Calibri" w:hAnsi="Calibri"/>
                <w:b/>
                <w:sz w:val="20"/>
                <w:szCs w:val="20"/>
              </w:rPr>
            </w:pPr>
            <w:r w:rsidRPr="00797CC2">
              <w:rPr>
                <w:rFonts w:ascii="Calibri" w:hAnsi="Calibri"/>
                <w:b/>
                <w:sz w:val="20"/>
                <w:szCs w:val="20"/>
              </w:rPr>
              <w:t>Mental health</w:t>
            </w:r>
          </w:p>
          <w:p w:rsidR="00F27427" w:rsidRPr="00797CC2" w:rsidRDefault="00F27427" w:rsidP="00C219ED">
            <w:pPr>
              <w:keepNext/>
              <w:keepLines/>
              <w:tabs>
                <w:tab w:val="left" w:pos="1440"/>
                <w:tab w:val="decimal" w:pos="4320"/>
              </w:tabs>
              <w:ind w:left="139" w:right="10" w:firstLine="13"/>
              <w:jc w:val="center"/>
              <w:outlineLvl w:val="0"/>
              <w:rPr>
                <w:rFonts w:ascii="Calibri" w:hAnsi="Calibri"/>
                <w:b/>
                <w:sz w:val="20"/>
                <w:szCs w:val="20"/>
              </w:rPr>
            </w:pPr>
            <w:r w:rsidRPr="00797CC2">
              <w:rPr>
                <w:rFonts w:ascii="Calibri" w:hAnsi="Calibri"/>
                <w:b/>
                <w:sz w:val="20"/>
                <w:szCs w:val="20"/>
              </w:rPr>
              <w:t>n=132</w:t>
            </w:r>
          </w:p>
        </w:tc>
        <w:tc>
          <w:tcPr>
            <w:tcW w:w="975" w:type="pct"/>
            <w:gridSpan w:val="2"/>
            <w:shd w:val="clear" w:color="auto" w:fill="C00000"/>
            <w:vAlign w:val="center"/>
          </w:tcPr>
          <w:p w:rsidR="00F27427" w:rsidRPr="00797CC2" w:rsidRDefault="00F27427" w:rsidP="00C219ED">
            <w:pPr>
              <w:keepNext/>
              <w:keepLines/>
              <w:tabs>
                <w:tab w:val="left" w:pos="1440"/>
                <w:tab w:val="decimal" w:pos="4320"/>
              </w:tabs>
              <w:ind w:left="139" w:right="10" w:firstLine="13"/>
              <w:jc w:val="center"/>
              <w:outlineLvl w:val="0"/>
              <w:rPr>
                <w:rFonts w:ascii="Calibri" w:hAnsi="Calibri"/>
                <w:b/>
                <w:sz w:val="20"/>
                <w:szCs w:val="20"/>
              </w:rPr>
            </w:pPr>
            <w:r w:rsidRPr="00797CC2">
              <w:rPr>
                <w:rFonts w:ascii="Calibri" w:hAnsi="Calibri"/>
                <w:b/>
                <w:sz w:val="20"/>
                <w:szCs w:val="20"/>
              </w:rPr>
              <w:t>General medicine</w:t>
            </w:r>
          </w:p>
          <w:p w:rsidR="00F27427" w:rsidRPr="00797CC2" w:rsidRDefault="00F27427" w:rsidP="00C219ED">
            <w:pPr>
              <w:keepNext/>
              <w:keepLines/>
              <w:tabs>
                <w:tab w:val="left" w:pos="1440"/>
                <w:tab w:val="decimal" w:pos="4320"/>
              </w:tabs>
              <w:ind w:left="139" w:right="10" w:firstLine="13"/>
              <w:jc w:val="center"/>
              <w:outlineLvl w:val="0"/>
              <w:rPr>
                <w:rFonts w:ascii="Calibri" w:hAnsi="Calibri"/>
                <w:b/>
                <w:sz w:val="20"/>
                <w:szCs w:val="20"/>
              </w:rPr>
            </w:pPr>
            <w:r w:rsidRPr="00797CC2">
              <w:rPr>
                <w:rFonts w:ascii="Calibri" w:hAnsi="Calibri"/>
                <w:b/>
                <w:sz w:val="20"/>
                <w:szCs w:val="20"/>
              </w:rPr>
              <w:t>n=130</w:t>
            </w:r>
          </w:p>
        </w:tc>
        <w:tc>
          <w:tcPr>
            <w:tcW w:w="1046" w:type="pct"/>
            <w:gridSpan w:val="2"/>
            <w:shd w:val="clear" w:color="auto" w:fill="C00000"/>
            <w:vAlign w:val="center"/>
          </w:tcPr>
          <w:p w:rsidR="00F27427" w:rsidRPr="00797CC2" w:rsidRDefault="00F27427" w:rsidP="00C219ED">
            <w:pPr>
              <w:keepNext/>
              <w:keepLines/>
              <w:tabs>
                <w:tab w:val="left" w:pos="1440"/>
                <w:tab w:val="decimal" w:pos="4320"/>
              </w:tabs>
              <w:ind w:left="139" w:right="10" w:firstLine="13"/>
              <w:jc w:val="center"/>
              <w:outlineLvl w:val="0"/>
              <w:rPr>
                <w:rFonts w:ascii="Calibri" w:hAnsi="Calibri"/>
                <w:b/>
                <w:sz w:val="20"/>
                <w:szCs w:val="20"/>
              </w:rPr>
            </w:pPr>
            <w:r w:rsidRPr="00797CC2">
              <w:rPr>
                <w:rFonts w:ascii="Calibri" w:hAnsi="Calibri"/>
                <w:b/>
                <w:sz w:val="20"/>
                <w:szCs w:val="20"/>
              </w:rPr>
              <w:t>Accident &amp; emergency</w:t>
            </w:r>
          </w:p>
          <w:p w:rsidR="00F27427" w:rsidRPr="00797CC2" w:rsidRDefault="00F27427" w:rsidP="00C219ED">
            <w:pPr>
              <w:keepNext/>
              <w:keepLines/>
              <w:tabs>
                <w:tab w:val="left" w:pos="1440"/>
                <w:tab w:val="decimal" w:pos="4320"/>
              </w:tabs>
              <w:ind w:left="139" w:right="10" w:firstLine="13"/>
              <w:jc w:val="center"/>
              <w:outlineLvl w:val="0"/>
              <w:rPr>
                <w:rFonts w:ascii="Calibri" w:hAnsi="Calibri"/>
                <w:b/>
                <w:sz w:val="20"/>
                <w:szCs w:val="20"/>
              </w:rPr>
            </w:pPr>
            <w:r w:rsidRPr="00797CC2">
              <w:rPr>
                <w:rFonts w:ascii="Calibri" w:hAnsi="Calibri"/>
                <w:b/>
                <w:sz w:val="20"/>
                <w:szCs w:val="20"/>
              </w:rPr>
              <w:t>n=89</w:t>
            </w:r>
          </w:p>
        </w:tc>
        <w:tc>
          <w:tcPr>
            <w:tcW w:w="976" w:type="pct"/>
            <w:gridSpan w:val="2"/>
            <w:shd w:val="clear" w:color="auto" w:fill="C00000"/>
            <w:vAlign w:val="center"/>
          </w:tcPr>
          <w:p w:rsidR="00F27427" w:rsidRPr="00797CC2" w:rsidRDefault="00F27427" w:rsidP="00C219ED">
            <w:pPr>
              <w:keepNext/>
              <w:keepLines/>
              <w:jc w:val="center"/>
              <w:rPr>
                <w:b/>
                <w:sz w:val="20"/>
                <w:szCs w:val="20"/>
              </w:rPr>
            </w:pPr>
            <w:r w:rsidRPr="00797CC2">
              <w:rPr>
                <w:b/>
                <w:sz w:val="20"/>
                <w:szCs w:val="20"/>
              </w:rPr>
              <w:t>Maternity</w:t>
            </w:r>
          </w:p>
          <w:p w:rsidR="00F27427" w:rsidRPr="00797CC2" w:rsidRDefault="00F27427" w:rsidP="00C219ED">
            <w:pPr>
              <w:keepNext/>
              <w:keepLines/>
              <w:jc w:val="center"/>
              <w:rPr>
                <w:b/>
                <w:sz w:val="20"/>
                <w:szCs w:val="20"/>
              </w:rPr>
            </w:pPr>
            <w:r w:rsidRPr="00797CC2">
              <w:rPr>
                <w:b/>
                <w:sz w:val="20"/>
                <w:szCs w:val="20"/>
              </w:rPr>
              <w:t>n=38</w:t>
            </w:r>
          </w:p>
        </w:tc>
      </w:tr>
      <w:tr w:rsidR="00F27427" w:rsidRPr="00797CC2" w:rsidTr="00F27427">
        <w:tc>
          <w:tcPr>
            <w:tcW w:w="677" w:type="pct"/>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Inadequate/</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inappropriate</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treatment</w:t>
            </w:r>
          </w:p>
        </w:tc>
        <w:tc>
          <w:tcPr>
            <w:tcW w:w="281"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21%</w:t>
            </w:r>
          </w:p>
        </w:tc>
        <w:tc>
          <w:tcPr>
            <w:tcW w:w="766" w:type="pct"/>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Issues with involuntary admission/</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treatment</w:t>
            </w:r>
          </w:p>
        </w:tc>
        <w:tc>
          <w:tcPr>
            <w:tcW w:w="279"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14%</w:t>
            </w:r>
          </w:p>
        </w:tc>
        <w:tc>
          <w:tcPr>
            <w:tcW w:w="697" w:type="pct"/>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Missed/</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incorrect/</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delayed diagnosis</w:t>
            </w:r>
          </w:p>
        </w:tc>
        <w:tc>
          <w:tcPr>
            <w:tcW w:w="278"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16%</w:t>
            </w:r>
          </w:p>
        </w:tc>
        <w:tc>
          <w:tcPr>
            <w:tcW w:w="767" w:type="pct"/>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Missed/</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incorrect/</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delayed diagnosis</w:t>
            </w:r>
          </w:p>
        </w:tc>
        <w:tc>
          <w:tcPr>
            <w:tcW w:w="279"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33%</w:t>
            </w:r>
          </w:p>
        </w:tc>
        <w:tc>
          <w:tcPr>
            <w:tcW w:w="697" w:type="pct"/>
            <w:shd w:val="clear" w:color="auto" w:fill="auto"/>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Missed/</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incorrect/</w:t>
            </w:r>
          </w:p>
          <w:p w:rsidR="00F27427" w:rsidRPr="00797CC2" w:rsidRDefault="00F27427" w:rsidP="00F27427">
            <w:pPr>
              <w:keepNext/>
              <w:keepLines/>
              <w:jc w:val="left"/>
              <w:rPr>
                <w:sz w:val="20"/>
                <w:szCs w:val="20"/>
              </w:rPr>
            </w:pPr>
            <w:r w:rsidRPr="00797CC2">
              <w:rPr>
                <w:rFonts w:ascii="Calibri" w:hAnsi="Calibri"/>
                <w:sz w:val="20"/>
                <w:szCs w:val="20"/>
              </w:rPr>
              <w:t>delayed diagnosis</w:t>
            </w:r>
          </w:p>
        </w:tc>
        <w:tc>
          <w:tcPr>
            <w:tcW w:w="279" w:type="pct"/>
            <w:shd w:val="clear" w:color="auto" w:fill="auto"/>
            <w:vAlign w:val="center"/>
          </w:tcPr>
          <w:p w:rsidR="00F27427" w:rsidRPr="00797CC2" w:rsidRDefault="00F27427" w:rsidP="00F27427">
            <w:pPr>
              <w:keepNext/>
              <w:keepLines/>
              <w:rPr>
                <w:sz w:val="20"/>
                <w:szCs w:val="20"/>
              </w:rPr>
            </w:pPr>
            <w:r w:rsidRPr="00797CC2">
              <w:rPr>
                <w:sz w:val="20"/>
                <w:szCs w:val="20"/>
              </w:rPr>
              <w:t>29%</w:t>
            </w:r>
          </w:p>
        </w:tc>
      </w:tr>
      <w:tr w:rsidR="00F27427" w:rsidRPr="00797CC2" w:rsidTr="00F27427">
        <w:tc>
          <w:tcPr>
            <w:tcW w:w="677" w:type="pct"/>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Missed/</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incorrect/</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delayed diagnosis</w:t>
            </w:r>
          </w:p>
        </w:tc>
        <w:tc>
          <w:tcPr>
            <w:tcW w:w="281"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18%</w:t>
            </w:r>
          </w:p>
        </w:tc>
        <w:tc>
          <w:tcPr>
            <w:tcW w:w="766" w:type="pct"/>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Failure to communicate effectively with family</w:t>
            </w:r>
          </w:p>
        </w:tc>
        <w:tc>
          <w:tcPr>
            <w:tcW w:w="279"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9%</w:t>
            </w:r>
          </w:p>
        </w:tc>
        <w:tc>
          <w:tcPr>
            <w:tcW w:w="697" w:type="pct"/>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Inadequate/</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inappropriate treatment</w:t>
            </w:r>
          </w:p>
        </w:tc>
        <w:tc>
          <w:tcPr>
            <w:tcW w:w="278"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13%</w:t>
            </w:r>
          </w:p>
        </w:tc>
        <w:tc>
          <w:tcPr>
            <w:tcW w:w="767" w:type="pct"/>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Inadequate/</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inappropriate treatment</w:t>
            </w:r>
          </w:p>
        </w:tc>
        <w:tc>
          <w:tcPr>
            <w:tcW w:w="279"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13%</w:t>
            </w:r>
          </w:p>
        </w:tc>
        <w:tc>
          <w:tcPr>
            <w:tcW w:w="697" w:type="pct"/>
            <w:shd w:val="clear" w:color="auto" w:fill="auto"/>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Inadequate/</w:t>
            </w:r>
          </w:p>
          <w:p w:rsidR="00F27427" w:rsidRPr="00797CC2" w:rsidRDefault="00F27427" w:rsidP="00F27427">
            <w:pPr>
              <w:keepNext/>
              <w:keepLines/>
              <w:jc w:val="left"/>
            </w:pPr>
            <w:r w:rsidRPr="00797CC2">
              <w:rPr>
                <w:rFonts w:ascii="Calibri" w:hAnsi="Calibri"/>
                <w:sz w:val="20"/>
                <w:szCs w:val="20"/>
              </w:rPr>
              <w:t>inappropriate treatment</w:t>
            </w:r>
          </w:p>
        </w:tc>
        <w:tc>
          <w:tcPr>
            <w:tcW w:w="279" w:type="pct"/>
            <w:shd w:val="clear" w:color="auto" w:fill="auto"/>
            <w:vAlign w:val="center"/>
          </w:tcPr>
          <w:p w:rsidR="00F27427" w:rsidRPr="00797CC2" w:rsidRDefault="00F27427" w:rsidP="00F27427">
            <w:pPr>
              <w:keepNext/>
              <w:keepLines/>
              <w:rPr>
                <w:sz w:val="20"/>
                <w:szCs w:val="20"/>
              </w:rPr>
            </w:pPr>
            <w:r w:rsidRPr="00797CC2">
              <w:rPr>
                <w:sz w:val="20"/>
                <w:szCs w:val="20"/>
              </w:rPr>
              <w:t>18%</w:t>
            </w:r>
          </w:p>
        </w:tc>
      </w:tr>
      <w:tr w:rsidR="00F27427" w:rsidRPr="00797CC2" w:rsidTr="00F27427">
        <w:tc>
          <w:tcPr>
            <w:tcW w:w="677" w:type="pct"/>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Unexpected treatment outcome</w:t>
            </w:r>
          </w:p>
        </w:tc>
        <w:tc>
          <w:tcPr>
            <w:tcW w:w="281"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14%</w:t>
            </w:r>
          </w:p>
        </w:tc>
        <w:tc>
          <w:tcPr>
            <w:tcW w:w="766" w:type="pct"/>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Inadequate/</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inappropriate</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treatment</w:t>
            </w:r>
          </w:p>
        </w:tc>
        <w:tc>
          <w:tcPr>
            <w:tcW w:w="279"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8%</w:t>
            </w:r>
          </w:p>
        </w:tc>
        <w:tc>
          <w:tcPr>
            <w:tcW w:w="697" w:type="pct"/>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Inadequate/</w:t>
            </w:r>
          </w:p>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inappropriate care</w:t>
            </w:r>
          </w:p>
        </w:tc>
        <w:tc>
          <w:tcPr>
            <w:tcW w:w="278"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8%</w:t>
            </w:r>
          </w:p>
        </w:tc>
        <w:tc>
          <w:tcPr>
            <w:tcW w:w="767" w:type="pct"/>
            <w:vAlign w:val="center"/>
          </w:tcPr>
          <w:p w:rsidR="00F27427" w:rsidRPr="00797CC2" w:rsidRDefault="00F27427" w:rsidP="00F27427">
            <w:pPr>
              <w:keepNext/>
              <w:keepLines/>
              <w:tabs>
                <w:tab w:val="left" w:pos="1440"/>
                <w:tab w:val="decimal" w:pos="4320"/>
              </w:tabs>
              <w:spacing w:before="100" w:beforeAutospacing="1"/>
              <w:jc w:val="left"/>
              <w:outlineLvl w:val="0"/>
              <w:rPr>
                <w:rFonts w:ascii="Calibri" w:hAnsi="Calibri"/>
                <w:sz w:val="20"/>
                <w:szCs w:val="20"/>
              </w:rPr>
            </w:pPr>
            <w:r w:rsidRPr="00797CC2">
              <w:rPr>
                <w:rFonts w:ascii="Calibri" w:hAnsi="Calibri"/>
                <w:sz w:val="20"/>
                <w:szCs w:val="20"/>
              </w:rPr>
              <w:t>Inappropriate/</w:t>
            </w:r>
            <w:r w:rsidRPr="00797CC2">
              <w:rPr>
                <w:rFonts w:ascii="Calibri" w:hAnsi="Calibri"/>
                <w:sz w:val="20"/>
                <w:szCs w:val="20"/>
              </w:rPr>
              <w:br/>
              <w:t>delayed discharge/</w:t>
            </w:r>
            <w:r w:rsidRPr="00797CC2">
              <w:rPr>
                <w:rFonts w:ascii="Calibri" w:hAnsi="Calibri"/>
                <w:sz w:val="20"/>
                <w:szCs w:val="20"/>
              </w:rPr>
              <w:br/>
              <w:t>transfer</w:t>
            </w:r>
          </w:p>
        </w:tc>
        <w:tc>
          <w:tcPr>
            <w:tcW w:w="279" w:type="pct"/>
            <w:vAlign w:val="center"/>
          </w:tcPr>
          <w:p w:rsidR="00F27427" w:rsidRPr="00797CC2" w:rsidRDefault="00F27427" w:rsidP="00F27427">
            <w:pPr>
              <w:keepNext/>
              <w:keepLines/>
              <w:tabs>
                <w:tab w:val="left" w:pos="1440"/>
                <w:tab w:val="decimal" w:pos="4320"/>
              </w:tabs>
              <w:jc w:val="center"/>
              <w:outlineLvl w:val="0"/>
              <w:rPr>
                <w:rFonts w:ascii="Calibri" w:hAnsi="Calibri"/>
                <w:sz w:val="20"/>
                <w:szCs w:val="20"/>
              </w:rPr>
            </w:pPr>
            <w:r w:rsidRPr="00797CC2">
              <w:rPr>
                <w:rFonts w:ascii="Calibri" w:hAnsi="Calibri"/>
                <w:sz w:val="20"/>
                <w:szCs w:val="20"/>
              </w:rPr>
              <w:t>8%</w:t>
            </w:r>
          </w:p>
        </w:tc>
        <w:tc>
          <w:tcPr>
            <w:tcW w:w="697" w:type="pct"/>
            <w:shd w:val="clear" w:color="auto" w:fill="auto"/>
            <w:vAlign w:val="center"/>
          </w:tcPr>
          <w:p w:rsidR="00F27427" w:rsidRPr="00797CC2" w:rsidRDefault="00F27427" w:rsidP="00F27427">
            <w:pPr>
              <w:keepNext/>
              <w:keepLines/>
              <w:tabs>
                <w:tab w:val="left" w:pos="1440"/>
                <w:tab w:val="decimal" w:pos="4320"/>
              </w:tabs>
              <w:jc w:val="left"/>
              <w:outlineLvl w:val="0"/>
              <w:rPr>
                <w:rFonts w:ascii="Calibri" w:hAnsi="Calibri"/>
                <w:sz w:val="20"/>
                <w:szCs w:val="20"/>
              </w:rPr>
            </w:pPr>
            <w:r w:rsidRPr="00797CC2">
              <w:rPr>
                <w:rFonts w:ascii="Calibri" w:hAnsi="Calibri"/>
                <w:sz w:val="20"/>
                <w:szCs w:val="20"/>
              </w:rPr>
              <w:t>Disrespectful manner/</w:t>
            </w:r>
          </w:p>
          <w:p w:rsidR="00F27427" w:rsidRPr="00797CC2" w:rsidRDefault="00F27427" w:rsidP="00F27427">
            <w:pPr>
              <w:keepNext/>
              <w:keepLines/>
              <w:jc w:val="left"/>
            </w:pPr>
            <w:r w:rsidRPr="00797CC2">
              <w:rPr>
                <w:rFonts w:ascii="Calibri" w:hAnsi="Calibri"/>
                <w:sz w:val="20"/>
                <w:szCs w:val="20"/>
              </w:rPr>
              <w:t>attitude</w:t>
            </w:r>
          </w:p>
        </w:tc>
        <w:tc>
          <w:tcPr>
            <w:tcW w:w="279" w:type="pct"/>
            <w:shd w:val="clear" w:color="auto" w:fill="auto"/>
            <w:vAlign w:val="center"/>
          </w:tcPr>
          <w:p w:rsidR="00F27427" w:rsidRPr="00797CC2" w:rsidRDefault="00F27427" w:rsidP="00F27427">
            <w:pPr>
              <w:keepNext/>
              <w:keepLines/>
              <w:rPr>
                <w:sz w:val="20"/>
                <w:szCs w:val="20"/>
              </w:rPr>
            </w:pPr>
            <w:r w:rsidRPr="00797CC2">
              <w:rPr>
                <w:sz w:val="20"/>
                <w:szCs w:val="20"/>
              </w:rPr>
              <w:t>11%</w:t>
            </w:r>
          </w:p>
        </w:tc>
      </w:tr>
    </w:tbl>
    <w:p w:rsidR="00485AA8" w:rsidRPr="00797CC2" w:rsidRDefault="00485AA8" w:rsidP="001200CE">
      <w:pPr>
        <w:spacing w:after="120"/>
        <w:rPr>
          <w:b/>
          <w:szCs w:val="22"/>
        </w:rPr>
      </w:pPr>
    </w:p>
    <w:p w:rsidR="00485AA8" w:rsidRPr="00797CC2" w:rsidRDefault="00485AA8">
      <w:pPr>
        <w:rPr>
          <w:b/>
          <w:szCs w:val="22"/>
        </w:rPr>
      </w:pPr>
      <w:r w:rsidRPr="00797CC2">
        <w:rPr>
          <w:b/>
          <w:szCs w:val="22"/>
        </w:rPr>
        <w:br w:type="page"/>
      </w:r>
    </w:p>
    <w:p w:rsidR="00D30C28" w:rsidRPr="00C219ED" w:rsidRDefault="00C219ED" w:rsidP="009260B6">
      <w:pPr>
        <w:pStyle w:val="Heading1"/>
        <w:rPr>
          <w:color w:val="C00000"/>
          <w:sz w:val="40"/>
          <w:szCs w:val="40"/>
        </w:rPr>
      </w:pPr>
      <w:r w:rsidRPr="00C219ED">
        <w:rPr>
          <w:color w:val="C00000"/>
          <w:sz w:val="40"/>
          <w:szCs w:val="40"/>
        </w:rPr>
        <w:t>COMPLAINTS CLOSED</w:t>
      </w:r>
    </w:p>
    <w:p w:rsidR="000B23CC" w:rsidRPr="00797CC2" w:rsidRDefault="000B23CC" w:rsidP="00F27427">
      <w:pPr>
        <w:pStyle w:val="Heading2"/>
        <w:numPr>
          <w:ilvl w:val="0"/>
          <w:numId w:val="15"/>
        </w:numPr>
        <w:spacing w:after="240"/>
        <w:ind w:hanging="720"/>
        <w:rPr>
          <w:sz w:val="36"/>
          <w:szCs w:val="36"/>
        </w:rPr>
      </w:pPr>
      <w:bookmarkStart w:id="21" w:name="_Toc404344434"/>
      <w:r w:rsidRPr="00797CC2">
        <w:rPr>
          <w:sz w:val="36"/>
          <w:szCs w:val="36"/>
        </w:rPr>
        <w:t>How many complaints were closed?</w:t>
      </w:r>
      <w:bookmarkEnd w:id="21"/>
    </w:p>
    <w:p w:rsidR="008B6611" w:rsidRPr="00797CC2" w:rsidRDefault="001726F0" w:rsidP="00985CEE">
      <w:r w:rsidRPr="00797CC2">
        <w:t xml:space="preserve">HDC closed </w:t>
      </w:r>
      <w:r w:rsidR="00AD100D" w:rsidRPr="00797CC2">
        <w:rPr>
          <w:b/>
        </w:rPr>
        <w:t>691</w:t>
      </w:r>
      <w:r w:rsidRPr="00797CC2">
        <w:rPr>
          <w:b/>
        </w:rPr>
        <w:t xml:space="preserve"> </w:t>
      </w:r>
      <w:r w:rsidRPr="00797CC2">
        <w:t>complaints involving DHBs in the</w:t>
      </w:r>
      <w:r w:rsidR="001200CE" w:rsidRPr="00797CC2">
        <w:t xml:space="preserve"> 2013/</w:t>
      </w:r>
      <w:r w:rsidR="00AD100D" w:rsidRPr="00797CC2">
        <w:t>14</w:t>
      </w:r>
      <w:r w:rsidR="00FF5AEA" w:rsidRPr="00797CC2">
        <w:t xml:space="preserve"> year</w:t>
      </w:r>
      <w:r w:rsidRPr="00797CC2">
        <w:t>.</w:t>
      </w:r>
      <w:r w:rsidR="00D951DD" w:rsidRPr="00797CC2">
        <w:t xml:space="preserve"> </w:t>
      </w:r>
      <w:r w:rsidR="00BD2652" w:rsidRPr="00797CC2">
        <w:t xml:space="preserve">This was an increase of 17% on the 591 complaints closed in 2012/13.  As with complaints received, the number of complaints closed has been increasing year on year for the last five financial years (see </w:t>
      </w:r>
      <w:r w:rsidR="00F27427" w:rsidRPr="00797CC2">
        <w:t>Figure 5</w:t>
      </w:r>
      <w:r w:rsidR="00BD2652" w:rsidRPr="00797CC2">
        <w:t>).</w:t>
      </w:r>
    </w:p>
    <w:p w:rsidR="009260B6" w:rsidRPr="00797CC2" w:rsidRDefault="009260B6" w:rsidP="00985CEE"/>
    <w:p w:rsidR="00485AA8" w:rsidRPr="00797CC2" w:rsidRDefault="00F27427" w:rsidP="00985CEE">
      <w:pPr>
        <w:spacing w:after="120"/>
        <w:rPr>
          <w:b/>
        </w:rPr>
      </w:pPr>
      <w:r w:rsidRPr="00797CC2">
        <w:rPr>
          <w:b/>
        </w:rPr>
        <w:t>Figure 5</w:t>
      </w:r>
      <w:r w:rsidR="00485AA8" w:rsidRPr="00797CC2">
        <w:rPr>
          <w:b/>
        </w:rPr>
        <w:t xml:space="preserve">. </w:t>
      </w:r>
      <w:r w:rsidR="00485AA8" w:rsidRPr="00797CC2">
        <w:t>Number of complaints closed in last five financial years</w:t>
      </w:r>
    </w:p>
    <w:p w:rsidR="00485AA8" w:rsidRPr="00797CC2" w:rsidRDefault="00485AA8" w:rsidP="00985CEE">
      <w:bookmarkStart w:id="22" w:name="_Toc399410326"/>
      <w:bookmarkStart w:id="23" w:name="_Toc399412974"/>
      <w:bookmarkStart w:id="24" w:name="_Toc399513381"/>
      <w:bookmarkStart w:id="25" w:name="_Toc399514997"/>
      <w:bookmarkStart w:id="26" w:name="_Toc399515948"/>
      <w:r w:rsidRPr="00797CC2">
        <w:rPr>
          <w:noProof/>
          <w:lang w:eastAsia="en-NZ" w:bidi="ar-SA"/>
        </w:rPr>
        <w:drawing>
          <wp:inline distT="0" distB="0" distL="0" distR="0" wp14:anchorId="7407ED67" wp14:editId="6F2B8FE3">
            <wp:extent cx="5386647" cy="2867891"/>
            <wp:effectExtent l="0" t="0" r="24130" b="279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22"/>
      <w:bookmarkEnd w:id="23"/>
      <w:bookmarkEnd w:id="24"/>
      <w:bookmarkEnd w:id="25"/>
      <w:bookmarkEnd w:id="26"/>
    </w:p>
    <w:p w:rsidR="00485AA8" w:rsidRPr="00797CC2" w:rsidRDefault="00485AA8" w:rsidP="00985CEE"/>
    <w:p w:rsidR="00BD2652" w:rsidRPr="00797CC2" w:rsidRDefault="0081555B" w:rsidP="00985CEE">
      <w:r w:rsidRPr="00797CC2">
        <w:t>It should be n</w:t>
      </w:r>
      <w:r w:rsidR="00BD2652" w:rsidRPr="00797CC2">
        <w:t>ote</w:t>
      </w:r>
      <w:r w:rsidRPr="00797CC2">
        <w:t>d</w:t>
      </w:r>
      <w:r w:rsidR="00BD2652" w:rsidRPr="00797CC2">
        <w:t xml:space="preserve"> that complaints may be received in one financial year and closed in the following financial year.  This means that the number of complaints received will not correlate with the number of complaints closed.</w:t>
      </w:r>
    </w:p>
    <w:p w:rsidR="00BD2652" w:rsidRPr="00797CC2" w:rsidRDefault="00BD2652">
      <w:r w:rsidRPr="00797CC2">
        <w:br w:type="page"/>
      </w:r>
    </w:p>
    <w:p w:rsidR="00BD2652" w:rsidRPr="00797CC2" w:rsidRDefault="00BD2652" w:rsidP="00985CEE"/>
    <w:p w:rsidR="00F416A2" w:rsidRPr="00797CC2" w:rsidRDefault="00E606D2" w:rsidP="009260B6">
      <w:pPr>
        <w:pStyle w:val="Heading2"/>
        <w:spacing w:after="240"/>
        <w:rPr>
          <w:sz w:val="36"/>
          <w:szCs w:val="36"/>
        </w:rPr>
      </w:pPr>
      <w:bookmarkStart w:id="27" w:name="_Toc398125965"/>
      <w:bookmarkStart w:id="28" w:name="_Toc404344435"/>
      <w:r w:rsidRPr="00797CC2">
        <w:rPr>
          <w:sz w:val="36"/>
          <w:szCs w:val="36"/>
        </w:rPr>
        <w:t>2</w:t>
      </w:r>
      <w:r w:rsidR="009260B6" w:rsidRPr="00797CC2">
        <w:rPr>
          <w:sz w:val="36"/>
          <w:szCs w:val="36"/>
        </w:rPr>
        <w:t xml:space="preserve">. </w:t>
      </w:r>
      <w:r w:rsidR="00BD2652" w:rsidRPr="00797CC2">
        <w:rPr>
          <w:sz w:val="36"/>
          <w:szCs w:val="36"/>
        </w:rPr>
        <w:t>What were the outcomes of the complaints closed?</w:t>
      </w:r>
      <w:bookmarkEnd w:id="27"/>
      <w:bookmarkEnd w:id="28"/>
    </w:p>
    <w:p w:rsidR="00524A9C" w:rsidRPr="00797CC2" w:rsidRDefault="00524A9C" w:rsidP="00291ADA">
      <w:pPr>
        <w:pStyle w:val="Heading3"/>
        <w:rPr>
          <w:b/>
          <w:i w:val="0"/>
          <w:sz w:val="28"/>
          <w:szCs w:val="28"/>
          <w:lang w:val="en-AU" w:bidi="ar-SA"/>
        </w:rPr>
      </w:pPr>
      <w:bookmarkStart w:id="29" w:name="_Toc404344436"/>
      <w:r w:rsidRPr="00797CC2">
        <w:rPr>
          <w:b/>
          <w:i w:val="0"/>
          <w:sz w:val="28"/>
          <w:szCs w:val="28"/>
          <w:lang w:val="en-AU" w:bidi="ar-SA"/>
        </w:rPr>
        <w:t xml:space="preserve">2.1 </w:t>
      </w:r>
      <w:r w:rsidR="00F27427" w:rsidRPr="00797CC2">
        <w:rPr>
          <w:b/>
          <w:i w:val="0"/>
          <w:sz w:val="28"/>
          <w:szCs w:val="28"/>
          <w:lang w:val="en-AU" w:bidi="ar-SA"/>
        </w:rPr>
        <w:tab/>
      </w:r>
      <w:r w:rsidRPr="00797CC2">
        <w:rPr>
          <w:b/>
          <w:i w:val="0"/>
          <w:sz w:val="28"/>
          <w:szCs w:val="28"/>
          <w:lang w:val="en-AU" w:bidi="ar-SA"/>
        </w:rPr>
        <w:t>Available resolution options</w:t>
      </w:r>
      <w:bookmarkEnd w:id="29"/>
    </w:p>
    <w:p w:rsidR="00524A9C" w:rsidRPr="00797CC2" w:rsidRDefault="00524A9C" w:rsidP="00E606D2">
      <w:pPr>
        <w:rPr>
          <w:b/>
          <w:lang w:val="en-AU" w:bidi="ar-SA"/>
        </w:rPr>
      </w:pPr>
    </w:p>
    <w:p w:rsidR="00524A9C" w:rsidRPr="00797CC2" w:rsidRDefault="00BD2652" w:rsidP="00E606D2">
      <w:pPr>
        <w:rPr>
          <w:lang w:val="en-AU" w:bidi="ar-SA"/>
        </w:rPr>
      </w:pPr>
      <w:r w:rsidRPr="00797CC2">
        <w:rPr>
          <w:lang w:val="en-AU" w:bidi="ar-SA"/>
        </w:rPr>
        <w:t>HDC has a number of options available for the resolution of complaints.</w:t>
      </w:r>
      <w:r w:rsidR="0081555B" w:rsidRPr="00797CC2">
        <w:rPr>
          <w:lang w:val="en-AU" w:bidi="ar-SA"/>
        </w:rPr>
        <w:t xml:space="preserve">  These include referring the complaint</w:t>
      </w:r>
      <w:r w:rsidR="00E606D2" w:rsidRPr="00797CC2">
        <w:rPr>
          <w:lang w:val="en-AU" w:bidi="ar-SA"/>
        </w:rPr>
        <w:t xml:space="preserve"> to the Advocacy Service, t</w:t>
      </w:r>
      <w:r w:rsidR="0081555B" w:rsidRPr="00797CC2">
        <w:rPr>
          <w:lang w:val="en-AU" w:bidi="ar-SA"/>
        </w:rPr>
        <w:t>o a professional body,</w:t>
      </w:r>
      <w:r w:rsidR="00E606D2" w:rsidRPr="00797CC2">
        <w:rPr>
          <w:lang w:val="en-AU" w:bidi="ar-SA"/>
        </w:rPr>
        <w:t xml:space="preserve"> or</w:t>
      </w:r>
      <w:r w:rsidR="0081555B" w:rsidRPr="00797CC2">
        <w:rPr>
          <w:lang w:val="en-AU" w:bidi="ar-SA"/>
        </w:rPr>
        <w:t xml:space="preserve"> to another agency</w:t>
      </w:r>
      <w:r w:rsidR="00E606D2" w:rsidRPr="00797CC2">
        <w:rPr>
          <w:lang w:val="en-AU" w:bidi="ar-SA"/>
        </w:rPr>
        <w:t xml:space="preserve">.  </w:t>
      </w:r>
    </w:p>
    <w:p w:rsidR="00524A9C" w:rsidRPr="00797CC2" w:rsidRDefault="00524A9C" w:rsidP="00524A9C"/>
    <w:tbl>
      <w:tblPr>
        <w:tblStyle w:val="TableGrid"/>
        <w:tblpPr w:leftFromText="180" w:rightFromText="180" w:vertAnchor="text" w:horzAnchor="margin" w:tblpY="119"/>
        <w:tblW w:w="9180"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180"/>
      </w:tblGrid>
      <w:tr w:rsidR="00524A9C" w:rsidRPr="00C219ED" w:rsidTr="00C219ED">
        <w:tc>
          <w:tcPr>
            <w:tcW w:w="9180" w:type="dxa"/>
          </w:tcPr>
          <w:p w:rsidR="00524A9C" w:rsidRPr="00C219ED" w:rsidRDefault="00524A9C" w:rsidP="00524A9C">
            <w:pPr>
              <w:jc w:val="center"/>
              <w:rPr>
                <w:b/>
                <w:sz w:val="28"/>
                <w:szCs w:val="28"/>
                <w:lang w:eastAsia="en-NZ"/>
              </w:rPr>
            </w:pPr>
            <w:r w:rsidRPr="00C219ED">
              <w:rPr>
                <w:b/>
                <w:sz w:val="28"/>
                <w:szCs w:val="28"/>
                <w:lang w:eastAsia="en-NZ"/>
              </w:rPr>
              <w:t>Case study</w:t>
            </w:r>
          </w:p>
          <w:p w:rsidR="00524A9C" w:rsidRPr="00C219ED" w:rsidRDefault="00524A9C" w:rsidP="00524A9C">
            <w:pPr>
              <w:spacing w:after="120"/>
              <w:jc w:val="center"/>
              <w:rPr>
                <w:b/>
              </w:rPr>
            </w:pPr>
            <w:r w:rsidRPr="00C219ED">
              <w:rPr>
                <w:b/>
                <w:sz w:val="28"/>
                <w:szCs w:val="28"/>
              </w:rPr>
              <w:t>Referral to Advocacy Service</w:t>
            </w:r>
          </w:p>
          <w:p w:rsidR="00524A9C" w:rsidRPr="00C219ED" w:rsidRDefault="00524A9C" w:rsidP="00524A9C">
            <w:r w:rsidRPr="00C219ED">
              <w:t xml:space="preserve">A </w:t>
            </w:r>
            <w:r w:rsidR="00797CC2" w:rsidRPr="00C219ED">
              <w:t>woman in her 20s</w:t>
            </w:r>
            <w:r w:rsidRPr="00C219ED">
              <w:t>, with a history of abusing dexamphetamine as a teenager, complained to HDC about the DHB’s Com</w:t>
            </w:r>
            <w:r w:rsidR="008130FF" w:rsidRPr="00C219ED">
              <w:t xml:space="preserve">munity Mental Health Service. </w:t>
            </w:r>
            <w:r w:rsidRPr="00C219ED">
              <w:t xml:space="preserve">The woman had been put back on dexamphetamine but was then taken off it due to suspicions that she had been selling her pills. The woman did not find her new medication useful and denied selling her pills, or abusing her medication in any way.  The woman reported to HDC that she felt that her past behaviour was being held against her. </w:t>
            </w:r>
          </w:p>
          <w:p w:rsidR="00524A9C" w:rsidRPr="00C219ED" w:rsidRDefault="00524A9C" w:rsidP="00524A9C"/>
          <w:p w:rsidR="00524A9C" w:rsidRPr="00C219ED" w:rsidRDefault="00524A9C" w:rsidP="007853C7">
            <w:pPr>
              <w:spacing w:after="120"/>
            </w:pPr>
            <w:r w:rsidRPr="00C219ED">
              <w:t xml:space="preserve">The woman’s complaint was referred to an advocate at the Advocacy Service. As a result, a resolution meeting was arranged between the DHB and the woman.  The woman was satisfied with the actions agreed upon at the meeting and advised that she felt confident she would subsequently receive the support she sought. </w:t>
            </w:r>
          </w:p>
        </w:tc>
      </w:tr>
    </w:tbl>
    <w:p w:rsidR="00524A9C" w:rsidRPr="00C219ED" w:rsidRDefault="00524A9C" w:rsidP="00524A9C"/>
    <w:p w:rsidR="00E606D2" w:rsidRPr="00C219ED" w:rsidRDefault="00E606D2" w:rsidP="00E606D2">
      <w:pPr>
        <w:rPr>
          <w:lang w:val="en-AU" w:bidi="ar-SA"/>
        </w:rPr>
      </w:pPr>
      <w:r w:rsidRPr="00C219ED">
        <w:rPr>
          <w:lang w:val="en-AU" w:bidi="ar-SA"/>
        </w:rPr>
        <w:t>HDC may also refer a complaint back to the provider to resolve directly.  In line with their responsibilities under the Code, DHBs have increasingly developed good systems to address complaints in a timely and appropriate way. It is often appropriate for HDC to refer a complaint to the DHB to resolve, with a requirement that the DHB report back to HDC on the outcome of its handling of the complaint.</w:t>
      </w:r>
    </w:p>
    <w:p w:rsidR="00524A9C" w:rsidRPr="00C219ED" w:rsidRDefault="00524A9C" w:rsidP="00524A9C"/>
    <w:tbl>
      <w:tblPr>
        <w:tblStyle w:val="TableGrid"/>
        <w:tblW w:w="9067" w:type="dxa"/>
        <w:tblInd w:w="113"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067"/>
      </w:tblGrid>
      <w:tr w:rsidR="00524A9C" w:rsidRPr="00797CC2" w:rsidTr="00C219ED">
        <w:tc>
          <w:tcPr>
            <w:tcW w:w="9067" w:type="dxa"/>
          </w:tcPr>
          <w:p w:rsidR="00524A9C" w:rsidRPr="00C219ED" w:rsidRDefault="00524A9C" w:rsidP="00524A9C">
            <w:pPr>
              <w:jc w:val="center"/>
              <w:rPr>
                <w:b/>
                <w:sz w:val="28"/>
                <w:szCs w:val="28"/>
                <w:lang w:eastAsia="en-NZ"/>
              </w:rPr>
            </w:pPr>
            <w:r w:rsidRPr="00C219ED">
              <w:rPr>
                <w:b/>
                <w:sz w:val="28"/>
                <w:szCs w:val="28"/>
                <w:lang w:eastAsia="en-NZ"/>
              </w:rPr>
              <w:t>Case study</w:t>
            </w:r>
          </w:p>
          <w:p w:rsidR="00524A9C" w:rsidRPr="00C219ED" w:rsidRDefault="00524A9C" w:rsidP="00524A9C">
            <w:pPr>
              <w:jc w:val="center"/>
              <w:rPr>
                <w:b/>
                <w:sz w:val="28"/>
                <w:szCs w:val="28"/>
                <w:lang w:eastAsia="en-NZ"/>
              </w:rPr>
            </w:pPr>
            <w:r w:rsidRPr="00C219ED">
              <w:rPr>
                <w:b/>
                <w:sz w:val="28"/>
                <w:szCs w:val="28"/>
                <w:lang w:eastAsia="en-NZ"/>
              </w:rPr>
              <w:t>Referral to DHB</w:t>
            </w:r>
          </w:p>
          <w:p w:rsidR="00524A9C" w:rsidRPr="00C219ED" w:rsidRDefault="00524A9C" w:rsidP="00524A9C"/>
          <w:p w:rsidR="00524A9C" w:rsidRPr="00C219ED" w:rsidRDefault="00524A9C" w:rsidP="00524A9C">
            <w:r w:rsidRPr="00C219ED">
              <w:t xml:space="preserve">A </w:t>
            </w:r>
            <w:proofErr w:type="spellStart"/>
            <w:r w:rsidR="00797CC2" w:rsidRPr="00C219ED">
              <w:t>preschooler</w:t>
            </w:r>
            <w:proofErr w:type="spellEnd"/>
            <w:r w:rsidRPr="00C219ED">
              <w:t xml:space="preserve"> had been seen </w:t>
            </w:r>
            <w:r w:rsidR="00894AEC" w:rsidRPr="00C219ED">
              <w:t>by Dr</w:t>
            </w:r>
            <w:r w:rsidRPr="00C219ED">
              <w:t xml:space="preserve"> A, a </w:t>
            </w:r>
            <w:r w:rsidR="003A2F02" w:rsidRPr="00C219ED">
              <w:t>Paediatrician</w:t>
            </w:r>
            <w:r w:rsidRPr="00C219ED">
              <w:t xml:space="preserve"> in the </w:t>
            </w:r>
            <w:r w:rsidR="003A2F02" w:rsidRPr="00C219ED">
              <w:t xml:space="preserve">paediatric service </w:t>
            </w:r>
            <w:r w:rsidRPr="00C219ED">
              <w:t xml:space="preserve">of a DHB over a period of several years, in regard to developmental concerns.  The boy’s mother thought her son had more than just a language delay and made an appointment with Dr A. Following that appointment, the doctor called the mother and told her that her that her son did not have autism. Some time later, the boy’s Group Special Education team suggested the mother take her son back to Dr A.  The mother did so and told Dr A that she thought her son had autism. Dr A agreed and said that he had written to the mother following the earlier appointment to inform her that he had misinterpreted the results of his observations. The mother told HDC that she never received that letter.  She complained to HDC as she was upset that such a diagnosis would be delivered in a letter and she also thought that a referral should have been made to other support services. </w:t>
            </w:r>
          </w:p>
          <w:p w:rsidR="00524A9C" w:rsidRPr="00C219ED" w:rsidRDefault="00524A9C" w:rsidP="00524A9C"/>
          <w:p w:rsidR="00524A9C" w:rsidRPr="00797CC2" w:rsidRDefault="00524A9C" w:rsidP="007853C7">
            <w:pPr>
              <w:spacing w:after="120"/>
            </w:pPr>
            <w:r w:rsidRPr="00C219ED">
              <w:t>The Deputy Commissioner referred this complaint back to the DHB concerned as she considered the DHB was best placed to address the mother’s concerns directly. Both the clinical director and Dr A apologised to the mother that she was not directly informed of her son’s diagnosis and Dr A offered to assist the mother in accessing the child disability allowance. The mother reported she was happy with care provided by Dr A and would feel comfortable raising issues and concerns with him directly in future.</w:t>
            </w:r>
            <w:r w:rsidRPr="00797CC2">
              <w:t xml:space="preserve"> </w:t>
            </w:r>
          </w:p>
        </w:tc>
      </w:tr>
    </w:tbl>
    <w:p w:rsidR="00E606D2" w:rsidRPr="00797CC2" w:rsidRDefault="00E606D2" w:rsidP="00BD2652">
      <w:pPr>
        <w:rPr>
          <w:lang w:val="en-AU" w:bidi="ar-SA"/>
        </w:rPr>
      </w:pPr>
    </w:p>
    <w:p w:rsidR="00F27427" w:rsidRPr="00797CC2" w:rsidRDefault="0081555B" w:rsidP="00BD2652">
      <w:pPr>
        <w:rPr>
          <w:lang w:val="en-US"/>
        </w:rPr>
      </w:pPr>
      <w:r w:rsidRPr="00797CC2">
        <w:rPr>
          <w:lang w:val="en-AU" w:bidi="ar-SA"/>
        </w:rPr>
        <w:t>The Commissioner also</w:t>
      </w:r>
      <w:r w:rsidR="00E606D2" w:rsidRPr="00797CC2">
        <w:rPr>
          <w:lang w:val="en-AU" w:bidi="ar-SA"/>
        </w:rPr>
        <w:t xml:space="preserve"> has a wide discretion to take no </w:t>
      </w:r>
      <w:r w:rsidR="003A2F02" w:rsidRPr="00797CC2">
        <w:rPr>
          <w:lang w:val="en-AU" w:bidi="ar-SA"/>
        </w:rPr>
        <w:t>further</w:t>
      </w:r>
      <w:r w:rsidR="00E606D2" w:rsidRPr="00797CC2">
        <w:rPr>
          <w:lang w:val="en-AU" w:bidi="ar-SA"/>
        </w:rPr>
        <w:t xml:space="preserve"> action on a complaint.  </w:t>
      </w:r>
      <w:r w:rsidRPr="00797CC2">
        <w:rPr>
          <w:lang w:val="en-AU" w:bidi="ar-SA"/>
        </w:rPr>
        <w:t xml:space="preserve"> </w:t>
      </w:r>
      <w:r w:rsidR="00E606D2" w:rsidRPr="00797CC2">
        <w:rPr>
          <w:lang w:val="en-US"/>
        </w:rPr>
        <w:t xml:space="preserve">For example, the Commissioner may take no further action because careful assessment indicates that a provider’s actions were reasonable in the circumstances, or a more appropriate outcome can be achieved in a more flexible and timely way than by means of formal investigation,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Director-General of Health, or the District Inspector).  </w:t>
      </w:r>
    </w:p>
    <w:p w:rsidR="00F27427" w:rsidRPr="00797CC2" w:rsidRDefault="00F27427" w:rsidP="00BD2652">
      <w:pPr>
        <w:rPr>
          <w:lang w:val="en-US"/>
        </w:rPr>
      </w:pPr>
    </w:p>
    <w:p w:rsidR="0081555B" w:rsidRPr="00797CC2" w:rsidRDefault="00E606D2" w:rsidP="00BD2652">
      <w:pPr>
        <w:rPr>
          <w:lang w:val="en-AU" w:bidi="ar-SA"/>
        </w:rPr>
      </w:pPr>
      <w:r w:rsidRPr="00797CC2">
        <w:rPr>
          <w:lang w:val="en-US"/>
        </w:rPr>
        <w:t xml:space="preserve">Assessment of a complaint prior to a decision to take no further action will usually involve obtaining and reviewing a response from the provider and, in many cases, expert clinical advice.  </w:t>
      </w:r>
      <w:r w:rsidR="0081555B" w:rsidRPr="00797CC2">
        <w:rPr>
          <w:lang w:val="en-AU" w:bidi="ar-SA"/>
        </w:rPr>
        <w:t xml:space="preserve">Often a decision to take no further action will be accompanied by an educational comment or recommendations designed to assist the </w:t>
      </w:r>
      <w:r w:rsidR="007E4888" w:rsidRPr="00797CC2">
        <w:rPr>
          <w:lang w:val="en-AU" w:bidi="ar-SA"/>
        </w:rPr>
        <w:t>provider</w:t>
      </w:r>
      <w:r w:rsidR="0081555B" w:rsidRPr="00797CC2">
        <w:rPr>
          <w:lang w:val="en-AU" w:bidi="ar-SA"/>
        </w:rPr>
        <w:t xml:space="preserve"> in improving future services.</w:t>
      </w:r>
    </w:p>
    <w:p w:rsidR="00524A9C" w:rsidRPr="00797CC2" w:rsidRDefault="00524A9C" w:rsidP="00BD2652">
      <w:pPr>
        <w:rPr>
          <w:lang w:val="en-AU" w:bidi="ar-SA"/>
        </w:rPr>
      </w:pPr>
    </w:p>
    <w:p w:rsidR="00524A9C" w:rsidRPr="00797CC2" w:rsidRDefault="00524A9C" w:rsidP="00524A9C"/>
    <w:tbl>
      <w:tblPr>
        <w:tblStyle w:val="TableGrid"/>
        <w:tblW w:w="9067" w:type="dxa"/>
        <w:tblInd w:w="108"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067"/>
      </w:tblGrid>
      <w:tr w:rsidR="00524A9C" w:rsidRPr="00797CC2" w:rsidTr="00C219ED">
        <w:tc>
          <w:tcPr>
            <w:tcW w:w="9062" w:type="dxa"/>
          </w:tcPr>
          <w:p w:rsidR="00524A9C" w:rsidRPr="00797CC2" w:rsidRDefault="00524A9C" w:rsidP="00524A9C">
            <w:pPr>
              <w:jc w:val="center"/>
              <w:rPr>
                <w:b/>
                <w:sz w:val="28"/>
                <w:szCs w:val="28"/>
                <w:lang w:eastAsia="en-NZ"/>
              </w:rPr>
            </w:pPr>
            <w:r w:rsidRPr="00797CC2">
              <w:rPr>
                <w:b/>
                <w:sz w:val="28"/>
                <w:szCs w:val="28"/>
                <w:lang w:eastAsia="en-NZ"/>
              </w:rPr>
              <w:t>Case studies</w:t>
            </w:r>
          </w:p>
          <w:p w:rsidR="00524A9C" w:rsidRPr="00797CC2" w:rsidRDefault="00524A9C" w:rsidP="00E77A54">
            <w:pPr>
              <w:spacing w:after="120"/>
              <w:jc w:val="center"/>
              <w:rPr>
                <w:b/>
                <w:sz w:val="28"/>
                <w:szCs w:val="28"/>
                <w:lang w:eastAsia="en-NZ"/>
              </w:rPr>
            </w:pPr>
            <w:r w:rsidRPr="00797CC2">
              <w:rPr>
                <w:b/>
                <w:sz w:val="28"/>
                <w:szCs w:val="28"/>
                <w:lang w:eastAsia="en-NZ"/>
              </w:rPr>
              <w:t>No further action taken</w:t>
            </w:r>
          </w:p>
          <w:p w:rsidR="00524A9C" w:rsidRPr="00797CC2" w:rsidRDefault="00524A9C" w:rsidP="00524A9C">
            <w:pPr>
              <w:spacing w:after="120"/>
              <w:jc w:val="center"/>
            </w:pPr>
            <w:r w:rsidRPr="00797CC2">
              <w:rPr>
                <w:b/>
                <w:sz w:val="24"/>
              </w:rPr>
              <w:t>Inadequate response to complaint by DHB</w:t>
            </w:r>
          </w:p>
          <w:p w:rsidR="00524A9C" w:rsidRPr="00797CC2" w:rsidRDefault="00524A9C" w:rsidP="00524A9C">
            <w:r w:rsidRPr="00797CC2">
              <w:t>A man underwent surgery at a public hospital for a rare squamous cell carcinoma in his mouth. Following surgery, he was transferred to a ward. Unfortunately, during the recovery period, the skin flap continued to swell, and it was decided that a further surgery would need to take place to explore the viability of the flap. Before the surgery commenced, and the man was being anaesthetised, his airway was unable to be supported and he suffered a cardiac arrest. He was stabilised and transferred to the Intensive Care Unit and further surgery was deferred.  Sadly, he died three days later.</w:t>
            </w:r>
          </w:p>
          <w:p w:rsidR="00524A9C" w:rsidRPr="00797CC2" w:rsidRDefault="00524A9C" w:rsidP="00524A9C"/>
          <w:p w:rsidR="00524A9C" w:rsidRPr="00797CC2" w:rsidRDefault="00524A9C" w:rsidP="00524A9C">
            <w:r w:rsidRPr="00797CC2">
              <w:t>A Serious Event Review (SER) undertaken by the DHB found that there were:</w:t>
            </w:r>
          </w:p>
          <w:p w:rsidR="00524A9C" w:rsidRPr="00797CC2" w:rsidRDefault="00524A9C" w:rsidP="00524A9C">
            <w:pPr>
              <w:pStyle w:val="ListParagraph"/>
              <w:numPr>
                <w:ilvl w:val="0"/>
                <w:numId w:val="11"/>
              </w:numPr>
            </w:pPr>
            <w:r w:rsidRPr="00797CC2">
              <w:t>inconsistencies in the overall management and communication of tracheostomy care across the service;</w:t>
            </w:r>
          </w:p>
          <w:p w:rsidR="00524A9C" w:rsidRPr="00797CC2" w:rsidRDefault="00524A9C" w:rsidP="00524A9C">
            <w:pPr>
              <w:pStyle w:val="ListParagraph"/>
              <w:numPr>
                <w:ilvl w:val="0"/>
                <w:numId w:val="11"/>
              </w:numPr>
            </w:pPr>
            <w:r w:rsidRPr="00797CC2">
              <w:t>deficiencies in the monitoring and interpretation of flap treatment progression by the nursing team and junior medical teams; and</w:t>
            </w:r>
          </w:p>
          <w:p w:rsidR="00524A9C" w:rsidRPr="00797CC2" w:rsidRDefault="00524A9C" w:rsidP="00524A9C">
            <w:pPr>
              <w:pStyle w:val="ListParagraph"/>
              <w:numPr>
                <w:ilvl w:val="0"/>
                <w:numId w:val="11"/>
              </w:numPr>
            </w:pPr>
            <w:r w:rsidRPr="00797CC2">
              <w:t>anaesthetic difficulties on intubation and emergency response.</w:t>
            </w:r>
          </w:p>
          <w:p w:rsidR="00524A9C" w:rsidRPr="00797CC2" w:rsidRDefault="00524A9C" w:rsidP="00524A9C"/>
          <w:p w:rsidR="00524A9C" w:rsidRPr="00797CC2" w:rsidRDefault="00524A9C" w:rsidP="00524A9C">
            <w:r w:rsidRPr="00797CC2">
              <w:t>The DHB apologised for not meeting the required standard of communication with the man’s wife and family when the man suffered the cardiac arrest. The DHB identified gaps in its head and neck service and produced appropriate remedial action to ensure that a comprehensive, well coordinated, and appropriate standard of care</w:t>
            </w:r>
            <w:r w:rsidR="008130FF" w:rsidRPr="00797CC2">
              <w:t xml:space="preserve"> was provided</w:t>
            </w:r>
            <w:r w:rsidRPr="00797CC2">
              <w:t xml:space="preserve"> to patients undergoing head and neck surgery.  </w:t>
            </w:r>
          </w:p>
          <w:p w:rsidR="00524A9C" w:rsidRPr="00797CC2" w:rsidRDefault="00524A9C" w:rsidP="00524A9C"/>
          <w:p w:rsidR="00E77A54" w:rsidRPr="00797CC2" w:rsidRDefault="00524A9C" w:rsidP="00E77A54">
            <w:r w:rsidRPr="00797CC2">
              <w:t>The Deputy Commissioner was concerned that, having met with the DHB, the man’s wife was</w:t>
            </w:r>
            <w:r w:rsidR="008130FF" w:rsidRPr="00797CC2">
              <w:t xml:space="preserve"> left with unanswered questions</w:t>
            </w:r>
            <w:r w:rsidRPr="00797CC2">
              <w:t xml:space="preserve"> and reported having felt isolated from the discussion, as she did not understand the content. The Deputy Commissioner considered that the DHB had not fully addressed all of the wife’s concerns in its response. Therefore the Deputy Commissioner asked the DHB to arrange a further meeting with the man’s wife to discuss any outstanding concerns and, during that meeting, to apologise to the man’s wife in relation to their earlier communication with her.  The Deputy Commissioner asked the DHB to report back on the outcome of the meeting and provide an update about one of the recommendations from the SER.</w:t>
            </w:r>
            <w:r w:rsidR="007E4888" w:rsidRPr="00797CC2">
              <w:t xml:space="preserve"> These recommendation have been met by the DHB.</w:t>
            </w:r>
            <w:r w:rsidRPr="00797CC2">
              <w:t xml:space="preserve">   </w:t>
            </w:r>
          </w:p>
          <w:p w:rsidR="00524A9C" w:rsidRPr="00797CC2" w:rsidRDefault="00524A9C" w:rsidP="00524A9C">
            <w:r w:rsidRPr="00797CC2">
              <w:t xml:space="preserve"> </w:t>
            </w:r>
          </w:p>
        </w:tc>
      </w:tr>
    </w:tbl>
    <w:p w:rsidR="0081555B" w:rsidRPr="00797CC2" w:rsidRDefault="0081555B" w:rsidP="00BD2652">
      <w:pPr>
        <w:rPr>
          <w:lang w:val="en-AU" w:bidi="ar-SA"/>
        </w:rPr>
      </w:pPr>
    </w:p>
    <w:p w:rsidR="008130FF" w:rsidRPr="00797CC2" w:rsidRDefault="008130FF" w:rsidP="00D30C28">
      <w:pPr>
        <w:rPr>
          <w:lang w:val="en-AU" w:bidi="ar-SA"/>
        </w:rPr>
      </w:pPr>
    </w:p>
    <w:p w:rsidR="008130FF" w:rsidRPr="00797CC2" w:rsidRDefault="008130FF" w:rsidP="00D30C28">
      <w:pPr>
        <w:rPr>
          <w:lang w:val="en-AU" w:bidi="ar-SA"/>
        </w:rPr>
      </w:pPr>
    </w:p>
    <w:p w:rsidR="008130FF" w:rsidRPr="00797CC2" w:rsidRDefault="008130FF" w:rsidP="00D30C28">
      <w:pPr>
        <w:rPr>
          <w:lang w:val="en-AU" w:bidi="ar-SA"/>
        </w:rPr>
      </w:pPr>
    </w:p>
    <w:p w:rsidR="008130FF" w:rsidRPr="00797CC2" w:rsidRDefault="008130FF" w:rsidP="00D30C28">
      <w:pPr>
        <w:rPr>
          <w:lang w:val="en-AU" w:bidi="ar-SA"/>
        </w:rPr>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8130FF" w:rsidRPr="00797CC2" w:rsidTr="00C219ED">
        <w:tc>
          <w:tcPr>
            <w:tcW w:w="9298" w:type="dxa"/>
          </w:tcPr>
          <w:p w:rsidR="00894AEC" w:rsidRPr="00797CC2" w:rsidRDefault="00894AEC" w:rsidP="00894AEC">
            <w:pPr>
              <w:jc w:val="center"/>
              <w:rPr>
                <w:b/>
                <w:sz w:val="28"/>
                <w:szCs w:val="28"/>
                <w:lang w:eastAsia="en-NZ"/>
              </w:rPr>
            </w:pPr>
            <w:r w:rsidRPr="00797CC2">
              <w:rPr>
                <w:b/>
                <w:sz w:val="28"/>
                <w:szCs w:val="28"/>
                <w:lang w:eastAsia="en-NZ"/>
              </w:rPr>
              <w:t>Case studies</w:t>
            </w:r>
          </w:p>
          <w:p w:rsidR="00894AEC" w:rsidRPr="00894AEC" w:rsidRDefault="00894AEC" w:rsidP="00894AEC">
            <w:pPr>
              <w:spacing w:after="120"/>
              <w:jc w:val="center"/>
              <w:rPr>
                <w:b/>
                <w:sz w:val="28"/>
                <w:szCs w:val="28"/>
                <w:lang w:eastAsia="en-NZ"/>
              </w:rPr>
            </w:pPr>
            <w:r w:rsidRPr="00797CC2">
              <w:rPr>
                <w:b/>
                <w:sz w:val="28"/>
                <w:szCs w:val="28"/>
                <w:lang w:eastAsia="en-NZ"/>
              </w:rPr>
              <w:t>No further action taken</w:t>
            </w:r>
          </w:p>
          <w:p w:rsidR="008130FF" w:rsidRPr="00C219ED" w:rsidRDefault="008130FF" w:rsidP="008130FF">
            <w:pPr>
              <w:pStyle w:val="NoSpacing"/>
              <w:spacing w:after="120"/>
              <w:jc w:val="center"/>
              <w:rPr>
                <w:rFonts w:cs="Times New Roman"/>
                <w:b/>
                <w:sz w:val="24"/>
                <w:szCs w:val="24"/>
              </w:rPr>
            </w:pPr>
            <w:r w:rsidRPr="00C219ED">
              <w:rPr>
                <w:rFonts w:cs="Times New Roman"/>
                <w:b/>
                <w:sz w:val="24"/>
                <w:szCs w:val="24"/>
              </w:rPr>
              <w:t>Alleged assault by nurse</w:t>
            </w:r>
          </w:p>
          <w:p w:rsidR="008130FF" w:rsidRPr="00C219ED" w:rsidRDefault="008130FF" w:rsidP="008130FF">
            <w:r w:rsidRPr="00C219ED">
              <w:t>A woman with a history of serious self-harm incidents and assaultive behaviour towards staff and co-clients became a care recipient under the Intellectual Disability (Compulsory Care and Rehabilitation) Act 2003, and was admitted to a mental health facility. She had been assessed as needing a high level of health care. The woman was restrained by a nurse when she was found jumping from chairs in her bedroom.  The woman required full floor restraint and was escorted to the soft room in the de-escalation area.  The woman complained that she was assaulted by the nurse during the restraint, saying s</w:t>
            </w:r>
            <w:r w:rsidR="00797CC2" w:rsidRPr="00C219ED">
              <w:t>he was punched twice in the ear, causing her ear to bleed.</w:t>
            </w:r>
          </w:p>
          <w:p w:rsidR="008130FF" w:rsidRPr="00C219ED" w:rsidRDefault="008130FF" w:rsidP="008130FF"/>
          <w:p w:rsidR="008130FF" w:rsidRPr="00C219ED" w:rsidRDefault="008130FF" w:rsidP="008130FF">
            <w:r w:rsidRPr="00C219ED">
              <w:t>The nurse denied the assault. The DHB undertook an internal review and concluded that the incident did not occur in the way alleged by the woman and that staff had acted appropriately. The woman’s account about what had happened had included some inconsistencies.</w:t>
            </w:r>
          </w:p>
          <w:p w:rsidR="008130FF" w:rsidRPr="00C219ED" w:rsidRDefault="008130FF" w:rsidP="008130FF"/>
          <w:p w:rsidR="008130FF" w:rsidRPr="00C219ED" w:rsidRDefault="008130FF" w:rsidP="008130FF">
            <w:r w:rsidRPr="00C219ED">
              <w:t>The Ministry of Health had recently reviewed intellectual disability secure services including the facility concerned.  Findings indicated that the one-on-one supervision regime was not adequa</w:t>
            </w:r>
            <w:r w:rsidR="00797CC2" w:rsidRPr="00C219ED">
              <w:t>te and that increased training wa</w:t>
            </w:r>
            <w:r w:rsidRPr="00C219ED">
              <w:t>s needed for staff.</w:t>
            </w:r>
          </w:p>
          <w:p w:rsidR="008130FF" w:rsidRPr="00C219ED" w:rsidRDefault="008130FF" w:rsidP="008130FF"/>
          <w:p w:rsidR="008130FF" w:rsidRPr="00797CC2" w:rsidRDefault="008130FF" w:rsidP="008130FF">
            <w:pPr>
              <w:spacing w:after="120"/>
              <w:rPr>
                <w:lang w:val="en-AU" w:bidi="ar-SA"/>
              </w:rPr>
            </w:pPr>
            <w:r w:rsidRPr="00C219ED">
              <w:t>The Deputy Commissioner considered that further action by HDC would not do anything to assist in confirming what happened in relation to the alleged assault, and made a decision to take no further action on the complaint. However, the Deputy Commissioner decided to follow up changes made a</w:t>
            </w:r>
            <w:r w:rsidR="00797CC2" w:rsidRPr="00C219ED">
              <w:t>t the DHB to ensure they were</w:t>
            </w:r>
            <w:r w:rsidRPr="00C219ED">
              <w:t xml:space="preserve"> implemented and effective in addressing shortcomings identified by the Ministry of Health review.  She wrote to the DHB highlighting the importance of supervision, adequate training of staff dealing with complex clients and ensuring incidents are reported appropriately.  She also asked the DHB to provide to HDC a report on changes made in response to the Ministry’s report.</w:t>
            </w:r>
          </w:p>
        </w:tc>
      </w:tr>
    </w:tbl>
    <w:p w:rsidR="008130FF" w:rsidRPr="00797CC2" w:rsidRDefault="008130FF" w:rsidP="00D30C28">
      <w:pPr>
        <w:rPr>
          <w:lang w:val="en-AU" w:bidi="ar-SA"/>
        </w:rPr>
      </w:pPr>
    </w:p>
    <w:p w:rsidR="00D30C28" w:rsidRPr="00797CC2" w:rsidRDefault="0081555B" w:rsidP="00D30C28">
      <w:pPr>
        <w:rPr>
          <w:lang w:eastAsia="en-NZ" w:bidi="ar-SA"/>
        </w:rPr>
      </w:pPr>
      <w:r w:rsidRPr="00797CC2">
        <w:rPr>
          <w:lang w:val="en-AU" w:bidi="ar-SA"/>
        </w:rPr>
        <w:t>Where appropriate, the Commissioner may formally investigate</w:t>
      </w:r>
      <w:r w:rsidR="008130FF" w:rsidRPr="00797CC2">
        <w:rPr>
          <w:lang w:val="en-AU" w:bidi="ar-SA"/>
        </w:rPr>
        <w:t xml:space="preserve"> a complaint. </w:t>
      </w:r>
      <w:r w:rsidRPr="00797CC2">
        <w:rPr>
          <w:lang w:val="en-AU" w:bidi="ar-SA"/>
        </w:rPr>
        <w:t xml:space="preserve">Once HDC has notified the parties that a complaint is to be investigated, the complaint is classified by HDC as a formal investigation, even though an </w:t>
      </w:r>
      <w:r w:rsidR="00651899" w:rsidRPr="00797CC2">
        <w:t xml:space="preserve">alternative manner of resolution may subsequently be adopted. Notification of </w:t>
      </w:r>
      <w:r w:rsidR="0081149D" w:rsidRPr="00797CC2">
        <w:t xml:space="preserve">formal </w:t>
      </w:r>
      <w:r w:rsidR="00651899" w:rsidRPr="00797CC2">
        <w:t xml:space="preserve">investigation generally indicates more serious or </w:t>
      </w:r>
      <w:r w:rsidR="00651899" w:rsidRPr="00797CC2">
        <w:rPr>
          <w:lang w:eastAsia="en-NZ" w:bidi="ar-SA"/>
        </w:rPr>
        <w:t>complex issues.</w:t>
      </w:r>
      <w:r w:rsidR="008E3A10" w:rsidRPr="00797CC2">
        <w:rPr>
          <w:lang w:eastAsia="en-NZ" w:bidi="ar-SA"/>
        </w:rPr>
        <w:t xml:space="preserve"> </w:t>
      </w:r>
    </w:p>
    <w:p w:rsidR="00DA6001" w:rsidRPr="00797CC2" w:rsidRDefault="00DA6001" w:rsidP="00D30C28">
      <w:pPr>
        <w:rPr>
          <w:lang w:eastAsia="en-NZ" w:bidi="ar-SA"/>
        </w:rPr>
      </w:pPr>
    </w:p>
    <w:p w:rsidR="00524A9C" w:rsidRPr="00797CC2" w:rsidRDefault="00F27427" w:rsidP="00524A9C">
      <w:pPr>
        <w:rPr>
          <w:lang w:eastAsia="en-NZ" w:bidi="ar-SA"/>
        </w:rPr>
      </w:pPr>
      <w:r w:rsidRPr="00797CC2">
        <w:rPr>
          <w:lang w:eastAsia="en-NZ" w:bidi="ar-SA"/>
        </w:rPr>
        <w:t xml:space="preserve">In appropriate cases, the Commissioner may decide to refer a provider who has been found in breach of the Code to the Director of Proceedings.  The Director of Proceedings then makes an independent decision about whether to bring proceedings against the provider in either the Health Practitioners Disciplinary Tribunal (if the provider is an individual health practitioner) or in the Human Rights Review Tribunal.  </w:t>
      </w:r>
      <w:r w:rsidR="00AD4CCB" w:rsidRPr="00797CC2">
        <w:rPr>
          <w:lang w:eastAsia="en-NZ" w:bidi="ar-SA"/>
        </w:rPr>
        <w:t xml:space="preserve">Referral to the Director of Proceedings only occurs in the most serious of cases, and referral of a DHB is relatively uncommon.  </w:t>
      </w:r>
    </w:p>
    <w:p w:rsidR="008130FF" w:rsidRPr="00797CC2" w:rsidRDefault="008130FF"/>
    <w:p w:rsidR="001063FD" w:rsidRPr="00797CC2" w:rsidRDefault="001063FD" w:rsidP="008130FF">
      <w:r w:rsidRPr="00797CC2">
        <w:br w:type="page"/>
      </w:r>
    </w:p>
    <w:tbl>
      <w:tblPr>
        <w:tblStyle w:val="TableGrid"/>
        <w:tblpPr w:leftFromText="180" w:rightFromText="180" w:vertAnchor="text" w:horzAnchor="margin" w:tblpY="-118"/>
        <w:tblW w:w="9180"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180"/>
      </w:tblGrid>
      <w:tr w:rsidR="001063FD" w:rsidRPr="00797CC2" w:rsidTr="00C219ED">
        <w:tc>
          <w:tcPr>
            <w:tcW w:w="9180" w:type="dxa"/>
          </w:tcPr>
          <w:p w:rsidR="001063FD" w:rsidRPr="00C219ED" w:rsidRDefault="001063FD" w:rsidP="001063FD">
            <w:pPr>
              <w:jc w:val="center"/>
              <w:rPr>
                <w:b/>
                <w:sz w:val="28"/>
                <w:szCs w:val="28"/>
                <w:lang w:eastAsia="en-NZ"/>
              </w:rPr>
            </w:pPr>
            <w:r w:rsidRPr="00C219ED">
              <w:rPr>
                <w:b/>
                <w:sz w:val="28"/>
                <w:szCs w:val="28"/>
                <w:lang w:eastAsia="en-NZ"/>
              </w:rPr>
              <w:t>Case studies</w:t>
            </w:r>
          </w:p>
          <w:p w:rsidR="001063FD" w:rsidRPr="00C219ED" w:rsidRDefault="001063FD" w:rsidP="00E77A54">
            <w:pPr>
              <w:spacing w:after="120"/>
              <w:jc w:val="center"/>
              <w:rPr>
                <w:b/>
                <w:sz w:val="28"/>
                <w:szCs w:val="28"/>
                <w:lang w:eastAsia="en-NZ"/>
              </w:rPr>
            </w:pPr>
            <w:r w:rsidRPr="00C219ED">
              <w:rPr>
                <w:b/>
                <w:sz w:val="28"/>
                <w:szCs w:val="28"/>
                <w:lang w:eastAsia="en-NZ"/>
              </w:rPr>
              <w:t>DHB found in breach of the Code</w:t>
            </w:r>
          </w:p>
          <w:p w:rsidR="001063FD" w:rsidRPr="00C219ED" w:rsidRDefault="001063FD" w:rsidP="001063FD">
            <w:pPr>
              <w:spacing w:after="120"/>
              <w:jc w:val="center"/>
              <w:rPr>
                <w:b/>
                <w:szCs w:val="22"/>
              </w:rPr>
            </w:pPr>
            <w:r w:rsidRPr="00C219ED">
              <w:rPr>
                <w:b/>
                <w:sz w:val="24"/>
              </w:rPr>
              <w:t>Failure to follow-up chest x-ray results</w:t>
            </w:r>
            <w:r w:rsidRPr="00C219ED">
              <w:rPr>
                <w:b/>
                <w:szCs w:val="22"/>
              </w:rPr>
              <w:t xml:space="preserve"> </w:t>
            </w:r>
          </w:p>
          <w:p w:rsidR="001063FD" w:rsidRPr="00C219ED" w:rsidRDefault="001063FD" w:rsidP="001063FD">
            <w:pPr>
              <w:keepNext/>
              <w:keepLines/>
              <w:spacing w:before="120" w:after="120"/>
              <w:rPr>
                <w:szCs w:val="22"/>
              </w:rPr>
            </w:pPr>
            <w:r w:rsidRPr="00C219ED">
              <w:rPr>
                <w:szCs w:val="22"/>
              </w:rPr>
              <w:t xml:space="preserve">A woman </w:t>
            </w:r>
            <w:r w:rsidR="00797CC2" w:rsidRPr="00C219ED">
              <w:rPr>
                <w:szCs w:val="22"/>
              </w:rPr>
              <w:t xml:space="preserve">in her mid-sixties </w:t>
            </w:r>
            <w:r w:rsidRPr="00C219ED">
              <w:rPr>
                <w:szCs w:val="22"/>
              </w:rPr>
              <w:t>with a history of heavy smoking attended the Dental Unit of a public hospital for removal of all her teeth under general anaesthetic.   At a pre-anaesthetic assessment a heart murmur was detected and an ECG showed sinus tachycardia. A chest x-ray the next day showed an abnormal opacity on the lung and the radiologist recommended a follow-up investigation. However, the request for the chest X-ray was not recorded, wording of the report was unclear and the process of “red flagging” the abnormal result was not followed. The x-ray result was automatically faxed to the Dental Unit where no-one sighted the results and they were not put on the woman’s file.</w:t>
            </w:r>
          </w:p>
          <w:p w:rsidR="001063FD" w:rsidRPr="00C219ED" w:rsidRDefault="001063FD" w:rsidP="001063FD">
            <w:pPr>
              <w:spacing w:after="120"/>
              <w:rPr>
                <w:szCs w:val="22"/>
              </w:rPr>
            </w:pPr>
            <w:r w:rsidRPr="00C219ED">
              <w:rPr>
                <w:szCs w:val="22"/>
              </w:rPr>
              <w:t xml:space="preserve">A different anaesthetist checked the woman’s medical history and notes from the pre-anaesthetic assessment prior to the operation but did not review the woman’s heart murmur. There was no record that an x-ray had been requested.  Surgery went ahead, and the woman was discharged home.  A year later the woman was diagnosed with an inoperable carcinoma with metastases. </w:t>
            </w:r>
          </w:p>
          <w:p w:rsidR="001063FD" w:rsidRPr="00C219ED" w:rsidRDefault="001063FD" w:rsidP="00A8357D">
            <w:pPr>
              <w:spacing w:after="120"/>
              <w:rPr>
                <w:szCs w:val="22"/>
              </w:rPr>
            </w:pPr>
            <w:r w:rsidRPr="00C219ED">
              <w:rPr>
                <w:szCs w:val="22"/>
              </w:rPr>
              <w:t>The Commissioner found that the failure to follow up the abnormality on the chest x-ray occurred in the context of serious organisational and systemic failures by the DHB. In particular, an effective and formalised system for reporting test results was not in place. It was held that the DHB breached the Code.</w:t>
            </w:r>
            <w:r w:rsidR="00A8357D" w:rsidRPr="00C219ED">
              <w:rPr>
                <w:szCs w:val="22"/>
              </w:rPr>
              <w:t xml:space="preserve">  </w:t>
            </w:r>
            <w:r w:rsidRPr="00C219ED">
              <w:rPr>
                <w:szCs w:val="22"/>
              </w:rPr>
              <w:t xml:space="preserve">The radiologist was also found to have breached the Code by failing to bring the abnormal result to the attention of clinicians caring for the woman, as was the second anaesthetist due to his failure to address the woman’s heart murmur.  The Commissioner also criticised the documentation of the first anaesthetist, but did not </w:t>
            </w:r>
            <w:r w:rsidR="00A8357D" w:rsidRPr="00C219ED">
              <w:rPr>
                <w:szCs w:val="22"/>
              </w:rPr>
              <w:t>find that anaesthetist had breached the Code.</w:t>
            </w:r>
          </w:p>
          <w:p w:rsidR="001063FD" w:rsidRPr="00C219ED" w:rsidRDefault="001063FD" w:rsidP="001063FD">
            <w:pPr>
              <w:rPr>
                <w:szCs w:val="22"/>
              </w:rPr>
            </w:pPr>
          </w:p>
          <w:p w:rsidR="001063FD" w:rsidRPr="00C219ED" w:rsidRDefault="001063FD" w:rsidP="001063FD">
            <w:pPr>
              <w:rPr>
                <w:szCs w:val="22"/>
              </w:rPr>
            </w:pPr>
            <w:r w:rsidRPr="00C219ED">
              <w:rPr>
                <w:szCs w:val="22"/>
              </w:rPr>
              <w:t xml:space="preserve">The Commissioner made detailed recommendations to the DHB, to be attended to as a matter of priority. In particular, he recommended that the anaesthetic department review and develop a formalised process governing follow-up of investigations ordered at pre-anaesthesia clinics. The Commissioner also recommended that the DHB provide an evaluative report on the effectiveness of all system changes implemented as result of the case.  </w:t>
            </w:r>
            <w:r w:rsidR="00A8357D" w:rsidRPr="00C219ED">
              <w:rPr>
                <w:szCs w:val="22"/>
              </w:rPr>
              <w:t>HDC has received a comprehensive report from the DHB setting out the changes made by the DHB in response to the complaint and the effectiveness of those changes.</w:t>
            </w:r>
          </w:p>
          <w:p w:rsidR="001063FD" w:rsidRPr="00C219ED" w:rsidRDefault="001063FD" w:rsidP="001063FD">
            <w:pPr>
              <w:jc w:val="left"/>
              <w:rPr>
                <w:b/>
              </w:rPr>
            </w:pPr>
          </w:p>
          <w:p w:rsidR="001063FD" w:rsidRPr="00C219ED" w:rsidRDefault="001063FD" w:rsidP="001063FD">
            <w:pPr>
              <w:spacing w:after="120"/>
              <w:jc w:val="center"/>
              <w:rPr>
                <w:i/>
                <w:szCs w:val="22"/>
              </w:rPr>
            </w:pPr>
            <w:r w:rsidRPr="00C219ED">
              <w:rPr>
                <w:b/>
                <w:sz w:val="24"/>
              </w:rPr>
              <w:t>Concentrated feeding and fluid balance assessment of baby</w:t>
            </w:r>
            <w:r w:rsidRPr="00C219ED">
              <w:rPr>
                <w:b/>
                <w:szCs w:val="22"/>
              </w:rPr>
              <w:t xml:space="preserve"> </w:t>
            </w:r>
          </w:p>
          <w:p w:rsidR="001063FD" w:rsidRPr="00C219ED" w:rsidRDefault="001063FD" w:rsidP="001063FD">
            <w:pPr>
              <w:tabs>
                <w:tab w:val="left" w:pos="720"/>
                <w:tab w:val="left" w:pos="1134"/>
              </w:tabs>
              <w:spacing w:before="120" w:after="120"/>
              <w:rPr>
                <w:szCs w:val="22"/>
              </w:rPr>
            </w:pPr>
            <w:r w:rsidRPr="00C219ED">
              <w:rPr>
                <w:szCs w:val="22"/>
              </w:rPr>
              <w:t xml:space="preserve">An 11 month-old child was admitted to a public hospital for management of on-going issues with vomiting and oral aversion, and poor weight gain. A treatment plan of concentrated feeding was developed. The baby responded well but then developed a </w:t>
            </w:r>
            <w:r w:rsidR="007B4263" w:rsidRPr="00C219ED">
              <w:rPr>
                <w:szCs w:val="22"/>
              </w:rPr>
              <w:t>rotavirus</w:t>
            </w:r>
            <w:r w:rsidRPr="00C219ED">
              <w:rPr>
                <w:szCs w:val="22"/>
              </w:rPr>
              <w:t xml:space="preserve"> infection with increasing vomiting and diarrhoea. Over several days the baby’s condition deteriorated until she collapsed and sadly died with </w:t>
            </w:r>
            <w:r w:rsidR="007B4263" w:rsidRPr="00C219ED">
              <w:rPr>
                <w:szCs w:val="22"/>
              </w:rPr>
              <w:t>hypernatremia</w:t>
            </w:r>
            <w:r w:rsidRPr="00C219ED">
              <w:rPr>
                <w:szCs w:val="22"/>
              </w:rPr>
              <w:t xml:space="preserve"> and severe dehydration. </w:t>
            </w:r>
          </w:p>
          <w:p w:rsidR="001063FD" w:rsidRPr="00C219ED" w:rsidRDefault="001063FD" w:rsidP="001063FD">
            <w:pPr>
              <w:tabs>
                <w:tab w:val="left" w:pos="720"/>
                <w:tab w:val="left" w:pos="1134"/>
              </w:tabs>
              <w:spacing w:after="120"/>
              <w:rPr>
                <w:szCs w:val="22"/>
              </w:rPr>
            </w:pPr>
            <w:r w:rsidRPr="00C219ED">
              <w:rPr>
                <w:szCs w:val="22"/>
              </w:rPr>
              <w:t xml:space="preserve">The Commissioner found that a number of service failures led to the baby receiving sub-optimal care and treatment in the period following her diagnosis with rotavirus. From a clinical perspective, the Commissioner considered that there was inadequate monitoring of the baby’s fluid balance and weight, that clinicians should have considered whether to continue concentrated feeds given the diarrhoea, and that there was a failure to arrange medical review the night before the baby died. </w:t>
            </w:r>
          </w:p>
          <w:p w:rsidR="001063FD" w:rsidRPr="00C219ED" w:rsidRDefault="001063FD" w:rsidP="001063FD">
            <w:pPr>
              <w:spacing w:after="120"/>
              <w:rPr>
                <w:i/>
                <w:szCs w:val="22"/>
              </w:rPr>
            </w:pPr>
            <w:r w:rsidRPr="00C219ED">
              <w:rPr>
                <w:szCs w:val="22"/>
              </w:rPr>
              <w:t>The Commissioner found that poor communication within the multi-disciplinary team in regard to the rotavirus diagnosis led to missed opportunities for review of the treatment plan, and that this was a breach of the Code.</w:t>
            </w:r>
            <w:r w:rsidRPr="00C219ED">
              <w:rPr>
                <w:i/>
                <w:szCs w:val="22"/>
              </w:rPr>
              <w:t xml:space="preserve"> </w:t>
            </w:r>
          </w:p>
          <w:p w:rsidR="001063FD" w:rsidRPr="00085EFD" w:rsidRDefault="001063FD" w:rsidP="00085EFD">
            <w:pPr>
              <w:spacing w:after="120"/>
              <w:rPr>
                <w:b/>
                <w:szCs w:val="22"/>
              </w:rPr>
            </w:pPr>
            <w:r w:rsidRPr="00C219ED">
              <w:rPr>
                <w:szCs w:val="22"/>
              </w:rPr>
              <w:t>As a result of recommendations made by the Commissioner, the DHB has reviewed its nursing handover systems, the level of support and oversight available to junior doctors, and the content of paediatric fluid balance charts.  The Commissioner also requested reports on the progress of the DHB’s improvements, including the implementation of an Early Warning Score system and new gastroenteritis guidelines</w:t>
            </w:r>
            <w:r w:rsidR="00A8357D" w:rsidRPr="00C219ED">
              <w:rPr>
                <w:szCs w:val="22"/>
              </w:rPr>
              <w:t>.  These recommendations have been complied with.</w:t>
            </w:r>
          </w:p>
          <w:p w:rsidR="00894AEC" w:rsidRPr="00C219ED" w:rsidRDefault="00894AEC" w:rsidP="00894AEC">
            <w:pPr>
              <w:jc w:val="center"/>
              <w:rPr>
                <w:b/>
                <w:sz w:val="28"/>
                <w:szCs w:val="28"/>
                <w:lang w:eastAsia="en-NZ"/>
              </w:rPr>
            </w:pPr>
            <w:r w:rsidRPr="00C219ED">
              <w:rPr>
                <w:b/>
                <w:sz w:val="28"/>
                <w:szCs w:val="28"/>
                <w:lang w:eastAsia="en-NZ"/>
              </w:rPr>
              <w:t>Case studies</w:t>
            </w:r>
          </w:p>
          <w:p w:rsidR="00894AEC" w:rsidRPr="00894AEC" w:rsidRDefault="00894AEC" w:rsidP="00894AEC">
            <w:pPr>
              <w:spacing w:after="120"/>
              <w:jc w:val="center"/>
              <w:rPr>
                <w:b/>
                <w:sz w:val="28"/>
                <w:szCs w:val="28"/>
                <w:lang w:eastAsia="en-NZ"/>
              </w:rPr>
            </w:pPr>
            <w:r w:rsidRPr="00C219ED">
              <w:rPr>
                <w:b/>
                <w:sz w:val="28"/>
                <w:szCs w:val="28"/>
                <w:lang w:eastAsia="en-NZ"/>
              </w:rPr>
              <w:t>DHB found in breach of the Code</w:t>
            </w:r>
          </w:p>
          <w:p w:rsidR="001063FD" w:rsidRPr="00C219ED" w:rsidRDefault="001063FD" w:rsidP="001063FD">
            <w:pPr>
              <w:jc w:val="center"/>
              <w:rPr>
                <w:b/>
              </w:rPr>
            </w:pPr>
            <w:r w:rsidRPr="00C219ED">
              <w:rPr>
                <w:b/>
              </w:rPr>
              <w:t xml:space="preserve">Failure to provide information about infertility to young man prior to chemotherapy </w:t>
            </w:r>
          </w:p>
          <w:p w:rsidR="001063FD" w:rsidRPr="00C219ED" w:rsidRDefault="001063FD" w:rsidP="001063FD"/>
          <w:p w:rsidR="001063FD" w:rsidRPr="00C219ED" w:rsidRDefault="001063FD" w:rsidP="001063FD">
            <w:r w:rsidRPr="00C219ED">
              <w:t xml:space="preserve">When Mr A was 14 years old, he underwent a biopsy which indicated that he had Ewing sarcoma (cancer) of the pelvis. Mr A was admitted to hospital five days later for surgical treatment, to be followed by chemotherapy treatment. </w:t>
            </w:r>
          </w:p>
          <w:p w:rsidR="001063FD" w:rsidRPr="00C219ED" w:rsidRDefault="001063FD" w:rsidP="001063FD"/>
          <w:p w:rsidR="001063FD" w:rsidRPr="00C219ED" w:rsidRDefault="001063FD" w:rsidP="001063FD">
            <w:r w:rsidRPr="00C219ED">
              <w:t>On the morning of Mr A’s first chemotherapy treatment, the on-call paediatric oncologist met with Mr A and his parents to discuss the treatment. The oncologist mentioned the potential impact of chemotherapy on fertility, but did not em</w:t>
            </w:r>
            <w:r w:rsidR="003D15CC" w:rsidRPr="00C219ED">
              <w:t>phasise it. The discussion focu</w:t>
            </w:r>
            <w:r w:rsidRPr="00C219ED">
              <w:t xml:space="preserve">sed mainly on the potential adverse effects of the drugs to be used during the treatment. Mr A and his parents were provided with written information about the chemotherapy drugs, but those information sheets did not refer to the potential impact of chemotherapy on fertility.  The DHB advised that, at the time of the events, the normal process was for fertility to be discussed with the patient by an adolescent nurse specialist as part of a checklist prior to chemotherapy starting. However, on the relevant date, the nurse specialist was on leave and there was no apparent system in place to ensure that the checklist was covered by someone else in the nurse specialist’s absence. </w:t>
            </w:r>
          </w:p>
          <w:p w:rsidR="001063FD" w:rsidRPr="00C219ED" w:rsidRDefault="001063FD" w:rsidP="001063FD"/>
          <w:p w:rsidR="001063FD" w:rsidRPr="00C219ED" w:rsidRDefault="001063FD" w:rsidP="001063FD">
            <w:r w:rsidRPr="00C219ED">
              <w:t xml:space="preserve">The day after Mr A’s first chemotherapy treatment, a nurse mentioned fertility to Mr A and his parents when completing a routine checklist. Mr A’s mother was upset when advised of the risk of infertility. The next day, the oncologist met with Mr A and his parents to discuss fertility and the option of storing a sperm sample. Part of this discussion took place in private with Mr A, without his parents being present. </w:t>
            </w:r>
          </w:p>
          <w:p w:rsidR="001063FD" w:rsidRPr="00C219ED" w:rsidRDefault="001063FD" w:rsidP="001063FD"/>
          <w:p w:rsidR="001063FD" w:rsidRPr="00C219ED" w:rsidRDefault="001063FD" w:rsidP="001063FD">
            <w:r w:rsidRPr="00C219ED">
              <w:t>The Commissioner acknowledged the efficient and appropriate clinical care Mr A received overall in relation to his management from the point of diagnosis to the commencement of his chemotherapy. However, the Commissioner was concerned about the information Mr A was provided.  Prior to consenting to chemotherapy treatment, Mr A and his parents, who were his legal guardians at the time, were entitled to receive information about the risk of chemotherapy treatment in respect of fertility, and the option for banking sperm in light of that risk.  The Commissioner was critical of the oncologist’s failure to provide that information to Mr A prior to his first chemotherapy treatment, and his decision to, in the absence of Mr A’s pa</w:t>
            </w:r>
            <w:r w:rsidR="003D15CC" w:rsidRPr="00C219ED">
              <w:t>rents, discuss the option of</w:t>
            </w:r>
            <w:r w:rsidRPr="00C219ED">
              <w:t xml:space="preserve"> Mr A providing a sperm sample. </w:t>
            </w:r>
          </w:p>
          <w:p w:rsidR="001063FD" w:rsidRPr="00C219ED" w:rsidRDefault="001063FD" w:rsidP="001063FD">
            <w:pPr>
              <w:tabs>
                <w:tab w:val="left" w:pos="720"/>
              </w:tabs>
            </w:pPr>
          </w:p>
          <w:p w:rsidR="001063FD" w:rsidRPr="00C219ED" w:rsidRDefault="001063FD" w:rsidP="001063FD">
            <w:pPr>
              <w:tabs>
                <w:tab w:val="left" w:pos="720"/>
              </w:tabs>
            </w:pPr>
            <w:r w:rsidRPr="00C219ED">
              <w:t>The Commissioner found that the DHB breached the Code by failing to have adequate mechanisms in place at the time of these events to ensure the provision of fertility information and treatment options to consumers prior to them undertaking chemotherapy treatment.</w:t>
            </w:r>
          </w:p>
          <w:p w:rsidR="001063FD" w:rsidRPr="00C219ED" w:rsidRDefault="001063FD" w:rsidP="001063FD">
            <w:pPr>
              <w:keepNext/>
              <w:keepLines/>
              <w:tabs>
                <w:tab w:val="left" w:pos="720"/>
              </w:tabs>
            </w:pPr>
          </w:p>
          <w:p w:rsidR="001063FD" w:rsidRPr="00797CC2" w:rsidRDefault="001063FD" w:rsidP="007853C7">
            <w:pPr>
              <w:keepNext/>
              <w:keepLines/>
              <w:tabs>
                <w:tab w:val="left" w:pos="720"/>
              </w:tabs>
              <w:spacing w:after="120"/>
              <w:rPr>
                <w:b/>
              </w:rPr>
            </w:pPr>
            <w:r w:rsidRPr="00C219ED">
              <w:t>The Commissioner noted that steps had been taken since that time to improve the provision of information about fertility to consumers in these circumstances. Those steps include a number of initiatives undertaken at the DHB, as well as the establishment of a national Fertility Preservation Working Group responsible for developing nationally agreed approaches to minimise the impact of cancer and cancer treatment on future fertility of people of any age (the National Guidelines). The Commissioner encouraged all providers working in the area to adopt the National Guidelines and ensure that future practice is improved.  He also recommended that the DHB review its current policies, information sheets and practice with regard to discussions of infertility with pat</w:t>
            </w:r>
            <w:r w:rsidR="00E77A54" w:rsidRPr="00C219ED">
              <w:t xml:space="preserve">ients undergoing chemotherapy. </w:t>
            </w:r>
            <w:r w:rsidR="00E77A54" w:rsidRPr="00C219ED">
              <w:rPr>
                <w:szCs w:val="22"/>
              </w:rPr>
              <w:t xml:space="preserve"> These recommendations have been complied with.</w:t>
            </w:r>
          </w:p>
        </w:tc>
      </w:tr>
    </w:tbl>
    <w:p w:rsidR="001063FD" w:rsidRPr="00797CC2" w:rsidRDefault="001063FD" w:rsidP="00524A9C"/>
    <w:p w:rsidR="00524A9C" w:rsidRPr="00797CC2" w:rsidRDefault="00524A9C" w:rsidP="00524A9C">
      <w:pPr>
        <w:rPr>
          <w:lang w:eastAsia="en-NZ"/>
        </w:rPr>
      </w:pPr>
    </w:p>
    <w:p w:rsidR="005D4251" w:rsidRPr="00797CC2" w:rsidRDefault="005D4251">
      <w:pPr>
        <w:rPr>
          <w:b/>
          <w:lang w:eastAsia="en-NZ" w:bidi="ar-SA"/>
        </w:rPr>
      </w:pPr>
      <w:r w:rsidRPr="00797CC2">
        <w:rPr>
          <w:b/>
          <w:lang w:eastAsia="en-NZ" w:bidi="ar-SA"/>
        </w:rPr>
        <w:br w:type="page"/>
      </w:r>
    </w:p>
    <w:p w:rsidR="00524A9C" w:rsidRPr="00797CC2" w:rsidRDefault="00524A9C" w:rsidP="00291ADA">
      <w:pPr>
        <w:pStyle w:val="Heading3"/>
        <w:rPr>
          <w:b/>
          <w:i w:val="0"/>
          <w:sz w:val="28"/>
          <w:szCs w:val="28"/>
          <w:lang w:eastAsia="en-NZ" w:bidi="ar-SA"/>
        </w:rPr>
      </w:pPr>
      <w:bookmarkStart w:id="30" w:name="_Toc404344437"/>
      <w:r w:rsidRPr="00797CC2">
        <w:rPr>
          <w:b/>
          <w:i w:val="0"/>
          <w:sz w:val="28"/>
          <w:szCs w:val="28"/>
          <w:lang w:eastAsia="en-NZ" w:bidi="ar-SA"/>
        </w:rPr>
        <w:t>2.2</w:t>
      </w:r>
      <w:r w:rsidRPr="00797CC2">
        <w:rPr>
          <w:b/>
          <w:i w:val="0"/>
          <w:sz w:val="28"/>
          <w:szCs w:val="28"/>
          <w:lang w:eastAsia="en-NZ" w:bidi="ar-SA"/>
        </w:rPr>
        <w:tab/>
        <w:t>Manner of resolution and outcomes in complaints closed</w:t>
      </w:r>
      <w:bookmarkEnd w:id="30"/>
    </w:p>
    <w:p w:rsidR="00524A9C" w:rsidRPr="00797CC2" w:rsidRDefault="00524A9C" w:rsidP="00D30C28">
      <w:pPr>
        <w:rPr>
          <w:lang w:eastAsia="en-NZ" w:bidi="ar-SA"/>
        </w:rPr>
      </w:pPr>
    </w:p>
    <w:p w:rsidR="00E606D2" w:rsidRPr="00797CC2" w:rsidRDefault="00E606D2" w:rsidP="00D30C28">
      <w:pPr>
        <w:rPr>
          <w:lang w:eastAsia="en-NZ" w:bidi="ar-SA"/>
        </w:rPr>
      </w:pPr>
      <w:r w:rsidRPr="00797CC2">
        <w:rPr>
          <w:lang w:eastAsia="en-NZ" w:bidi="ar-SA"/>
        </w:rPr>
        <w:t xml:space="preserve">The manner of resolution and outcomes for all DHB complaints closed in the 2013/14 year is shown in Table </w:t>
      </w:r>
      <w:r w:rsidR="001063FD" w:rsidRPr="00797CC2">
        <w:rPr>
          <w:lang w:eastAsia="en-NZ" w:bidi="ar-SA"/>
        </w:rPr>
        <w:t>5</w:t>
      </w:r>
      <w:r w:rsidRPr="00797CC2">
        <w:rPr>
          <w:lang w:eastAsia="en-NZ" w:bidi="ar-SA"/>
        </w:rPr>
        <w:t xml:space="preserve"> below.  It should be noted that outcomes are </w:t>
      </w:r>
      <w:r w:rsidRPr="00C219ED">
        <w:rPr>
          <w:lang w:eastAsia="en-NZ" w:bidi="ar-SA"/>
        </w:rPr>
        <w:t>displayed in</w:t>
      </w:r>
      <w:r w:rsidR="00797CC2" w:rsidRPr="00C219ED">
        <w:rPr>
          <w:lang w:eastAsia="en-NZ" w:bidi="ar-SA"/>
        </w:rPr>
        <w:t xml:space="preserve"> a</w:t>
      </w:r>
      <w:r w:rsidRPr="00C219ED">
        <w:rPr>
          <w:lang w:eastAsia="en-NZ" w:bidi="ar-SA"/>
        </w:rPr>
        <w:t xml:space="preserve"> descending order.  If there</w:t>
      </w:r>
      <w:r w:rsidRPr="00797CC2">
        <w:rPr>
          <w:lang w:eastAsia="en-NZ" w:bidi="ar-SA"/>
        </w:rPr>
        <w:t xml:space="preserve"> is more than one outcome for a DHB upon resolution of a complaint, then only the outcome listed highest in the table is included.</w:t>
      </w:r>
    </w:p>
    <w:p w:rsidR="00E606D2" w:rsidRPr="00797CC2" w:rsidRDefault="00E606D2" w:rsidP="00D30C28">
      <w:pPr>
        <w:rPr>
          <w:lang w:eastAsia="en-NZ" w:bidi="ar-SA"/>
        </w:rPr>
      </w:pPr>
    </w:p>
    <w:p w:rsidR="00E606D2" w:rsidRPr="00797CC2" w:rsidRDefault="00E606D2" w:rsidP="00E606D2">
      <w:pPr>
        <w:spacing w:after="120"/>
        <w:rPr>
          <w:lang w:eastAsia="en-NZ" w:bidi="ar-SA"/>
        </w:rPr>
      </w:pPr>
      <w:r w:rsidRPr="00797CC2">
        <w:rPr>
          <w:b/>
        </w:rPr>
        <w:t xml:space="preserve">Table </w:t>
      </w:r>
      <w:r w:rsidR="001063FD" w:rsidRPr="00797CC2">
        <w:rPr>
          <w:b/>
        </w:rPr>
        <w:t>5</w:t>
      </w:r>
      <w:r w:rsidRPr="00797CC2">
        <w:rPr>
          <w:b/>
        </w:rPr>
        <w:t xml:space="preserve">. </w:t>
      </w:r>
      <w:r w:rsidRPr="00797CC2">
        <w:t xml:space="preserve">Outcome for DHBs of complaints closed </w:t>
      </w:r>
    </w:p>
    <w:tbl>
      <w:tblPr>
        <w:tblStyle w:val="TableGrid"/>
        <w:tblW w:w="5799" w:type="dxa"/>
        <w:tblInd w:w="114" w:type="dxa"/>
        <w:tblLook w:val="04A0" w:firstRow="1" w:lastRow="0" w:firstColumn="1" w:lastColumn="0" w:noHBand="0" w:noVBand="1"/>
      </w:tblPr>
      <w:tblGrid>
        <w:gridCol w:w="3271"/>
        <w:gridCol w:w="2528"/>
      </w:tblGrid>
      <w:tr w:rsidR="00E606D2" w:rsidRPr="00797CC2" w:rsidTr="00E606D2">
        <w:tc>
          <w:tcPr>
            <w:tcW w:w="3271" w:type="dxa"/>
          </w:tcPr>
          <w:p w:rsidR="00E606D2" w:rsidRPr="00797CC2" w:rsidRDefault="00E606D2" w:rsidP="00E606D2">
            <w:pPr>
              <w:keepNext/>
              <w:keepLines/>
              <w:tabs>
                <w:tab w:val="left" w:pos="1440"/>
                <w:tab w:val="decimal" w:pos="4320"/>
              </w:tabs>
              <w:spacing w:before="60"/>
              <w:jc w:val="left"/>
              <w:outlineLvl w:val="0"/>
              <w:rPr>
                <w:rFonts w:ascii="Calibri" w:hAnsi="Calibri"/>
                <w:b/>
                <w:szCs w:val="22"/>
              </w:rPr>
            </w:pPr>
            <w:r w:rsidRPr="00797CC2">
              <w:rPr>
                <w:rFonts w:ascii="Calibri" w:hAnsi="Calibri"/>
                <w:b/>
                <w:szCs w:val="22"/>
              </w:rPr>
              <w:br w:type="page"/>
              <w:t>Outcome</w:t>
            </w:r>
            <w:r w:rsidR="001063FD" w:rsidRPr="00797CC2">
              <w:rPr>
                <w:rFonts w:ascii="Calibri" w:hAnsi="Calibri"/>
                <w:b/>
                <w:szCs w:val="22"/>
              </w:rPr>
              <w:t xml:space="preserve"> for DHB</w:t>
            </w:r>
          </w:p>
        </w:tc>
        <w:tc>
          <w:tcPr>
            <w:tcW w:w="2528" w:type="dxa"/>
          </w:tcPr>
          <w:p w:rsidR="00E606D2" w:rsidRPr="00797CC2" w:rsidRDefault="00E606D2" w:rsidP="001063FD">
            <w:pPr>
              <w:keepNext/>
              <w:keepLines/>
              <w:tabs>
                <w:tab w:val="left" w:pos="1440"/>
                <w:tab w:val="decimal" w:pos="4320"/>
              </w:tabs>
              <w:spacing w:before="60"/>
              <w:jc w:val="center"/>
              <w:outlineLvl w:val="0"/>
              <w:rPr>
                <w:rFonts w:ascii="Calibri" w:hAnsi="Calibri"/>
                <w:b/>
                <w:szCs w:val="22"/>
              </w:rPr>
            </w:pPr>
            <w:r w:rsidRPr="00797CC2">
              <w:rPr>
                <w:rFonts w:ascii="Calibri" w:hAnsi="Calibri"/>
                <w:b/>
                <w:szCs w:val="22"/>
              </w:rPr>
              <w:t xml:space="preserve">Number of complaints </w:t>
            </w:r>
          </w:p>
          <w:p w:rsidR="001063FD" w:rsidRPr="00797CC2" w:rsidRDefault="001063FD" w:rsidP="001063FD">
            <w:pPr>
              <w:keepNext/>
              <w:keepLines/>
              <w:tabs>
                <w:tab w:val="left" w:pos="1440"/>
                <w:tab w:val="decimal" w:pos="4320"/>
              </w:tabs>
              <w:spacing w:before="60"/>
              <w:jc w:val="center"/>
              <w:outlineLvl w:val="0"/>
              <w:rPr>
                <w:rFonts w:ascii="Calibri" w:hAnsi="Calibri"/>
                <w:b/>
                <w:sz w:val="16"/>
                <w:szCs w:val="16"/>
              </w:rPr>
            </w:pPr>
          </w:p>
        </w:tc>
      </w:tr>
      <w:tr w:rsidR="00E606D2" w:rsidRPr="00797CC2" w:rsidTr="00C219ED">
        <w:tc>
          <w:tcPr>
            <w:tcW w:w="3271" w:type="dxa"/>
            <w:shd w:val="clear" w:color="auto" w:fill="C00000"/>
          </w:tcPr>
          <w:p w:rsidR="00E606D2" w:rsidRPr="00797CC2" w:rsidRDefault="00E606D2" w:rsidP="00E606D2">
            <w:pPr>
              <w:keepNext/>
              <w:keepLines/>
              <w:tabs>
                <w:tab w:val="left" w:pos="1440"/>
                <w:tab w:val="decimal" w:pos="4320"/>
              </w:tabs>
              <w:jc w:val="left"/>
              <w:outlineLvl w:val="0"/>
              <w:rPr>
                <w:rFonts w:ascii="Calibri" w:hAnsi="Calibri"/>
                <w:b/>
                <w:i/>
                <w:szCs w:val="22"/>
              </w:rPr>
            </w:pPr>
            <w:r w:rsidRPr="00797CC2">
              <w:rPr>
                <w:rFonts w:ascii="Calibri" w:hAnsi="Calibri"/>
                <w:b/>
                <w:i/>
                <w:szCs w:val="22"/>
              </w:rPr>
              <w:t>Investigation</w:t>
            </w:r>
          </w:p>
        </w:tc>
        <w:tc>
          <w:tcPr>
            <w:tcW w:w="2528" w:type="dxa"/>
            <w:shd w:val="clear" w:color="auto" w:fill="C00000"/>
            <w:vAlign w:val="center"/>
          </w:tcPr>
          <w:p w:rsidR="00E606D2" w:rsidRPr="00797CC2" w:rsidRDefault="00E606D2" w:rsidP="00E606D2">
            <w:pPr>
              <w:keepNext/>
              <w:keepLines/>
              <w:tabs>
                <w:tab w:val="left" w:pos="1440"/>
                <w:tab w:val="decimal" w:pos="4320"/>
              </w:tabs>
              <w:jc w:val="center"/>
              <w:outlineLvl w:val="0"/>
              <w:rPr>
                <w:rFonts w:ascii="Calibri" w:hAnsi="Calibri"/>
                <w:b/>
                <w:i/>
                <w:szCs w:val="22"/>
              </w:rPr>
            </w:pPr>
            <w:r w:rsidRPr="00797CC2">
              <w:rPr>
                <w:rFonts w:ascii="Calibri" w:hAnsi="Calibri"/>
                <w:b/>
                <w:i/>
                <w:szCs w:val="22"/>
              </w:rPr>
              <w:t>46</w:t>
            </w:r>
          </w:p>
        </w:tc>
      </w:tr>
      <w:tr w:rsidR="00E606D2" w:rsidRPr="00797CC2" w:rsidTr="00E606D2">
        <w:tc>
          <w:tcPr>
            <w:tcW w:w="3271" w:type="dxa"/>
          </w:tcPr>
          <w:p w:rsidR="00E606D2" w:rsidRPr="00797CC2" w:rsidRDefault="00E606D2" w:rsidP="00E606D2">
            <w:pPr>
              <w:keepNext/>
              <w:keepLines/>
              <w:tabs>
                <w:tab w:val="left" w:pos="1440"/>
                <w:tab w:val="decimal" w:pos="4320"/>
              </w:tabs>
              <w:jc w:val="left"/>
              <w:outlineLvl w:val="0"/>
              <w:rPr>
                <w:rFonts w:ascii="Calibri" w:hAnsi="Calibri"/>
                <w:szCs w:val="22"/>
              </w:rPr>
            </w:pPr>
            <w:r w:rsidRPr="00797CC2">
              <w:rPr>
                <w:rFonts w:ascii="Calibri" w:hAnsi="Calibri"/>
                <w:szCs w:val="22"/>
              </w:rPr>
              <w:t>Breach finding</w:t>
            </w:r>
          </w:p>
        </w:tc>
        <w:tc>
          <w:tcPr>
            <w:tcW w:w="2528" w:type="dxa"/>
            <w:vAlign w:val="center"/>
          </w:tcPr>
          <w:p w:rsidR="00E606D2" w:rsidRPr="00797CC2" w:rsidRDefault="00E606D2" w:rsidP="00E606D2">
            <w:pPr>
              <w:keepNext/>
              <w:keepLines/>
              <w:tabs>
                <w:tab w:val="left" w:pos="1440"/>
                <w:tab w:val="decimal" w:pos="4320"/>
              </w:tabs>
              <w:jc w:val="center"/>
              <w:outlineLvl w:val="0"/>
              <w:rPr>
                <w:rFonts w:ascii="Calibri" w:hAnsi="Calibri"/>
                <w:szCs w:val="22"/>
              </w:rPr>
            </w:pPr>
            <w:r w:rsidRPr="00797CC2">
              <w:rPr>
                <w:rFonts w:ascii="Calibri" w:hAnsi="Calibri"/>
                <w:szCs w:val="22"/>
              </w:rPr>
              <w:t>18</w:t>
            </w:r>
          </w:p>
        </w:tc>
      </w:tr>
      <w:tr w:rsidR="00E606D2" w:rsidRPr="00797CC2" w:rsidTr="00E606D2">
        <w:tc>
          <w:tcPr>
            <w:tcW w:w="3271" w:type="dxa"/>
          </w:tcPr>
          <w:p w:rsidR="00E606D2" w:rsidRPr="00797CC2" w:rsidRDefault="00E606D2" w:rsidP="00A8357D">
            <w:pPr>
              <w:keepNext/>
              <w:keepLines/>
              <w:tabs>
                <w:tab w:val="left" w:pos="1440"/>
                <w:tab w:val="decimal" w:pos="4320"/>
              </w:tabs>
              <w:jc w:val="left"/>
              <w:outlineLvl w:val="0"/>
              <w:rPr>
                <w:rFonts w:ascii="Calibri" w:hAnsi="Calibri"/>
                <w:szCs w:val="22"/>
              </w:rPr>
            </w:pPr>
            <w:r w:rsidRPr="00797CC2">
              <w:rPr>
                <w:rFonts w:ascii="Calibri" w:hAnsi="Calibri"/>
                <w:szCs w:val="22"/>
              </w:rPr>
              <w:t>No further action with follow-up or educational comment</w:t>
            </w:r>
          </w:p>
        </w:tc>
        <w:tc>
          <w:tcPr>
            <w:tcW w:w="2528" w:type="dxa"/>
            <w:vAlign w:val="center"/>
          </w:tcPr>
          <w:p w:rsidR="00E606D2" w:rsidRPr="00797CC2" w:rsidRDefault="00E606D2" w:rsidP="00E606D2">
            <w:pPr>
              <w:keepNext/>
              <w:keepLines/>
              <w:tabs>
                <w:tab w:val="left" w:pos="1440"/>
                <w:tab w:val="decimal" w:pos="4320"/>
              </w:tabs>
              <w:jc w:val="center"/>
              <w:outlineLvl w:val="0"/>
              <w:rPr>
                <w:rFonts w:ascii="Calibri" w:hAnsi="Calibri"/>
                <w:szCs w:val="22"/>
              </w:rPr>
            </w:pPr>
            <w:r w:rsidRPr="00797CC2">
              <w:rPr>
                <w:rFonts w:ascii="Calibri" w:hAnsi="Calibri"/>
                <w:szCs w:val="22"/>
              </w:rPr>
              <w:t>22</w:t>
            </w:r>
          </w:p>
        </w:tc>
      </w:tr>
      <w:tr w:rsidR="00E606D2" w:rsidRPr="00797CC2" w:rsidTr="00E606D2">
        <w:tc>
          <w:tcPr>
            <w:tcW w:w="3271" w:type="dxa"/>
          </w:tcPr>
          <w:p w:rsidR="00E606D2" w:rsidRPr="00797CC2" w:rsidRDefault="00E606D2" w:rsidP="00E606D2">
            <w:pPr>
              <w:keepNext/>
              <w:keepLines/>
              <w:tabs>
                <w:tab w:val="left" w:pos="1440"/>
                <w:tab w:val="decimal" w:pos="4320"/>
              </w:tabs>
              <w:jc w:val="left"/>
              <w:outlineLvl w:val="0"/>
              <w:rPr>
                <w:rFonts w:ascii="Calibri" w:hAnsi="Calibri"/>
                <w:szCs w:val="22"/>
              </w:rPr>
            </w:pPr>
            <w:r w:rsidRPr="00797CC2">
              <w:rPr>
                <w:rFonts w:ascii="Calibri" w:hAnsi="Calibri"/>
                <w:szCs w:val="22"/>
              </w:rPr>
              <w:t xml:space="preserve">No further action </w:t>
            </w:r>
          </w:p>
        </w:tc>
        <w:tc>
          <w:tcPr>
            <w:tcW w:w="2528" w:type="dxa"/>
            <w:vAlign w:val="center"/>
          </w:tcPr>
          <w:p w:rsidR="00E606D2" w:rsidRPr="00797CC2" w:rsidRDefault="001663CE" w:rsidP="00E606D2">
            <w:pPr>
              <w:keepNext/>
              <w:keepLines/>
              <w:tabs>
                <w:tab w:val="left" w:pos="1440"/>
                <w:tab w:val="decimal" w:pos="4320"/>
              </w:tabs>
              <w:jc w:val="center"/>
              <w:outlineLvl w:val="0"/>
              <w:rPr>
                <w:rFonts w:ascii="Calibri" w:hAnsi="Calibri"/>
                <w:szCs w:val="22"/>
              </w:rPr>
            </w:pPr>
            <w:r w:rsidRPr="00797CC2">
              <w:rPr>
                <w:rFonts w:ascii="Calibri" w:hAnsi="Calibri"/>
                <w:szCs w:val="22"/>
              </w:rPr>
              <w:t>4</w:t>
            </w:r>
          </w:p>
        </w:tc>
      </w:tr>
      <w:tr w:rsidR="001663CE" w:rsidRPr="00797CC2" w:rsidTr="00E606D2">
        <w:tc>
          <w:tcPr>
            <w:tcW w:w="3271" w:type="dxa"/>
          </w:tcPr>
          <w:p w:rsidR="001663CE" w:rsidRPr="00797CC2" w:rsidRDefault="001663CE" w:rsidP="00E606D2">
            <w:pPr>
              <w:keepNext/>
              <w:keepLines/>
              <w:tabs>
                <w:tab w:val="left" w:pos="1440"/>
                <w:tab w:val="decimal" w:pos="4320"/>
              </w:tabs>
              <w:jc w:val="left"/>
              <w:outlineLvl w:val="0"/>
              <w:rPr>
                <w:rFonts w:ascii="Calibri" w:hAnsi="Calibri"/>
                <w:szCs w:val="22"/>
              </w:rPr>
            </w:pPr>
            <w:r w:rsidRPr="00797CC2">
              <w:rPr>
                <w:rFonts w:ascii="Calibri" w:hAnsi="Calibri"/>
                <w:szCs w:val="22"/>
              </w:rPr>
              <w:t>No breach</w:t>
            </w:r>
          </w:p>
        </w:tc>
        <w:tc>
          <w:tcPr>
            <w:tcW w:w="2528" w:type="dxa"/>
            <w:vAlign w:val="center"/>
          </w:tcPr>
          <w:p w:rsidR="001663CE" w:rsidRPr="00797CC2" w:rsidRDefault="001663CE" w:rsidP="00E606D2">
            <w:pPr>
              <w:keepNext/>
              <w:keepLines/>
              <w:tabs>
                <w:tab w:val="left" w:pos="1440"/>
                <w:tab w:val="decimal" w:pos="4320"/>
              </w:tabs>
              <w:jc w:val="center"/>
              <w:outlineLvl w:val="0"/>
              <w:rPr>
                <w:rFonts w:ascii="Calibri" w:hAnsi="Calibri"/>
                <w:szCs w:val="22"/>
              </w:rPr>
            </w:pPr>
            <w:r w:rsidRPr="00797CC2">
              <w:rPr>
                <w:rFonts w:ascii="Calibri" w:hAnsi="Calibri"/>
                <w:szCs w:val="22"/>
              </w:rPr>
              <w:t>2</w:t>
            </w:r>
          </w:p>
        </w:tc>
      </w:tr>
      <w:tr w:rsidR="00E606D2" w:rsidRPr="00797CC2" w:rsidTr="00C219ED">
        <w:tc>
          <w:tcPr>
            <w:tcW w:w="3271" w:type="dxa"/>
            <w:shd w:val="clear" w:color="auto" w:fill="C00000"/>
          </w:tcPr>
          <w:p w:rsidR="00E606D2" w:rsidRPr="00797CC2" w:rsidRDefault="00E606D2" w:rsidP="00E606D2">
            <w:pPr>
              <w:keepNext/>
              <w:keepLines/>
              <w:tabs>
                <w:tab w:val="left" w:pos="1440"/>
                <w:tab w:val="decimal" w:pos="4320"/>
              </w:tabs>
              <w:jc w:val="left"/>
              <w:outlineLvl w:val="0"/>
              <w:rPr>
                <w:rFonts w:ascii="Calibri" w:hAnsi="Calibri"/>
                <w:b/>
                <w:i/>
                <w:szCs w:val="22"/>
              </w:rPr>
            </w:pPr>
            <w:r w:rsidRPr="00797CC2">
              <w:rPr>
                <w:rFonts w:ascii="Calibri" w:hAnsi="Calibri"/>
                <w:b/>
                <w:i/>
                <w:szCs w:val="22"/>
              </w:rPr>
              <w:t>Non-investigation</w:t>
            </w:r>
          </w:p>
        </w:tc>
        <w:tc>
          <w:tcPr>
            <w:tcW w:w="2528" w:type="dxa"/>
            <w:shd w:val="clear" w:color="auto" w:fill="C00000"/>
            <w:vAlign w:val="center"/>
          </w:tcPr>
          <w:p w:rsidR="00E606D2" w:rsidRPr="00797CC2" w:rsidRDefault="00E606D2" w:rsidP="00E606D2">
            <w:pPr>
              <w:keepNext/>
              <w:keepLines/>
              <w:tabs>
                <w:tab w:val="left" w:pos="1440"/>
                <w:tab w:val="decimal" w:pos="4320"/>
              </w:tabs>
              <w:jc w:val="center"/>
              <w:outlineLvl w:val="0"/>
              <w:rPr>
                <w:rFonts w:ascii="Calibri" w:hAnsi="Calibri"/>
                <w:b/>
                <w:i/>
                <w:szCs w:val="22"/>
              </w:rPr>
            </w:pPr>
            <w:r w:rsidRPr="00797CC2">
              <w:rPr>
                <w:rFonts w:ascii="Calibri" w:hAnsi="Calibri"/>
                <w:b/>
                <w:i/>
                <w:szCs w:val="22"/>
              </w:rPr>
              <w:t>619</w:t>
            </w:r>
          </w:p>
        </w:tc>
      </w:tr>
      <w:tr w:rsidR="00E606D2" w:rsidRPr="00797CC2" w:rsidTr="00E606D2">
        <w:tc>
          <w:tcPr>
            <w:tcW w:w="3271" w:type="dxa"/>
          </w:tcPr>
          <w:p w:rsidR="00E606D2" w:rsidRPr="00797CC2" w:rsidRDefault="00E606D2" w:rsidP="00E606D2">
            <w:pPr>
              <w:keepNext/>
              <w:keepLines/>
              <w:tabs>
                <w:tab w:val="left" w:pos="1440"/>
                <w:tab w:val="decimal" w:pos="4320"/>
              </w:tabs>
              <w:jc w:val="left"/>
              <w:outlineLvl w:val="0"/>
              <w:rPr>
                <w:rFonts w:ascii="Calibri" w:hAnsi="Calibri"/>
                <w:szCs w:val="22"/>
              </w:rPr>
            </w:pPr>
            <w:r w:rsidRPr="00797CC2">
              <w:rPr>
                <w:rFonts w:ascii="Calibri" w:hAnsi="Calibri"/>
                <w:szCs w:val="22"/>
              </w:rPr>
              <w:t>No further action with follow-up or educational comment</w:t>
            </w:r>
          </w:p>
        </w:tc>
        <w:tc>
          <w:tcPr>
            <w:tcW w:w="2528" w:type="dxa"/>
            <w:vAlign w:val="center"/>
          </w:tcPr>
          <w:p w:rsidR="00E606D2" w:rsidRPr="00797CC2" w:rsidRDefault="00E606D2" w:rsidP="00E606D2">
            <w:pPr>
              <w:keepNext/>
              <w:keepLines/>
              <w:tabs>
                <w:tab w:val="left" w:pos="1440"/>
                <w:tab w:val="decimal" w:pos="4320"/>
              </w:tabs>
              <w:jc w:val="center"/>
              <w:outlineLvl w:val="0"/>
              <w:rPr>
                <w:rFonts w:ascii="Calibri" w:hAnsi="Calibri"/>
                <w:szCs w:val="22"/>
              </w:rPr>
            </w:pPr>
            <w:r w:rsidRPr="00797CC2">
              <w:rPr>
                <w:rFonts w:ascii="Calibri" w:hAnsi="Calibri"/>
                <w:szCs w:val="22"/>
              </w:rPr>
              <w:t>168</w:t>
            </w:r>
          </w:p>
        </w:tc>
      </w:tr>
      <w:tr w:rsidR="00E606D2" w:rsidRPr="00797CC2" w:rsidTr="00E606D2">
        <w:tc>
          <w:tcPr>
            <w:tcW w:w="3271" w:type="dxa"/>
          </w:tcPr>
          <w:p w:rsidR="00E606D2" w:rsidRPr="00797CC2" w:rsidRDefault="00E606D2" w:rsidP="00E606D2">
            <w:pPr>
              <w:rPr>
                <w:rFonts w:ascii="Calibri" w:hAnsi="Calibri" w:cs="Calibri"/>
                <w:color w:val="000000"/>
                <w:szCs w:val="22"/>
              </w:rPr>
            </w:pPr>
            <w:r w:rsidRPr="00797CC2">
              <w:rPr>
                <w:rFonts w:ascii="Calibri" w:hAnsi="Calibri" w:cs="Calibri"/>
                <w:color w:val="000000"/>
                <w:szCs w:val="22"/>
              </w:rPr>
              <w:t>Referred to Ministry of Health</w:t>
            </w:r>
          </w:p>
        </w:tc>
        <w:tc>
          <w:tcPr>
            <w:tcW w:w="2528" w:type="dxa"/>
            <w:vAlign w:val="center"/>
          </w:tcPr>
          <w:p w:rsidR="00E606D2" w:rsidRPr="00797CC2" w:rsidRDefault="00E606D2" w:rsidP="00E606D2">
            <w:pPr>
              <w:jc w:val="center"/>
              <w:rPr>
                <w:rFonts w:ascii="Calibri" w:hAnsi="Calibri" w:cs="Calibri"/>
                <w:color w:val="000000"/>
                <w:szCs w:val="22"/>
              </w:rPr>
            </w:pPr>
            <w:r w:rsidRPr="00797CC2">
              <w:rPr>
                <w:rFonts w:ascii="Calibri" w:hAnsi="Calibri" w:cs="Calibri"/>
                <w:color w:val="000000"/>
                <w:szCs w:val="22"/>
              </w:rPr>
              <w:t>2</w:t>
            </w:r>
          </w:p>
        </w:tc>
      </w:tr>
      <w:tr w:rsidR="00E606D2" w:rsidRPr="00797CC2" w:rsidTr="00E606D2">
        <w:tc>
          <w:tcPr>
            <w:tcW w:w="3271" w:type="dxa"/>
          </w:tcPr>
          <w:p w:rsidR="00E606D2" w:rsidRPr="00797CC2" w:rsidRDefault="00E606D2" w:rsidP="00E606D2">
            <w:pPr>
              <w:rPr>
                <w:rFonts w:ascii="Calibri" w:hAnsi="Calibri" w:cs="Calibri"/>
                <w:color w:val="000000"/>
                <w:szCs w:val="22"/>
              </w:rPr>
            </w:pPr>
            <w:r w:rsidRPr="00797CC2">
              <w:rPr>
                <w:rFonts w:ascii="Calibri" w:hAnsi="Calibri" w:cs="Calibri"/>
                <w:color w:val="000000"/>
                <w:szCs w:val="22"/>
              </w:rPr>
              <w:t>Referred to District Inspector</w:t>
            </w:r>
          </w:p>
        </w:tc>
        <w:tc>
          <w:tcPr>
            <w:tcW w:w="2528" w:type="dxa"/>
            <w:vAlign w:val="center"/>
          </w:tcPr>
          <w:p w:rsidR="00E606D2" w:rsidRPr="00797CC2" w:rsidRDefault="00E606D2" w:rsidP="00E606D2">
            <w:pPr>
              <w:jc w:val="center"/>
              <w:rPr>
                <w:rFonts w:ascii="Calibri" w:hAnsi="Calibri" w:cs="Calibri"/>
                <w:color w:val="000000"/>
                <w:szCs w:val="22"/>
              </w:rPr>
            </w:pPr>
            <w:r w:rsidRPr="00797CC2">
              <w:rPr>
                <w:rFonts w:ascii="Calibri" w:hAnsi="Calibri" w:cs="Calibri"/>
                <w:color w:val="000000"/>
                <w:szCs w:val="22"/>
              </w:rPr>
              <w:t>15</w:t>
            </w:r>
          </w:p>
        </w:tc>
      </w:tr>
      <w:tr w:rsidR="00E606D2" w:rsidRPr="00797CC2" w:rsidTr="00E606D2">
        <w:tc>
          <w:tcPr>
            <w:tcW w:w="3271" w:type="dxa"/>
          </w:tcPr>
          <w:p w:rsidR="00E606D2" w:rsidRPr="00797CC2" w:rsidRDefault="00E606D2" w:rsidP="00F01F5F">
            <w:pPr>
              <w:rPr>
                <w:rFonts w:ascii="Calibri" w:hAnsi="Calibri" w:cs="Calibri"/>
                <w:color w:val="000000"/>
                <w:szCs w:val="22"/>
              </w:rPr>
            </w:pPr>
            <w:r w:rsidRPr="00797CC2">
              <w:rPr>
                <w:rFonts w:ascii="Calibri" w:hAnsi="Calibri" w:cs="Arial"/>
                <w:szCs w:val="22"/>
                <w:lang w:eastAsia="en-NZ" w:bidi="ar-SA"/>
              </w:rPr>
              <w:t>Referred to DHB</w:t>
            </w:r>
          </w:p>
        </w:tc>
        <w:tc>
          <w:tcPr>
            <w:tcW w:w="2528" w:type="dxa"/>
            <w:vAlign w:val="center"/>
          </w:tcPr>
          <w:p w:rsidR="00E606D2" w:rsidRPr="00797CC2" w:rsidRDefault="00E606D2" w:rsidP="00E606D2">
            <w:pPr>
              <w:jc w:val="center"/>
              <w:rPr>
                <w:rFonts w:ascii="Calibri" w:hAnsi="Calibri" w:cs="Calibri"/>
                <w:color w:val="000000"/>
                <w:szCs w:val="22"/>
              </w:rPr>
            </w:pPr>
            <w:r w:rsidRPr="00797CC2">
              <w:rPr>
                <w:rFonts w:ascii="Calibri" w:hAnsi="Calibri" w:cs="Calibri"/>
                <w:color w:val="000000"/>
                <w:szCs w:val="22"/>
              </w:rPr>
              <w:t>130</w:t>
            </w:r>
          </w:p>
        </w:tc>
      </w:tr>
      <w:tr w:rsidR="00E606D2" w:rsidRPr="00797CC2" w:rsidTr="00E606D2">
        <w:tc>
          <w:tcPr>
            <w:tcW w:w="3271" w:type="dxa"/>
          </w:tcPr>
          <w:p w:rsidR="00E606D2" w:rsidRPr="00797CC2" w:rsidRDefault="00E606D2" w:rsidP="00E606D2">
            <w:pPr>
              <w:keepNext/>
              <w:keepLines/>
              <w:tabs>
                <w:tab w:val="left" w:pos="1440"/>
                <w:tab w:val="decimal" w:pos="4320"/>
              </w:tabs>
              <w:jc w:val="left"/>
              <w:outlineLvl w:val="0"/>
              <w:rPr>
                <w:rFonts w:ascii="Calibri" w:hAnsi="Calibri"/>
                <w:szCs w:val="22"/>
              </w:rPr>
            </w:pPr>
            <w:r w:rsidRPr="00797CC2">
              <w:rPr>
                <w:rFonts w:ascii="Calibri" w:hAnsi="Calibri" w:cs="Arial"/>
                <w:szCs w:val="22"/>
                <w:lang w:eastAsia="en-NZ" w:bidi="ar-SA"/>
              </w:rPr>
              <w:t>Referred to Advocacy</w:t>
            </w:r>
          </w:p>
        </w:tc>
        <w:tc>
          <w:tcPr>
            <w:tcW w:w="2528" w:type="dxa"/>
            <w:vAlign w:val="center"/>
          </w:tcPr>
          <w:p w:rsidR="00E606D2" w:rsidRPr="00797CC2" w:rsidRDefault="00E606D2" w:rsidP="00E606D2">
            <w:pPr>
              <w:keepNext/>
              <w:keepLines/>
              <w:tabs>
                <w:tab w:val="left" w:pos="1440"/>
                <w:tab w:val="decimal" w:pos="4320"/>
              </w:tabs>
              <w:jc w:val="center"/>
              <w:outlineLvl w:val="0"/>
              <w:rPr>
                <w:rFonts w:ascii="Calibri" w:hAnsi="Calibri"/>
                <w:szCs w:val="22"/>
              </w:rPr>
            </w:pPr>
            <w:r w:rsidRPr="00797CC2">
              <w:rPr>
                <w:rFonts w:ascii="Calibri" w:hAnsi="Calibri"/>
                <w:szCs w:val="22"/>
              </w:rPr>
              <w:t>49</w:t>
            </w:r>
          </w:p>
        </w:tc>
      </w:tr>
      <w:tr w:rsidR="00E606D2" w:rsidRPr="00797CC2" w:rsidTr="00E606D2">
        <w:tc>
          <w:tcPr>
            <w:tcW w:w="3271" w:type="dxa"/>
          </w:tcPr>
          <w:p w:rsidR="00E606D2" w:rsidRPr="00797CC2" w:rsidRDefault="00E606D2" w:rsidP="00E606D2">
            <w:pPr>
              <w:keepNext/>
              <w:keepLines/>
              <w:tabs>
                <w:tab w:val="left" w:pos="1440"/>
                <w:tab w:val="decimal" w:pos="4320"/>
              </w:tabs>
              <w:jc w:val="left"/>
              <w:outlineLvl w:val="0"/>
              <w:rPr>
                <w:rFonts w:ascii="Calibri" w:hAnsi="Calibri" w:cs="Arial"/>
                <w:szCs w:val="22"/>
                <w:lang w:eastAsia="en-NZ" w:bidi="ar-SA"/>
              </w:rPr>
            </w:pPr>
            <w:r w:rsidRPr="00797CC2">
              <w:rPr>
                <w:rFonts w:ascii="Calibri" w:hAnsi="Calibri" w:cs="Arial"/>
                <w:szCs w:val="22"/>
                <w:lang w:eastAsia="en-NZ" w:bidi="ar-SA"/>
              </w:rPr>
              <w:t xml:space="preserve">No further action </w:t>
            </w:r>
          </w:p>
        </w:tc>
        <w:tc>
          <w:tcPr>
            <w:tcW w:w="2528" w:type="dxa"/>
            <w:vAlign w:val="center"/>
          </w:tcPr>
          <w:p w:rsidR="00E606D2" w:rsidRPr="00797CC2" w:rsidRDefault="00E606D2" w:rsidP="00E606D2">
            <w:pPr>
              <w:keepNext/>
              <w:keepLines/>
              <w:tabs>
                <w:tab w:val="left" w:pos="1440"/>
                <w:tab w:val="decimal" w:pos="4320"/>
              </w:tabs>
              <w:jc w:val="center"/>
              <w:outlineLvl w:val="0"/>
              <w:rPr>
                <w:rFonts w:ascii="Calibri" w:hAnsi="Calibri"/>
                <w:szCs w:val="22"/>
              </w:rPr>
            </w:pPr>
            <w:r w:rsidRPr="00797CC2">
              <w:rPr>
                <w:rFonts w:ascii="Calibri" w:hAnsi="Calibri"/>
                <w:szCs w:val="22"/>
              </w:rPr>
              <w:t>238</w:t>
            </w:r>
          </w:p>
        </w:tc>
      </w:tr>
      <w:tr w:rsidR="00E606D2" w:rsidRPr="00797CC2" w:rsidTr="00E606D2">
        <w:tc>
          <w:tcPr>
            <w:tcW w:w="3271" w:type="dxa"/>
          </w:tcPr>
          <w:p w:rsidR="00E606D2" w:rsidRPr="00797CC2" w:rsidRDefault="00E606D2" w:rsidP="00E606D2">
            <w:pPr>
              <w:keepNext/>
              <w:keepLines/>
              <w:tabs>
                <w:tab w:val="left" w:pos="1440"/>
                <w:tab w:val="decimal" w:pos="4320"/>
              </w:tabs>
              <w:jc w:val="left"/>
              <w:outlineLvl w:val="0"/>
              <w:rPr>
                <w:rFonts w:ascii="Calibri" w:hAnsi="Calibri" w:cs="Arial"/>
                <w:szCs w:val="22"/>
                <w:lang w:eastAsia="en-NZ" w:bidi="ar-SA"/>
              </w:rPr>
            </w:pPr>
            <w:r w:rsidRPr="00797CC2">
              <w:rPr>
                <w:rFonts w:ascii="Calibri" w:hAnsi="Calibri" w:cs="Arial"/>
                <w:szCs w:val="22"/>
                <w:lang w:eastAsia="en-NZ" w:bidi="ar-SA"/>
              </w:rPr>
              <w:t xml:space="preserve">Withdrawn </w:t>
            </w:r>
          </w:p>
        </w:tc>
        <w:tc>
          <w:tcPr>
            <w:tcW w:w="2528" w:type="dxa"/>
            <w:vAlign w:val="center"/>
          </w:tcPr>
          <w:p w:rsidR="00E606D2" w:rsidRPr="00797CC2" w:rsidRDefault="00E606D2" w:rsidP="00E606D2">
            <w:pPr>
              <w:jc w:val="center"/>
              <w:rPr>
                <w:rFonts w:ascii="Calibri" w:hAnsi="Calibri" w:cs="Calibri"/>
                <w:color w:val="000000"/>
                <w:szCs w:val="22"/>
              </w:rPr>
            </w:pPr>
            <w:r w:rsidRPr="00797CC2">
              <w:rPr>
                <w:rFonts w:ascii="Calibri" w:hAnsi="Calibri" w:cs="Calibri"/>
                <w:color w:val="000000"/>
                <w:szCs w:val="22"/>
              </w:rPr>
              <w:t>17</w:t>
            </w:r>
          </w:p>
        </w:tc>
      </w:tr>
      <w:tr w:rsidR="00E606D2" w:rsidRPr="00797CC2" w:rsidTr="00C219ED">
        <w:tc>
          <w:tcPr>
            <w:tcW w:w="3271" w:type="dxa"/>
            <w:shd w:val="clear" w:color="auto" w:fill="C00000"/>
          </w:tcPr>
          <w:p w:rsidR="00E606D2" w:rsidRPr="00797CC2" w:rsidRDefault="00E606D2" w:rsidP="00E606D2">
            <w:pPr>
              <w:keepNext/>
              <w:keepLines/>
              <w:tabs>
                <w:tab w:val="left" w:pos="1440"/>
                <w:tab w:val="decimal" w:pos="4320"/>
              </w:tabs>
              <w:jc w:val="left"/>
              <w:outlineLvl w:val="0"/>
              <w:rPr>
                <w:rFonts w:ascii="Calibri" w:hAnsi="Calibri"/>
                <w:b/>
                <w:i/>
                <w:szCs w:val="22"/>
              </w:rPr>
            </w:pPr>
            <w:r w:rsidRPr="00797CC2">
              <w:rPr>
                <w:rFonts w:ascii="Calibri" w:hAnsi="Calibri"/>
                <w:b/>
                <w:i/>
                <w:szCs w:val="22"/>
              </w:rPr>
              <w:t>Outside jurisdiction</w:t>
            </w:r>
          </w:p>
        </w:tc>
        <w:tc>
          <w:tcPr>
            <w:tcW w:w="2528" w:type="dxa"/>
            <w:shd w:val="clear" w:color="auto" w:fill="C00000"/>
            <w:vAlign w:val="center"/>
          </w:tcPr>
          <w:p w:rsidR="00E606D2" w:rsidRPr="00797CC2" w:rsidRDefault="00E606D2" w:rsidP="00E606D2">
            <w:pPr>
              <w:keepNext/>
              <w:keepLines/>
              <w:tabs>
                <w:tab w:val="left" w:pos="1440"/>
                <w:tab w:val="decimal" w:pos="4320"/>
              </w:tabs>
              <w:jc w:val="center"/>
              <w:outlineLvl w:val="0"/>
              <w:rPr>
                <w:rFonts w:ascii="Calibri" w:hAnsi="Calibri"/>
                <w:b/>
                <w:i/>
                <w:szCs w:val="22"/>
              </w:rPr>
            </w:pPr>
            <w:r w:rsidRPr="00797CC2">
              <w:rPr>
                <w:rFonts w:ascii="Calibri" w:hAnsi="Calibri"/>
                <w:b/>
                <w:i/>
                <w:szCs w:val="22"/>
              </w:rPr>
              <w:t>26</w:t>
            </w:r>
          </w:p>
        </w:tc>
      </w:tr>
      <w:tr w:rsidR="00E606D2" w:rsidRPr="00797CC2" w:rsidTr="00C219ED">
        <w:tc>
          <w:tcPr>
            <w:tcW w:w="3271" w:type="dxa"/>
            <w:shd w:val="clear" w:color="auto" w:fill="C00000"/>
          </w:tcPr>
          <w:p w:rsidR="00E606D2" w:rsidRPr="00797CC2" w:rsidRDefault="00E606D2" w:rsidP="00E606D2">
            <w:pPr>
              <w:keepNext/>
              <w:keepLines/>
              <w:tabs>
                <w:tab w:val="left" w:pos="1440"/>
                <w:tab w:val="decimal" w:pos="4320"/>
              </w:tabs>
              <w:jc w:val="left"/>
              <w:outlineLvl w:val="0"/>
              <w:rPr>
                <w:rFonts w:ascii="Calibri" w:hAnsi="Calibri" w:cs="Arial"/>
                <w:b/>
                <w:szCs w:val="22"/>
                <w:lang w:eastAsia="en-NZ" w:bidi="ar-SA"/>
              </w:rPr>
            </w:pPr>
            <w:r w:rsidRPr="00797CC2">
              <w:rPr>
                <w:rFonts w:ascii="Calibri" w:hAnsi="Calibri" w:cs="Arial"/>
                <w:b/>
                <w:szCs w:val="22"/>
                <w:lang w:eastAsia="en-NZ" w:bidi="ar-SA"/>
              </w:rPr>
              <w:t>TOTAL</w:t>
            </w:r>
          </w:p>
        </w:tc>
        <w:tc>
          <w:tcPr>
            <w:tcW w:w="2528" w:type="dxa"/>
            <w:shd w:val="clear" w:color="auto" w:fill="C00000"/>
          </w:tcPr>
          <w:p w:rsidR="00E606D2" w:rsidRPr="00797CC2" w:rsidRDefault="00E606D2" w:rsidP="00E606D2">
            <w:pPr>
              <w:jc w:val="center"/>
              <w:rPr>
                <w:rFonts w:ascii="Calibri" w:hAnsi="Calibri" w:cs="Calibri"/>
                <w:b/>
                <w:color w:val="000000"/>
                <w:szCs w:val="22"/>
              </w:rPr>
            </w:pPr>
            <w:r w:rsidRPr="00797CC2">
              <w:rPr>
                <w:rFonts w:ascii="Calibri" w:hAnsi="Calibri" w:cs="Calibri"/>
                <w:b/>
                <w:color w:val="000000"/>
                <w:szCs w:val="22"/>
              </w:rPr>
              <w:t>691</w:t>
            </w:r>
          </w:p>
        </w:tc>
      </w:tr>
    </w:tbl>
    <w:p w:rsidR="00E606D2" w:rsidRPr="00797CC2" w:rsidRDefault="00E606D2" w:rsidP="00D30C28">
      <w:pPr>
        <w:rPr>
          <w:lang w:eastAsia="en-NZ" w:bidi="ar-SA"/>
        </w:rPr>
      </w:pPr>
    </w:p>
    <w:p w:rsidR="00D30C28" w:rsidRPr="00797CC2" w:rsidRDefault="00F01F5F" w:rsidP="00D30C28">
      <w:pPr>
        <w:rPr>
          <w:lang w:eastAsia="en-NZ"/>
        </w:rPr>
      </w:pPr>
      <w:r w:rsidRPr="00797CC2">
        <w:rPr>
          <w:lang w:eastAsia="en-NZ"/>
        </w:rPr>
        <w:t>As can be seen from the table above, in</w:t>
      </w:r>
      <w:r w:rsidR="00FF5AEA" w:rsidRPr="00797CC2">
        <w:rPr>
          <w:lang w:eastAsia="en-NZ"/>
        </w:rPr>
        <w:t xml:space="preserve"> </w:t>
      </w:r>
      <w:r w:rsidRPr="00797CC2">
        <w:rPr>
          <w:lang w:eastAsia="en-NZ"/>
        </w:rPr>
        <w:t xml:space="preserve">the </w:t>
      </w:r>
      <w:r w:rsidR="001200CE" w:rsidRPr="00797CC2">
        <w:rPr>
          <w:lang w:eastAsia="en-NZ"/>
        </w:rPr>
        <w:t>2013/</w:t>
      </w:r>
      <w:r w:rsidR="00297217" w:rsidRPr="00797CC2">
        <w:rPr>
          <w:lang w:eastAsia="en-NZ"/>
        </w:rPr>
        <w:t>14</w:t>
      </w:r>
      <w:r w:rsidRPr="00797CC2">
        <w:rPr>
          <w:lang w:eastAsia="en-NZ"/>
        </w:rPr>
        <w:t xml:space="preserve"> year</w:t>
      </w:r>
      <w:r w:rsidR="002516A6" w:rsidRPr="00797CC2">
        <w:rPr>
          <w:lang w:eastAsia="en-NZ"/>
        </w:rPr>
        <w:t>,</w:t>
      </w:r>
      <w:r w:rsidR="00297217" w:rsidRPr="00797CC2">
        <w:rPr>
          <w:lang w:eastAsia="en-NZ"/>
        </w:rPr>
        <w:t xml:space="preserve"> </w:t>
      </w:r>
      <w:r w:rsidRPr="00797CC2">
        <w:rPr>
          <w:lang w:eastAsia="en-NZ"/>
        </w:rPr>
        <w:t xml:space="preserve">HDC concluded 46 formal </w:t>
      </w:r>
      <w:r w:rsidR="001200CE" w:rsidRPr="00797CC2">
        <w:rPr>
          <w:lang w:eastAsia="en-NZ"/>
        </w:rPr>
        <w:t>investigations</w:t>
      </w:r>
      <w:r w:rsidRPr="00797CC2">
        <w:rPr>
          <w:lang w:eastAsia="en-NZ"/>
        </w:rPr>
        <w:t xml:space="preserve"> involving DHBs, 18 of which resulted in a finding that the DHB had breached the Code.</w:t>
      </w:r>
      <w:r w:rsidR="001200CE" w:rsidRPr="00797CC2">
        <w:rPr>
          <w:lang w:eastAsia="en-NZ"/>
        </w:rPr>
        <w:t xml:space="preserve"> </w:t>
      </w:r>
      <w:r w:rsidR="003D15CC" w:rsidRPr="00797CC2">
        <w:rPr>
          <w:lang w:eastAsia="en-NZ"/>
        </w:rPr>
        <w:t xml:space="preserve"> </w:t>
      </w:r>
      <w:r w:rsidRPr="00797CC2">
        <w:rPr>
          <w:lang w:eastAsia="en-NZ"/>
        </w:rPr>
        <w:t>The number of formal investigations concluded in respect of each individual DHB ranged from none to six investigations</w:t>
      </w:r>
      <w:r w:rsidR="001200CE" w:rsidRPr="00797CC2">
        <w:rPr>
          <w:lang w:eastAsia="en-NZ"/>
        </w:rPr>
        <w:t>.</w:t>
      </w:r>
      <w:r w:rsidR="001063FD" w:rsidRPr="00797CC2">
        <w:rPr>
          <w:lang w:eastAsia="en-NZ"/>
        </w:rPr>
        <w:t xml:space="preserve">  No DHBs were referred to the Director of Proceedings.</w:t>
      </w:r>
    </w:p>
    <w:p w:rsidR="00EB566D" w:rsidRPr="00797CC2" w:rsidRDefault="00EB566D" w:rsidP="00985CEE"/>
    <w:p w:rsidR="008E234C" w:rsidRPr="00797CC2" w:rsidRDefault="008E234C">
      <w:bookmarkStart w:id="31" w:name="_Toc398125966"/>
    </w:p>
    <w:p w:rsidR="009774C9" w:rsidRPr="00797CC2" w:rsidRDefault="009774C9" w:rsidP="009774C9">
      <w:pPr>
        <w:rPr>
          <w:lang w:eastAsia="en-NZ"/>
        </w:rPr>
      </w:pPr>
    </w:p>
    <w:p w:rsidR="00524A9C" w:rsidRPr="00797CC2" w:rsidRDefault="00524A9C">
      <w:pPr>
        <w:rPr>
          <w:b/>
          <w:iCs/>
          <w:sz w:val="32"/>
          <w:szCs w:val="32"/>
          <w:lang w:val="en-AU" w:bidi="ar-SA"/>
        </w:rPr>
      </w:pPr>
      <w:r w:rsidRPr="00797CC2">
        <w:rPr>
          <w:sz w:val="32"/>
          <w:szCs w:val="32"/>
        </w:rPr>
        <w:br w:type="page"/>
      </w:r>
    </w:p>
    <w:p w:rsidR="00D30C28" w:rsidRPr="00797CC2" w:rsidRDefault="00304160" w:rsidP="001063FD">
      <w:pPr>
        <w:pStyle w:val="Heading2"/>
        <w:spacing w:after="240"/>
        <w:ind w:left="426" w:hanging="426"/>
        <w:rPr>
          <w:sz w:val="36"/>
          <w:szCs w:val="36"/>
        </w:rPr>
      </w:pPr>
      <w:bookmarkStart w:id="32" w:name="_Toc404344438"/>
      <w:r w:rsidRPr="00797CC2">
        <w:rPr>
          <w:sz w:val="36"/>
          <w:szCs w:val="36"/>
        </w:rPr>
        <w:t>3</w:t>
      </w:r>
      <w:r w:rsidR="001063FD" w:rsidRPr="00797CC2">
        <w:rPr>
          <w:sz w:val="36"/>
          <w:szCs w:val="36"/>
        </w:rPr>
        <w:t>.</w:t>
      </w:r>
      <w:r w:rsidR="001063FD" w:rsidRPr="00797CC2">
        <w:rPr>
          <w:sz w:val="36"/>
          <w:szCs w:val="36"/>
        </w:rPr>
        <w:tab/>
      </w:r>
      <w:r w:rsidR="00D30C28" w:rsidRPr="00797CC2">
        <w:rPr>
          <w:sz w:val="36"/>
          <w:szCs w:val="36"/>
        </w:rPr>
        <w:t>Recommendations</w:t>
      </w:r>
      <w:r w:rsidR="003B27D8" w:rsidRPr="00797CC2">
        <w:rPr>
          <w:sz w:val="36"/>
          <w:szCs w:val="36"/>
        </w:rPr>
        <w:t xml:space="preserve"> made to </w:t>
      </w:r>
      <w:r w:rsidR="00D24BED" w:rsidRPr="00797CC2">
        <w:rPr>
          <w:sz w:val="36"/>
          <w:szCs w:val="36"/>
        </w:rPr>
        <w:t>DHBs</w:t>
      </w:r>
      <w:r w:rsidR="003B27D8" w:rsidRPr="00797CC2">
        <w:rPr>
          <w:sz w:val="36"/>
          <w:szCs w:val="36"/>
        </w:rPr>
        <w:t xml:space="preserve"> following</w:t>
      </w:r>
      <w:r w:rsidR="0050194E" w:rsidRPr="00797CC2">
        <w:rPr>
          <w:sz w:val="36"/>
          <w:szCs w:val="36"/>
        </w:rPr>
        <w:t xml:space="preserve"> resolution of</w:t>
      </w:r>
      <w:r w:rsidR="003B27D8" w:rsidRPr="00797CC2">
        <w:rPr>
          <w:sz w:val="36"/>
          <w:szCs w:val="36"/>
        </w:rPr>
        <w:t xml:space="preserve"> complaint</w:t>
      </w:r>
      <w:bookmarkEnd w:id="31"/>
      <w:r w:rsidR="00524A9C" w:rsidRPr="00797CC2">
        <w:rPr>
          <w:sz w:val="36"/>
          <w:szCs w:val="36"/>
        </w:rPr>
        <w:t>s</w:t>
      </w:r>
      <w:bookmarkEnd w:id="32"/>
    </w:p>
    <w:p w:rsidR="00304160" w:rsidRPr="00797CC2" w:rsidRDefault="00B24BD6" w:rsidP="008E3A10">
      <w:pPr>
        <w:pStyle w:val="NoSpacing"/>
        <w:spacing w:after="120"/>
        <w:rPr>
          <w:lang w:val="en-NZ" w:eastAsia="en-NZ"/>
        </w:rPr>
      </w:pPr>
      <w:r w:rsidRPr="00797CC2">
        <w:rPr>
          <w:lang w:val="en-NZ" w:eastAsia="en-NZ"/>
        </w:rPr>
        <w:t>Regardless of whether or not a complaint has been in</w:t>
      </w:r>
      <w:r w:rsidR="00055731" w:rsidRPr="00797CC2">
        <w:rPr>
          <w:lang w:val="en-NZ" w:eastAsia="en-NZ"/>
        </w:rPr>
        <w:t>vestigated,</w:t>
      </w:r>
      <w:r w:rsidR="00524A9C" w:rsidRPr="00797CC2">
        <w:rPr>
          <w:lang w:val="en-NZ" w:eastAsia="en-NZ"/>
        </w:rPr>
        <w:t xml:space="preserve"> or whether the DHB has been found in breach of the Code,</w:t>
      </w:r>
      <w:r w:rsidR="00055731" w:rsidRPr="00797CC2">
        <w:rPr>
          <w:lang w:val="en-NZ" w:eastAsia="en-NZ"/>
        </w:rPr>
        <w:t xml:space="preserve"> the Commissioner may</w:t>
      </w:r>
      <w:r w:rsidRPr="00797CC2">
        <w:rPr>
          <w:lang w:val="en-NZ" w:eastAsia="en-NZ"/>
        </w:rPr>
        <w:t xml:space="preserve"> make recommendations </w:t>
      </w:r>
      <w:r w:rsidR="000539C6" w:rsidRPr="00797CC2">
        <w:rPr>
          <w:lang w:val="en-NZ" w:eastAsia="en-NZ"/>
        </w:rPr>
        <w:t>to a DHB</w:t>
      </w:r>
      <w:r w:rsidR="00340412" w:rsidRPr="00797CC2">
        <w:rPr>
          <w:lang w:val="en-NZ" w:eastAsia="en-NZ"/>
        </w:rPr>
        <w:t>.</w:t>
      </w:r>
      <w:r w:rsidR="00055731" w:rsidRPr="00797CC2">
        <w:rPr>
          <w:lang w:val="en-NZ" w:eastAsia="en-NZ"/>
        </w:rPr>
        <w:t xml:space="preserve"> HDC</w:t>
      </w:r>
      <w:r w:rsidR="000539C6" w:rsidRPr="00797CC2">
        <w:rPr>
          <w:lang w:val="en-NZ" w:eastAsia="en-NZ"/>
        </w:rPr>
        <w:t xml:space="preserve"> generally</w:t>
      </w:r>
      <w:r w:rsidRPr="00797CC2">
        <w:rPr>
          <w:lang w:val="en-NZ" w:eastAsia="en-NZ"/>
        </w:rPr>
        <w:t xml:space="preserve"> then follow</w:t>
      </w:r>
      <w:r w:rsidR="00055731" w:rsidRPr="00797CC2">
        <w:rPr>
          <w:lang w:val="en-NZ" w:eastAsia="en-NZ"/>
        </w:rPr>
        <w:t>s</w:t>
      </w:r>
      <w:r w:rsidRPr="00797CC2">
        <w:rPr>
          <w:lang w:val="en-NZ" w:eastAsia="en-NZ"/>
        </w:rPr>
        <w:t xml:space="preserve"> up </w:t>
      </w:r>
      <w:r w:rsidR="007E4888" w:rsidRPr="00797CC2">
        <w:rPr>
          <w:lang w:val="en-NZ" w:eastAsia="en-NZ"/>
        </w:rPr>
        <w:t>with the DHB</w:t>
      </w:r>
      <w:r w:rsidR="00653C97" w:rsidRPr="00797CC2">
        <w:rPr>
          <w:lang w:val="en-NZ" w:eastAsia="en-NZ"/>
        </w:rPr>
        <w:t xml:space="preserve"> to ensure that these recommendation</w:t>
      </w:r>
      <w:r w:rsidR="00FF5AEA" w:rsidRPr="00797CC2">
        <w:rPr>
          <w:lang w:val="en-NZ" w:eastAsia="en-NZ"/>
        </w:rPr>
        <w:t xml:space="preserve">s have been acted </w:t>
      </w:r>
      <w:r w:rsidR="003D6075" w:rsidRPr="00797CC2">
        <w:rPr>
          <w:lang w:val="en-NZ" w:eastAsia="en-NZ"/>
        </w:rPr>
        <w:t xml:space="preserve">on. </w:t>
      </w:r>
      <w:r w:rsidR="00304160" w:rsidRPr="00797CC2">
        <w:rPr>
          <w:lang w:val="en-NZ" w:eastAsia="en-NZ"/>
        </w:rPr>
        <w:t xml:space="preserve">  Many such recommendations are described in the case studies included throughout this report.</w:t>
      </w:r>
    </w:p>
    <w:p w:rsidR="00524A9C" w:rsidRPr="00797CC2" w:rsidRDefault="001063FD" w:rsidP="008E3A10">
      <w:pPr>
        <w:pStyle w:val="NoSpacing"/>
        <w:spacing w:after="120"/>
        <w:rPr>
          <w:lang w:val="en-NZ" w:eastAsia="en-NZ"/>
        </w:rPr>
      </w:pPr>
      <w:r w:rsidRPr="00797CC2">
        <w:rPr>
          <w:lang w:val="en-NZ" w:eastAsia="en-NZ"/>
        </w:rPr>
        <w:t>Table 6</w:t>
      </w:r>
      <w:r w:rsidR="00E02AFE" w:rsidRPr="00797CC2">
        <w:rPr>
          <w:lang w:val="en-NZ" w:eastAsia="en-NZ"/>
        </w:rPr>
        <w:t xml:space="preserve"> shows</w:t>
      </w:r>
      <w:r w:rsidR="00653C97" w:rsidRPr="00797CC2">
        <w:rPr>
          <w:lang w:val="en-NZ" w:eastAsia="en-NZ"/>
        </w:rPr>
        <w:t xml:space="preserve"> the recommendations made t</w:t>
      </w:r>
      <w:r w:rsidR="00E02AFE" w:rsidRPr="00797CC2">
        <w:rPr>
          <w:lang w:val="en-NZ" w:eastAsia="en-NZ"/>
        </w:rPr>
        <w:t>o DHBs in complai</w:t>
      </w:r>
      <w:r w:rsidR="00DB183F" w:rsidRPr="00797CC2">
        <w:rPr>
          <w:lang w:val="en-NZ" w:eastAsia="en-NZ"/>
        </w:rPr>
        <w:t xml:space="preserve">nts closed in the </w:t>
      </w:r>
      <w:r w:rsidR="001200CE" w:rsidRPr="00797CC2">
        <w:rPr>
          <w:lang w:val="en-NZ" w:eastAsia="en-NZ"/>
        </w:rPr>
        <w:t>2013/14</w:t>
      </w:r>
      <w:r w:rsidR="00DB183F" w:rsidRPr="00797CC2">
        <w:rPr>
          <w:lang w:val="en-NZ" w:eastAsia="en-NZ"/>
        </w:rPr>
        <w:t xml:space="preserve"> year</w:t>
      </w:r>
      <w:r w:rsidR="00E02AFE" w:rsidRPr="00797CC2">
        <w:rPr>
          <w:lang w:val="en-NZ" w:eastAsia="en-NZ"/>
        </w:rPr>
        <w:t xml:space="preserve">. </w:t>
      </w:r>
      <w:r w:rsidR="00C531C2" w:rsidRPr="00797CC2">
        <w:rPr>
          <w:lang w:val="en-NZ" w:eastAsia="en-NZ"/>
        </w:rPr>
        <w:t xml:space="preserve">Please note that more than one recommendation </w:t>
      </w:r>
      <w:r w:rsidR="00E02AFE" w:rsidRPr="00797CC2">
        <w:rPr>
          <w:lang w:val="en-NZ" w:eastAsia="en-NZ"/>
        </w:rPr>
        <w:t>may be</w:t>
      </w:r>
      <w:r w:rsidR="00C531C2" w:rsidRPr="00797CC2">
        <w:rPr>
          <w:lang w:val="en-NZ" w:eastAsia="en-NZ"/>
        </w:rPr>
        <w:t xml:space="preserve"> made </w:t>
      </w:r>
      <w:r w:rsidR="000539C6" w:rsidRPr="00797CC2">
        <w:rPr>
          <w:lang w:val="en-NZ" w:eastAsia="en-NZ"/>
        </w:rPr>
        <w:t>in relation to a</w:t>
      </w:r>
      <w:r w:rsidR="00C531C2" w:rsidRPr="00797CC2">
        <w:rPr>
          <w:lang w:val="en-NZ" w:eastAsia="en-NZ"/>
        </w:rPr>
        <w:t xml:space="preserve"> single complaint. </w:t>
      </w:r>
    </w:p>
    <w:p w:rsidR="003D15CC" w:rsidRPr="00797CC2" w:rsidRDefault="003D15CC" w:rsidP="008E3A10">
      <w:pPr>
        <w:pStyle w:val="NoSpacing"/>
        <w:spacing w:after="120"/>
        <w:rPr>
          <w:lang w:val="en-NZ" w:eastAsia="en-NZ"/>
        </w:rPr>
      </w:pPr>
    </w:p>
    <w:p w:rsidR="001063FD" w:rsidRPr="00797CC2" w:rsidRDefault="00653C97" w:rsidP="008E3A10">
      <w:pPr>
        <w:pStyle w:val="NoSpacing"/>
        <w:spacing w:after="120"/>
        <w:rPr>
          <w:lang w:val="en-NZ" w:eastAsia="en-NZ"/>
        </w:rPr>
      </w:pPr>
      <w:r w:rsidRPr="00797CC2">
        <w:rPr>
          <w:b/>
          <w:lang w:val="en-NZ" w:eastAsia="en-NZ"/>
        </w:rPr>
        <w:t>T</w:t>
      </w:r>
      <w:r w:rsidR="001063FD" w:rsidRPr="00797CC2">
        <w:rPr>
          <w:b/>
          <w:lang w:val="en-NZ" w:eastAsia="en-NZ"/>
        </w:rPr>
        <w:t>able 6</w:t>
      </w:r>
      <w:r w:rsidR="00E02AFE" w:rsidRPr="00797CC2">
        <w:rPr>
          <w:b/>
          <w:lang w:val="en-NZ" w:eastAsia="en-NZ"/>
        </w:rPr>
        <w:t xml:space="preserve">. </w:t>
      </w:r>
      <w:r w:rsidR="003B27D8" w:rsidRPr="00797CC2">
        <w:rPr>
          <w:lang w:val="en-NZ" w:eastAsia="en-NZ"/>
        </w:rPr>
        <w:t xml:space="preserve">Recommendations made to </w:t>
      </w:r>
      <w:r w:rsidR="00D24BED" w:rsidRPr="00797CC2">
        <w:rPr>
          <w:lang w:val="en-NZ" w:eastAsia="en-NZ"/>
        </w:rPr>
        <w:t>DHBs</w:t>
      </w:r>
      <w:r w:rsidR="003B27D8" w:rsidRPr="00797CC2">
        <w:rPr>
          <w:lang w:val="en-NZ" w:eastAsia="en-NZ"/>
        </w:rPr>
        <w:t xml:space="preserve"> following a complaint</w:t>
      </w:r>
    </w:p>
    <w:tbl>
      <w:tblPr>
        <w:tblStyle w:val="TableGrid"/>
        <w:tblW w:w="0" w:type="auto"/>
        <w:tblInd w:w="108" w:type="dxa"/>
        <w:tblLook w:val="04A0" w:firstRow="1" w:lastRow="0" w:firstColumn="1" w:lastColumn="0" w:noHBand="0" w:noVBand="1"/>
      </w:tblPr>
      <w:tblGrid>
        <w:gridCol w:w="3402"/>
        <w:gridCol w:w="1985"/>
      </w:tblGrid>
      <w:tr w:rsidR="008E3A10" w:rsidRPr="00797CC2" w:rsidTr="00C219ED">
        <w:tc>
          <w:tcPr>
            <w:tcW w:w="3402" w:type="dxa"/>
            <w:shd w:val="clear" w:color="auto" w:fill="C00000"/>
            <w:vAlign w:val="center"/>
          </w:tcPr>
          <w:p w:rsidR="008E3A10" w:rsidRPr="00797CC2" w:rsidRDefault="00524A9C" w:rsidP="00524A9C">
            <w:pPr>
              <w:pStyle w:val="NoSpacing"/>
              <w:jc w:val="center"/>
              <w:rPr>
                <w:b/>
                <w:lang w:val="en-NZ" w:eastAsia="en-NZ"/>
              </w:rPr>
            </w:pPr>
            <w:r w:rsidRPr="00797CC2">
              <w:rPr>
                <w:b/>
                <w:lang w:val="en-NZ" w:eastAsia="en-NZ"/>
              </w:rPr>
              <w:t>Type of r</w:t>
            </w:r>
            <w:r w:rsidR="008E3A10" w:rsidRPr="00797CC2">
              <w:rPr>
                <w:b/>
                <w:lang w:val="en-NZ" w:eastAsia="en-NZ"/>
              </w:rPr>
              <w:t>ecommendation</w:t>
            </w:r>
          </w:p>
        </w:tc>
        <w:tc>
          <w:tcPr>
            <w:tcW w:w="1985" w:type="dxa"/>
            <w:shd w:val="clear" w:color="auto" w:fill="C00000"/>
          </w:tcPr>
          <w:p w:rsidR="008E3A10" w:rsidRPr="00797CC2" w:rsidRDefault="008E3A10" w:rsidP="00E52029">
            <w:pPr>
              <w:pStyle w:val="NoSpacing"/>
              <w:jc w:val="center"/>
              <w:rPr>
                <w:b/>
                <w:lang w:val="en-NZ" w:eastAsia="en-NZ"/>
              </w:rPr>
            </w:pPr>
            <w:r w:rsidRPr="00797CC2">
              <w:rPr>
                <w:b/>
                <w:lang w:val="en-NZ" w:eastAsia="en-NZ"/>
              </w:rPr>
              <w:t>Number of recommendations made</w:t>
            </w:r>
          </w:p>
        </w:tc>
      </w:tr>
      <w:tr w:rsidR="008E3A10" w:rsidRPr="00797CC2" w:rsidTr="001063FD">
        <w:tc>
          <w:tcPr>
            <w:tcW w:w="3402" w:type="dxa"/>
          </w:tcPr>
          <w:p w:rsidR="008E3A10" w:rsidRPr="00797CC2" w:rsidRDefault="008E3A10" w:rsidP="00E52029">
            <w:pPr>
              <w:pStyle w:val="NoSpacing"/>
              <w:jc w:val="left"/>
              <w:rPr>
                <w:lang w:val="en-NZ" w:eastAsia="en-NZ"/>
              </w:rPr>
            </w:pPr>
            <w:r w:rsidRPr="00797CC2">
              <w:rPr>
                <w:lang w:val="en-NZ" w:eastAsia="en-NZ"/>
              </w:rPr>
              <w:t>Apology</w:t>
            </w:r>
          </w:p>
        </w:tc>
        <w:tc>
          <w:tcPr>
            <w:tcW w:w="1985" w:type="dxa"/>
          </w:tcPr>
          <w:p w:rsidR="008E3A10" w:rsidRPr="00797CC2" w:rsidRDefault="00DB183F" w:rsidP="00E52029">
            <w:pPr>
              <w:pStyle w:val="NoSpacing"/>
              <w:jc w:val="center"/>
              <w:rPr>
                <w:lang w:val="en-NZ" w:eastAsia="en-NZ"/>
              </w:rPr>
            </w:pPr>
            <w:r w:rsidRPr="00797CC2">
              <w:rPr>
                <w:lang w:val="en-NZ" w:eastAsia="en-NZ"/>
              </w:rPr>
              <w:t>4</w:t>
            </w:r>
            <w:r w:rsidR="008E3A10" w:rsidRPr="00797CC2">
              <w:rPr>
                <w:lang w:val="en-NZ" w:eastAsia="en-NZ"/>
              </w:rPr>
              <w:t>9</w:t>
            </w:r>
          </w:p>
        </w:tc>
      </w:tr>
      <w:tr w:rsidR="008E3A10" w:rsidRPr="00797CC2" w:rsidTr="001063FD">
        <w:trPr>
          <w:trHeight w:val="293"/>
        </w:trPr>
        <w:tc>
          <w:tcPr>
            <w:tcW w:w="3402" w:type="dxa"/>
          </w:tcPr>
          <w:p w:rsidR="008E3A10" w:rsidRPr="00797CC2" w:rsidRDefault="008E3A10" w:rsidP="00E52029">
            <w:pPr>
              <w:pStyle w:val="NoSpacing"/>
              <w:jc w:val="left"/>
              <w:rPr>
                <w:lang w:val="en-NZ" w:eastAsia="en-NZ"/>
              </w:rPr>
            </w:pPr>
            <w:r w:rsidRPr="00797CC2">
              <w:rPr>
                <w:lang w:val="en-NZ" w:eastAsia="en-NZ"/>
              </w:rPr>
              <w:t>Audit</w:t>
            </w:r>
          </w:p>
        </w:tc>
        <w:tc>
          <w:tcPr>
            <w:tcW w:w="1985" w:type="dxa"/>
          </w:tcPr>
          <w:p w:rsidR="008E3A10" w:rsidRPr="00797CC2" w:rsidRDefault="00DB183F" w:rsidP="00E52029">
            <w:pPr>
              <w:pStyle w:val="NoSpacing"/>
              <w:jc w:val="center"/>
              <w:rPr>
                <w:lang w:val="en-NZ" w:eastAsia="en-NZ"/>
              </w:rPr>
            </w:pPr>
            <w:r w:rsidRPr="00797CC2">
              <w:rPr>
                <w:lang w:val="en-NZ" w:eastAsia="en-NZ"/>
              </w:rPr>
              <w:t>53</w:t>
            </w:r>
          </w:p>
        </w:tc>
      </w:tr>
      <w:tr w:rsidR="00DB183F" w:rsidRPr="00797CC2" w:rsidTr="001063FD">
        <w:tc>
          <w:tcPr>
            <w:tcW w:w="3402" w:type="dxa"/>
          </w:tcPr>
          <w:p w:rsidR="00DB183F" w:rsidRPr="00797CC2" w:rsidRDefault="00DB183F">
            <w:pPr>
              <w:pStyle w:val="NoSpacing"/>
              <w:jc w:val="left"/>
              <w:rPr>
                <w:lang w:val="en-NZ" w:eastAsia="en-NZ"/>
              </w:rPr>
            </w:pPr>
            <w:r w:rsidRPr="00797CC2">
              <w:rPr>
                <w:lang w:val="en-NZ" w:eastAsia="en-NZ"/>
              </w:rPr>
              <w:t>Meeting with consumer/complainant</w:t>
            </w:r>
          </w:p>
        </w:tc>
        <w:tc>
          <w:tcPr>
            <w:tcW w:w="1985" w:type="dxa"/>
            <w:vAlign w:val="center"/>
          </w:tcPr>
          <w:p w:rsidR="00DB183F" w:rsidRPr="00797CC2" w:rsidRDefault="00DB183F" w:rsidP="00DB183F">
            <w:pPr>
              <w:pStyle w:val="NoSpacing"/>
              <w:jc w:val="center"/>
              <w:rPr>
                <w:lang w:val="en-NZ" w:eastAsia="en-NZ"/>
              </w:rPr>
            </w:pPr>
            <w:r w:rsidRPr="00797CC2">
              <w:rPr>
                <w:lang w:val="en-NZ" w:eastAsia="en-NZ"/>
              </w:rPr>
              <w:t>8</w:t>
            </w:r>
          </w:p>
        </w:tc>
      </w:tr>
      <w:tr w:rsidR="00DB183F" w:rsidRPr="00797CC2" w:rsidTr="001063FD">
        <w:tc>
          <w:tcPr>
            <w:tcW w:w="3402" w:type="dxa"/>
          </w:tcPr>
          <w:p w:rsidR="00DB183F" w:rsidRPr="00797CC2" w:rsidRDefault="00DB183F">
            <w:pPr>
              <w:pStyle w:val="NoSpacing"/>
              <w:jc w:val="left"/>
              <w:rPr>
                <w:lang w:val="en-NZ" w:eastAsia="en-NZ"/>
              </w:rPr>
            </w:pPr>
            <w:r w:rsidRPr="00797CC2">
              <w:rPr>
                <w:lang w:val="en-NZ" w:eastAsia="en-NZ"/>
              </w:rPr>
              <w:t>Personal reflection</w:t>
            </w:r>
          </w:p>
        </w:tc>
        <w:tc>
          <w:tcPr>
            <w:tcW w:w="1985" w:type="dxa"/>
            <w:vAlign w:val="center"/>
          </w:tcPr>
          <w:p w:rsidR="00DB183F" w:rsidRPr="00797CC2" w:rsidRDefault="00DB183F" w:rsidP="00DB183F">
            <w:pPr>
              <w:pStyle w:val="NoSpacing"/>
              <w:jc w:val="center"/>
              <w:rPr>
                <w:lang w:val="en-NZ" w:eastAsia="en-NZ"/>
              </w:rPr>
            </w:pPr>
            <w:r w:rsidRPr="00797CC2">
              <w:rPr>
                <w:lang w:val="en-NZ" w:eastAsia="en-NZ"/>
              </w:rPr>
              <w:t>8</w:t>
            </w:r>
          </w:p>
        </w:tc>
      </w:tr>
      <w:tr w:rsidR="008E3A10" w:rsidRPr="00797CC2" w:rsidTr="001063FD">
        <w:tc>
          <w:tcPr>
            <w:tcW w:w="3402" w:type="dxa"/>
          </w:tcPr>
          <w:p w:rsidR="00F416A2" w:rsidRPr="00797CC2" w:rsidRDefault="008E3A10">
            <w:pPr>
              <w:pStyle w:val="NoSpacing"/>
              <w:jc w:val="left"/>
              <w:rPr>
                <w:lang w:val="en-NZ" w:eastAsia="en-NZ"/>
              </w:rPr>
            </w:pPr>
            <w:r w:rsidRPr="00797CC2">
              <w:rPr>
                <w:lang w:val="en-NZ" w:eastAsia="en-NZ"/>
              </w:rPr>
              <w:t>Presentation/</w:t>
            </w:r>
            <w:r w:rsidR="00DB183F" w:rsidRPr="00797CC2">
              <w:rPr>
                <w:lang w:val="en-NZ" w:eastAsia="en-NZ"/>
              </w:rPr>
              <w:t>d</w:t>
            </w:r>
            <w:r w:rsidR="00340412" w:rsidRPr="00797CC2">
              <w:rPr>
                <w:lang w:val="en-NZ" w:eastAsia="en-NZ"/>
              </w:rPr>
              <w:t xml:space="preserve">iscussion </w:t>
            </w:r>
            <w:r w:rsidRPr="00797CC2">
              <w:rPr>
                <w:lang w:val="en-NZ" w:eastAsia="en-NZ"/>
              </w:rPr>
              <w:t>of complaint with others</w:t>
            </w:r>
          </w:p>
        </w:tc>
        <w:tc>
          <w:tcPr>
            <w:tcW w:w="1985" w:type="dxa"/>
            <w:vAlign w:val="center"/>
          </w:tcPr>
          <w:p w:rsidR="008E3A10" w:rsidRPr="00797CC2" w:rsidRDefault="00DB183F" w:rsidP="00DB183F">
            <w:pPr>
              <w:pStyle w:val="NoSpacing"/>
              <w:jc w:val="center"/>
              <w:rPr>
                <w:lang w:val="en-NZ" w:eastAsia="en-NZ"/>
              </w:rPr>
            </w:pPr>
            <w:r w:rsidRPr="00797CC2">
              <w:rPr>
                <w:lang w:val="en-NZ" w:eastAsia="en-NZ"/>
              </w:rPr>
              <w:t>8</w:t>
            </w:r>
          </w:p>
        </w:tc>
      </w:tr>
      <w:tr w:rsidR="008E3A10" w:rsidRPr="00797CC2" w:rsidTr="001063FD">
        <w:tc>
          <w:tcPr>
            <w:tcW w:w="3402" w:type="dxa"/>
          </w:tcPr>
          <w:p w:rsidR="008E3A10" w:rsidRPr="00797CC2" w:rsidRDefault="008E3A10" w:rsidP="00E52029">
            <w:pPr>
              <w:pStyle w:val="NoSpacing"/>
              <w:rPr>
                <w:lang w:val="en-NZ" w:eastAsia="en-NZ"/>
              </w:rPr>
            </w:pPr>
            <w:r w:rsidRPr="00797CC2">
              <w:rPr>
                <w:lang w:val="en-NZ" w:eastAsia="en-NZ"/>
              </w:rPr>
              <w:t>Provision of information</w:t>
            </w:r>
          </w:p>
        </w:tc>
        <w:tc>
          <w:tcPr>
            <w:tcW w:w="1985" w:type="dxa"/>
          </w:tcPr>
          <w:p w:rsidR="008E3A10" w:rsidRPr="00797CC2" w:rsidRDefault="00DB183F" w:rsidP="00E52029">
            <w:pPr>
              <w:pStyle w:val="NoSpacing"/>
              <w:jc w:val="center"/>
              <w:rPr>
                <w:lang w:val="en-NZ" w:eastAsia="en-NZ"/>
              </w:rPr>
            </w:pPr>
            <w:r w:rsidRPr="00797CC2">
              <w:rPr>
                <w:lang w:val="en-NZ" w:eastAsia="en-NZ"/>
              </w:rPr>
              <w:t>26</w:t>
            </w:r>
          </w:p>
        </w:tc>
      </w:tr>
      <w:tr w:rsidR="008E3A10" w:rsidRPr="00797CC2" w:rsidTr="001063FD">
        <w:tc>
          <w:tcPr>
            <w:tcW w:w="3402" w:type="dxa"/>
          </w:tcPr>
          <w:p w:rsidR="008E3A10" w:rsidRPr="00797CC2" w:rsidRDefault="008E3A10" w:rsidP="00E52029">
            <w:pPr>
              <w:pStyle w:val="NoSpacing"/>
              <w:rPr>
                <w:lang w:val="en-NZ" w:eastAsia="en-NZ"/>
              </w:rPr>
            </w:pPr>
            <w:r w:rsidRPr="00797CC2">
              <w:rPr>
                <w:lang w:val="en-NZ" w:eastAsia="en-NZ"/>
              </w:rPr>
              <w:t>Review of policies/procedures</w:t>
            </w:r>
          </w:p>
        </w:tc>
        <w:tc>
          <w:tcPr>
            <w:tcW w:w="1985" w:type="dxa"/>
          </w:tcPr>
          <w:p w:rsidR="008E3A10" w:rsidRPr="00797CC2" w:rsidRDefault="00DB183F" w:rsidP="00E52029">
            <w:pPr>
              <w:pStyle w:val="NoSpacing"/>
              <w:jc w:val="center"/>
              <w:rPr>
                <w:lang w:val="en-NZ" w:eastAsia="en-NZ"/>
              </w:rPr>
            </w:pPr>
            <w:r w:rsidRPr="00797CC2">
              <w:rPr>
                <w:lang w:val="en-NZ" w:eastAsia="en-NZ"/>
              </w:rPr>
              <w:t>92</w:t>
            </w:r>
          </w:p>
        </w:tc>
      </w:tr>
      <w:tr w:rsidR="008E3A10" w:rsidRPr="00797CC2" w:rsidTr="001063FD">
        <w:tc>
          <w:tcPr>
            <w:tcW w:w="3402" w:type="dxa"/>
          </w:tcPr>
          <w:p w:rsidR="00F416A2" w:rsidRPr="00797CC2" w:rsidRDefault="008E3A10">
            <w:pPr>
              <w:pStyle w:val="NoSpacing"/>
              <w:rPr>
                <w:lang w:val="en-NZ" w:eastAsia="en-NZ"/>
              </w:rPr>
            </w:pPr>
            <w:r w:rsidRPr="00797CC2">
              <w:rPr>
                <w:lang w:val="en-NZ" w:eastAsia="en-NZ"/>
              </w:rPr>
              <w:t>Training/</w:t>
            </w:r>
            <w:r w:rsidR="00340412" w:rsidRPr="00797CC2">
              <w:rPr>
                <w:lang w:val="en-NZ" w:eastAsia="en-NZ"/>
              </w:rPr>
              <w:t xml:space="preserve">Professional </w:t>
            </w:r>
            <w:r w:rsidRPr="00797CC2">
              <w:rPr>
                <w:lang w:val="en-NZ" w:eastAsia="en-NZ"/>
              </w:rPr>
              <w:t>development</w:t>
            </w:r>
          </w:p>
        </w:tc>
        <w:tc>
          <w:tcPr>
            <w:tcW w:w="1985" w:type="dxa"/>
          </w:tcPr>
          <w:p w:rsidR="008E3A10" w:rsidRPr="00797CC2" w:rsidRDefault="00DB183F" w:rsidP="00E52029">
            <w:pPr>
              <w:pStyle w:val="NoSpacing"/>
              <w:jc w:val="center"/>
              <w:rPr>
                <w:lang w:val="en-NZ" w:eastAsia="en-NZ"/>
              </w:rPr>
            </w:pPr>
            <w:r w:rsidRPr="00797CC2">
              <w:rPr>
                <w:lang w:val="en-NZ" w:eastAsia="en-NZ"/>
              </w:rPr>
              <w:t>51</w:t>
            </w:r>
          </w:p>
        </w:tc>
      </w:tr>
      <w:tr w:rsidR="008E3A10" w:rsidRPr="00797CC2" w:rsidTr="00C219ED">
        <w:tc>
          <w:tcPr>
            <w:tcW w:w="3402" w:type="dxa"/>
            <w:shd w:val="clear" w:color="auto" w:fill="C00000"/>
          </w:tcPr>
          <w:p w:rsidR="008E3A10" w:rsidRPr="00797CC2" w:rsidRDefault="008E3A10" w:rsidP="00E52029">
            <w:pPr>
              <w:pStyle w:val="NoSpacing"/>
              <w:rPr>
                <w:b/>
                <w:lang w:val="en-NZ" w:eastAsia="en-NZ"/>
              </w:rPr>
            </w:pPr>
            <w:r w:rsidRPr="00797CC2">
              <w:rPr>
                <w:b/>
                <w:lang w:val="en-NZ" w:eastAsia="en-NZ"/>
              </w:rPr>
              <w:t>Total</w:t>
            </w:r>
          </w:p>
        </w:tc>
        <w:tc>
          <w:tcPr>
            <w:tcW w:w="1985" w:type="dxa"/>
            <w:shd w:val="clear" w:color="auto" w:fill="C00000"/>
          </w:tcPr>
          <w:p w:rsidR="008E3A10" w:rsidRPr="00797CC2" w:rsidRDefault="00DB183F" w:rsidP="00E52029">
            <w:pPr>
              <w:pStyle w:val="NoSpacing"/>
              <w:jc w:val="center"/>
              <w:rPr>
                <w:b/>
                <w:lang w:val="en-NZ" w:eastAsia="en-NZ"/>
              </w:rPr>
            </w:pPr>
            <w:r w:rsidRPr="00797CC2">
              <w:rPr>
                <w:b/>
                <w:lang w:val="en-NZ" w:eastAsia="en-NZ"/>
              </w:rPr>
              <w:t>295</w:t>
            </w:r>
          </w:p>
        </w:tc>
      </w:tr>
    </w:tbl>
    <w:p w:rsidR="00D30C28" w:rsidRDefault="00304160" w:rsidP="00D30C28">
      <w:pPr>
        <w:spacing w:before="240"/>
        <w:rPr>
          <w:lang w:eastAsia="en-NZ"/>
        </w:rPr>
      </w:pPr>
      <w:r w:rsidRPr="00797CC2">
        <w:t>As can be seen from the above table, t</w:t>
      </w:r>
      <w:r w:rsidR="00B72DA4" w:rsidRPr="00797CC2">
        <w:rPr>
          <w:lang w:eastAsia="en-NZ"/>
        </w:rPr>
        <w:t xml:space="preserve">he most common recommendation made to </w:t>
      </w:r>
      <w:r w:rsidR="00D24BED" w:rsidRPr="00797CC2">
        <w:rPr>
          <w:lang w:eastAsia="en-NZ"/>
        </w:rPr>
        <w:t xml:space="preserve">DHBs </w:t>
      </w:r>
      <w:r w:rsidR="00B72DA4" w:rsidRPr="00797CC2">
        <w:rPr>
          <w:lang w:eastAsia="en-NZ"/>
        </w:rPr>
        <w:t>was</w:t>
      </w:r>
      <w:r w:rsidR="00AE59E7" w:rsidRPr="00797CC2">
        <w:rPr>
          <w:lang w:eastAsia="en-NZ"/>
        </w:rPr>
        <w:t xml:space="preserve"> that they review their</w:t>
      </w:r>
      <w:r w:rsidR="003B27D8" w:rsidRPr="00797CC2">
        <w:rPr>
          <w:lang w:eastAsia="en-NZ"/>
        </w:rPr>
        <w:t xml:space="preserve"> policies/procedures</w:t>
      </w:r>
      <w:r w:rsidR="00DB183F" w:rsidRPr="00797CC2">
        <w:rPr>
          <w:lang w:eastAsia="en-NZ"/>
        </w:rPr>
        <w:t xml:space="preserve"> (92</w:t>
      </w:r>
      <w:r w:rsidR="004A5EAA" w:rsidRPr="00797CC2">
        <w:rPr>
          <w:lang w:eastAsia="en-NZ"/>
        </w:rPr>
        <w:t xml:space="preserve"> recommendations</w:t>
      </w:r>
      <w:r w:rsidR="00B72DA4" w:rsidRPr="00797CC2">
        <w:rPr>
          <w:lang w:eastAsia="en-NZ"/>
        </w:rPr>
        <w:t xml:space="preserve">). </w:t>
      </w:r>
      <w:r w:rsidR="003B27D8" w:rsidRPr="00797CC2">
        <w:rPr>
          <w:lang w:eastAsia="en-NZ"/>
        </w:rPr>
        <w:t>Training/professional development was also often recommended</w:t>
      </w:r>
      <w:r w:rsidR="00B72DA4" w:rsidRPr="00797CC2">
        <w:rPr>
          <w:lang w:eastAsia="en-NZ"/>
        </w:rPr>
        <w:t xml:space="preserve"> (</w:t>
      </w:r>
      <w:r w:rsidR="00DB183F" w:rsidRPr="00797CC2">
        <w:rPr>
          <w:lang w:eastAsia="en-NZ"/>
        </w:rPr>
        <w:t>51</w:t>
      </w:r>
      <w:r w:rsidR="009C4DF6" w:rsidRPr="00797CC2">
        <w:rPr>
          <w:lang w:eastAsia="en-NZ"/>
        </w:rPr>
        <w:t xml:space="preserve"> recommendations</w:t>
      </w:r>
      <w:r w:rsidR="00B72DA4" w:rsidRPr="00797CC2">
        <w:rPr>
          <w:lang w:eastAsia="en-NZ"/>
        </w:rPr>
        <w:t>)</w:t>
      </w:r>
      <w:r w:rsidR="003B27D8" w:rsidRPr="00797CC2">
        <w:rPr>
          <w:lang w:eastAsia="en-NZ"/>
        </w:rPr>
        <w:t>.</w:t>
      </w:r>
      <w:r w:rsidR="002B2822" w:rsidRPr="00797CC2">
        <w:rPr>
          <w:lang w:eastAsia="en-NZ"/>
        </w:rPr>
        <w:t xml:space="preserve"> Training </w:t>
      </w:r>
      <w:r w:rsidR="000539C6" w:rsidRPr="00797CC2">
        <w:rPr>
          <w:lang w:eastAsia="en-NZ"/>
        </w:rPr>
        <w:t>recommendations most frequently concerned</w:t>
      </w:r>
      <w:r w:rsidR="002B2822" w:rsidRPr="00797CC2">
        <w:rPr>
          <w:lang w:eastAsia="en-NZ"/>
        </w:rPr>
        <w:t xml:space="preserve"> com</w:t>
      </w:r>
      <w:r w:rsidR="00D24BED" w:rsidRPr="00797CC2">
        <w:rPr>
          <w:lang w:eastAsia="en-NZ"/>
        </w:rPr>
        <w:t>munication</w:t>
      </w:r>
      <w:r w:rsidR="00430CDF" w:rsidRPr="00797CC2">
        <w:rPr>
          <w:lang w:eastAsia="en-NZ"/>
        </w:rPr>
        <w:t>,</w:t>
      </w:r>
      <w:r w:rsidR="00D24BED" w:rsidRPr="00797CC2">
        <w:rPr>
          <w:lang w:eastAsia="en-NZ"/>
        </w:rPr>
        <w:t xml:space="preserve"> followed by clinical</w:t>
      </w:r>
      <w:r w:rsidR="002B2822" w:rsidRPr="00797CC2">
        <w:rPr>
          <w:lang w:eastAsia="en-NZ"/>
        </w:rPr>
        <w:t xml:space="preserve"> issues and documentation</w:t>
      </w:r>
      <w:r w:rsidR="00AE59E7" w:rsidRPr="00797CC2">
        <w:rPr>
          <w:lang w:eastAsia="en-NZ"/>
        </w:rPr>
        <w:t xml:space="preserve">. </w:t>
      </w:r>
      <w:r w:rsidR="00FF5AEA" w:rsidRPr="00797CC2">
        <w:rPr>
          <w:lang w:eastAsia="en-NZ"/>
        </w:rPr>
        <w:t>A</w:t>
      </w:r>
      <w:r w:rsidR="004A5EAA" w:rsidRPr="00797CC2">
        <w:rPr>
          <w:lang w:eastAsia="en-NZ"/>
        </w:rPr>
        <w:t>udits were most commonly of policies/procedures followed by documentation</w:t>
      </w:r>
      <w:r w:rsidR="00430CDF" w:rsidRPr="00797CC2">
        <w:rPr>
          <w:lang w:eastAsia="en-NZ"/>
        </w:rPr>
        <w:t>.</w:t>
      </w:r>
      <w:r w:rsidR="004A5EAA" w:rsidRPr="00797CC2">
        <w:rPr>
          <w:lang w:eastAsia="en-NZ"/>
        </w:rPr>
        <w:t xml:space="preserve"> </w:t>
      </w:r>
      <w:r w:rsidR="00FF5AEA" w:rsidRPr="00797CC2">
        <w:rPr>
          <w:lang w:eastAsia="en-NZ"/>
        </w:rPr>
        <w:t xml:space="preserve">Apologies were recommended on 49 occasions and feedback from complainants suggests that these were often highly valued. </w:t>
      </w:r>
      <w:r w:rsidRPr="00797CC2">
        <w:rPr>
          <w:lang w:eastAsia="en-NZ"/>
        </w:rPr>
        <w:t xml:space="preserve">  In the vast majority of cases, recommendations made by HDC are implemented by all providers, including DHBs.</w:t>
      </w:r>
    </w:p>
    <w:p w:rsidR="00894AEC" w:rsidRDefault="00894AEC" w:rsidP="00D30C28">
      <w:pPr>
        <w:spacing w:before="240"/>
        <w:rPr>
          <w:lang w:eastAsia="en-NZ"/>
        </w:rPr>
      </w:pPr>
    </w:p>
    <w:p w:rsidR="00894AEC" w:rsidRDefault="00894AEC" w:rsidP="00D30C28">
      <w:pPr>
        <w:spacing w:before="240"/>
        <w:rPr>
          <w:lang w:eastAsia="en-NZ"/>
        </w:rPr>
      </w:pPr>
    </w:p>
    <w:p w:rsidR="00894AEC" w:rsidRDefault="00894AEC" w:rsidP="00D30C28">
      <w:pPr>
        <w:spacing w:before="240"/>
        <w:rPr>
          <w:lang w:eastAsia="en-NZ"/>
        </w:rPr>
      </w:pPr>
    </w:p>
    <w:p w:rsidR="00894AEC" w:rsidRDefault="00894AEC" w:rsidP="00D30C28">
      <w:pPr>
        <w:spacing w:before="240"/>
        <w:rPr>
          <w:lang w:eastAsia="en-NZ"/>
        </w:rPr>
      </w:pPr>
    </w:p>
    <w:p w:rsidR="00894AEC" w:rsidRDefault="00894AEC" w:rsidP="00D30C28">
      <w:pPr>
        <w:spacing w:before="240"/>
        <w:rPr>
          <w:lang w:eastAsia="en-NZ"/>
        </w:rPr>
      </w:pPr>
    </w:p>
    <w:p w:rsidR="00894AEC" w:rsidRDefault="00894AEC" w:rsidP="00D30C28">
      <w:pPr>
        <w:spacing w:before="240"/>
        <w:rPr>
          <w:lang w:eastAsia="en-NZ"/>
        </w:rPr>
      </w:pPr>
    </w:p>
    <w:p w:rsidR="00894AEC" w:rsidRDefault="00894AEC" w:rsidP="00D30C28">
      <w:pPr>
        <w:spacing w:before="240"/>
        <w:rPr>
          <w:lang w:eastAsia="en-NZ"/>
        </w:rPr>
      </w:pPr>
    </w:p>
    <w:p w:rsidR="00894AEC" w:rsidRDefault="00894AEC" w:rsidP="00D30C28">
      <w:pPr>
        <w:spacing w:before="240"/>
        <w:rPr>
          <w:lang w:eastAsia="en-NZ"/>
        </w:rPr>
      </w:pPr>
    </w:p>
    <w:p w:rsidR="00894AEC" w:rsidRPr="00797CC2" w:rsidRDefault="00894AEC" w:rsidP="00D30C28">
      <w:pPr>
        <w:spacing w:before="240"/>
        <w:rPr>
          <w:lang w:eastAsia="en-NZ"/>
        </w:rPr>
      </w:pPr>
    </w:p>
    <w:p w:rsidR="00AD5E6D" w:rsidRPr="00797CC2" w:rsidRDefault="00AD5E6D" w:rsidP="00D30C28">
      <w:pPr>
        <w:spacing w:before="240"/>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EB566D" w:rsidTr="00C219ED">
        <w:tc>
          <w:tcPr>
            <w:tcW w:w="9298" w:type="dxa"/>
          </w:tcPr>
          <w:p w:rsidR="00304160" w:rsidRPr="00797CC2" w:rsidRDefault="00304160" w:rsidP="00304160">
            <w:pPr>
              <w:jc w:val="center"/>
              <w:rPr>
                <w:b/>
                <w:sz w:val="28"/>
                <w:szCs w:val="28"/>
              </w:rPr>
            </w:pPr>
            <w:r w:rsidRPr="00797CC2">
              <w:rPr>
                <w:b/>
                <w:sz w:val="28"/>
                <w:szCs w:val="28"/>
              </w:rPr>
              <w:t>Case studies</w:t>
            </w:r>
            <w:r w:rsidR="00EB566D" w:rsidRPr="00797CC2">
              <w:rPr>
                <w:b/>
                <w:sz w:val="28"/>
                <w:szCs w:val="28"/>
              </w:rPr>
              <w:t xml:space="preserve"> </w:t>
            </w:r>
          </w:p>
          <w:p w:rsidR="00EB566D" w:rsidRPr="00797CC2" w:rsidRDefault="00304160" w:rsidP="00304160">
            <w:pPr>
              <w:jc w:val="center"/>
              <w:rPr>
                <w:b/>
                <w:sz w:val="28"/>
                <w:szCs w:val="28"/>
              </w:rPr>
            </w:pPr>
            <w:r w:rsidRPr="00797CC2">
              <w:rPr>
                <w:b/>
                <w:sz w:val="28"/>
                <w:szCs w:val="28"/>
              </w:rPr>
              <w:t>R</w:t>
            </w:r>
            <w:r w:rsidR="00EB566D" w:rsidRPr="00797CC2">
              <w:rPr>
                <w:b/>
                <w:sz w:val="28"/>
                <w:szCs w:val="28"/>
              </w:rPr>
              <w:t>ecommendations made</w:t>
            </w:r>
            <w:r w:rsidRPr="00797CC2">
              <w:rPr>
                <w:b/>
                <w:sz w:val="28"/>
                <w:szCs w:val="28"/>
              </w:rPr>
              <w:t xml:space="preserve"> by HDC</w:t>
            </w:r>
          </w:p>
          <w:p w:rsidR="00D6018E" w:rsidRPr="00797CC2" w:rsidRDefault="00D6018E" w:rsidP="00D6018E">
            <w:pPr>
              <w:rPr>
                <w:lang w:bidi="ar-SA"/>
              </w:rPr>
            </w:pPr>
          </w:p>
          <w:p w:rsidR="001063FD" w:rsidRPr="00797CC2" w:rsidRDefault="001063FD" w:rsidP="001063FD">
            <w:pPr>
              <w:pStyle w:val="Bulletindent"/>
              <w:ind w:left="0" w:firstLine="0"/>
              <w:jc w:val="center"/>
              <w:rPr>
                <w:szCs w:val="22"/>
              </w:rPr>
            </w:pPr>
            <w:r w:rsidRPr="00797CC2">
              <w:rPr>
                <w:b/>
                <w:szCs w:val="22"/>
              </w:rPr>
              <w:t xml:space="preserve">Recommendations arising from breach relating to ED triage delay </w:t>
            </w:r>
          </w:p>
          <w:p w:rsidR="001063FD" w:rsidRPr="00797CC2" w:rsidRDefault="001063FD" w:rsidP="001063FD">
            <w:pPr>
              <w:pStyle w:val="Bulletindent"/>
              <w:ind w:left="0" w:firstLine="0"/>
              <w:rPr>
                <w:szCs w:val="22"/>
              </w:rPr>
            </w:pPr>
          </w:p>
          <w:p w:rsidR="001063FD" w:rsidRPr="00797CC2" w:rsidRDefault="001063FD" w:rsidP="001063FD">
            <w:pPr>
              <w:pStyle w:val="Bulletindent"/>
              <w:ind w:left="0" w:firstLine="0"/>
              <w:rPr>
                <w:szCs w:val="22"/>
              </w:rPr>
            </w:pPr>
            <w:r w:rsidRPr="00797CC2">
              <w:rPr>
                <w:szCs w:val="22"/>
              </w:rPr>
              <w:t>A woman twice presented at a public hospital ED and both times experienced delays in being seen by a doctor.  The Commissioner found the DHB in breach of the Code as the ED triage process was not implemented effectively on either occasion. The Commissioner made a number of recommendations to the DHB including that it:</w:t>
            </w:r>
          </w:p>
          <w:p w:rsidR="001063FD" w:rsidRPr="00797CC2" w:rsidRDefault="001063FD" w:rsidP="001063FD">
            <w:pPr>
              <w:pStyle w:val="Bulletindent"/>
              <w:numPr>
                <w:ilvl w:val="0"/>
                <w:numId w:val="6"/>
              </w:numPr>
              <w:rPr>
                <w:szCs w:val="22"/>
              </w:rPr>
            </w:pPr>
            <w:r w:rsidRPr="00797CC2">
              <w:rPr>
                <w:szCs w:val="22"/>
              </w:rPr>
              <w:t xml:space="preserve">review its triage policy and the need for a triage assessment nurse to be allocated to the waiting room; and </w:t>
            </w:r>
          </w:p>
          <w:p w:rsidR="001063FD" w:rsidRPr="00797CC2" w:rsidRDefault="001063FD" w:rsidP="001063FD">
            <w:pPr>
              <w:pStyle w:val="Bulletindent"/>
              <w:numPr>
                <w:ilvl w:val="0"/>
                <w:numId w:val="6"/>
              </w:numPr>
              <w:rPr>
                <w:szCs w:val="22"/>
              </w:rPr>
            </w:pPr>
            <w:r w:rsidRPr="00797CC2">
              <w:rPr>
                <w:szCs w:val="22"/>
              </w:rPr>
              <w:t>audit the effectiveness of changes it made to the systems operating in the ED, including its revised ED staffing levels, its triage categorisation process, the development of an Escalation Policy, and the introduction of a system to fast track lower acuity patients through the ED.</w:t>
            </w:r>
          </w:p>
          <w:p w:rsidR="001063FD" w:rsidRPr="00797CC2" w:rsidRDefault="00A8357D" w:rsidP="00E77A54">
            <w:pPr>
              <w:pStyle w:val="Bulletindent"/>
              <w:ind w:left="0" w:firstLine="0"/>
              <w:rPr>
                <w:szCs w:val="22"/>
              </w:rPr>
            </w:pPr>
            <w:r w:rsidRPr="00797CC2">
              <w:rPr>
                <w:szCs w:val="22"/>
              </w:rPr>
              <w:t>The DHB has complied with the recommendations and has made further improvements in the ED with a specific focus on patient safety and improvement in the flow of patients.</w:t>
            </w:r>
          </w:p>
          <w:p w:rsidR="00304160" w:rsidRPr="00797CC2" w:rsidRDefault="00304160" w:rsidP="00E77A54">
            <w:pPr>
              <w:pStyle w:val="Bulletindent"/>
              <w:spacing w:before="120"/>
              <w:ind w:left="0" w:firstLine="0"/>
              <w:jc w:val="center"/>
              <w:rPr>
                <w:szCs w:val="22"/>
              </w:rPr>
            </w:pPr>
            <w:r w:rsidRPr="00797CC2">
              <w:rPr>
                <w:b/>
                <w:szCs w:val="22"/>
              </w:rPr>
              <w:t>Recommendations</w:t>
            </w:r>
            <w:r w:rsidR="00FA549D" w:rsidRPr="00797CC2">
              <w:rPr>
                <w:b/>
                <w:szCs w:val="22"/>
              </w:rPr>
              <w:t xml:space="preserve"> arising from </w:t>
            </w:r>
            <w:r w:rsidR="00524A9C" w:rsidRPr="00797CC2">
              <w:rPr>
                <w:b/>
                <w:szCs w:val="22"/>
              </w:rPr>
              <w:t>breach</w:t>
            </w:r>
            <w:r w:rsidR="00FA549D" w:rsidRPr="00797CC2">
              <w:rPr>
                <w:b/>
                <w:szCs w:val="22"/>
              </w:rPr>
              <w:t xml:space="preserve"> relating to an instrumental delivery </w:t>
            </w:r>
          </w:p>
          <w:p w:rsidR="00304160" w:rsidRPr="00797CC2" w:rsidRDefault="00304160" w:rsidP="00D6018E">
            <w:pPr>
              <w:pStyle w:val="Bulletindent"/>
              <w:ind w:left="0" w:firstLine="0"/>
              <w:rPr>
                <w:szCs w:val="22"/>
              </w:rPr>
            </w:pPr>
          </w:p>
          <w:p w:rsidR="00FA549D" w:rsidRPr="00797CC2" w:rsidRDefault="00D6018E" w:rsidP="00D6018E">
            <w:pPr>
              <w:pStyle w:val="Bulletindent"/>
              <w:ind w:left="0" w:firstLine="0"/>
              <w:rPr>
                <w:szCs w:val="22"/>
              </w:rPr>
            </w:pPr>
            <w:r w:rsidRPr="00797CC2">
              <w:rPr>
                <w:szCs w:val="22"/>
              </w:rPr>
              <w:t xml:space="preserve">The Commissioner found an obstetric registrar in breach of the Code for proceeding to an instrumental delivery without recognising the complexity of a woman’s presentation during labour. The Commissioner found the DHB in breach of the Code as systemic issues at the DHB had contributed to the registrar’s failures. The Commissioner found that the DHB did not have a culture that sufficiently supported the registrar </w:t>
            </w:r>
            <w:r w:rsidR="00304160" w:rsidRPr="00797CC2">
              <w:rPr>
                <w:szCs w:val="22"/>
              </w:rPr>
              <w:t>and that placed</w:t>
            </w:r>
            <w:r w:rsidRPr="00797CC2">
              <w:rPr>
                <w:szCs w:val="22"/>
              </w:rPr>
              <w:t xml:space="preserve"> the </w:t>
            </w:r>
            <w:r w:rsidR="00304160" w:rsidRPr="00797CC2">
              <w:rPr>
                <w:szCs w:val="22"/>
              </w:rPr>
              <w:t xml:space="preserve">onus </w:t>
            </w:r>
            <w:r w:rsidRPr="00797CC2">
              <w:rPr>
                <w:szCs w:val="22"/>
              </w:rPr>
              <w:t xml:space="preserve">on more junior staff to </w:t>
            </w:r>
            <w:r w:rsidR="00FA549D" w:rsidRPr="00797CC2">
              <w:rPr>
                <w:szCs w:val="22"/>
              </w:rPr>
              <w:t xml:space="preserve">identify the limits of their expertise and ensure they were operating within safe and acceptable margins.  </w:t>
            </w:r>
          </w:p>
          <w:p w:rsidR="00FA549D" w:rsidRPr="00797CC2" w:rsidRDefault="00FA549D" w:rsidP="00D6018E">
            <w:pPr>
              <w:pStyle w:val="Bulletindent"/>
              <w:ind w:left="0" w:firstLine="0"/>
              <w:rPr>
                <w:szCs w:val="22"/>
              </w:rPr>
            </w:pPr>
          </w:p>
          <w:p w:rsidR="00FA549D" w:rsidRPr="00797CC2" w:rsidRDefault="00FA549D" w:rsidP="00D6018E">
            <w:pPr>
              <w:pStyle w:val="Bulletindent"/>
              <w:ind w:left="0" w:firstLine="0"/>
              <w:rPr>
                <w:szCs w:val="22"/>
              </w:rPr>
            </w:pPr>
            <w:r w:rsidRPr="00797CC2">
              <w:rPr>
                <w:szCs w:val="22"/>
              </w:rPr>
              <w:t>Subsequent to the complaint, the DHB implemented a new policy for mandatory consultant involvement in all mid-cavity and rot</w:t>
            </w:r>
            <w:r w:rsidR="00A8357D" w:rsidRPr="00797CC2">
              <w:rPr>
                <w:szCs w:val="22"/>
              </w:rPr>
              <w:t>ational instrumental deliveries, except where the registrar has been credentialed to undertake such deliveries without supervision.</w:t>
            </w:r>
            <w:r w:rsidRPr="00797CC2">
              <w:rPr>
                <w:szCs w:val="22"/>
              </w:rPr>
              <w:t xml:space="preserve">  </w:t>
            </w:r>
          </w:p>
          <w:p w:rsidR="00FA549D" w:rsidRPr="00797CC2" w:rsidRDefault="00FA549D" w:rsidP="00D6018E">
            <w:pPr>
              <w:pStyle w:val="Bulletindent"/>
              <w:ind w:left="0" w:firstLine="0"/>
              <w:rPr>
                <w:szCs w:val="22"/>
              </w:rPr>
            </w:pPr>
          </w:p>
          <w:p w:rsidR="00D6018E" w:rsidRPr="00797CC2" w:rsidRDefault="00FA549D" w:rsidP="00D6018E">
            <w:pPr>
              <w:pStyle w:val="Bulletindent"/>
              <w:ind w:left="0" w:firstLine="0"/>
              <w:rPr>
                <w:szCs w:val="22"/>
              </w:rPr>
            </w:pPr>
            <w:r w:rsidRPr="00797CC2">
              <w:rPr>
                <w:szCs w:val="22"/>
              </w:rPr>
              <w:t>In his report, the</w:t>
            </w:r>
            <w:r w:rsidR="00304160" w:rsidRPr="00797CC2">
              <w:rPr>
                <w:szCs w:val="22"/>
              </w:rPr>
              <w:t xml:space="preserve"> Commissioner</w:t>
            </w:r>
            <w:r w:rsidR="00D6018E" w:rsidRPr="00797CC2">
              <w:rPr>
                <w:szCs w:val="22"/>
              </w:rPr>
              <w:t xml:space="preserve"> recommended that the DHB: </w:t>
            </w:r>
          </w:p>
          <w:p w:rsidR="00D6018E" w:rsidRPr="00797CC2" w:rsidRDefault="00D6018E" w:rsidP="00304160">
            <w:pPr>
              <w:pStyle w:val="Bulletindent"/>
              <w:numPr>
                <w:ilvl w:val="0"/>
                <w:numId w:val="6"/>
              </w:numPr>
              <w:rPr>
                <w:szCs w:val="22"/>
              </w:rPr>
            </w:pPr>
            <w:r w:rsidRPr="00797CC2">
              <w:rPr>
                <w:szCs w:val="22"/>
              </w:rPr>
              <w:t>provide a written apology</w:t>
            </w:r>
            <w:r w:rsidR="003D15CC" w:rsidRPr="00797CC2">
              <w:rPr>
                <w:szCs w:val="22"/>
              </w:rPr>
              <w:t xml:space="preserve"> to</w:t>
            </w:r>
            <w:r w:rsidRPr="00797CC2">
              <w:rPr>
                <w:szCs w:val="22"/>
              </w:rPr>
              <w:t xml:space="preserve"> the consumer for the shortcomings in her care; </w:t>
            </w:r>
          </w:p>
          <w:p w:rsidR="00D6018E" w:rsidRPr="00797CC2" w:rsidRDefault="00D6018E" w:rsidP="00304160">
            <w:pPr>
              <w:pStyle w:val="Bulletindent"/>
              <w:numPr>
                <w:ilvl w:val="0"/>
                <w:numId w:val="6"/>
              </w:numPr>
              <w:rPr>
                <w:szCs w:val="22"/>
              </w:rPr>
            </w:pPr>
            <w:r w:rsidRPr="00797CC2">
              <w:rPr>
                <w:szCs w:val="22"/>
              </w:rPr>
              <w:t xml:space="preserve">carry out an audit of all mid-cavity and rotational instrumental deliveries, assessing compliance with </w:t>
            </w:r>
            <w:r w:rsidR="00FA549D" w:rsidRPr="00797CC2">
              <w:rPr>
                <w:szCs w:val="22"/>
              </w:rPr>
              <w:t>the DHB’s new policy</w:t>
            </w:r>
            <w:r w:rsidR="00304160" w:rsidRPr="00797CC2">
              <w:rPr>
                <w:szCs w:val="22"/>
              </w:rPr>
              <w:t>;</w:t>
            </w:r>
          </w:p>
          <w:p w:rsidR="00D6018E" w:rsidRPr="00797CC2" w:rsidRDefault="00D6018E" w:rsidP="00304160">
            <w:pPr>
              <w:pStyle w:val="Bulletindent"/>
              <w:numPr>
                <w:ilvl w:val="0"/>
                <w:numId w:val="6"/>
              </w:numPr>
              <w:rPr>
                <w:szCs w:val="22"/>
              </w:rPr>
            </w:pPr>
            <w:r w:rsidRPr="00797CC2">
              <w:rPr>
                <w:szCs w:val="22"/>
              </w:rPr>
              <w:t xml:space="preserve">provide a report to HDC on any adverse outcomes following mid-cavity or rotational instrumental deliveries since </w:t>
            </w:r>
            <w:r w:rsidR="00FA549D" w:rsidRPr="00797CC2">
              <w:rPr>
                <w:szCs w:val="22"/>
              </w:rPr>
              <w:t>the</w:t>
            </w:r>
            <w:r w:rsidRPr="00797CC2">
              <w:rPr>
                <w:szCs w:val="22"/>
              </w:rPr>
              <w:t xml:space="preserve"> incident</w:t>
            </w:r>
            <w:r w:rsidR="00FA549D" w:rsidRPr="00797CC2">
              <w:rPr>
                <w:szCs w:val="22"/>
              </w:rPr>
              <w:t xml:space="preserve"> that was the subject of the complaint</w:t>
            </w:r>
            <w:r w:rsidRPr="00797CC2">
              <w:rPr>
                <w:szCs w:val="22"/>
              </w:rPr>
              <w:t>; and</w:t>
            </w:r>
          </w:p>
          <w:p w:rsidR="00D6018E" w:rsidRPr="00797CC2" w:rsidRDefault="00D6018E" w:rsidP="00304160">
            <w:pPr>
              <w:pStyle w:val="Bulletindent"/>
              <w:numPr>
                <w:ilvl w:val="0"/>
                <w:numId w:val="6"/>
              </w:numPr>
              <w:rPr>
                <w:szCs w:val="22"/>
              </w:rPr>
            </w:pPr>
            <w:r w:rsidRPr="00797CC2">
              <w:rPr>
                <w:szCs w:val="22"/>
              </w:rPr>
              <w:t xml:space="preserve">communicate with all other DHBs in New Zealand to ensure that </w:t>
            </w:r>
            <w:r w:rsidR="00FA549D" w:rsidRPr="00797CC2">
              <w:rPr>
                <w:szCs w:val="22"/>
              </w:rPr>
              <w:t>DHB</w:t>
            </w:r>
            <w:r w:rsidRPr="00797CC2">
              <w:rPr>
                <w:szCs w:val="22"/>
              </w:rPr>
              <w:t xml:space="preserve"> policies in relation to the supervision of obstetrics registrars are consistent.</w:t>
            </w:r>
            <w:r w:rsidR="00FA549D" w:rsidRPr="00797CC2">
              <w:rPr>
                <w:szCs w:val="22"/>
              </w:rPr>
              <w:t xml:space="preserve">  </w:t>
            </w:r>
          </w:p>
          <w:p w:rsidR="007B4263" w:rsidRPr="00797CC2" w:rsidRDefault="007B4263" w:rsidP="007B4263">
            <w:pPr>
              <w:pStyle w:val="Bulletindent"/>
              <w:ind w:left="360" w:firstLine="0"/>
              <w:rPr>
                <w:szCs w:val="22"/>
              </w:rPr>
            </w:pPr>
          </w:p>
          <w:p w:rsidR="00D6018E" w:rsidRPr="00797CC2" w:rsidRDefault="00A8357D" w:rsidP="00D6018E">
            <w:pPr>
              <w:pStyle w:val="Bulletindent"/>
              <w:ind w:left="0" w:firstLine="0"/>
              <w:rPr>
                <w:szCs w:val="22"/>
              </w:rPr>
            </w:pPr>
            <w:r w:rsidRPr="00797CC2">
              <w:rPr>
                <w:szCs w:val="22"/>
              </w:rPr>
              <w:t>The DHB has complied with all of the recommendations.</w:t>
            </w:r>
          </w:p>
          <w:p w:rsidR="007B4263" w:rsidRPr="00797CC2" w:rsidRDefault="007B4263" w:rsidP="00D6018E">
            <w:pPr>
              <w:pStyle w:val="Bulletindent"/>
              <w:ind w:left="0" w:firstLine="0"/>
              <w:rPr>
                <w:szCs w:val="22"/>
              </w:rPr>
            </w:pPr>
          </w:p>
          <w:p w:rsidR="0050194E" w:rsidRPr="00797CC2" w:rsidRDefault="0050194E" w:rsidP="00524A9C">
            <w:pPr>
              <w:pStyle w:val="Bulletindent"/>
              <w:ind w:left="0" w:firstLine="0"/>
              <w:jc w:val="center"/>
              <w:rPr>
                <w:b/>
                <w:szCs w:val="22"/>
              </w:rPr>
            </w:pPr>
            <w:r w:rsidRPr="00797CC2">
              <w:rPr>
                <w:b/>
                <w:szCs w:val="22"/>
              </w:rPr>
              <w:t>Recommendations arising from breach for failure to recognise decline in elderly patient</w:t>
            </w:r>
          </w:p>
          <w:p w:rsidR="0050194E" w:rsidRPr="00797CC2" w:rsidRDefault="0050194E" w:rsidP="00D6018E">
            <w:pPr>
              <w:pStyle w:val="Bulletindent"/>
              <w:ind w:left="0" w:firstLine="0"/>
              <w:rPr>
                <w:szCs w:val="22"/>
              </w:rPr>
            </w:pPr>
          </w:p>
          <w:p w:rsidR="00D6018E" w:rsidRPr="00797CC2" w:rsidRDefault="00D6018E" w:rsidP="00D6018E">
            <w:pPr>
              <w:pStyle w:val="Bulletindent"/>
              <w:ind w:left="0" w:firstLine="0"/>
              <w:rPr>
                <w:szCs w:val="22"/>
              </w:rPr>
            </w:pPr>
            <w:r w:rsidRPr="00797CC2">
              <w:rPr>
                <w:szCs w:val="22"/>
              </w:rPr>
              <w:t>The Commissioner found a DHB in breach of the Code for failings in its care of an elderly woman, including failing to interpret and recognise the signs of a declining patient who was in pain</w:t>
            </w:r>
            <w:r w:rsidR="0050194E" w:rsidRPr="00797CC2">
              <w:rPr>
                <w:szCs w:val="22"/>
              </w:rPr>
              <w:t>, and failing to communicate</w:t>
            </w:r>
            <w:r w:rsidRPr="00797CC2">
              <w:rPr>
                <w:szCs w:val="22"/>
              </w:rPr>
              <w:t xml:space="preserve"> appropriately with another provider about the arrangements for the woman’s discharge. The Commissioner recommended that the DHB:</w:t>
            </w:r>
          </w:p>
          <w:p w:rsidR="00D6018E" w:rsidRPr="00797CC2" w:rsidRDefault="0050194E" w:rsidP="0050194E">
            <w:pPr>
              <w:pStyle w:val="Bulletindent"/>
              <w:numPr>
                <w:ilvl w:val="0"/>
                <w:numId w:val="6"/>
              </w:numPr>
              <w:rPr>
                <w:szCs w:val="22"/>
              </w:rPr>
            </w:pPr>
            <w:r w:rsidRPr="00797CC2">
              <w:rPr>
                <w:szCs w:val="22"/>
              </w:rPr>
              <w:t>d</w:t>
            </w:r>
            <w:r w:rsidR="00D6018E" w:rsidRPr="00797CC2">
              <w:rPr>
                <w:szCs w:val="22"/>
              </w:rPr>
              <w:t>evelop clear and documented processes governing communication and handover between staff, and discharge/transfer of care from t</w:t>
            </w:r>
            <w:r w:rsidRPr="00797CC2">
              <w:rPr>
                <w:szCs w:val="22"/>
              </w:rPr>
              <w:t>he DHB to aged care facilities;</w:t>
            </w:r>
          </w:p>
          <w:p w:rsidR="00D6018E" w:rsidRPr="00797CC2" w:rsidRDefault="0050194E" w:rsidP="0050194E">
            <w:pPr>
              <w:pStyle w:val="Bulletindent"/>
              <w:numPr>
                <w:ilvl w:val="0"/>
                <w:numId w:val="6"/>
              </w:numPr>
              <w:rPr>
                <w:szCs w:val="22"/>
              </w:rPr>
            </w:pPr>
            <w:r w:rsidRPr="00797CC2">
              <w:rPr>
                <w:szCs w:val="22"/>
              </w:rPr>
              <w:t>c</w:t>
            </w:r>
            <w:r w:rsidR="00D6018E" w:rsidRPr="00797CC2">
              <w:rPr>
                <w:szCs w:val="22"/>
              </w:rPr>
              <w:t xml:space="preserve">onduct a review of nursing staff’s approach to, and use of, </w:t>
            </w:r>
            <w:r w:rsidR="00A8357D" w:rsidRPr="00797CC2">
              <w:rPr>
                <w:szCs w:val="22"/>
              </w:rPr>
              <w:t>the Early Warning Score System, the Functional Independence Measure,</w:t>
            </w:r>
            <w:r w:rsidRPr="00797CC2">
              <w:rPr>
                <w:szCs w:val="22"/>
              </w:rPr>
              <w:t xml:space="preserve"> and observational recordings;</w:t>
            </w:r>
          </w:p>
          <w:p w:rsidR="00D6018E" w:rsidRPr="00797CC2" w:rsidRDefault="0050194E" w:rsidP="0050194E">
            <w:pPr>
              <w:pStyle w:val="Bulletindent"/>
              <w:numPr>
                <w:ilvl w:val="0"/>
                <w:numId w:val="6"/>
              </w:numPr>
              <w:rPr>
                <w:szCs w:val="22"/>
              </w:rPr>
            </w:pPr>
            <w:r w:rsidRPr="00797CC2">
              <w:rPr>
                <w:szCs w:val="22"/>
              </w:rPr>
              <w:t>u</w:t>
            </w:r>
            <w:r w:rsidR="00D6018E" w:rsidRPr="00797CC2">
              <w:rPr>
                <w:szCs w:val="22"/>
              </w:rPr>
              <w:t>ndertake a review of processes to identify and respond to signs of deterioration in adult patients and processes to audit staff compliance with the procedures;</w:t>
            </w:r>
          </w:p>
          <w:p w:rsidR="00D6018E" w:rsidRPr="00797CC2" w:rsidRDefault="0050194E" w:rsidP="0050194E">
            <w:pPr>
              <w:pStyle w:val="Bulletindent"/>
              <w:numPr>
                <w:ilvl w:val="0"/>
                <w:numId w:val="6"/>
              </w:numPr>
              <w:rPr>
                <w:szCs w:val="22"/>
              </w:rPr>
            </w:pPr>
            <w:r w:rsidRPr="00797CC2">
              <w:rPr>
                <w:szCs w:val="22"/>
              </w:rPr>
              <w:t>p</w:t>
            </w:r>
            <w:r w:rsidR="00D6018E" w:rsidRPr="00797CC2">
              <w:rPr>
                <w:szCs w:val="22"/>
              </w:rPr>
              <w:t>rovide HDC with a copy of nursing staff ori</w:t>
            </w:r>
            <w:r w:rsidRPr="00797CC2">
              <w:rPr>
                <w:szCs w:val="22"/>
              </w:rPr>
              <w:t>entation to the particular ward;</w:t>
            </w:r>
          </w:p>
          <w:p w:rsidR="00D6018E" w:rsidRPr="00797CC2" w:rsidRDefault="0050194E" w:rsidP="0050194E">
            <w:pPr>
              <w:pStyle w:val="Bulletindent"/>
              <w:numPr>
                <w:ilvl w:val="0"/>
                <w:numId w:val="6"/>
              </w:numPr>
              <w:rPr>
                <w:szCs w:val="22"/>
              </w:rPr>
            </w:pPr>
            <w:r w:rsidRPr="00797CC2">
              <w:rPr>
                <w:szCs w:val="22"/>
              </w:rPr>
              <w:t>u</w:t>
            </w:r>
            <w:r w:rsidR="00D6018E" w:rsidRPr="00797CC2">
              <w:rPr>
                <w:szCs w:val="22"/>
              </w:rPr>
              <w:t xml:space="preserve">pdate HDC on the outcome and results of the DHB review of </w:t>
            </w:r>
            <w:r w:rsidRPr="00797CC2">
              <w:rPr>
                <w:szCs w:val="22"/>
              </w:rPr>
              <w:t>falls management and strategies;</w:t>
            </w:r>
          </w:p>
          <w:p w:rsidR="00D6018E" w:rsidRPr="00797CC2" w:rsidRDefault="0050194E" w:rsidP="0050194E">
            <w:pPr>
              <w:pStyle w:val="Bulletindent"/>
              <w:numPr>
                <w:ilvl w:val="0"/>
                <w:numId w:val="6"/>
              </w:numPr>
              <w:rPr>
                <w:szCs w:val="22"/>
              </w:rPr>
            </w:pPr>
            <w:r w:rsidRPr="00797CC2">
              <w:rPr>
                <w:szCs w:val="22"/>
              </w:rPr>
              <w:t>p</w:t>
            </w:r>
            <w:r w:rsidR="00D6018E" w:rsidRPr="00797CC2">
              <w:rPr>
                <w:szCs w:val="22"/>
              </w:rPr>
              <w:t xml:space="preserve">rovide HDC with an update on the effectiveness of the processes developed specific to the wards governing the timely examination by medical staff </w:t>
            </w:r>
            <w:r w:rsidRPr="00797CC2">
              <w:rPr>
                <w:szCs w:val="22"/>
              </w:rPr>
              <w:t>of patients who have had a fall;</w:t>
            </w:r>
          </w:p>
          <w:p w:rsidR="00D6018E" w:rsidRPr="00797CC2" w:rsidRDefault="0050194E" w:rsidP="0050194E">
            <w:pPr>
              <w:pStyle w:val="Bulletindent"/>
              <w:numPr>
                <w:ilvl w:val="0"/>
                <w:numId w:val="6"/>
              </w:numPr>
              <w:rPr>
                <w:szCs w:val="22"/>
              </w:rPr>
            </w:pPr>
            <w:r w:rsidRPr="00797CC2">
              <w:rPr>
                <w:szCs w:val="22"/>
              </w:rPr>
              <w:t>c</w:t>
            </w:r>
            <w:r w:rsidR="00D6018E" w:rsidRPr="00797CC2">
              <w:rPr>
                <w:szCs w:val="22"/>
              </w:rPr>
              <w:t xml:space="preserve">onduct a further audit regarding the expected frequency </w:t>
            </w:r>
            <w:r w:rsidRPr="00797CC2">
              <w:rPr>
                <w:szCs w:val="22"/>
              </w:rPr>
              <w:t>of medical reviews on the wards; and</w:t>
            </w:r>
          </w:p>
          <w:p w:rsidR="00D6018E" w:rsidRPr="00797CC2" w:rsidRDefault="0050194E" w:rsidP="0050194E">
            <w:pPr>
              <w:pStyle w:val="Bulletindent"/>
              <w:numPr>
                <w:ilvl w:val="0"/>
                <w:numId w:val="6"/>
              </w:numPr>
              <w:rPr>
                <w:szCs w:val="22"/>
              </w:rPr>
            </w:pPr>
            <w:r w:rsidRPr="00797CC2">
              <w:rPr>
                <w:szCs w:val="22"/>
              </w:rPr>
              <w:t>c</w:t>
            </w:r>
            <w:r w:rsidR="00D6018E" w:rsidRPr="00797CC2">
              <w:rPr>
                <w:szCs w:val="22"/>
              </w:rPr>
              <w:t>onduct a review of discharge summaries and evaluate the degree to which registrars and house surgeons are reviewing patients as being fit for discharge and recording that information in patients’ clinical notes.</w:t>
            </w:r>
          </w:p>
          <w:p w:rsidR="007B4263" w:rsidRPr="00797CC2" w:rsidRDefault="007B4263" w:rsidP="007B4263">
            <w:pPr>
              <w:pStyle w:val="Bulletindent"/>
              <w:ind w:left="360" w:firstLine="0"/>
              <w:rPr>
                <w:szCs w:val="22"/>
              </w:rPr>
            </w:pPr>
          </w:p>
          <w:p w:rsidR="007853C7" w:rsidRPr="007853C7" w:rsidRDefault="00A8357D" w:rsidP="00A8357D">
            <w:pPr>
              <w:spacing w:after="240"/>
              <w:rPr>
                <w:lang w:bidi="ar-SA"/>
              </w:rPr>
            </w:pPr>
            <w:r w:rsidRPr="00797CC2">
              <w:rPr>
                <w:lang w:bidi="ar-SA"/>
              </w:rPr>
              <w:t>The DHB has complied with, or has advised HDC that it is currently putting in place processes to comply with, all of the recommendations.</w:t>
            </w:r>
          </w:p>
        </w:tc>
      </w:tr>
    </w:tbl>
    <w:p w:rsidR="00D71765" w:rsidRDefault="00D71765" w:rsidP="00D71765">
      <w:pPr>
        <w:tabs>
          <w:tab w:val="left" w:pos="720"/>
        </w:tabs>
      </w:pPr>
    </w:p>
    <w:p w:rsidR="003D6075" w:rsidRDefault="003D6075" w:rsidP="003D6075">
      <w:pPr>
        <w:rPr>
          <w:lang w:bidi="ar-SA"/>
        </w:rPr>
      </w:pPr>
    </w:p>
    <w:sectPr w:rsidR="003D6075" w:rsidSect="001517D9">
      <w:footerReference w:type="even" r:id="rId25"/>
      <w:footerReference w:type="first" r:id="rId26"/>
      <w:type w:val="oddPage"/>
      <w:pgSz w:w="11906" w:h="16838" w:code="9"/>
      <w:pgMar w:top="1140" w:right="1412" w:bottom="851" w:left="1412" w:header="720" w:footer="5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D9" w:rsidRDefault="001517D9">
      <w:r>
        <w:separator/>
      </w:r>
    </w:p>
  </w:endnote>
  <w:endnote w:type="continuationSeparator" w:id="0">
    <w:p w:rsidR="001517D9" w:rsidRDefault="0015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D9" w:rsidRDefault="001517D9" w:rsidP="006C4FA4">
    <w:pPr>
      <w:pStyle w:val="Footer"/>
      <w:rPr>
        <w:szCs w:val="22"/>
      </w:rPr>
    </w:pPr>
    <w:r>
      <w:rPr>
        <w:szCs w:val="22"/>
      </w:rPr>
      <w:tab/>
    </w:r>
    <w:r>
      <w:rPr>
        <w:szCs w:val="22"/>
      </w:rPr>
      <w:tab/>
    </w:r>
    <w:r>
      <w:rPr>
        <w:szCs w:val="22"/>
      </w:rPr>
      <w:tab/>
    </w:r>
  </w:p>
  <w:sdt>
    <w:sdtPr>
      <w:id w:val="-586620782"/>
      <w:docPartObj>
        <w:docPartGallery w:val="Page Numbers (Bottom of Page)"/>
        <w:docPartUnique/>
      </w:docPartObj>
    </w:sdtPr>
    <w:sdtEndPr>
      <w:rPr>
        <w:noProof/>
        <w:sz w:val="20"/>
        <w:szCs w:val="20"/>
      </w:rPr>
    </w:sdtEndPr>
    <w:sdtContent>
      <w:p w:rsidR="001517D9" w:rsidRPr="006C4FA4" w:rsidRDefault="001517D9" w:rsidP="006C4FA4">
        <w:pPr>
          <w:pStyle w:val="Footer"/>
          <w:rPr>
            <w:sz w:val="18"/>
            <w:szCs w:val="18"/>
          </w:rPr>
        </w:pPr>
        <w:r w:rsidRPr="006C4FA4">
          <w:rPr>
            <w:sz w:val="18"/>
            <w:szCs w:val="18"/>
          </w:rPr>
          <w:t>Annual DHB report 2013-2014</w:t>
        </w:r>
      </w:p>
      <w:p w:rsidR="001517D9" w:rsidRPr="006C4FA4" w:rsidRDefault="001517D9" w:rsidP="006C4FA4">
        <w:pPr>
          <w:pStyle w:val="Footer"/>
          <w:jc w:val="left"/>
          <w:rPr>
            <w:sz w:val="20"/>
            <w:szCs w:val="20"/>
          </w:rPr>
        </w:pPr>
        <w:r w:rsidRPr="0073317F">
          <w:rPr>
            <w:szCs w:val="22"/>
          </w:rPr>
          <w:fldChar w:fldCharType="begin"/>
        </w:r>
        <w:r w:rsidRPr="0073317F">
          <w:rPr>
            <w:szCs w:val="22"/>
          </w:rPr>
          <w:instrText xml:space="preserve"> PAGE   \* MERGEFORMAT </w:instrText>
        </w:r>
        <w:r w:rsidRPr="0073317F">
          <w:rPr>
            <w:szCs w:val="22"/>
          </w:rPr>
          <w:fldChar w:fldCharType="separate"/>
        </w:r>
        <w:r>
          <w:rPr>
            <w:noProof/>
            <w:szCs w:val="22"/>
          </w:rPr>
          <w:t>ii</w:t>
        </w:r>
        <w:r w:rsidRPr="0073317F">
          <w:rPr>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E" w:rsidRDefault="009F50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030622"/>
      <w:docPartObj>
        <w:docPartGallery w:val="Page Numbers (Bottom of Page)"/>
        <w:docPartUnique/>
      </w:docPartObj>
    </w:sdtPr>
    <w:sdtEndPr>
      <w:rPr>
        <w:noProof/>
        <w:sz w:val="18"/>
        <w:szCs w:val="18"/>
      </w:rPr>
    </w:sdtEndPr>
    <w:sdtContent>
      <w:p w:rsidR="001517D9" w:rsidRDefault="001517D9" w:rsidP="00040FEF">
        <w:pPr>
          <w:pStyle w:val="Footer"/>
        </w:pPr>
      </w:p>
      <w:p w:rsidR="001517D9" w:rsidRPr="006C4FA4" w:rsidRDefault="009F50AE" w:rsidP="006C4FA4">
        <w:pPr>
          <w:pStyle w:val="Footer"/>
          <w:rPr>
            <w:sz w:val="18"/>
            <w:szCs w:val="18"/>
          </w:rPr>
        </w:pPr>
      </w:p>
    </w:sdtContent>
  </w:sdt>
  <w:p w:rsidR="001517D9" w:rsidRDefault="001517D9" w:rsidP="00C92C77">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D9" w:rsidRDefault="001517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D9" w:rsidRPr="00F535C5" w:rsidRDefault="001517D9" w:rsidP="00F535C5">
    <w:pPr>
      <w:pStyle w:val="Footer"/>
      <w:jc w:val="both"/>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9F50AE">
      <w:rPr>
        <w:noProof/>
        <w:szCs w:val="22"/>
      </w:rPr>
      <w:t>i</w:t>
    </w:r>
    <w:r w:rsidRPr="00166DD6">
      <w:rPr>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343612"/>
      <w:docPartObj>
        <w:docPartGallery w:val="Page Numbers (Bottom of Page)"/>
        <w:docPartUnique/>
      </w:docPartObj>
    </w:sdtPr>
    <w:sdtEndPr>
      <w:rPr>
        <w:noProof/>
        <w:sz w:val="20"/>
        <w:szCs w:val="20"/>
      </w:rPr>
    </w:sdtEndPr>
    <w:sdtContent>
      <w:p w:rsidR="001517D9" w:rsidRPr="00546D8E" w:rsidRDefault="001517D9" w:rsidP="00546D8E">
        <w:pPr>
          <w:pStyle w:val="Footer"/>
          <w:jc w:val="both"/>
          <w:rPr>
            <w:sz w:val="18"/>
            <w:szCs w:val="18"/>
          </w:rPr>
        </w:pPr>
        <w:r w:rsidRPr="0073317F">
          <w:rPr>
            <w:szCs w:val="22"/>
          </w:rPr>
          <w:fldChar w:fldCharType="begin"/>
        </w:r>
        <w:r w:rsidRPr="0073317F">
          <w:rPr>
            <w:szCs w:val="22"/>
          </w:rPr>
          <w:instrText xml:space="preserve"> PAGE   \* MERGEFORMAT </w:instrText>
        </w:r>
        <w:r w:rsidRPr="0073317F">
          <w:rPr>
            <w:szCs w:val="22"/>
          </w:rPr>
          <w:fldChar w:fldCharType="separate"/>
        </w:r>
        <w:r w:rsidR="009F50AE">
          <w:rPr>
            <w:noProof/>
            <w:szCs w:val="22"/>
          </w:rPr>
          <w:t>28</w:t>
        </w:r>
        <w:r w:rsidRPr="0073317F">
          <w:rPr>
            <w:szCs w:val="22"/>
          </w:rPr>
          <w:fldChar w:fldCharType="end"/>
        </w:r>
        <w:sdt>
          <w:sdtPr>
            <w:id w:val="1136064309"/>
            <w:docPartObj>
              <w:docPartGallery w:val="Page Numbers (Bottom of Page)"/>
              <w:docPartUnique/>
            </w:docPartObj>
          </w:sdtPr>
          <w:sdtEndPr>
            <w:rPr>
              <w:noProof/>
              <w:sz w:val="18"/>
              <w:szCs w:val="18"/>
            </w:rPr>
          </w:sdtEndPr>
          <w:sdtContent>
            <w:r>
              <w:tab/>
            </w:r>
            <w:r>
              <w:tab/>
            </w:r>
            <w:r>
              <w:rPr>
                <w:sz w:val="18"/>
                <w:szCs w:val="18"/>
              </w:rPr>
              <w:t>Annual DHB report 2013/</w:t>
            </w:r>
            <w:r w:rsidRPr="006C4FA4">
              <w:rPr>
                <w:sz w:val="18"/>
                <w:szCs w:val="18"/>
              </w:rPr>
              <w:t>14</w:t>
            </w:r>
          </w:sdtContent>
        </w:sdt>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D9" w:rsidRDefault="001517D9" w:rsidP="00546D8E">
    <w:pPr>
      <w:pStyle w:val="Footer"/>
      <w:jc w:val="both"/>
    </w:pPr>
  </w:p>
  <w:p w:rsidR="001517D9" w:rsidRPr="004A689C" w:rsidRDefault="009F50AE" w:rsidP="00FD29C4">
    <w:pPr>
      <w:pStyle w:val="Footer"/>
      <w:jc w:val="left"/>
      <w:rPr>
        <w:sz w:val="18"/>
        <w:szCs w:val="18"/>
      </w:rPr>
    </w:pPr>
    <w:sdt>
      <w:sdtPr>
        <w:id w:val="779308159"/>
        <w:docPartObj>
          <w:docPartGallery w:val="Page Numbers (Bottom of Page)"/>
          <w:docPartUnique/>
        </w:docPartObj>
      </w:sdtPr>
      <w:sdtEndPr>
        <w:rPr>
          <w:noProof/>
          <w:sz w:val="18"/>
          <w:szCs w:val="18"/>
        </w:rPr>
      </w:sdtEndPr>
      <w:sdtContent>
        <w:r w:rsidR="001517D9">
          <w:rPr>
            <w:sz w:val="18"/>
            <w:szCs w:val="18"/>
          </w:rPr>
          <w:t>Annual DHB report 2013/</w:t>
        </w:r>
        <w:r w:rsidR="001517D9" w:rsidRPr="006C4FA4">
          <w:rPr>
            <w:sz w:val="18"/>
            <w:szCs w:val="18"/>
          </w:rPr>
          <w:t>14</w:t>
        </w:r>
      </w:sdtContent>
    </w:sdt>
    <w:r w:rsidR="001517D9">
      <w:rPr>
        <w:sz w:val="18"/>
        <w:szCs w:val="18"/>
      </w:rPr>
      <w:tab/>
    </w:r>
    <w:r w:rsidR="001517D9">
      <w:rPr>
        <w:sz w:val="18"/>
        <w:szCs w:val="18"/>
      </w:rPr>
      <w:tab/>
    </w:r>
    <w:r w:rsidR="001517D9">
      <w:rPr>
        <w:sz w:val="18"/>
        <w:szCs w:val="18"/>
      </w:rPr>
      <w:tab/>
    </w:r>
    <w:r w:rsidR="001517D9" w:rsidRPr="0073317F">
      <w:rPr>
        <w:szCs w:val="22"/>
      </w:rPr>
      <w:fldChar w:fldCharType="begin"/>
    </w:r>
    <w:r w:rsidR="001517D9" w:rsidRPr="0073317F">
      <w:rPr>
        <w:szCs w:val="22"/>
      </w:rPr>
      <w:instrText xml:space="preserve"> PAGE   \* MERGEFORMAT </w:instrText>
    </w:r>
    <w:r w:rsidR="001517D9" w:rsidRPr="0073317F">
      <w:rPr>
        <w:szCs w:val="22"/>
      </w:rPr>
      <w:fldChar w:fldCharType="separate"/>
    </w:r>
    <w:r>
      <w:rPr>
        <w:noProof/>
        <w:szCs w:val="22"/>
      </w:rPr>
      <w:t>1</w:t>
    </w:r>
    <w:r w:rsidR="001517D9" w:rsidRPr="0073317F">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D9" w:rsidRDefault="001517D9">
      <w:r>
        <w:separator/>
      </w:r>
    </w:p>
  </w:footnote>
  <w:footnote w:type="continuationSeparator" w:id="0">
    <w:p w:rsidR="001517D9" w:rsidRDefault="001517D9">
      <w:r>
        <w:continuationSeparator/>
      </w:r>
    </w:p>
  </w:footnote>
  <w:footnote w:id="1">
    <w:p w:rsidR="001517D9" w:rsidRPr="006B1914" w:rsidRDefault="001517D9" w:rsidP="009C4AB8">
      <w:pPr>
        <w:pStyle w:val="FootnoteText"/>
        <w:rPr>
          <w:lang w:val="en-US"/>
        </w:rPr>
      </w:pPr>
      <w:r>
        <w:rPr>
          <w:rStyle w:val="FootnoteReference"/>
        </w:rPr>
        <w:footnoteRef/>
      </w:r>
      <w:r>
        <w:t xml:space="preserve"> </w:t>
      </w:r>
      <w:r>
        <w:rPr>
          <w:lang w:val="en-US"/>
        </w:rPr>
        <w:t xml:space="preserve">There is a significant positive correlation between year and number of DHB complaints received </w:t>
      </w:r>
      <w:r w:rsidRPr="008C5683">
        <w:rPr>
          <w:rFonts w:ascii="Calibri" w:hAnsi="Calibri"/>
          <w:szCs w:val="22"/>
        </w:rPr>
        <w:t>(r=0.95, p&lt;.05)</w:t>
      </w:r>
      <w:r>
        <w:rPr>
          <w:rFonts w:ascii="Calibri" w:hAnsi="Calibri"/>
          <w:szCs w:val="22"/>
        </w:rPr>
        <w:t>.</w:t>
      </w:r>
    </w:p>
  </w:footnote>
  <w:footnote w:id="2">
    <w:p w:rsidR="001517D9" w:rsidRDefault="001517D9">
      <w:pPr>
        <w:pStyle w:val="FootnoteText"/>
      </w:pPr>
      <w:r>
        <w:rPr>
          <w:rStyle w:val="FootnoteReference"/>
        </w:rPr>
        <w:footnoteRef/>
      </w:r>
      <w:r>
        <w:t xml:space="preserve"> Provisional as at the date of extraction, 15 August 2014.</w:t>
      </w:r>
    </w:p>
  </w:footnote>
  <w:footnote w:id="3">
    <w:p w:rsidR="001517D9" w:rsidRPr="00446D79" w:rsidRDefault="001517D9">
      <w:pPr>
        <w:pStyle w:val="FootnoteText"/>
        <w:rPr>
          <w:lang w:val="en-US"/>
        </w:rPr>
      </w:pPr>
      <w:r>
        <w:rPr>
          <w:rStyle w:val="FootnoteReference"/>
        </w:rPr>
        <w:footnoteRef/>
      </w:r>
      <w:r>
        <w:t xml:space="preserve"> </w:t>
      </w:r>
      <w:r>
        <w:rPr>
          <w:lang w:val="en-US"/>
        </w:rPr>
        <w:t xml:space="preserve">There is a significant positive correlation between year and rate of DHB complaints received </w:t>
      </w:r>
      <w:r>
        <w:rPr>
          <w:rFonts w:ascii="Calibri" w:hAnsi="Calibri"/>
          <w:szCs w:val="22"/>
        </w:rPr>
        <w:t>(r=.92, p&lt;.05).</w:t>
      </w:r>
    </w:p>
  </w:footnote>
  <w:footnote w:id="4">
    <w:p w:rsidR="001517D9" w:rsidRPr="00DA66DC" w:rsidRDefault="001517D9" w:rsidP="00CF64E3">
      <w:pPr>
        <w:rPr>
          <w:sz w:val="18"/>
          <w:szCs w:val="18"/>
        </w:rPr>
      </w:pPr>
      <w:r>
        <w:rPr>
          <w:rStyle w:val="FootnoteReference"/>
        </w:rPr>
        <w:footnoteRef/>
      </w:r>
      <w:r>
        <w:t xml:space="preserve"> </w:t>
      </w:r>
      <w:r>
        <w:rPr>
          <w:sz w:val="20"/>
          <w:szCs w:val="20"/>
        </w:rPr>
        <w:t>For example, the discharge data excludes short stay emergency department discharges, and patients attending outpatient units and clinics.</w:t>
      </w:r>
    </w:p>
    <w:p w:rsidR="001517D9" w:rsidRDefault="001517D9" w:rsidP="00CF64E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E" w:rsidRDefault="009F5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E" w:rsidRDefault="009F50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E" w:rsidRDefault="009F50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D9" w:rsidRDefault="001517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D9" w:rsidRDefault="00151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D3F"/>
    <w:multiLevelType w:val="hybridMultilevel"/>
    <w:tmpl w:val="2AC88F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nsid w:val="00A73F71"/>
    <w:multiLevelType w:val="hybridMultilevel"/>
    <w:tmpl w:val="084C932A"/>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8265112"/>
    <w:multiLevelType w:val="hybridMultilevel"/>
    <w:tmpl w:val="D03E6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0D6268D"/>
    <w:multiLevelType w:val="hybridMultilevel"/>
    <w:tmpl w:val="4FE46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7E3614C"/>
    <w:multiLevelType w:val="hybridMultilevel"/>
    <w:tmpl w:val="CE6EF3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1856A63"/>
    <w:multiLevelType w:val="hybridMultilevel"/>
    <w:tmpl w:val="39FCC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55F3436"/>
    <w:multiLevelType w:val="hybridMultilevel"/>
    <w:tmpl w:val="CEB481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3FCE79D7"/>
    <w:multiLevelType w:val="hybridMultilevel"/>
    <w:tmpl w:val="025005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0DE3959"/>
    <w:multiLevelType w:val="hybridMultilevel"/>
    <w:tmpl w:val="BAAE2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BC1681D"/>
    <w:multiLevelType w:val="hybridMultilevel"/>
    <w:tmpl w:val="2496E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C2E42A7"/>
    <w:multiLevelType w:val="hybridMultilevel"/>
    <w:tmpl w:val="657826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E485DF3"/>
    <w:multiLevelType w:val="hybridMultilevel"/>
    <w:tmpl w:val="125496E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nsid w:val="54E519E3"/>
    <w:multiLevelType w:val="hybridMultilevel"/>
    <w:tmpl w:val="14E885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50D182B"/>
    <w:multiLevelType w:val="hybridMultilevel"/>
    <w:tmpl w:val="9A16ACC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4">
    <w:nsid w:val="55EF7901"/>
    <w:multiLevelType w:val="hybridMultilevel"/>
    <w:tmpl w:val="B7F479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732A6E73"/>
    <w:multiLevelType w:val="hybridMultilevel"/>
    <w:tmpl w:val="5F20CC9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64A3FD8"/>
    <w:multiLevelType w:val="hybridMultilevel"/>
    <w:tmpl w:val="E8F0E4C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nsid w:val="7DF16C3B"/>
    <w:multiLevelType w:val="hybridMultilevel"/>
    <w:tmpl w:val="F9302B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F5D58AB"/>
    <w:multiLevelType w:val="hybridMultilevel"/>
    <w:tmpl w:val="04F690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5"/>
  </w:num>
  <w:num w:numId="5">
    <w:abstractNumId w:val="15"/>
  </w:num>
  <w:num w:numId="6">
    <w:abstractNumId w:val="1"/>
  </w:num>
  <w:num w:numId="7">
    <w:abstractNumId w:val="4"/>
  </w:num>
  <w:num w:numId="8">
    <w:abstractNumId w:val="14"/>
  </w:num>
  <w:num w:numId="9">
    <w:abstractNumId w:val="12"/>
  </w:num>
  <w:num w:numId="10">
    <w:abstractNumId w:val="3"/>
  </w:num>
  <w:num w:numId="11">
    <w:abstractNumId w:val="9"/>
  </w:num>
  <w:num w:numId="12">
    <w:abstractNumId w:val="18"/>
  </w:num>
  <w:num w:numId="13">
    <w:abstractNumId w:val="17"/>
  </w:num>
  <w:num w:numId="14">
    <w:abstractNumId w:val="7"/>
  </w:num>
  <w:num w:numId="15">
    <w:abstractNumId w:val="10"/>
  </w:num>
  <w:num w:numId="16">
    <w:abstractNumId w:val="11"/>
  </w:num>
  <w:num w:numId="17">
    <w:abstractNumId w:val="16"/>
  </w:num>
  <w:num w:numId="18">
    <w:abstractNumId w:val="13"/>
  </w:num>
  <w:num w:numId="1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D"/>
    <w:rsid w:val="000001DB"/>
    <w:rsid w:val="00000A82"/>
    <w:rsid w:val="00001003"/>
    <w:rsid w:val="00001A40"/>
    <w:rsid w:val="00001B1B"/>
    <w:rsid w:val="000028E8"/>
    <w:rsid w:val="00002A84"/>
    <w:rsid w:val="00002CEE"/>
    <w:rsid w:val="00002E9F"/>
    <w:rsid w:val="00003B75"/>
    <w:rsid w:val="00003C5A"/>
    <w:rsid w:val="0000444B"/>
    <w:rsid w:val="000046C5"/>
    <w:rsid w:val="00004B3B"/>
    <w:rsid w:val="00004E0F"/>
    <w:rsid w:val="000051A4"/>
    <w:rsid w:val="0000669A"/>
    <w:rsid w:val="000067BD"/>
    <w:rsid w:val="00006FCF"/>
    <w:rsid w:val="0000705D"/>
    <w:rsid w:val="000076F1"/>
    <w:rsid w:val="00007766"/>
    <w:rsid w:val="00007796"/>
    <w:rsid w:val="00010801"/>
    <w:rsid w:val="000109CA"/>
    <w:rsid w:val="00010FC7"/>
    <w:rsid w:val="00011224"/>
    <w:rsid w:val="00011494"/>
    <w:rsid w:val="000115BC"/>
    <w:rsid w:val="00011652"/>
    <w:rsid w:val="00011D83"/>
    <w:rsid w:val="000123F2"/>
    <w:rsid w:val="0001264B"/>
    <w:rsid w:val="00012B15"/>
    <w:rsid w:val="00012D8B"/>
    <w:rsid w:val="00012E81"/>
    <w:rsid w:val="00013B05"/>
    <w:rsid w:val="000141AA"/>
    <w:rsid w:val="00014578"/>
    <w:rsid w:val="00014AD9"/>
    <w:rsid w:val="00015355"/>
    <w:rsid w:val="00015BA0"/>
    <w:rsid w:val="00015EBA"/>
    <w:rsid w:val="0001684E"/>
    <w:rsid w:val="000169F6"/>
    <w:rsid w:val="0001744A"/>
    <w:rsid w:val="00017A8D"/>
    <w:rsid w:val="0002017E"/>
    <w:rsid w:val="000207F4"/>
    <w:rsid w:val="00021045"/>
    <w:rsid w:val="00021738"/>
    <w:rsid w:val="00021856"/>
    <w:rsid w:val="00022358"/>
    <w:rsid w:val="00022E0E"/>
    <w:rsid w:val="0002311E"/>
    <w:rsid w:val="0002317B"/>
    <w:rsid w:val="000235FB"/>
    <w:rsid w:val="000238FD"/>
    <w:rsid w:val="00023A56"/>
    <w:rsid w:val="000246A5"/>
    <w:rsid w:val="000249EA"/>
    <w:rsid w:val="000249F1"/>
    <w:rsid w:val="00024F66"/>
    <w:rsid w:val="00025272"/>
    <w:rsid w:val="000256EA"/>
    <w:rsid w:val="00025BCA"/>
    <w:rsid w:val="00025D53"/>
    <w:rsid w:val="0002626E"/>
    <w:rsid w:val="00026545"/>
    <w:rsid w:val="000265B8"/>
    <w:rsid w:val="00026948"/>
    <w:rsid w:val="00027A68"/>
    <w:rsid w:val="00027AC7"/>
    <w:rsid w:val="000301DE"/>
    <w:rsid w:val="00030722"/>
    <w:rsid w:val="000308B4"/>
    <w:rsid w:val="00030C45"/>
    <w:rsid w:val="0003102D"/>
    <w:rsid w:val="000311DA"/>
    <w:rsid w:val="0003129A"/>
    <w:rsid w:val="00031901"/>
    <w:rsid w:val="00031D61"/>
    <w:rsid w:val="00031DE0"/>
    <w:rsid w:val="00032776"/>
    <w:rsid w:val="00032FC2"/>
    <w:rsid w:val="000337C0"/>
    <w:rsid w:val="00034D18"/>
    <w:rsid w:val="00034D26"/>
    <w:rsid w:val="0003538F"/>
    <w:rsid w:val="0003645A"/>
    <w:rsid w:val="000367C1"/>
    <w:rsid w:val="00036995"/>
    <w:rsid w:val="00036C5B"/>
    <w:rsid w:val="00036CB3"/>
    <w:rsid w:val="00036E3A"/>
    <w:rsid w:val="0003725E"/>
    <w:rsid w:val="000373A9"/>
    <w:rsid w:val="0004080E"/>
    <w:rsid w:val="00040C12"/>
    <w:rsid w:val="00040FD3"/>
    <w:rsid w:val="00040FEF"/>
    <w:rsid w:val="00041359"/>
    <w:rsid w:val="000419B3"/>
    <w:rsid w:val="00041FFF"/>
    <w:rsid w:val="00042551"/>
    <w:rsid w:val="00042B9A"/>
    <w:rsid w:val="000431EE"/>
    <w:rsid w:val="000462E4"/>
    <w:rsid w:val="0004631F"/>
    <w:rsid w:val="00046900"/>
    <w:rsid w:val="00046972"/>
    <w:rsid w:val="00046B42"/>
    <w:rsid w:val="00046D31"/>
    <w:rsid w:val="00046FD4"/>
    <w:rsid w:val="00047495"/>
    <w:rsid w:val="00047E9D"/>
    <w:rsid w:val="0005026E"/>
    <w:rsid w:val="000503B2"/>
    <w:rsid w:val="00050671"/>
    <w:rsid w:val="000506C1"/>
    <w:rsid w:val="00050A60"/>
    <w:rsid w:val="00050B16"/>
    <w:rsid w:val="0005117B"/>
    <w:rsid w:val="000518B0"/>
    <w:rsid w:val="00051E67"/>
    <w:rsid w:val="0005266C"/>
    <w:rsid w:val="0005291C"/>
    <w:rsid w:val="0005294D"/>
    <w:rsid w:val="00052B93"/>
    <w:rsid w:val="000536A0"/>
    <w:rsid w:val="000537D7"/>
    <w:rsid w:val="000539C6"/>
    <w:rsid w:val="00053DC7"/>
    <w:rsid w:val="00053F6F"/>
    <w:rsid w:val="00054615"/>
    <w:rsid w:val="00055731"/>
    <w:rsid w:val="0005589D"/>
    <w:rsid w:val="00055EB0"/>
    <w:rsid w:val="00056044"/>
    <w:rsid w:val="000568F3"/>
    <w:rsid w:val="00056E5B"/>
    <w:rsid w:val="00057430"/>
    <w:rsid w:val="0006032A"/>
    <w:rsid w:val="00060755"/>
    <w:rsid w:val="0006162E"/>
    <w:rsid w:val="0006183D"/>
    <w:rsid w:val="00061C1A"/>
    <w:rsid w:val="0006295C"/>
    <w:rsid w:val="00062ED8"/>
    <w:rsid w:val="00062F28"/>
    <w:rsid w:val="00062F34"/>
    <w:rsid w:val="00063248"/>
    <w:rsid w:val="0006349C"/>
    <w:rsid w:val="0006353B"/>
    <w:rsid w:val="000635A1"/>
    <w:rsid w:val="00064640"/>
    <w:rsid w:val="00064B7B"/>
    <w:rsid w:val="0006531A"/>
    <w:rsid w:val="0006553E"/>
    <w:rsid w:val="0006633F"/>
    <w:rsid w:val="000668B9"/>
    <w:rsid w:val="00066B64"/>
    <w:rsid w:val="000677CD"/>
    <w:rsid w:val="00067BB8"/>
    <w:rsid w:val="00070776"/>
    <w:rsid w:val="00071171"/>
    <w:rsid w:val="000713E8"/>
    <w:rsid w:val="00072A8C"/>
    <w:rsid w:val="000730B6"/>
    <w:rsid w:val="0007322F"/>
    <w:rsid w:val="00073557"/>
    <w:rsid w:val="00073996"/>
    <w:rsid w:val="0007467F"/>
    <w:rsid w:val="00074772"/>
    <w:rsid w:val="00074D9E"/>
    <w:rsid w:val="00075D76"/>
    <w:rsid w:val="00076965"/>
    <w:rsid w:val="00076CD6"/>
    <w:rsid w:val="0007714A"/>
    <w:rsid w:val="00077FA0"/>
    <w:rsid w:val="00080564"/>
    <w:rsid w:val="0008104A"/>
    <w:rsid w:val="0008260F"/>
    <w:rsid w:val="00082689"/>
    <w:rsid w:val="00082D18"/>
    <w:rsid w:val="00082F8E"/>
    <w:rsid w:val="0008411C"/>
    <w:rsid w:val="00084421"/>
    <w:rsid w:val="00084889"/>
    <w:rsid w:val="00084F39"/>
    <w:rsid w:val="000854AE"/>
    <w:rsid w:val="000855C3"/>
    <w:rsid w:val="00085D73"/>
    <w:rsid w:val="00085EFD"/>
    <w:rsid w:val="00086010"/>
    <w:rsid w:val="00086FE8"/>
    <w:rsid w:val="000872CE"/>
    <w:rsid w:val="00087A34"/>
    <w:rsid w:val="00090868"/>
    <w:rsid w:val="00090A30"/>
    <w:rsid w:val="00091C97"/>
    <w:rsid w:val="00092313"/>
    <w:rsid w:val="0009255E"/>
    <w:rsid w:val="0009284C"/>
    <w:rsid w:val="00095164"/>
    <w:rsid w:val="0009557D"/>
    <w:rsid w:val="0009576A"/>
    <w:rsid w:val="00095820"/>
    <w:rsid w:val="00095BEA"/>
    <w:rsid w:val="000965D1"/>
    <w:rsid w:val="00096A15"/>
    <w:rsid w:val="00096A29"/>
    <w:rsid w:val="000972DA"/>
    <w:rsid w:val="00097461"/>
    <w:rsid w:val="00097866"/>
    <w:rsid w:val="00097989"/>
    <w:rsid w:val="00097A0C"/>
    <w:rsid w:val="000A0DE1"/>
    <w:rsid w:val="000A12CF"/>
    <w:rsid w:val="000A1A8B"/>
    <w:rsid w:val="000A1BEC"/>
    <w:rsid w:val="000A2018"/>
    <w:rsid w:val="000A29A6"/>
    <w:rsid w:val="000A31ED"/>
    <w:rsid w:val="000A4738"/>
    <w:rsid w:val="000A56F4"/>
    <w:rsid w:val="000A585E"/>
    <w:rsid w:val="000A5B4C"/>
    <w:rsid w:val="000A5D7C"/>
    <w:rsid w:val="000A5D8F"/>
    <w:rsid w:val="000A67C1"/>
    <w:rsid w:val="000A718B"/>
    <w:rsid w:val="000A72CC"/>
    <w:rsid w:val="000B0789"/>
    <w:rsid w:val="000B07E5"/>
    <w:rsid w:val="000B081D"/>
    <w:rsid w:val="000B0A4D"/>
    <w:rsid w:val="000B0B46"/>
    <w:rsid w:val="000B158B"/>
    <w:rsid w:val="000B23CC"/>
    <w:rsid w:val="000B2764"/>
    <w:rsid w:val="000B34CD"/>
    <w:rsid w:val="000B3A1D"/>
    <w:rsid w:val="000B44DD"/>
    <w:rsid w:val="000B485A"/>
    <w:rsid w:val="000B49EA"/>
    <w:rsid w:val="000B52C6"/>
    <w:rsid w:val="000B5334"/>
    <w:rsid w:val="000B5936"/>
    <w:rsid w:val="000B5E01"/>
    <w:rsid w:val="000B676C"/>
    <w:rsid w:val="000B6EB6"/>
    <w:rsid w:val="000B6EE4"/>
    <w:rsid w:val="000B7183"/>
    <w:rsid w:val="000B74C7"/>
    <w:rsid w:val="000B7877"/>
    <w:rsid w:val="000B791B"/>
    <w:rsid w:val="000C006A"/>
    <w:rsid w:val="000C0577"/>
    <w:rsid w:val="000C126F"/>
    <w:rsid w:val="000C178F"/>
    <w:rsid w:val="000C1E4F"/>
    <w:rsid w:val="000C2361"/>
    <w:rsid w:val="000C26FB"/>
    <w:rsid w:val="000C278C"/>
    <w:rsid w:val="000C2A40"/>
    <w:rsid w:val="000C3003"/>
    <w:rsid w:val="000C3DFD"/>
    <w:rsid w:val="000C4397"/>
    <w:rsid w:val="000C491C"/>
    <w:rsid w:val="000C4FB8"/>
    <w:rsid w:val="000C52E4"/>
    <w:rsid w:val="000C5545"/>
    <w:rsid w:val="000C5760"/>
    <w:rsid w:val="000C5962"/>
    <w:rsid w:val="000C5B56"/>
    <w:rsid w:val="000C6337"/>
    <w:rsid w:val="000C640E"/>
    <w:rsid w:val="000C7B78"/>
    <w:rsid w:val="000D00F4"/>
    <w:rsid w:val="000D01D7"/>
    <w:rsid w:val="000D092E"/>
    <w:rsid w:val="000D0D19"/>
    <w:rsid w:val="000D1E68"/>
    <w:rsid w:val="000D21AD"/>
    <w:rsid w:val="000D2451"/>
    <w:rsid w:val="000D256D"/>
    <w:rsid w:val="000D29B8"/>
    <w:rsid w:val="000D2D59"/>
    <w:rsid w:val="000D336E"/>
    <w:rsid w:val="000D35F2"/>
    <w:rsid w:val="000D488E"/>
    <w:rsid w:val="000D49F9"/>
    <w:rsid w:val="000D4DFF"/>
    <w:rsid w:val="000D52E0"/>
    <w:rsid w:val="000D5354"/>
    <w:rsid w:val="000D5D72"/>
    <w:rsid w:val="000D6FC7"/>
    <w:rsid w:val="000D751E"/>
    <w:rsid w:val="000D77DE"/>
    <w:rsid w:val="000D7F2F"/>
    <w:rsid w:val="000E07E3"/>
    <w:rsid w:val="000E13C5"/>
    <w:rsid w:val="000E1F92"/>
    <w:rsid w:val="000E1FC0"/>
    <w:rsid w:val="000E25C2"/>
    <w:rsid w:val="000E2832"/>
    <w:rsid w:val="000E2BBD"/>
    <w:rsid w:val="000E319C"/>
    <w:rsid w:val="000E38CB"/>
    <w:rsid w:val="000E38F2"/>
    <w:rsid w:val="000E3DE3"/>
    <w:rsid w:val="000E4659"/>
    <w:rsid w:val="000E4662"/>
    <w:rsid w:val="000E4BBA"/>
    <w:rsid w:val="000E4C6B"/>
    <w:rsid w:val="000E51B5"/>
    <w:rsid w:val="000E555C"/>
    <w:rsid w:val="000E5C41"/>
    <w:rsid w:val="000E6BA4"/>
    <w:rsid w:val="000E6E3A"/>
    <w:rsid w:val="000E7ACB"/>
    <w:rsid w:val="000F01E3"/>
    <w:rsid w:val="000F05AC"/>
    <w:rsid w:val="000F0D2E"/>
    <w:rsid w:val="000F0EB0"/>
    <w:rsid w:val="000F12AB"/>
    <w:rsid w:val="000F17F7"/>
    <w:rsid w:val="000F1BFB"/>
    <w:rsid w:val="000F1DD9"/>
    <w:rsid w:val="000F2AC5"/>
    <w:rsid w:val="000F3150"/>
    <w:rsid w:val="000F3414"/>
    <w:rsid w:val="000F3AAA"/>
    <w:rsid w:val="000F40AD"/>
    <w:rsid w:val="000F4210"/>
    <w:rsid w:val="000F42C7"/>
    <w:rsid w:val="000F4A11"/>
    <w:rsid w:val="000F4CF4"/>
    <w:rsid w:val="000F54BC"/>
    <w:rsid w:val="000F5704"/>
    <w:rsid w:val="000F6025"/>
    <w:rsid w:val="000F7F2F"/>
    <w:rsid w:val="001005F1"/>
    <w:rsid w:val="00100F66"/>
    <w:rsid w:val="001011A9"/>
    <w:rsid w:val="001015C7"/>
    <w:rsid w:val="0010168B"/>
    <w:rsid w:val="00101CE2"/>
    <w:rsid w:val="001023CB"/>
    <w:rsid w:val="0010356A"/>
    <w:rsid w:val="001037C9"/>
    <w:rsid w:val="001040AD"/>
    <w:rsid w:val="00104415"/>
    <w:rsid w:val="001044AB"/>
    <w:rsid w:val="00104696"/>
    <w:rsid w:val="00104F8F"/>
    <w:rsid w:val="00104FD6"/>
    <w:rsid w:val="00106047"/>
    <w:rsid w:val="00106141"/>
    <w:rsid w:val="001063FD"/>
    <w:rsid w:val="001064F1"/>
    <w:rsid w:val="00106795"/>
    <w:rsid w:val="00106E60"/>
    <w:rsid w:val="0010744D"/>
    <w:rsid w:val="00107938"/>
    <w:rsid w:val="001101F1"/>
    <w:rsid w:val="0011091A"/>
    <w:rsid w:val="00110D91"/>
    <w:rsid w:val="00111166"/>
    <w:rsid w:val="001111A9"/>
    <w:rsid w:val="001116D9"/>
    <w:rsid w:val="0011193B"/>
    <w:rsid w:val="00111996"/>
    <w:rsid w:val="00111ACC"/>
    <w:rsid w:val="00112820"/>
    <w:rsid w:val="001130B0"/>
    <w:rsid w:val="0011440E"/>
    <w:rsid w:val="0011470E"/>
    <w:rsid w:val="0011476C"/>
    <w:rsid w:val="00114785"/>
    <w:rsid w:val="00114786"/>
    <w:rsid w:val="00114B9F"/>
    <w:rsid w:val="00114D38"/>
    <w:rsid w:val="00114FD6"/>
    <w:rsid w:val="00116458"/>
    <w:rsid w:val="0011685F"/>
    <w:rsid w:val="00116A03"/>
    <w:rsid w:val="00117499"/>
    <w:rsid w:val="00117B37"/>
    <w:rsid w:val="001200CE"/>
    <w:rsid w:val="001200E4"/>
    <w:rsid w:val="001206F6"/>
    <w:rsid w:val="00120701"/>
    <w:rsid w:val="00120DA7"/>
    <w:rsid w:val="00120FE6"/>
    <w:rsid w:val="00121484"/>
    <w:rsid w:val="00121BB7"/>
    <w:rsid w:val="00122DED"/>
    <w:rsid w:val="00123208"/>
    <w:rsid w:val="00123813"/>
    <w:rsid w:val="00125235"/>
    <w:rsid w:val="001255A9"/>
    <w:rsid w:val="00125F07"/>
    <w:rsid w:val="001263AF"/>
    <w:rsid w:val="001263C5"/>
    <w:rsid w:val="001267F0"/>
    <w:rsid w:val="00126B97"/>
    <w:rsid w:val="001271FC"/>
    <w:rsid w:val="001276D8"/>
    <w:rsid w:val="00130084"/>
    <w:rsid w:val="001303FA"/>
    <w:rsid w:val="001304B4"/>
    <w:rsid w:val="00130520"/>
    <w:rsid w:val="00130FFF"/>
    <w:rsid w:val="00131166"/>
    <w:rsid w:val="00132210"/>
    <w:rsid w:val="00132310"/>
    <w:rsid w:val="00132687"/>
    <w:rsid w:val="00132771"/>
    <w:rsid w:val="00132C99"/>
    <w:rsid w:val="00132CF1"/>
    <w:rsid w:val="0013333B"/>
    <w:rsid w:val="001334BB"/>
    <w:rsid w:val="0013353F"/>
    <w:rsid w:val="001336A6"/>
    <w:rsid w:val="00134696"/>
    <w:rsid w:val="0013471D"/>
    <w:rsid w:val="00134D86"/>
    <w:rsid w:val="0013534C"/>
    <w:rsid w:val="001357E0"/>
    <w:rsid w:val="00135FB5"/>
    <w:rsid w:val="0013645D"/>
    <w:rsid w:val="00136A1E"/>
    <w:rsid w:val="00136A29"/>
    <w:rsid w:val="00137337"/>
    <w:rsid w:val="00140097"/>
    <w:rsid w:val="00140227"/>
    <w:rsid w:val="00140552"/>
    <w:rsid w:val="001406B2"/>
    <w:rsid w:val="00140C5F"/>
    <w:rsid w:val="00141A3E"/>
    <w:rsid w:val="001420CF"/>
    <w:rsid w:val="0014219E"/>
    <w:rsid w:val="00142B87"/>
    <w:rsid w:val="00143519"/>
    <w:rsid w:val="00143995"/>
    <w:rsid w:val="001449F2"/>
    <w:rsid w:val="00144A82"/>
    <w:rsid w:val="00144BD4"/>
    <w:rsid w:val="00145602"/>
    <w:rsid w:val="00145A13"/>
    <w:rsid w:val="001461A5"/>
    <w:rsid w:val="00146EC2"/>
    <w:rsid w:val="00147055"/>
    <w:rsid w:val="001474C0"/>
    <w:rsid w:val="00147682"/>
    <w:rsid w:val="00147838"/>
    <w:rsid w:val="001502A6"/>
    <w:rsid w:val="0015035E"/>
    <w:rsid w:val="00150BCE"/>
    <w:rsid w:val="00150C83"/>
    <w:rsid w:val="00150F0E"/>
    <w:rsid w:val="0015145C"/>
    <w:rsid w:val="001517D9"/>
    <w:rsid w:val="001517F7"/>
    <w:rsid w:val="00152132"/>
    <w:rsid w:val="00152208"/>
    <w:rsid w:val="0015250F"/>
    <w:rsid w:val="00153061"/>
    <w:rsid w:val="001538B0"/>
    <w:rsid w:val="0015418F"/>
    <w:rsid w:val="001547B0"/>
    <w:rsid w:val="0015491B"/>
    <w:rsid w:val="00154A8F"/>
    <w:rsid w:val="00154AF7"/>
    <w:rsid w:val="00154E0A"/>
    <w:rsid w:val="001553DD"/>
    <w:rsid w:val="00155BE8"/>
    <w:rsid w:val="00156266"/>
    <w:rsid w:val="00156A3C"/>
    <w:rsid w:val="001570D7"/>
    <w:rsid w:val="0015767A"/>
    <w:rsid w:val="001578C6"/>
    <w:rsid w:val="00157E84"/>
    <w:rsid w:val="00157EAC"/>
    <w:rsid w:val="001600CC"/>
    <w:rsid w:val="001605FB"/>
    <w:rsid w:val="00160788"/>
    <w:rsid w:val="0016089A"/>
    <w:rsid w:val="00160CC3"/>
    <w:rsid w:val="001610B0"/>
    <w:rsid w:val="00161213"/>
    <w:rsid w:val="00161927"/>
    <w:rsid w:val="00161B9B"/>
    <w:rsid w:val="00161D5F"/>
    <w:rsid w:val="0016204F"/>
    <w:rsid w:val="001622C1"/>
    <w:rsid w:val="00162500"/>
    <w:rsid w:val="00163E95"/>
    <w:rsid w:val="00164739"/>
    <w:rsid w:val="00164814"/>
    <w:rsid w:val="00164949"/>
    <w:rsid w:val="00164E82"/>
    <w:rsid w:val="00164F39"/>
    <w:rsid w:val="00164FF5"/>
    <w:rsid w:val="00165248"/>
    <w:rsid w:val="001655EC"/>
    <w:rsid w:val="001663CE"/>
    <w:rsid w:val="001666B1"/>
    <w:rsid w:val="0016695D"/>
    <w:rsid w:val="00166960"/>
    <w:rsid w:val="00166DD6"/>
    <w:rsid w:val="001670A5"/>
    <w:rsid w:val="00167438"/>
    <w:rsid w:val="00167457"/>
    <w:rsid w:val="00167F01"/>
    <w:rsid w:val="00170136"/>
    <w:rsid w:val="00170892"/>
    <w:rsid w:val="001710C2"/>
    <w:rsid w:val="001711B9"/>
    <w:rsid w:val="001714F4"/>
    <w:rsid w:val="00171583"/>
    <w:rsid w:val="0017181E"/>
    <w:rsid w:val="0017197E"/>
    <w:rsid w:val="00171A81"/>
    <w:rsid w:val="00171E9D"/>
    <w:rsid w:val="00171FAE"/>
    <w:rsid w:val="001726F0"/>
    <w:rsid w:val="0017286B"/>
    <w:rsid w:val="00172BF4"/>
    <w:rsid w:val="001730BD"/>
    <w:rsid w:val="00173186"/>
    <w:rsid w:val="00173610"/>
    <w:rsid w:val="00173629"/>
    <w:rsid w:val="0017369A"/>
    <w:rsid w:val="00173977"/>
    <w:rsid w:val="001745A6"/>
    <w:rsid w:val="00174824"/>
    <w:rsid w:val="00174C99"/>
    <w:rsid w:val="001750A1"/>
    <w:rsid w:val="0017517F"/>
    <w:rsid w:val="00175995"/>
    <w:rsid w:val="00175F97"/>
    <w:rsid w:val="001760F5"/>
    <w:rsid w:val="00176A05"/>
    <w:rsid w:val="00177169"/>
    <w:rsid w:val="0017720A"/>
    <w:rsid w:val="0017731F"/>
    <w:rsid w:val="001777A8"/>
    <w:rsid w:val="00177F79"/>
    <w:rsid w:val="00180329"/>
    <w:rsid w:val="00180D7A"/>
    <w:rsid w:val="0018108A"/>
    <w:rsid w:val="00181714"/>
    <w:rsid w:val="001818F9"/>
    <w:rsid w:val="001819A2"/>
    <w:rsid w:val="00182513"/>
    <w:rsid w:val="001830D3"/>
    <w:rsid w:val="001831B5"/>
    <w:rsid w:val="001832B1"/>
    <w:rsid w:val="0018338B"/>
    <w:rsid w:val="001835BB"/>
    <w:rsid w:val="001841FE"/>
    <w:rsid w:val="00184C29"/>
    <w:rsid w:val="00184D78"/>
    <w:rsid w:val="00185152"/>
    <w:rsid w:val="0018518D"/>
    <w:rsid w:val="001856C9"/>
    <w:rsid w:val="001858CB"/>
    <w:rsid w:val="0018598D"/>
    <w:rsid w:val="001859E0"/>
    <w:rsid w:val="00185F65"/>
    <w:rsid w:val="001860D6"/>
    <w:rsid w:val="00186D73"/>
    <w:rsid w:val="00187B74"/>
    <w:rsid w:val="00187BD6"/>
    <w:rsid w:val="00190977"/>
    <w:rsid w:val="00190DD5"/>
    <w:rsid w:val="001918F2"/>
    <w:rsid w:val="00191F5B"/>
    <w:rsid w:val="00192164"/>
    <w:rsid w:val="001921A4"/>
    <w:rsid w:val="00192455"/>
    <w:rsid w:val="00192C3F"/>
    <w:rsid w:val="001934BD"/>
    <w:rsid w:val="00193DAA"/>
    <w:rsid w:val="00195032"/>
    <w:rsid w:val="0019665B"/>
    <w:rsid w:val="00196699"/>
    <w:rsid w:val="001966A0"/>
    <w:rsid w:val="00197534"/>
    <w:rsid w:val="00197757"/>
    <w:rsid w:val="00197C11"/>
    <w:rsid w:val="001A028F"/>
    <w:rsid w:val="001A0625"/>
    <w:rsid w:val="001A1478"/>
    <w:rsid w:val="001A1EE7"/>
    <w:rsid w:val="001A2BB2"/>
    <w:rsid w:val="001A2EA9"/>
    <w:rsid w:val="001A3101"/>
    <w:rsid w:val="001A32AF"/>
    <w:rsid w:val="001A3BBE"/>
    <w:rsid w:val="001A3F75"/>
    <w:rsid w:val="001A3FC8"/>
    <w:rsid w:val="001A45B3"/>
    <w:rsid w:val="001A4DC3"/>
    <w:rsid w:val="001A51BF"/>
    <w:rsid w:val="001A5238"/>
    <w:rsid w:val="001A5680"/>
    <w:rsid w:val="001A5C58"/>
    <w:rsid w:val="001A64E6"/>
    <w:rsid w:val="001A6932"/>
    <w:rsid w:val="001A6B49"/>
    <w:rsid w:val="001A6D56"/>
    <w:rsid w:val="001A77EC"/>
    <w:rsid w:val="001A78CB"/>
    <w:rsid w:val="001A7D05"/>
    <w:rsid w:val="001B0024"/>
    <w:rsid w:val="001B0A9C"/>
    <w:rsid w:val="001B0D91"/>
    <w:rsid w:val="001B0FE7"/>
    <w:rsid w:val="001B1744"/>
    <w:rsid w:val="001B1DEF"/>
    <w:rsid w:val="001B1ED5"/>
    <w:rsid w:val="001B240F"/>
    <w:rsid w:val="001B2936"/>
    <w:rsid w:val="001B365E"/>
    <w:rsid w:val="001B3ED3"/>
    <w:rsid w:val="001B3FE9"/>
    <w:rsid w:val="001B4135"/>
    <w:rsid w:val="001B418F"/>
    <w:rsid w:val="001B4366"/>
    <w:rsid w:val="001B475A"/>
    <w:rsid w:val="001B5424"/>
    <w:rsid w:val="001B5440"/>
    <w:rsid w:val="001B5D57"/>
    <w:rsid w:val="001B633C"/>
    <w:rsid w:val="001B66F5"/>
    <w:rsid w:val="001B6B71"/>
    <w:rsid w:val="001B6B74"/>
    <w:rsid w:val="001B7AA3"/>
    <w:rsid w:val="001B7D57"/>
    <w:rsid w:val="001C001E"/>
    <w:rsid w:val="001C05E0"/>
    <w:rsid w:val="001C0ABF"/>
    <w:rsid w:val="001C0CA6"/>
    <w:rsid w:val="001C1976"/>
    <w:rsid w:val="001C1C1E"/>
    <w:rsid w:val="001C1DFA"/>
    <w:rsid w:val="001C211F"/>
    <w:rsid w:val="001C2397"/>
    <w:rsid w:val="001C2515"/>
    <w:rsid w:val="001C2686"/>
    <w:rsid w:val="001C2AB2"/>
    <w:rsid w:val="001C2DE8"/>
    <w:rsid w:val="001C3395"/>
    <w:rsid w:val="001C35F4"/>
    <w:rsid w:val="001C3637"/>
    <w:rsid w:val="001C3D12"/>
    <w:rsid w:val="001C3ECE"/>
    <w:rsid w:val="001C42AA"/>
    <w:rsid w:val="001C4482"/>
    <w:rsid w:val="001C4DE1"/>
    <w:rsid w:val="001C4FEF"/>
    <w:rsid w:val="001C57C2"/>
    <w:rsid w:val="001C5A07"/>
    <w:rsid w:val="001C5B3D"/>
    <w:rsid w:val="001C6012"/>
    <w:rsid w:val="001C6D27"/>
    <w:rsid w:val="001C73CD"/>
    <w:rsid w:val="001C7B56"/>
    <w:rsid w:val="001C7BDC"/>
    <w:rsid w:val="001D1591"/>
    <w:rsid w:val="001D36E4"/>
    <w:rsid w:val="001D40BF"/>
    <w:rsid w:val="001D5334"/>
    <w:rsid w:val="001D5CB6"/>
    <w:rsid w:val="001D602C"/>
    <w:rsid w:val="001D63BB"/>
    <w:rsid w:val="001D683E"/>
    <w:rsid w:val="001D6DCB"/>
    <w:rsid w:val="001D6E8A"/>
    <w:rsid w:val="001D70DF"/>
    <w:rsid w:val="001D7735"/>
    <w:rsid w:val="001D7755"/>
    <w:rsid w:val="001D7BE0"/>
    <w:rsid w:val="001D7BED"/>
    <w:rsid w:val="001E0020"/>
    <w:rsid w:val="001E012B"/>
    <w:rsid w:val="001E0373"/>
    <w:rsid w:val="001E0CA7"/>
    <w:rsid w:val="001E0F97"/>
    <w:rsid w:val="001E119E"/>
    <w:rsid w:val="001E1F4F"/>
    <w:rsid w:val="001E2282"/>
    <w:rsid w:val="001E25D7"/>
    <w:rsid w:val="001E26F5"/>
    <w:rsid w:val="001E2E5B"/>
    <w:rsid w:val="001E30D7"/>
    <w:rsid w:val="001E33AC"/>
    <w:rsid w:val="001E3879"/>
    <w:rsid w:val="001E432E"/>
    <w:rsid w:val="001E4BFC"/>
    <w:rsid w:val="001E5667"/>
    <w:rsid w:val="001E5E29"/>
    <w:rsid w:val="001E6314"/>
    <w:rsid w:val="001E6451"/>
    <w:rsid w:val="001E68C7"/>
    <w:rsid w:val="001E6D32"/>
    <w:rsid w:val="001E73B5"/>
    <w:rsid w:val="001F039F"/>
    <w:rsid w:val="001F0402"/>
    <w:rsid w:val="001F1078"/>
    <w:rsid w:val="001F1188"/>
    <w:rsid w:val="001F1475"/>
    <w:rsid w:val="001F1515"/>
    <w:rsid w:val="001F16A6"/>
    <w:rsid w:val="001F18F2"/>
    <w:rsid w:val="001F1B21"/>
    <w:rsid w:val="001F1BBC"/>
    <w:rsid w:val="001F1EBE"/>
    <w:rsid w:val="001F1EF3"/>
    <w:rsid w:val="001F20A9"/>
    <w:rsid w:val="001F21D3"/>
    <w:rsid w:val="001F2505"/>
    <w:rsid w:val="001F2AEC"/>
    <w:rsid w:val="001F2BE7"/>
    <w:rsid w:val="001F2CF7"/>
    <w:rsid w:val="001F30EF"/>
    <w:rsid w:val="001F4B5F"/>
    <w:rsid w:val="001F52CE"/>
    <w:rsid w:val="001F656E"/>
    <w:rsid w:val="001F6E39"/>
    <w:rsid w:val="001F6EB5"/>
    <w:rsid w:val="001F771A"/>
    <w:rsid w:val="00200817"/>
    <w:rsid w:val="002018EA"/>
    <w:rsid w:val="002024AC"/>
    <w:rsid w:val="00202B2D"/>
    <w:rsid w:val="00203196"/>
    <w:rsid w:val="002037BC"/>
    <w:rsid w:val="002038A8"/>
    <w:rsid w:val="00203D93"/>
    <w:rsid w:val="00203F98"/>
    <w:rsid w:val="00203FDA"/>
    <w:rsid w:val="002040F9"/>
    <w:rsid w:val="00204301"/>
    <w:rsid w:val="002044FF"/>
    <w:rsid w:val="00204CFE"/>
    <w:rsid w:val="00204E71"/>
    <w:rsid w:val="0020507A"/>
    <w:rsid w:val="002051A2"/>
    <w:rsid w:val="00205879"/>
    <w:rsid w:val="00205DED"/>
    <w:rsid w:val="0020626C"/>
    <w:rsid w:val="002064F0"/>
    <w:rsid w:val="002066FF"/>
    <w:rsid w:val="00206D8C"/>
    <w:rsid w:val="002073F2"/>
    <w:rsid w:val="00207D55"/>
    <w:rsid w:val="00210491"/>
    <w:rsid w:val="00210AF8"/>
    <w:rsid w:val="00211039"/>
    <w:rsid w:val="0021162C"/>
    <w:rsid w:val="00211CF1"/>
    <w:rsid w:val="002127BC"/>
    <w:rsid w:val="002131B7"/>
    <w:rsid w:val="0021391D"/>
    <w:rsid w:val="00213DD2"/>
    <w:rsid w:val="002146BD"/>
    <w:rsid w:val="00214AB1"/>
    <w:rsid w:val="00214D30"/>
    <w:rsid w:val="00214D5F"/>
    <w:rsid w:val="0021517C"/>
    <w:rsid w:val="00215346"/>
    <w:rsid w:val="0021575E"/>
    <w:rsid w:val="002158C4"/>
    <w:rsid w:val="00215C7E"/>
    <w:rsid w:val="00215CB9"/>
    <w:rsid w:val="0021635B"/>
    <w:rsid w:val="00216B81"/>
    <w:rsid w:val="00216EA3"/>
    <w:rsid w:val="002172C4"/>
    <w:rsid w:val="00217458"/>
    <w:rsid w:val="002200ED"/>
    <w:rsid w:val="00220531"/>
    <w:rsid w:val="0022096F"/>
    <w:rsid w:val="00220C79"/>
    <w:rsid w:val="0022181A"/>
    <w:rsid w:val="00222215"/>
    <w:rsid w:val="00222389"/>
    <w:rsid w:val="00222CC1"/>
    <w:rsid w:val="00222F69"/>
    <w:rsid w:val="002239B3"/>
    <w:rsid w:val="00223CA8"/>
    <w:rsid w:val="00223CFA"/>
    <w:rsid w:val="0022421D"/>
    <w:rsid w:val="00224375"/>
    <w:rsid w:val="00224EA3"/>
    <w:rsid w:val="0022673F"/>
    <w:rsid w:val="00226E4E"/>
    <w:rsid w:val="00226FCE"/>
    <w:rsid w:val="00227144"/>
    <w:rsid w:val="00227376"/>
    <w:rsid w:val="00227446"/>
    <w:rsid w:val="00227829"/>
    <w:rsid w:val="00230064"/>
    <w:rsid w:val="00230769"/>
    <w:rsid w:val="0023189A"/>
    <w:rsid w:val="00231A6A"/>
    <w:rsid w:val="00231A8C"/>
    <w:rsid w:val="00232144"/>
    <w:rsid w:val="002325FA"/>
    <w:rsid w:val="002329D2"/>
    <w:rsid w:val="0023342F"/>
    <w:rsid w:val="0023365E"/>
    <w:rsid w:val="00233995"/>
    <w:rsid w:val="00234148"/>
    <w:rsid w:val="002341DC"/>
    <w:rsid w:val="00234497"/>
    <w:rsid w:val="002344B3"/>
    <w:rsid w:val="002356FA"/>
    <w:rsid w:val="002358C2"/>
    <w:rsid w:val="00235945"/>
    <w:rsid w:val="00235BCA"/>
    <w:rsid w:val="00235C87"/>
    <w:rsid w:val="00236A48"/>
    <w:rsid w:val="00236E86"/>
    <w:rsid w:val="00236F57"/>
    <w:rsid w:val="002372D4"/>
    <w:rsid w:val="002376AE"/>
    <w:rsid w:val="0024039E"/>
    <w:rsid w:val="0024071F"/>
    <w:rsid w:val="00241170"/>
    <w:rsid w:val="00241608"/>
    <w:rsid w:val="002416C7"/>
    <w:rsid w:val="00241765"/>
    <w:rsid w:val="0024178D"/>
    <w:rsid w:val="0024188B"/>
    <w:rsid w:val="00241CC6"/>
    <w:rsid w:val="00242A42"/>
    <w:rsid w:val="00242F2E"/>
    <w:rsid w:val="00243045"/>
    <w:rsid w:val="0024331D"/>
    <w:rsid w:val="00243913"/>
    <w:rsid w:val="00243E82"/>
    <w:rsid w:val="0024406B"/>
    <w:rsid w:val="002449F1"/>
    <w:rsid w:val="00244A07"/>
    <w:rsid w:val="00244E64"/>
    <w:rsid w:val="00244EF5"/>
    <w:rsid w:val="00245511"/>
    <w:rsid w:val="00245666"/>
    <w:rsid w:val="00245F2E"/>
    <w:rsid w:val="0024615D"/>
    <w:rsid w:val="002463DC"/>
    <w:rsid w:val="00246839"/>
    <w:rsid w:val="00246B48"/>
    <w:rsid w:val="002472C4"/>
    <w:rsid w:val="002476FD"/>
    <w:rsid w:val="0024788E"/>
    <w:rsid w:val="00247BCF"/>
    <w:rsid w:val="00250E5D"/>
    <w:rsid w:val="0025151D"/>
    <w:rsid w:val="0025161C"/>
    <w:rsid w:val="002516A6"/>
    <w:rsid w:val="002517E7"/>
    <w:rsid w:val="00251F28"/>
    <w:rsid w:val="00252669"/>
    <w:rsid w:val="00252CB2"/>
    <w:rsid w:val="00252DC4"/>
    <w:rsid w:val="00252FEC"/>
    <w:rsid w:val="00253711"/>
    <w:rsid w:val="00254201"/>
    <w:rsid w:val="00254246"/>
    <w:rsid w:val="002547B4"/>
    <w:rsid w:val="0025497D"/>
    <w:rsid w:val="002549A0"/>
    <w:rsid w:val="00254A28"/>
    <w:rsid w:val="002551D5"/>
    <w:rsid w:val="00255572"/>
    <w:rsid w:val="00255573"/>
    <w:rsid w:val="002560F1"/>
    <w:rsid w:val="0025679A"/>
    <w:rsid w:val="002567AC"/>
    <w:rsid w:val="00256E32"/>
    <w:rsid w:val="00256E5E"/>
    <w:rsid w:val="0025734B"/>
    <w:rsid w:val="00257784"/>
    <w:rsid w:val="00257C76"/>
    <w:rsid w:val="00260208"/>
    <w:rsid w:val="002602FF"/>
    <w:rsid w:val="00260D4B"/>
    <w:rsid w:val="00260DF3"/>
    <w:rsid w:val="00261F1E"/>
    <w:rsid w:val="002625DE"/>
    <w:rsid w:val="00262D3D"/>
    <w:rsid w:val="00263E42"/>
    <w:rsid w:val="00264074"/>
    <w:rsid w:val="00264935"/>
    <w:rsid w:val="002656A1"/>
    <w:rsid w:val="00265817"/>
    <w:rsid w:val="00265E4F"/>
    <w:rsid w:val="00270091"/>
    <w:rsid w:val="002700C1"/>
    <w:rsid w:val="002707BF"/>
    <w:rsid w:val="0027097B"/>
    <w:rsid w:val="00271C4E"/>
    <w:rsid w:val="00272376"/>
    <w:rsid w:val="002724D1"/>
    <w:rsid w:val="002727CA"/>
    <w:rsid w:val="00272A35"/>
    <w:rsid w:val="002734BC"/>
    <w:rsid w:val="0027370D"/>
    <w:rsid w:val="00273ADE"/>
    <w:rsid w:val="00273C1B"/>
    <w:rsid w:val="00273E23"/>
    <w:rsid w:val="00274560"/>
    <w:rsid w:val="00274764"/>
    <w:rsid w:val="00275CCB"/>
    <w:rsid w:val="002760BD"/>
    <w:rsid w:val="00276CBB"/>
    <w:rsid w:val="00276DA4"/>
    <w:rsid w:val="002772BE"/>
    <w:rsid w:val="0027753D"/>
    <w:rsid w:val="00280058"/>
    <w:rsid w:val="00280087"/>
    <w:rsid w:val="002804EE"/>
    <w:rsid w:val="00280DB1"/>
    <w:rsid w:val="00280F32"/>
    <w:rsid w:val="0028192D"/>
    <w:rsid w:val="0028236D"/>
    <w:rsid w:val="0028270D"/>
    <w:rsid w:val="00282B19"/>
    <w:rsid w:val="00282D28"/>
    <w:rsid w:val="00283086"/>
    <w:rsid w:val="0028358E"/>
    <w:rsid w:val="00283F13"/>
    <w:rsid w:val="00284185"/>
    <w:rsid w:val="00284E60"/>
    <w:rsid w:val="00285B45"/>
    <w:rsid w:val="00286175"/>
    <w:rsid w:val="002861AC"/>
    <w:rsid w:val="002866C3"/>
    <w:rsid w:val="00286AC2"/>
    <w:rsid w:val="00286B68"/>
    <w:rsid w:val="00287727"/>
    <w:rsid w:val="00290B10"/>
    <w:rsid w:val="00290BC4"/>
    <w:rsid w:val="00290F96"/>
    <w:rsid w:val="00291ADA"/>
    <w:rsid w:val="002927C9"/>
    <w:rsid w:val="00293330"/>
    <w:rsid w:val="00293473"/>
    <w:rsid w:val="002934D2"/>
    <w:rsid w:val="00293CBE"/>
    <w:rsid w:val="00294609"/>
    <w:rsid w:val="00294A32"/>
    <w:rsid w:val="00294B19"/>
    <w:rsid w:val="00295BDD"/>
    <w:rsid w:val="00295F19"/>
    <w:rsid w:val="00296A57"/>
    <w:rsid w:val="00297217"/>
    <w:rsid w:val="0029749A"/>
    <w:rsid w:val="0029751F"/>
    <w:rsid w:val="002A0644"/>
    <w:rsid w:val="002A11BC"/>
    <w:rsid w:val="002A13DD"/>
    <w:rsid w:val="002A196E"/>
    <w:rsid w:val="002A20B1"/>
    <w:rsid w:val="002A23AF"/>
    <w:rsid w:val="002A2D82"/>
    <w:rsid w:val="002A36A5"/>
    <w:rsid w:val="002A3F0F"/>
    <w:rsid w:val="002A3F6C"/>
    <w:rsid w:val="002A42E2"/>
    <w:rsid w:val="002A471B"/>
    <w:rsid w:val="002A48A7"/>
    <w:rsid w:val="002A4BAF"/>
    <w:rsid w:val="002A4FF1"/>
    <w:rsid w:val="002A50E7"/>
    <w:rsid w:val="002A5B65"/>
    <w:rsid w:val="002A5C1E"/>
    <w:rsid w:val="002A5D94"/>
    <w:rsid w:val="002A5E14"/>
    <w:rsid w:val="002A6063"/>
    <w:rsid w:val="002A6816"/>
    <w:rsid w:val="002A6BBE"/>
    <w:rsid w:val="002A70B4"/>
    <w:rsid w:val="002A7E59"/>
    <w:rsid w:val="002B0018"/>
    <w:rsid w:val="002B0A90"/>
    <w:rsid w:val="002B1034"/>
    <w:rsid w:val="002B2105"/>
    <w:rsid w:val="002B2822"/>
    <w:rsid w:val="002B2ADC"/>
    <w:rsid w:val="002B2B90"/>
    <w:rsid w:val="002B2EF2"/>
    <w:rsid w:val="002B2F40"/>
    <w:rsid w:val="002B4124"/>
    <w:rsid w:val="002B4966"/>
    <w:rsid w:val="002B4D86"/>
    <w:rsid w:val="002B4E1D"/>
    <w:rsid w:val="002B5222"/>
    <w:rsid w:val="002B5540"/>
    <w:rsid w:val="002B55C6"/>
    <w:rsid w:val="002B5CF1"/>
    <w:rsid w:val="002B5F20"/>
    <w:rsid w:val="002B6450"/>
    <w:rsid w:val="002B646C"/>
    <w:rsid w:val="002B6478"/>
    <w:rsid w:val="002B6F1A"/>
    <w:rsid w:val="002B750B"/>
    <w:rsid w:val="002C0575"/>
    <w:rsid w:val="002C0826"/>
    <w:rsid w:val="002C1B40"/>
    <w:rsid w:val="002C1EE4"/>
    <w:rsid w:val="002C1F16"/>
    <w:rsid w:val="002C36E2"/>
    <w:rsid w:val="002C4037"/>
    <w:rsid w:val="002C421E"/>
    <w:rsid w:val="002C42D2"/>
    <w:rsid w:val="002C4AD7"/>
    <w:rsid w:val="002C58E1"/>
    <w:rsid w:val="002C5AB2"/>
    <w:rsid w:val="002C5BDB"/>
    <w:rsid w:val="002C649E"/>
    <w:rsid w:val="002C6DA1"/>
    <w:rsid w:val="002C7170"/>
    <w:rsid w:val="002C768A"/>
    <w:rsid w:val="002C7A50"/>
    <w:rsid w:val="002C7DAF"/>
    <w:rsid w:val="002C7EAC"/>
    <w:rsid w:val="002C7F75"/>
    <w:rsid w:val="002D0000"/>
    <w:rsid w:val="002D0312"/>
    <w:rsid w:val="002D0430"/>
    <w:rsid w:val="002D117B"/>
    <w:rsid w:val="002D13A8"/>
    <w:rsid w:val="002D1BB5"/>
    <w:rsid w:val="002D1D38"/>
    <w:rsid w:val="002D294D"/>
    <w:rsid w:val="002D29EB"/>
    <w:rsid w:val="002D2E7F"/>
    <w:rsid w:val="002D32A2"/>
    <w:rsid w:val="002D3B76"/>
    <w:rsid w:val="002D3E69"/>
    <w:rsid w:val="002D41B1"/>
    <w:rsid w:val="002D4E4F"/>
    <w:rsid w:val="002D5507"/>
    <w:rsid w:val="002D5621"/>
    <w:rsid w:val="002D5729"/>
    <w:rsid w:val="002D57AD"/>
    <w:rsid w:val="002D6C5A"/>
    <w:rsid w:val="002D6F63"/>
    <w:rsid w:val="002D7113"/>
    <w:rsid w:val="002D75EA"/>
    <w:rsid w:val="002D78B8"/>
    <w:rsid w:val="002D7C62"/>
    <w:rsid w:val="002E07E4"/>
    <w:rsid w:val="002E0913"/>
    <w:rsid w:val="002E2073"/>
    <w:rsid w:val="002E2153"/>
    <w:rsid w:val="002E26C9"/>
    <w:rsid w:val="002E2B6D"/>
    <w:rsid w:val="002E2C0A"/>
    <w:rsid w:val="002E3137"/>
    <w:rsid w:val="002E3D2C"/>
    <w:rsid w:val="002E3D3E"/>
    <w:rsid w:val="002E3E73"/>
    <w:rsid w:val="002E5252"/>
    <w:rsid w:val="002E5437"/>
    <w:rsid w:val="002E594D"/>
    <w:rsid w:val="002E59FE"/>
    <w:rsid w:val="002E5D15"/>
    <w:rsid w:val="002E6DD0"/>
    <w:rsid w:val="002F01EA"/>
    <w:rsid w:val="002F06B6"/>
    <w:rsid w:val="002F0780"/>
    <w:rsid w:val="002F082D"/>
    <w:rsid w:val="002F1602"/>
    <w:rsid w:val="002F1E79"/>
    <w:rsid w:val="002F2658"/>
    <w:rsid w:val="002F26E5"/>
    <w:rsid w:val="002F2751"/>
    <w:rsid w:val="002F2A7E"/>
    <w:rsid w:val="002F2C4E"/>
    <w:rsid w:val="002F2C95"/>
    <w:rsid w:val="002F30C9"/>
    <w:rsid w:val="002F32A7"/>
    <w:rsid w:val="002F37FA"/>
    <w:rsid w:val="002F3863"/>
    <w:rsid w:val="002F3FD5"/>
    <w:rsid w:val="002F4781"/>
    <w:rsid w:val="002F55D6"/>
    <w:rsid w:val="002F5AD2"/>
    <w:rsid w:val="002F6379"/>
    <w:rsid w:val="002F704E"/>
    <w:rsid w:val="002F7318"/>
    <w:rsid w:val="002F7CF8"/>
    <w:rsid w:val="002F7F51"/>
    <w:rsid w:val="003003B3"/>
    <w:rsid w:val="00300ACA"/>
    <w:rsid w:val="00300D00"/>
    <w:rsid w:val="00301049"/>
    <w:rsid w:val="00301402"/>
    <w:rsid w:val="0030196B"/>
    <w:rsid w:val="00301F19"/>
    <w:rsid w:val="00302652"/>
    <w:rsid w:val="003028CA"/>
    <w:rsid w:val="00302EA9"/>
    <w:rsid w:val="003031BE"/>
    <w:rsid w:val="003033A8"/>
    <w:rsid w:val="00303D35"/>
    <w:rsid w:val="00303DDD"/>
    <w:rsid w:val="00303FA0"/>
    <w:rsid w:val="00304160"/>
    <w:rsid w:val="00304FE4"/>
    <w:rsid w:val="00305007"/>
    <w:rsid w:val="003051E2"/>
    <w:rsid w:val="0030586D"/>
    <w:rsid w:val="00305C5C"/>
    <w:rsid w:val="003064E1"/>
    <w:rsid w:val="003064FD"/>
    <w:rsid w:val="003066E5"/>
    <w:rsid w:val="00306823"/>
    <w:rsid w:val="00306C7B"/>
    <w:rsid w:val="00306C8F"/>
    <w:rsid w:val="00307A78"/>
    <w:rsid w:val="00310000"/>
    <w:rsid w:val="0031044E"/>
    <w:rsid w:val="00310CBA"/>
    <w:rsid w:val="003118ED"/>
    <w:rsid w:val="00311FE3"/>
    <w:rsid w:val="00312169"/>
    <w:rsid w:val="00312A60"/>
    <w:rsid w:val="00312F29"/>
    <w:rsid w:val="00313449"/>
    <w:rsid w:val="0031366F"/>
    <w:rsid w:val="0031389B"/>
    <w:rsid w:val="00313FE9"/>
    <w:rsid w:val="003146A7"/>
    <w:rsid w:val="00315127"/>
    <w:rsid w:val="00316068"/>
    <w:rsid w:val="00316CDF"/>
    <w:rsid w:val="00321303"/>
    <w:rsid w:val="0032174D"/>
    <w:rsid w:val="003218E2"/>
    <w:rsid w:val="00321B9E"/>
    <w:rsid w:val="00321D16"/>
    <w:rsid w:val="00321E89"/>
    <w:rsid w:val="003221FA"/>
    <w:rsid w:val="0032223F"/>
    <w:rsid w:val="003223F6"/>
    <w:rsid w:val="003227DD"/>
    <w:rsid w:val="00322836"/>
    <w:rsid w:val="00322A65"/>
    <w:rsid w:val="00322AAE"/>
    <w:rsid w:val="00322DF3"/>
    <w:rsid w:val="00322E04"/>
    <w:rsid w:val="003230CD"/>
    <w:rsid w:val="00323DB3"/>
    <w:rsid w:val="00324194"/>
    <w:rsid w:val="0032451D"/>
    <w:rsid w:val="0032456C"/>
    <w:rsid w:val="00324821"/>
    <w:rsid w:val="00324889"/>
    <w:rsid w:val="00324EFE"/>
    <w:rsid w:val="00324FD1"/>
    <w:rsid w:val="00325806"/>
    <w:rsid w:val="00326464"/>
    <w:rsid w:val="00326589"/>
    <w:rsid w:val="00326590"/>
    <w:rsid w:val="003265BC"/>
    <w:rsid w:val="00326A06"/>
    <w:rsid w:val="00326AF2"/>
    <w:rsid w:val="00326D37"/>
    <w:rsid w:val="00326E25"/>
    <w:rsid w:val="00327907"/>
    <w:rsid w:val="00330332"/>
    <w:rsid w:val="0033193A"/>
    <w:rsid w:val="0033377D"/>
    <w:rsid w:val="00333962"/>
    <w:rsid w:val="00334269"/>
    <w:rsid w:val="0033498F"/>
    <w:rsid w:val="00334E00"/>
    <w:rsid w:val="00334E25"/>
    <w:rsid w:val="003352E7"/>
    <w:rsid w:val="003357BA"/>
    <w:rsid w:val="00335A29"/>
    <w:rsid w:val="00335A39"/>
    <w:rsid w:val="00335F75"/>
    <w:rsid w:val="00337132"/>
    <w:rsid w:val="00337367"/>
    <w:rsid w:val="00340412"/>
    <w:rsid w:val="0034107C"/>
    <w:rsid w:val="003411EC"/>
    <w:rsid w:val="00341EDF"/>
    <w:rsid w:val="003421B4"/>
    <w:rsid w:val="00342FEC"/>
    <w:rsid w:val="003439AE"/>
    <w:rsid w:val="00343AD5"/>
    <w:rsid w:val="00343D55"/>
    <w:rsid w:val="003441EC"/>
    <w:rsid w:val="00344459"/>
    <w:rsid w:val="003445D3"/>
    <w:rsid w:val="003452CB"/>
    <w:rsid w:val="00345963"/>
    <w:rsid w:val="0034602A"/>
    <w:rsid w:val="003460A6"/>
    <w:rsid w:val="003465BE"/>
    <w:rsid w:val="00346C00"/>
    <w:rsid w:val="00346D18"/>
    <w:rsid w:val="00347770"/>
    <w:rsid w:val="00347825"/>
    <w:rsid w:val="003479AA"/>
    <w:rsid w:val="00347D33"/>
    <w:rsid w:val="0035089F"/>
    <w:rsid w:val="003509C9"/>
    <w:rsid w:val="00350FFD"/>
    <w:rsid w:val="00351234"/>
    <w:rsid w:val="00351447"/>
    <w:rsid w:val="003514F5"/>
    <w:rsid w:val="0035192E"/>
    <w:rsid w:val="00354164"/>
    <w:rsid w:val="00354541"/>
    <w:rsid w:val="003545EF"/>
    <w:rsid w:val="00354676"/>
    <w:rsid w:val="00354AFE"/>
    <w:rsid w:val="00355A15"/>
    <w:rsid w:val="003563A7"/>
    <w:rsid w:val="00356585"/>
    <w:rsid w:val="00356670"/>
    <w:rsid w:val="00356E93"/>
    <w:rsid w:val="0035706D"/>
    <w:rsid w:val="00360228"/>
    <w:rsid w:val="00360EF9"/>
    <w:rsid w:val="00361040"/>
    <w:rsid w:val="00361869"/>
    <w:rsid w:val="00362199"/>
    <w:rsid w:val="003630FB"/>
    <w:rsid w:val="00363C64"/>
    <w:rsid w:val="003642E3"/>
    <w:rsid w:val="00364CAE"/>
    <w:rsid w:val="00364CC4"/>
    <w:rsid w:val="003651FD"/>
    <w:rsid w:val="0036544D"/>
    <w:rsid w:val="00365457"/>
    <w:rsid w:val="0036569E"/>
    <w:rsid w:val="0036581A"/>
    <w:rsid w:val="00365BCD"/>
    <w:rsid w:val="00366EDE"/>
    <w:rsid w:val="00366F8E"/>
    <w:rsid w:val="0036711F"/>
    <w:rsid w:val="00367568"/>
    <w:rsid w:val="00367BCA"/>
    <w:rsid w:val="00367E8C"/>
    <w:rsid w:val="003701FE"/>
    <w:rsid w:val="0037032A"/>
    <w:rsid w:val="00370559"/>
    <w:rsid w:val="00370B4A"/>
    <w:rsid w:val="00371556"/>
    <w:rsid w:val="00371BD5"/>
    <w:rsid w:val="0037211A"/>
    <w:rsid w:val="00372477"/>
    <w:rsid w:val="0037260B"/>
    <w:rsid w:val="0037260D"/>
    <w:rsid w:val="00372745"/>
    <w:rsid w:val="00372F57"/>
    <w:rsid w:val="00372F8E"/>
    <w:rsid w:val="00372F9E"/>
    <w:rsid w:val="003730A4"/>
    <w:rsid w:val="00373157"/>
    <w:rsid w:val="00374062"/>
    <w:rsid w:val="00374084"/>
    <w:rsid w:val="0037416A"/>
    <w:rsid w:val="003744BB"/>
    <w:rsid w:val="00374626"/>
    <w:rsid w:val="00374EE5"/>
    <w:rsid w:val="00375715"/>
    <w:rsid w:val="00375AEC"/>
    <w:rsid w:val="00375FEA"/>
    <w:rsid w:val="003760B6"/>
    <w:rsid w:val="00376F06"/>
    <w:rsid w:val="00377989"/>
    <w:rsid w:val="003779F4"/>
    <w:rsid w:val="00377D5E"/>
    <w:rsid w:val="0038072E"/>
    <w:rsid w:val="00380B83"/>
    <w:rsid w:val="00381AFB"/>
    <w:rsid w:val="00381B73"/>
    <w:rsid w:val="00381E85"/>
    <w:rsid w:val="00382257"/>
    <w:rsid w:val="00383B33"/>
    <w:rsid w:val="00383D94"/>
    <w:rsid w:val="00383E7E"/>
    <w:rsid w:val="003842B9"/>
    <w:rsid w:val="00384FA4"/>
    <w:rsid w:val="003850C9"/>
    <w:rsid w:val="003855D0"/>
    <w:rsid w:val="003856A9"/>
    <w:rsid w:val="003868CB"/>
    <w:rsid w:val="00386A1C"/>
    <w:rsid w:val="003870D5"/>
    <w:rsid w:val="003873A2"/>
    <w:rsid w:val="0039052B"/>
    <w:rsid w:val="00390572"/>
    <w:rsid w:val="00390835"/>
    <w:rsid w:val="0039085F"/>
    <w:rsid w:val="0039086F"/>
    <w:rsid w:val="00391821"/>
    <w:rsid w:val="00391A1C"/>
    <w:rsid w:val="003924AA"/>
    <w:rsid w:val="00392B70"/>
    <w:rsid w:val="00392FEB"/>
    <w:rsid w:val="00393148"/>
    <w:rsid w:val="003932C6"/>
    <w:rsid w:val="0039342E"/>
    <w:rsid w:val="00393F4D"/>
    <w:rsid w:val="00394375"/>
    <w:rsid w:val="0039454F"/>
    <w:rsid w:val="00394821"/>
    <w:rsid w:val="00394C0B"/>
    <w:rsid w:val="00395CFE"/>
    <w:rsid w:val="00396071"/>
    <w:rsid w:val="00396205"/>
    <w:rsid w:val="00396C28"/>
    <w:rsid w:val="00396D9F"/>
    <w:rsid w:val="00396E50"/>
    <w:rsid w:val="00397D02"/>
    <w:rsid w:val="003A0587"/>
    <w:rsid w:val="003A0FB8"/>
    <w:rsid w:val="003A1207"/>
    <w:rsid w:val="003A18D0"/>
    <w:rsid w:val="003A1CF2"/>
    <w:rsid w:val="003A266F"/>
    <w:rsid w:val="003A2F02"/>
    <w:rsid w:val="003A34A8"/>
    <w:rsid w:val="003A3A01"/>
    <w:rsid w:val="003A4D9B"/>
    <w:rsid w:val="003A4E32"/>
    <w:rsid w:val="003A56C3"/>
    <w:rsid w:val="003A5BB9"/>
    <w:rsid w:val="003A62E8"/>
    <w:rsid w:val="003A6328"/>
    <w:rsid w:val="003A66DC"/>
    <w:rsid w:val="003A6E2F"/>
    <w:rsid w:val="003A6E41"/>
    <w:rsid w:val="003A74B8"/>
    <w:rsid w:val="003A775D"/>
    <w:rsid w:val="003A79DC"/>
    <w:rsid w:val="003A7C6C"/>
    <w:rsid w:val="003B0391"/>
    <w:rsid w:val="003B0876"/>
    <w:rsid w:val="003B0A3A"/>
    <w:rsid w:val="003B0C3E"/>
    <w:rsid w:val="003B0C62"/>
    <w:rsid w:val="003B0F93"/>
    <w:rsid w:val="003B12F4"/>
    <w:rsid w:val="003B1393"/>
    <w:rsid w:val="003B14D0"/>
    <w:rsid w:val="003B1642"/>
    <w:rsid w:val="003B2341"/>
    <w:rsid w:val="003B262E"/>
    <w:rsid w:val="003B279D"/>
    <w:rsid w:val="003B27D8"/>
    <w:rsid w:val="003B2E28"/>
    <w:rsid w:val="003B36C0"/>
    <w:rsid w:val="003B4127"/>
    <w:rsid w:val="003B41E5"/>
    <w:rsid w:val="003B456D"/>
    <w:rsid w:val="003B463E"/>
    <w:rsid w:val="003B4B1D"/>
    <w:rsid w:val="003B4B6D"/>
    <w:rsid w:val="003B4D67"/>
    <w:rsid w:val="003B4ED9"/>
    <w:rsid w:val="003B51B1"/>
    <w:rsid w:val="003B51B2"/>
    <w:rsid w:val="003B666B"/>
    <w:rsid w:val="003B70B0"/>
    <w:rsid w:val="003B79B6"/>
    <w:rsid w:val="003C00B9"/>
    <w:rsid w:val="003C011C"/>
    <w:rsid w:val="003C131F"/>
    <w:rsid w:val="003C1BB2"/>
    <w:rsid w:val="003C2274"/>
    <w:rsid w:val="003C2990"/>
    <w:rsid w:val="003C2E09"/>
    <w:rsid w:val="003C300A"/>
    <w:rsid w:val="003C323C"/>
    <w:rsid w:val="003C32B6"/>
    <w:rsid w:val="003C3A5A"/>
    <w:rsid w:val="003C3AC5"/>
    <w:rsid w:val="003C3DDF"/>
    <w:rsid w:val="003C3E56"/>
    <w:rsid w:val="003C3EC9"/>
    <w:rsid w:val="003C4296"/>
    <w:rsid w:val="003C476E"/>
    <w:rsid w:val="003C528D"/>
    <w:rsid w:val="003C5554"/>
    <w:rsid w:val="003C55FE"/>
    <w:rsid w:val="003C610F"/>
    <w:rsid w:val="003C6D38"/>
    <w:rsid w:val="003C6DA9"/>
    <w:rsid w:val="003C743E"/>
    <w:rsid w:val="003C748C"/>
    <w:rsid w:val="003C75F5"/>
    <w:rsid w:val="003C798E"/>
    <w:rsid w:val="003C7A96"/>
    <w:rsid w:val="003D011D"/>
    <w:rsid w:val="003D045B"/>
    <w:rsid w:val="003D0749"/>
    <w:rsid w:val="003D0F44"/>
    <w:rsid w:val="003D138F"/>
    <w:rsid w:val="003D15CC"/>
    <w:rsid w:val="003D17D6"/>
    <w:rsid w:val="003D19BE"/>
    <w:rsid w:val="003D1C3E"/>
    <w:rsid w:val="003D1DF4"/>
    <w:rsid w:val="003D1E8B"/>
    <w:rsid w:val="003D2A90"/>
    <w:rsid w:val="003D321C"/>
    <w:rsid w:val="003D3580"/>
    <w:rsid w:val="003D3786"/>
    <w:rsid w:val="003D37B2"/>
    <w:rsid w:val="003D3BFD"/>
    <w:rsid w:val="003D47FB"/>
    <w:rsid w:val="003D4A5B"/>
    <w:rsid w:val="003D5226"/>
    <w:rsid w:val="003D5461"/>
    <w:rsid w:val="003D5627"/>
    <w:rsid w:val="003D5F3D"/>
    <w:rsid w:val="003D6075"/>
    <w:rsid w:val="003D6458"/>
    <w:rsid w:val="003D6704"/>
    <w:rsid w:val="003D6E3E"/>
    <w:rsid w:val="003D701C"/>
    <w:rsid w:val="003D7058"/>
    <w:rsid w:val="003D7B04"/>
    <w:rsid w:val="003D7E13"/>
    <w:rsid w:val="003D7EA3"/>
    <w:rsid w:val="003E0C53"/>
    <w:rsid w:val="003E11BB"/>
    <w:rsid w:val="003E11C8"/>
    <w:rsid w:val="003E1C5E"/>
    <w:rsid w:val="003E288F"/>
    <w:rsid w:val="003E3963"/>
    <w:rsid w:val="003E43B1"/>
    <w:rsid w:val="003E4A4D"/>
    <w:rsid w:val="003E4E15"/>
    <w:rsid w:val="003E5019"/>
    <w:rsid w:val="003E5263"/>
    <w:rsid w:val="003E5875"/>
    <w:rsid w:val="003E6353"/>
    <w:rsid w:val="003E63B8"/>
    <w:rsid w:val="003E645C"/>
    <w:rsid w:val="003E6C93"/>
    <w:rsid w:val="003E6EF4"/>
    <w:rsid w:val="003E7877"/>
    <w:rsid w:val="003F0415"/>
    <w:rsid w:val="003F045A"/>
    <w:rsid w:val="003F07FB"/>
    <w:rsid w:val="003F0990"/>
    <w:rsid w:val="003F11F2"/>
    <w:rsid w:val="003F1949"/>
    <w:rsid w:val="003F249E"/>
    <w:rsid w:val="003F25C7"/>
    <w:rsid w:val="003F2B5B"/>
    <w:rsid w:val="003F3D87"/>
    <w:rsid w:val="003F3F33"/>
    <w:rsid w:val="003F3F56"/>
    <w:rsid w:val="003F40EE"/>
    <w:rsid w:val="003F4D49"/>
    <w:rsid w:val="003F50F9"/>
    <w:rsid w:val="003F5745"/>
    <w:rsid w:val="003F5828"/>
    <w:rsid w:val="003F5A51"/>
    <w:rsid w:val="003F65C9"/>
    <w:rsid w:val="003F671E"/>
    <w:rsid w:val="003F6967"/>
    <w:rsid w:val="003F70A2"/>
    <w:rsid w:val="003F7A33"/>
    <w:rsid w:val="003F7D93"/>
    <w:rsid w:val="004000EA"/>
    <w:rsid w:val="0040164C"/>
    <w:rsid w:val="00401A9D"/>
    <w:rsid w:val="00401DD6"/>
    <w:rsid w:val="00401EAB"/>
    <w:rsid w:val="00402109"/>
    <w:rsid w:val="00402AF5"/>
    <w:rsid w:val="00402C64"/>
    <w:rsid w:val="00403271"/>
    <w:rsid w:val="00403378"/>
    <w:rsid w:val="00403883"/>
    <w:rsid w:val="00404714"/>
    <w:rsid w:val="00404C31"/>
    <w:rsid w:val="00404DC7"/>
    <w:rsid w:val="00404EFC"/>
    <w:rsid w:val="00406247"/>
    <w:rsid w:val="004064DF"/>
    <w:rsid w:val="004064F9"/>
    <w:rsid w:val="004072BB"/>
    <w:rsid w:val="004072EC"/>
    <w:rsid w:val="00410FE9"/>
    <w:rsid w:val="004110EC"/>
    <w:rsid w:val="0041114D"/>
    <w:rsid w:val="00411808"/>
    <w:rsid w:val="00412332"/>
    <w:rsid w:val="004124A3"/>
    <w:rsid w:val="00412B62"/>
    <w:rsid w:val="004130D2"/>
    <w:rsid w:val="004131ED"/>
    <w:rsid w:val="00413A99"/>
    <w:rsid w:val="00413B38"/>
    <w:rsid w:val="00413C5E"/>
    <w:rsid w:val="004143D6"/>
    <w:rsid w:val="00414465"/>
    <w:rsid w:val="00414956"/>
    <w:rsid w:val="00414CB1"/>
    <w:rsid w:val="00414D82"/>
    <w:rsid w:val="0041599B"/>
    <w:rsid w:val="00415B9E"/>
    <w:rsid w:val="004160F7"/>
    <w:rsid w:val="004162EE"/>
    <w:rsid w:val="00417C8A"/>
    <w:rsid w:val="004207BE"/>
    <w:rsid w:val="00420A3A"/>
    <w:rsid w:val="00420D27"/>
    <w:rsid w:val="00420D50"/>
    <w:rsid w:val="00421D5E"/>
    <w:rsid w:val="00421F41"/>
    <w:rsid w:val="0042220C"/>
    <w:rsid w:val="00422B36"/>
    <w:rsid w:val="00422F85"/>
    <w:rsid w:val="00423D91"/>
    <w:rsid w:val="00424392"/>
    <w:rsid w:val="004245F3"/>
    <w:rsid w:val="00424A55"/>
    <w:rsid w:val="00424A68"/>
    <w:rsid w:val="00424B94"/>
    <w:rsid w:val="004251E1"/>
    <w:rsid w:val="00425A64"/>
    <w:rsid w:val="00425E4A"/>
    <w:rsid w:val="00426ED9"/>
    <w:rsid w:val="00427035"/>
    <w:rsid w:val="00427077"/>
    <w:rsid w:val="004274D1"/>
    <w:rsid w:val="0043062F"/>
    <w:rsid w:val="00430CDF"/>
    <w:rsid w:val="004317F9"/>
    <w:rsid w:val="00431CF4"/>
    <w:rsid w:val="00431E0F"/>
    <w:rsid w:val="004321BB"/>
    <w:rsid w:val="004323F0"/>
    <w:rsid w:val="00433020"/>
    <w:rsid w:val="0043308E"/>
    <w:rsid w:val="00433210"/>
    <w:rsid w:val="00433284"/>
    <w:rsid w:val="0043341A"/>
    <w:rsid w:val="0043356D"/>
    <w:rsid w:val="004336B3"/>
    <w:rsid w:val="00433B14"/>
    <w:rsid w:val="00433D43"/>
    <w:rsid w:val="00434121"/>
    <w:rsid w:val="00434838"/>
    <w:rsid w:val="00434FC2"/>
    <w:rsid w:val="00435326"/>
    <w:rsid w:val="004357D2"/>
    <w:rsid w:val="0043661D"/>
    <w:rsid w:val="004402AC"/>
    <w:rsid w:val="00440561"/>
    <w:rsid w:val="00440739"/>
    <w:rsid w:val="00440D50"/>
    <w:rsid w:val="00441C62"/>
    <w:rsid w:val="00442628"/>
    <w:rsid w:val="00442A50"/>
    <w:rsid w:val="00442B8C"/>
    <w:rsid w:val="0044303D"/>
    <w:rsid w:val="00444428"/>
    <w:rsid w:val="00444A5D"/>
    <w:rsid w:val="00444DD4"/>
    <w:rsid w:val="00444DE2"/>
    <w:rsid w:val="00446161"/>
    <w:rsid w:val="00446B49"/>
    <w:rsid w:val="00446D79"/>
    <w:rsid w:val="00447647"/>
    <w:rsid w:val="004477ED"/>
    <w:rsid w:val="004477F6"/>
    <w:rsid w:val="004502F7"/>
    <w:rsid w:val="00450611"/>
    <w:rsid w:val="00450B93"/>
    <w:rsid w:val="00451035"/>
    <w:rsid w:val="004510A7"/>
    <w:rsid w:val="004511DD"/>
    <w:rsid w:val="004515B2"/>
    <w:rsid w:val="00452621"/>
    <w:rsid w:val="00452A4B"/>
    <w:rsid w:val="00452FED"/>
    <w:rsid w:val="004532F1"/>
    <w:rsid w:val="00453D6E"/>
    <w:rsid w:val="004545F8"/>
    <w:rsid w:val="00454A4D"/>
    <w:rsid w:val="00455201"/>
    <w:rsid w:val="00455619"/>
    <w:rsid w:val="00455B2A"/>
    <w:rsid w:val="004561B7"/>
    <w:rsid w:val="004566C1"/>
    <w:rsid w:val="00456B79"/>
    <w:rsid w:val="00456F09"/>
    <w:rsid w:val="00457639"/>
    <w:rsid w:val="004577D7"/>
    <w:rsid w:val="004578F6"/>
    <w:rsid w:val="00457AEB"/>
    <w:rsid w:val="0046012A"/>
    <w:rsid w:val="004614CE"/>
    <w:rsid w:val="00461C98"/>
    <w:rsid w:val="00463231"/>
    <w:rsid w:val="004637AF"/>
    <w:rsid w:val="00463A0E"/>
    <w:rsid w:val="004642E9"/>
    <w:rsid w:val="0046474C"/>
    <w:rsid w:val="00464811"/>
    <w:rsid w:val="004648B2"/>
    <w:rsid w:val="004649A4"/>
    <w:rsid w:val="004649FF"/>
    <w:rsid w:val="00464CD2"/>
    <w:rsid w:val="00465321"/>
    <w:rsid w:val="0046569C"/>
    <w:rsid w:val="00465CA9"/>
    <w:rsid w:val="004662DE"/>
    <w:rsid w:val="00466345"/>
    <w:rsid w:val="00466759"/>
    <w:rsid w:val="00467232"/>
    <w:rsid w:val="004674F6"/>
    <w:rsid w:val="00467F85"/>
    <w:rsid w:val="0047063C"/>
    <w:rsid w:val="00470817"/>
    <w:rsid w:val="0047082D"/>
    <w:rsid w:val="00470998"/>
    <w:rsid w:val="004711CF"/>
    <w:rsid w:val="004713CD"/>
    <w:rsid w:val="00471F6C"/>
    <w:rsid w:val="00472718"/>
    <w:rsid w:val="00472A8B"/>
    <w:rsid w:val="00472C52"/>
    <w:rsid w:val="00472EBB"/>
    <w:rsid w:val="004733B2"/>
    <w:rsid w:val="00473F8A"/>
    <w:rsid w:val="00474596"/>
    <w:rsid w:val="00474A26"/>
    <w:rsid w:val="00474AF3"/>
    <w:rsid w:val="004754D2"/>
    <w:rsid w:val="0047560C"/>
    <w:rsid w:val="00475B5D"/>
    <w:rsid w:val="00476252"/>
    <w:rsid w:val="00476895"/>
    <w:rsid w:val="00476BC4"/>
    <w:rsid w:val="00476F6E"/>
    <w:rsid w:val="004773DD"/>
    <w:rsid w:val="0047799D"/>
    <w:rsid w:val="0048003E"/>
    <w:rsid w:val="00480171"/>
    <w:rsid w:val="00480760"/>
    <w:rsid w:val="00480766"/>
    <w:rsid w:val="00481316"/>
    <w:rsid w:val="00481561"/>
    <w:rsid w:val="004815DD"/>
    <w:rsid w:val="00481972"/>
    <w:rsid w:val="00481EEA"/>
    <w:rsid w:val="00482389"/>
    <w:rsid w:val="004826E0"/>
    <w:rsid w:val="0048331B"/>
    <w:rsid w:val="004834D9"/>
    <w:rsid w:val="004835BB"/>
    <w:rsid w:val="00483737"/>
    <w:rsid w:val="004838AB"/>
    <w:rsid w:val="00483C27"/>
    <w:rsid w:val="00483EA2"/>
    <w:rsid w:val="00483FB9"/>
    <w:rsid w:val="00484451"/>
    <w:rsid w:val="004844B1"/>
    <w:rsid w:val="00485112"/>
    <w:rsid w:val="0048531B"/>
    <w:rsid w:val="00485512"/>
    <w:rsid w:val="004855C4"/>
    <w:rsid w:val="00485AA8"/>
    <w:rsid w:val="00486046"/>
    <w:rsid w:val="00486203"/>
    <w:rsid w:val="0048626D"/>
    <w:rsid w:val="0048650F"/>
    <w:rsid w:val="004866AB"/>
    <w:rsid w:val="00486E34"/>
    <w:rsid w:val="004874A9"/>
    <w:rsid w:val="00490A00"/>
    <w:rsid w:val="00490CD7"/>
    <w:rsid w:val="004915DA"/>
    <w:rsid w:val="00491603"/>
    <w:rsid w:val="00491780"/>
    <w:rsid w:val="00491A13"/>
    <w:rsid w:val="00491BBF"/>
    <w:rsid w:val="004920D3"/>
    <w:rsid w:val="00492930"/>
    <w:rsid w:val="00492B84"/>
    <w:rsid w:val="00493117"/>
    <w:rsid w:val="004934D5"/>
    <w:rsid w:val="0049359D"/>
    <w:rsid w:val="0049360B"/>
    <w:rsid w:val="00493942"/>
    <w:rsid w:val="00494706"/>
    <w:rsid w:val="00494C68"/>
    <w:rsid w:val="00495745"/>
    <w:rsid w:val="004959E1"/>
    <w:rsid w:val="00495A64"/>
    <w:rsid w:val="00495F59"/>
    <w:rsid w:val="00496CAA"/>
    <w:rsid w:val="00496FC7"/>
    <w:rsid w:val="00497414"/>
    <w:rsid w:val="004977F9"/>
    <w:rsid w:val="004A03DD"/>
    <w:rsid w:val="004A07C6"/>
    <w:rsid w:val="004A07F8"/>
    <w:rsid w:val="004A0977"/>
    <w:rsid w:val="004A0D18"/>
    <w:rsid w:val="004A1270"/>
    <w:rsid w:val="004A1535"/>
    <w:rsid w:val="004A1537"/>
    <w:rsid w:val="004A1A42"/>
    <w:rsid w:val="004A20C8"/>
    <w:rsid w:val="004A23AF"/>
    <w:rsid w:val="004A24EE"/>
    <w:rsid w:val="004A2682"/>
    <w:rsid w:val="004A280B"/>
    <w:rsid w:val="004A2CD6"/>
    <w:rsid w:val="004A2E34"/>
    <w:rsid w:val="004A30F5"/>
    <w:rsid w:val="004A4AB4"/>
    <w:rsid w:val="004A4D5E"/>
    <w:rsid w:val="004A5A08"/>
    <w:rsid w:val="004A5A4F"/>
    <w:rsid w:val="004A5BB5"/>
    <w:rsid w:val="004A5EAA"/>
    <w:rsid w:val="004A5F9C"/>
    <w:rsid w:val="004A62B1"/>
    <w:rsid w:val="004A63FD"/>
    <w:rsid w:val="004A689C"/>
    <w:rsid w:val="004A6A44"/>
    <w:rsid w:val="004A6AA5"/>
    <w:rsid w:val="004A6EC5"/>
    <w:rsid w:val="004A7AD3"/>
    <w:rsid w:val="004A7F74"/>
    <w:rsid w:val="004B03C9"/>
    <w:rsid w:val="004B0439"/>
    <w:rsid w:val="004B06D6"/>
    <w:rsid w:val="004B1C77"/>
    <w:rsid w:val="004B1EB7"/>
    <w:rsid w:val="004B2DEA"/>
    <w:rsid w:val="004B2E17"/>
    <w:rsid w:val="004B2F04"/>
    <w:rsid w:val="004B486D"/>
    <w:rsid w:val="004B48E3"/>
    <w:rsid w:val="004B536A"/>
    <w:rsid w:val="004B5407"/>
    <w:rsid w:val="004B59F4"/>
    <w:rsid w:val="004B5C4D"/>
    <w:rsid w:val="004B60CB"/>
    <w:rsid w:val="004B6979"/>
    <w:rsid w:val="004B6A7A"/>
    <w:rsid w:val="004B6AF2"/>
    <w:rsid w:val="004B6F8C"/>
    <w:rsid w:val="004B73D6"/>
    <w:rsid w:val="004B76C0"/>
    <w:rsid w:val="004B7AB7"/>
    <w:rsid w:val="004C0366"/>
    <w:rsid w:val="004C0695"/>
    <w:rsid w:val="004C0742"/>
    <w:rsid w:val="004C0B41"/>
    <w:rsid w:val="004C0C71"/>
    <w:rsid w:val="004C0CD6"/>
    <w:rsid w:val="004C0D40"/>
    <w:rsid w:val="004C18D6"/>
    <w:rsid w:val="004C19EC"/>
    <w:rsid w:val="004C2154"/>
    <w:rsid w:val="004C28A5"/>
    <w:rsid w:val="004C2AE1"/>
    <w:rsid w:val="004C32B8"/>
    <w:rsid w:val="004C44A4"/>
    <w:rsid w:val="004C4633"/>
    <w:rsid w:val="004C4F0F"/>
    <w:rsid w:val="004C59E0"/>
    <w:rsid w:val="004C6B21"/>
    <w:rsid w:val="004C745A"/>
    <w:rsid w:val="004C74E4"/>
    <w:rsid w:val="004C755B"/>
    <w:rsid w:val="004C77BE"/>
    <w:rsid w:val="004C794C"/>
    <w:rsid w:val="004C7CCD"/>
    <w:rsid w:val="004D0136"/>
    <w:rsid w:val="004D026C"/>
    <w:rsid w:val="004D0609"/>
    <w:rsid w:val="004D1CD1"/>
    <w:rsid w:val="004D20A4"/>
    <w:rsid w:val="004D315F"/>
    <w:rsid w:val="004D3179"/>
    <w:rsid w:val="004D3640"/>
    <w:rsid w:val="004D3A38"/>
    <w:rsid w:val="004D3BF8"/>
    <w:rsid w:val="004D4693"/>
    <w:rsid w:val="004D51E0"/>
    <w:rsid w:val="004D5215"/>
    <w:rsid w:val="004D5852"/>
    <w:rsid w:val="004D5895"/>
    <w:rsid w:val="004D5A3A"/>
    <w:rsid w:val="004D6266"/>
    <w:rsid w:val="004D6456"/>
    <w:rsid w:val="004D6774"/>
    <w:rsid w:val="004D6DC1"/>
    <w:rsid w:val="004D6E16"/>
    <w:rsid w:val="004D6FA6"/>
    <w:rsid w:val="004E014F"/>
    <w:rsid w:val="004E0E21"/>
    <w:rsid w:val="004E0FA0"/>
    <w:rsid w:val="004E12AA"/>
    <w:rsid w:val="004E1F2B"/>
    <w:rsid w:val="004E220B"/>
    <w:rsid w:val="004E3384"/>
    <w:rsid w:val="004E3BB5"/>
    <w:rsid w:val="004E3EE8"/>
    <w:rsid w:val="004E43B0"/>
    <w:rsid w:val="004E4457"/>
    <w:rsid w:val="004E4B3D"/>
    <w:rsid w:val="004E4E15"/>
    <w:rsid w:val="004E4F96"/>
    <w:rsid w:val="004E5137"/>
    <w:rsid w:val="004E5EDE"/>
    <w:rsid w:val="004E691F"/>
    <w:rsid w:val="004E7331"/>
    <w:rsid w:val="004E7A6E"/>
    <w:rsid w:val="004E7CDC"/>
    <w:rsid w:val="004E7DC1"/>
    <w:rsid w:val="004E7EB3"/>
    <w:rsid w:val="004F01E4"/>
    <w:rsid w:val="004F05F9"/>
    <w:rsid w:val="004F0976"/>
    <w:rsid w:val="004F0A72"/>
    <w:rsid w:val="004F0D0C"/>
    <w:rsid w:val="004F1916"/>
    <w:rsid w:val="004F2623"/>
    <w:rsid w:val="004F2654"/>
    <w:rsid w:val="004F3138"/>
    <w:rsid w:val="004F337C"/>
    <w:rsid w:val="004F3846"/>
    <w:rsid w:val="004F3CEE"/>
    <w:rsid w:val="004F401E"/>
    <w:rsid w:val="004F41CB"/>
    <w:rsid w:val="004F462E"/>
    <w:rsid w:val="004F5A1E"/>
    <w:rsid w:val="004F7198"/>
    <w:rsid w:val="004F75DF"/>
    <w:rsid w:val="0050015A"/>
    <w:rsid w:val="00500349"/>
    <w:rsid w:val="00500C30"/>
    <w:rsid w:val="00501163"/>
    <w:rsid w:val="0050177B"/>
    <w:rsid w:val="00501866"/>
    <w:rsid w:val="00501896"/>
    <w:rsid w:val="0050194E"/>
    <w:rsid w:val="00501D29"/>
    <w:rsid w:val="00502249"/>
    <w:rsid w:val="00502792"/>
    <w:rsid w:val="00502D3A"/>
    <w:rsid w:val="005035E6"/>
    <w:rsid w:val="00503C42"/>
    <w:rsid w:val="00504002"/>
    <w:rsid w:val="00504796"/>
    <w:rsid w:val="00504C35"/>
    <w:rsid w:val="0050559C"/>
    <w:rsid w:val="00506722"/>
    <w:rsid w:val="00506D5E"/>
    <w:rsid w:val="00506D99"/>
    <w:rsid w:val="00506DCC"/>
    <w:rsid w:val="005076ED"/>
    <w:rsid w:val="0050797F"/>
    <w:rsid w:val="00510CA1"/>
    <w:rsid w:val="00511458"/>
    <w:rsid w:val="005119A4"/>
    <w:rsid w:val="00511F98"/>
    <w:rsid w:val="00512175"/>
    <w:rsid w:val="00512CF2"/>
    <w:rsid w:val="00512DAB"/>
    <w:rsid w:val="00513B20"/>
    <w:rsid w:val="0051474A"/>
    <w:rsid w:val="00515399"/>
    <w:rsid w:val="0051546E"/>
    <w:rsid w:val="00515722"/>
    <w:rsid w:val="00515F64"/>
    <w:rsid w:val="00516235"/>
    <w:rsid w:val="0051684F"/>
    <w:rsid w:val="00516D74"/>
    <w:rsid w:val="00517766"/>
    <w:rsid w:val="00520001"/>
    <w:rsid w:val="005202DE"/>
    <w:rsid w:val="00520483"/>
    <w:rsid w:val="005209E2"/>
    <w:rsid w:val="00520D65"/>
    <w:rsid w:val="00520E95"/>
    <w:rsid w:val="005219E1"/>
    <w:rsid w:val="00521B2D"/>
    <w:rsid w:val="00521B5D"/>
    <w:rsid w:val="00521C7A"/>
    <w:rsid w:val="0052247B"/>
    <w:rsid w:val="00522597"/>
    <w:rsid w:val="00522F1C"/>
    <w:rsid w:val="00523EA3"/>
    <w:rsid w:val="005243F7"/>
    <w:rsid w:val="005247F0"/>
    <w:rsid w:val="00524A9C"/>
    <w:rsid w:val="00526113"/>
    <w:rsid w:val="00526F50"/>
    <w:rsid w:val="00527A2C"/>
    <w:rsid w:val="00527BF5"/>
    <w:rsid w:val="005300AF"/>
    <w:rsid w:val="005304FE"/>
    <w:rsid w:val="005307AF"/>
    <w:rsid w:val="00530C89"/>
    <w:rsid w:val="0053143C"/>
    <w:rsid w:val="0053165E"/>
    <w:rsid w:val="0053198F"/>
    <w:rsid w:val="00531A48"/>
    <w:rsid w:val="00531E6D"/>
    <w:rsid w:val="00533311"/>
    <w:rsid w:val="005338A2"/>
    <w:rsid w:val="005338D4"/>
    <w:rsid w:val="0053448C"/>
    <w:rsid w:val="005349A0"/>
    <w:rsid w:val="005356A3"/>
    <w:rsid w:val="00535730"/>
    <w:rsid w:val="00535923"/>
    <w:rsid w:val="00536134"/>
    <w:rsid w:val="005364F0"/>
    <w:rsid w:val="00536AE6"/>
    <w:rsid w:val="00537AC7"/>
    <w:rsid w:val="00537CA0"/>
    <w:rsid w:val="00540069"/>
    <w:rsid w:val="00540526"/>
    <w:rsid w:val="005408DB"/>
    <w:rsid w:val="00540962"/>
    <w:rsid w:val="00540BC4"/>
    <w:rsid w:val="00540DD5"/>
    <w:rsid w:val="0054101B"/>
    <w:rsid w:val="0054112C"/>
    <w:rsid w:val="005412FA"/>
    <w:rsid w:val="005418CB"/>
    <w:rsid w:val="00541A24"/>
    <w:rsid w:val="00541EC2"/>
    <w:rsid w:val="00542487"/>
    <w:rsid w:val="00542638"/>
    <w:rsid w:val="005428C4"/>
    <w:rsid w:val="00542C42"/>
    <w:rsid w:val="00543055"/>
    <w:rsid w:val="005431F3"/>
    <w:rsid w:val="00543A8E"/>
    <w:rsid w:val="0054484A"/>
    <w:rsid w:val="00544A64"/>
    <w:rsid w:val="00544E36"/>
    <w:rsid w:val="00545429"/>
    <w:rsid w:val="005454D4"/>
    <w:rsid w:val="00545BB8"/>
    <w:rsid w:val="005467DD"/>
    <w:rsid w:val="0054689B"/>
    <w:rsid w:val="00546D8E"/>
    <w:rsid w:val="00546DA7"/>
    <w:rsid w:val="00546F2A"/>
    <w:rsid w:val="00547573"/>
    <w:rsid w:val="00547E58"/>
    <w:rsid w:val="00550866"/>
    <w:rsid w:val="00550ABA"/>
    <w:rsid w:val="005511EB"/>
    <w:rsid w:val="00551A66"/>
    <w:rsid w:val="00551EC4"/>
    <w:rsid w:val="00552287"/>
    <w:rsid w:val="0055251C"/>
    <w:rsid w:val="005528E0"/>
    <w:rsid w:val="005540A0"/>
    <w:rsid w:val="00554D79"/>
    <w:rsid w:val="0055527E"/>
    <w:rsid w:val="00555B00"/>
    <w:rsid w:val="00556167"/>
    <w:rsid w:val="0055651F"/>
    <w:rsid w:val="0055665E"/>
    <w:rsid w:val="00556F8F"/>
    <w:rsid w:val="0055744C"/>
    <w:rsid w:val="00557526"/>
    <w:rsid w:val="00557768"/>
    <w:rsid w:val="0056023D"/>
    <w:rsid w:val="0056057C"/>
    <w:rsid w:val="00561838"/>
    <w:rsid w:val="00561D2C"/>
    <w:rsid w:val="00561F4A"/>
    <w:rsid w:val="00562341"/>
    <w:rsid w:val="00563256"/>
    <w:rsid w:val="005638B7"/>
    <w:rsid w:val="00563EFA"/>
    <w:rsid w:val="0056403A"/>
    <w:rsid w:val="00564D63"/>
    <w:rsid w:val="0056518A"/>
    <w:rsid w:val="00565951"/>
    <w:rsid w:val="00565D0C"/>
    <w:rsid w:val="005662A1"/>
    <w:rsid w:val="00566FA7"/>
    <w:rsid w:val="005674D6"/>
    <w:rsid w:val="0056757D"/>
    <w:rsid w:val="00567796"/>
    <w:rsid w:val="00567B33"/>
    <w:rsid w:val="005701A1"/>
    <w:rsid w:val="005704AF"/>
    <w:rsid w:val="005705D1"/>
    <w:rsid w:val="00570B0C"/>
    <w:rsid w:val="005715F9"/>
    <w:rsid w:val="00572502"/>
    <w:rsid w:val="00572F5B"/>
    <w:rsid w:val="0057387C"/>
    <w:rsid w:val="00573FDE"/>
    <w:rsid w:val="0057407A"/>
    <w:rsid w:val="00574765"/>
    <w:rsid w:val="00575578"/>
    <w:rsid w:val="0057571D"/>
    <w:rsid w:val="00575A17"/>
    <w:rsid w:val="00575A21"/>
    <w:rsid w:val="00576DE4"/>
    <w:rsid w:val="005777A1"/>
    <w:rsid w:val="00577922"/>
    <w:rsid w:val="005802C4"/>
    <w:rsid w:val="00581F5D"/>
    <w:rsid w:val="00583F43"/>
    <w:rsid w:val="00584432"/>
    <w:rsid w:val="00584721"/>
    <w:rsid w:val="00585F71"/>
    <w:rsid w:val="0058694D"/>
    <w:rsid w:val="00586C08"/>
    <w:rsid w:val="00587018"/>
    <w:rsid w:val="00587090"/>
    <w:rsid w:val="005874B5"/>
    <w:rsid w:val="00587950"/>
    <w:rsid w:val="00587ABE"/>
    <w:rsid w:val="005907FF"/>
    <w:rsid w:val="00590932"/>
    <w:rsid w:val="00590F25"/>
    <w:rsid w:val="005913FE"/>
    <w:rsid w:val="00591E9F"/>
    <w:rsid w:val="005923F3"/>
    <w:rsid w:val="005929B9"/>
    <w:rsid w:val="005929EB"/>
    <w:rsid w:val="00592C59"/>
    <w:rsid w:val="0059324A"/>
    <w:rsid w:val="005934A2"/>
    <w:rsid w:val="0059384F"/>
    <w:rsid w:val="00593B20"/>
    <w:rsid w:val="00593DC3"/>
    <w:rsid w:val="00593E66"/>
    <w:rsid w:val="005946F5"/>
    <w:rsid w:val="00594BB2"/>
    <w:rsid w:val="00594CD9"/>
    <w:rsid w:val="00594E01"/>
    <w:rsid w:val="005953CE"/>
    <w:rsid w:val="00595610"/>
    <w:rsid w:val="00595847"/>
    <w:rsid w:val="00595B60"/>
    <w:rsid w:val="00595CFF"/>
    <w:rsid w:val="00595FC5"/>
    <w:rsid w:val="0059766C"/>
    <w:rsid w:val="00597B4F"/>
    <w:rsid w:val="00597D37"/>
    <w:rsid w:val="00597D52"/>
    <w:rsid w:val="00597F65"/>
    <w:rsid w:val="005A031B"/>
    <w:rsid w:val="005A203B"/>
    <w:rsid w:val="005A20C9"/>
    <w:rsid w:val="005A22DC"/>
    <w:rsid w:val="005A2FBB"/>
    <w:rsid w:val="005A307E"/>
    <w:rsid w:val="005A3457"/>
    <w:rsid w:val="005A397A"/>
    <w:rsid w:val="005A39C2"/>
    <w:rsid w:val="005A3DAB"/>
    <w:rsid w:val="005A4C7F"/>
    <w:rsid w:val="005A4DDE"/>
    <w:rsid w:val="005A567D"/>
    <w:rsid w:val="005A59CF"/>
    <w:rsid w:val="005A5A50"/>
    <w:rsid w:val="005A5BAF"/>
    <w:rsid w:val="005A6063"/>
    <w:rsid w:val="005A644B"/>
    <w:rsid w:val="005A66DA"/>
    <w:rsid w:val="005A6B8F"/>
    <w:rsid w:val="005A7155"/>
    <w:rsid w:val="005A77C3"/>
    <w:rsid w:val="005B0466"/>
    <w:rsid w:val="005B087E"/>
    <w:rsid w:val="005B0C9A"/>
    <w:rsid w:val="005B0E6B"/>
    <w:rsid w:val="005B1164"/>
    <w:rsid w:val="005B11D6"/>
    <w:rsid w:val="005B15FC"/>
    <w:rsid w:val="005B1802"/>
    <w:rsid w:val="005B29D0"/>
    <w:rsid w:val="005B3218"/>
    <w:rsid w:val="005B3C2D"/>
    <w:rsid w:val="005B3F59"/>
    <w:rsid w:val="005B4C6B"/>
    <w:rsid w:val="005B4D90"/>
    <w:rsid w:val="005B55B9"/>
    <w:rsid w:val="005B5D02"/>
    <w:rsid w:val="005B6A87"/>
    <w:rsid w:val="005B7185"/>
    <w:rsid w:val="005B74D3"/>
    <w:rsid w:val="005B7B3B"/>
    <w:rsid w:val="005B7D43"/>
    <w:rsid w:val="005B7F2A"/>
    <w:rsid w:val="005C046F"/>
    <w:rsid w:val="005C078A"/>
    <w:rsid w:val="005C0B8D"/>
    <w:rsid w:val="005C1230"/>
    <w:rsid w:val="005C1837"/>
    <w:rsid w:val="005C1C6F"/>
    <w:rsid w:val="005C25D4"/>
    <w:rsid w:val="005C2F16"/>
    <w:rsid w:val="005C33FF"/>
    <w:rsid w:val="005C3EAB"/>
    <w:rsid w:val="005C40B3"/>
    <w:rsid w:val="005C40D7"/>
    <w:rsid w:val="005C46B2"/>
    <w:rsid w:val="005C47E5"/>
    <w:rsid w:val="005C48EA"/>
    <w:rsid w:val="005C545E"/>
    <w:rsid w:val="005C54F0"/>
    <w:rsid w:val="005C5CCA"/>
    <w:rsid w:val="005C5FC6"/>
    <w:rsid w:val="005C6380"/>
    <w:rsid w:val="005C6611"/>
    <w:rsid w:val="005C6B36"/>
    <w:rsid w:val="005C709A"/>
    <w:rsid w:val="005C7963"/>
    <w:rsid w:val="005D0474"/>
    <w:rsid w:val="005D0532"/>
    <w:rsid w:val="005D07D4"/>
    <w:rsid w:val="005D0C31"/>
    <w:rsid w:val="005D14ED"/>
    <w:rsid w:val="005D16F6"/>
    <w:rsid w:val="005D1B71"/>
    <w:rsid w:val="005D23FE"/>
    <w:rsid w:val="005D3117"/>
    <w:rsid w:val="005D371E"/>
    <w:rsid w:val="005D3BC9"/>
    <w:rsid w:val="005D4251"/>
    <w:rsid w:val="005D4268"/>
    <w:rsid w:val="005D491B"/>
    <w:rsid w:val="005D586E"/>
    <w:rsid w:val="005D5939"/>
    <w:rsid w:val="005D5F4D"/>
    <w:rsid w:val="005D5FE0"/>
    <w:rsid w:val="005D6810"/>
    <w:rsid w:val="005D6F95"/>
    <w:rsid w:val="005D7222"/>
    <w:rsid w:val="005D7AB0"/>
    <w:rsid w:val="005D7F6B"/>
    <w:rsid w:val="005E01F6"/>
    <w:rsid w:val="005E07FC"/>
    <w:rsid w:val="005E14C1"/>
    <w:rsid w:val="005E157E"/>
    <w:rsid w:val="005E1EBC"/>
    <w:rsid w:val="005E265F"/>
    <w:rsid w:val="005E2A82"/>
    <w:rsid w:val="005E2DB7"/>
    <w:rsid w:val="005E3282"/>
    <w:rsid w:val="005E3814"/>
    <w:rsid w:val="005E38BE"/>
    <w:rsid w:val="005E4616"/>
    <w:rsid w:val="005E4C45"/>
    <w:rsid w:val="005E4E34"/>
    <w:rsid w:val="005E4F50"/>
    <w:rsid w:val="005E6082"/>
    <w:rsid w:val="005E6463"/>
    <w:rsid w:val="005E7181"/>
    <w:rsid w:val="005E7374"/>
    <w:rsid w:val="005F01B9"/>
    <w:rsid w:val="005F096B"/>
    <w:rsid w:val="005F0C23"/>
    <w:rsid w:val="005F0CD7"/>
    <w:rsid w:val="005F0F0F"/>
    <w:rsid w:val="005F0F18"/>
    <w:rsid w:val="005F128C"/>
    <w:rsid w:val="005F1CBE"/>
    <w:rsid w:val="005F277D"/>
    <w:rsid w:val="005F2C64"/>
    <w:rsid w:val="005F2CFA"/>
    <w:rsid w:val="005F2D8A"/>
    <w:rsid w:val="005F42DA"/>
    <w:rsid w:val="005F459C"/>
    <w:rsid w:val="005F5073"/>
    <w:rsid w:val="005F530F"/>
    <w:rsid w:val="005F638B"/>
    <w:rsid w:val="005F666C"/>
    <w:rsid w:val="005F697F"/>
    <w:rsid w:val="005F6AF2"/>
    <w:rsid w:val="005F6D50"/>
    <w:rsid w:val="005F7178"/>
    <w:rsid w:val="005F7562"/>
    <w:rsid w:val="00600314"/>
    <w:rsid w:val="00601214"/>
    <w:rsid w:val="00601461"/>
    <w:rsid w:val="006015B0"/>
    <w:rsid w:val="00601FC3"/>
    <w:rsid w:val="00602876"/>
    <w:rsid w:val="006033A2"/>
    <w:rsid w:val="006035AF"/>
    <w:rsid w:val="006037C4"/>
    <w:rsid w:val="00604147"/>
    <w:rsid w:val="0060488E"/>
    <w:rsid w:val="0060490E"/>
    <w:rsid w:val="00604CDE"/>
    <w:rsid w:val="00605080"/>
    <w:rsid w:val="0060571F"/>
    <w:rsid w:val="0060588D"/>
    <w:rsid w:val="00605C4B"/>
    <w:rsid w:val="0060608D"/>
    <w:rsid w:val="006065B5"/>
    <w:rsid w:val="00606D0E"/>
    <w:rsid w:val="006076EB"/>
    <w:rsid w:val="00610126"/>
    <w:rsid w:val="00610330"/>
    <w:rsid w:val="0061039C"/>
    <w:rsid w:val="006104D9"/>
    <w:rsid w:val="00610788"/>
    <w:rsid w:val="00610E83"/>
    <w:rsid w:val="0061105A"/>
    <w:rsid w:val="0061174C"/>
    <w:rsid w:val="00611B2E"/>
    <w:rsid w:val="00611C4E"/>
    <w:rsid w:val="00611EC4"/>
    <w:rsid w:val="00612086"/>
    <w:rsid w:val="0061219A"/>
    <w:rsid w:val="00612832"/>
    <w:rsid w:val="00612D7E"/>
    <w:rsid w:val="006130C0"/>
    <w:rsid w:val="00613B7A"/>
    <w:rsid w:val="00613F5D"/>
    <w:rsid w:val="00614149"/>
    <w:rsid w:val="00614D23"/>
    <w:rsid w:val="00614D29"/>
    <w:rsid w:val="00614D6E"/>
    <w:rsid w:val="00614DA8"/>
    <w:rsid w:val="006153BC"/>
    <w:rsid w:val="006155DE"/>
    <w:rsid w:val="006165DA"/>
    <w:rsid w:val="00616EDA"/>
    <w:rsid w:val="0061719B"/>
    <w:rsid w:val="00617ED4"/>
    <w:rsid w:val="00617F15"/>
    <w:rsid w:val="00617F71"/>
    <w:rsid w:val="006204B7"/>
    <w:rsid w:val="0062071D"/>
    <w:rsid w:val="00621151"/>
    <w:rsid w:val="00621252"/>
    <w:rsid w:val="00621717"/>
    <w:rsid w:val="00621E9B"/>
    <w:rsid w:val="00621F6F"/>
    <w:rsid w:val="00621FFF"/>
    <w:rsid w:val="00622070"/>
    <w:rsid w:val="0062233E"/>
    <w:rsid w:val="00622A3B"/>
    <w:rsid w:val="00622AB0"/>
    <w:rsid w:val="00622B79"/>
    <w:rsid w:val="00623CA1"/>
    <w:rsid w:val="00623E79"/>
    <w:rsid w:val="00623EA6"/>
    <w:rsid w:val="00623EC4"/>
    <w:rsid w:val="006242A4"/>
    <w:rsid w:val="006242FD"/>
    <w:rsid w:val="00624985"/>
    <w:rsid w:val="0062531C"/>
    <w:rsid w:val="00625BB9"/>
    <w:rsid w:val="00625BE4"/>
    <w:rsid w:val="00626369"/>
    <w:rsid w:val="00626C6F"/>
    <w:rsid w:val="00626E76"/>
    <w:rsid w:val="006270A6"/>
    <w:rsid w:val="006272D2"/>
    <w:rsid w:val="0062748A"/>
    <w:rsid w:val="00627A9C"/>
    <w:rsid w:val="00627C3B"/>
    <w:rsid w:val="00627E36"/>
    <w:rsid w:val="0063004F"/>
    <w:rsid w:val="00630357"/>
    <w:rsid w:val="00630392"/>
    <w:rsid w:val="00630D43"/>
    <w:rsid w:val="00630D52"/>
    <w:rsid w:val="006310FE"/>
    <w:rsid w:val="00631139"/>
    <w:rsid w:val="006314B4"/>
    <w:rsid w:val="006315AC"/>
    <w:rsid w:val="00631EFD"/>
    <w:rsid w:val="00633130"/>
    <w:rsid w:val="00633423"/>
    <w:rsid w:val="006337CF"/>
    <w:rsid w:val="00634168"/>
    <w:rsid w:val="0063439D"/>
    <w:rsid w:val="00634BFD"/>
    <w:rsid w:val="00634C05"/>
    <w:rsid w:val="00634D29"/>
    <w:rsid w:val="00635635"/>
    <w:rsid w:val="0063590D"/>
    <w:rsid w:val="00635B8F"/>
    <w:rsid w:val="00635F65"/>
    <w:rsid w:val="00636502"/>
    <w:rsid w:val="00636611"/>
    <w:rsid w:val="00636965"/>
    <w:rsid w:val="00636A02"/>
    <w:rsid w:val="00636CED"/>
    <w:rsid w:val="006374F4"/>
    <w:rsid w:val="006375E2"/>
    <w:rsid w:val="00637A29"/>
    <w:rsid w:val="006406E2"/>
    <w:rsid w:val="00641231"/>
    <w:rsid w:val="006412D4"/>
    <w:rsid w:val="00641544"/>
    <w:rsid w:val="00641583"/>
    <w:rsid w:val="00641BD1"/>
    <w:rsid w:val="006423A9"/>
    <w:rsid w:val="006427DF"/>
    <w:rsid w:val="0064286C"/>
    <w:rsid w:val="00642AC4"/>
    <w:rsid w:val="0064349D"/>
    <w:rsid w:val="00643A3E"/>
    <w:rsid w:val="00643C46"/>
    <w:rsid w:val="0064445D"/>
    <w:rsid w:val="0064466C"/>
    <w:rsid w:val="00644676"/>
    <w:rsid w:val="006448C2"/>
    <w:rsid w:val="00644BB8"/>
    <w:rsid w:val="00645A2C"/>
    <w:rsid w:val="0064678C"/>
    <w:rsid w:val="00646998"/>
    <w:rsid w:val="00646AB2"/>
    <w:rsid w:val="00646B46"/>
    <w:rsid w:val="00647281"/>
    <w:rsid w:val="006478B5"/>
    <w:rsid w:val="00647E2A"/>
    <w:rsid w:val="00650CF7"/>
    <w:rsid w:val="006511D0"/>
    <w:rsid w:val="0065183A"/>
    <w:rsid w:val="00651899"/>
    <w:rsid w:val="00651D48"/>
    <w:rsid w:val="00651D7A"/>
    <w:rsid w:val="0065204F"/>
    <w:rsid w:val="006527A4"/>
    <w:rsid w:val="00652847"/>
    <w:rsid w:val="00652959"/>
    <w:rsid w:val="006530B6"/>
    <w:rsid w:val="00653399"/>
    <w:rsid w:val="00653817"/>
    <w:rsid w:val="00653C97"/>
    <w:rsid w:val="00653DE8"/>
    <w:rsid w:val="00654586"/>
    <w:rsid w:val="00654D31"/>
    <w:rsid w:val="00654ECA"/>
    <w:rsid w:val="00655324"/>
    <w:rsid w:val="00655929"/>
    <w:rsid w:val="00655D37"/>
    <w:rsid w:val="00656A6D"/>
    <w:rsid w:val="00657278"/>
    <w:rsid w:val="0065777C"/>
    <w:rsid w:val="006577FE"/>
    <w:rsid w:val="00657CA6"/>
    <w:rsid w:val="0066013F"/>
    <w:rsid w:val="00660483"/>
    <w:rsid w:val="00660CD0"/>
    <w:rsid w:val="006619DD"/>
    <w:rsid w:val="006629B0"/>
    <w:rsid w:val="00662A09"/>
    <w:rsid w:val="006633D5"/>
    <w:rsid w:val="006638CE"/>
    <w:rsid w:val="00663EC6"/>
    <w:rsid w:val="00664196"/>
    <w:rsid w:val="006642E4"/>
    <w:rsid w:val="00664B50"/>
    <w:rsid w:val="00664DE5"/>
    <w:rsid w:val="00664EB6"/>
    <w:rsid w:val="0066501D"/>
    <w:rsid w:val="00665686"/>
    <w:rsid w:val="00665A3F"/>
    <w:rsid w:val="00665C41"/>
    <w:rsid w:val="00665E13"/>
    <w:rsid w:val="00666905"/>
    <w:rsid w:val="00666C92"/>
    <w:rsid w:val="006670D2"/>
    <w:rsid w:val="0067082E"/>
    <w:rsid w:val="00670A5A"/>
    <w:rsid w:val="00670B0E"/>
    <w:rsid w:val="0067125B"/>
    <w:rsid w:val="006713A7"/>
    <w:rsid w:val="00671E40"/>
    <w:rsid w:val="00671F10"/>
    <w:rsid w:val="006721F6"/>
    <w:rsid w:val="00672520"/>
    <w:rsid w:val="00673668"/>
    <w:rsid w:val="006738C3"/>
    <w:rsid w:val="00673D32"/>
    <w:rsid w:val="006740CA"/>
    <w:rsid w:val="0067466F"/>
    <w:rsid w:val="00674ACB"/>
    <w:rsid w:val="0067573D"/>
    <w:rsid w:val="00675B14"/>
    <w:rsid w:val="00675BC2"/>
    <w:rsid w:val="00675DB4"/>
    <w:rsid w:val="006764A0"/>
    <w:rsid w:val="006764B6"/>
    <w:rsid w:val="00676801"/>
    <w:rsid w:val="0067687C"/>
    <w:rsid w:val="00677356"/>
    <w:rsid w:val="00677495"/>
    <w:rsid w:val="00677A93"/>
    <w:rsid w:val="006808EE"/>
    <w:rsid w:val="00680C02"/>
    <w:rsid w:val="006815B1"/>
    <w:rsid w:val="00681691"/>
    <w:rsid w:val="006817A8"/>
    <w:rsid w:val="0068347C"/>
    <w:rsid w:val="00683492"/>
    <w:rsid w:val="006834CE"/>
    <w:rsid w:val="00683B6C"/>
    <w:rsid w:val="0068422B"/>
    <w:rsid w:val="00684455"/>
    <w:rsid w:val="0068453F"/>
    <w:rsid w:val="00684EBF"/>
    <w:rsid w:val="0068554A"/>
    <w:rsid w:val="00685657"/>
    <w:rsid w:val="00686436"/>
    <w:rsid w:val="00687E4D"/>
    <w:rsid w:val="00687F9F"/>
    <w:rsid w:val="00690553"/>
    <w:rsid w:val="00690A2E"/>
    <w:rsid w:val="00690ADF"/>
    <w:rsid w:val="00690B19"/>
    <w:rsid w:val="00691EAE"/>
    <w:rsid w:val="00691F30"/>
    <w:rsid w:val="00692165"/>
    <w:rsid w:val="0069268A"/>
    <w:rsid w:val="0069365D"/>
    <w:rsid w:val="00693BD7"/>
    <w:rsid w:val="00693C1D"/>
    <w:rsid w:val="006944A6"/>
    <w:rsid w:val="0069492F"/>
    <w:rsid w:val="00694D5F"/>
    <w:rsid w:val="006957AC"/>
    <w:rsid w:val="00695872"/>
    <w:rsid w:val="006959C1"/>
    <w:rsid w:val="00695FBC"/>
    <w:rsid w:val="00696576"/>
    <w:rsid w:val="00696A44"/>
    <w:rsid w:val="00696E96"/>
    <w:rsid w:val="006A0559"/>
    <w:rsid w:val="006A084E"/>
    <w:rsid w:val="006A0974"/>
    <w:rsid w:val="006A14A8"/>
    <w:rsid w:val="006A1956"/>
    <w:rsid w:val="006A1EC0"/>
    <w:rsid w:val="006A1F40"/>
    <w:rsid w:val="006A24F1"/>
    <w:rsid w:val="006A2668"/>
    <w:rsid w:val="006A27F0"/>
    <w:rsid w:val="006A300B"/>
    <w:rsid w:val="006A3159"/>
    <w:rsid w:val="006A3B36"/>
    <w:rsid w:val="006A3B66"/>
    <w:rsid w:val="006A3C5F"/>
    <w:rsid w:val="006A40F7"/>
    <w:rsid w:val="006A4501"/>
    <w:rsid w:val="006A55F7"/>
    <w:rsid w:val="006A687B"/>
    <w:rsid w:val="006A6965"/>
    <w:rsid w:val="006A6998"/>
    <w:rsid w:val="006A6BA7"/>
    <w:rsid w:val="006A6ED3"/>
    <w:rsid w:val="006A6EED"/>
    <w:rsid w:val="006A6F49"/>
    <w:rsid w:val="006A738F"/>
    <w:rsid w:val="006A7EA6"/>
    <w:rsid w:val="006B0546"/>
    <w:rsid w:val="006B0558"/>
    <w:rsid w:val="006B084C"/>
    <w:rsid w:val="006B0DE4"/>
    <w:rsid w:val="006B111F"/>
    <w:rsid w:val="006B1914"/>
    <w:rsid w:val="006B19E7"/>
    <w:rsid w:val="006B1BD6"/>
    <w:rsid w:val="006B1D45"/>
    <w:rsid w:val="006B1F38"/>
    <w:rsid w:val="006B2753"/>
    <w:rsid w:val="006B3263"/>
    <w:rsid w:val="006B3A57"/>
    <w:rsid w:val="006B3CF5"/>
    <w:rsid w:val="006B3D53"/>
    <w:rsid w:val="006B3D90"/>
    <w:rsid w:val="006B3DDF"/>
    <w:rsid w:val="006B4228"/>
    <w:rsid w:val="006B44F8"/>
    <w:rsid w:val="006B4783"/>
    <w:rsid w:val="006B5147"/>
    <w:rsid w:val="006B5B97"/>
    <w:rsid w:val="006B600A"/>
    <w:rsid w:val="006B652C"/>
    <w:rsid w:val="006B668A"/>
    <w:rsid w:val="006B6CE5"/>
    <w:rsid w:val="006B7AAA"/>
    <w:rsid w:val="006B7BFA"/>
    <w:rsid w:val="006B7C21"/>
    <w:rsid w:val="006B7F78"/>
    <w:rsid w:val="006C00E7"/>
    <w:rsid w:val="006C01A8"/>
    <w:rsid w:val="006C177C"/>
    <w:rsid w:val="006C20EE"/>
    <w:rsid w:val="006C212C"/>
    <w:rsid w:val="006C21BD"/>
    <w:rsid w:val="006C2F26"/>
    <w:rsid w:val="006C392A"/>
    <w:rsid w:val="006C39F6"/>
    <w:rsid w:val="006C4034"/>
    <w:rsid w:val="006C4794"/>
    <w:rsid w:val="006C4FA4"/>
    <w:rsid w:val="006C53CB"/>
    <w:rsid w:val="006C559E"/>
    <w:rsid w:val="006C59E8"/>
    <w:rsid w:val="006C5C96"/>
    <w:rsid w:val="006C6053"/>
    <w:rsid w:val="006C60DE"/>
    <w:rsid w:val="006C696C"/>
    <w:rsid w:val="006C6EB4"/>
    <w:rsid w:val="006C6ED0"/>
    <w:rsid w:val="006C72BE"/>
    <w:rsid w:val="006C7C41"/>
    <w:rsid w:val="006D0140"/>
    <w:rsid w:val="006D099B"/>
    <w:rsid w:val="006D129D"/>
    <w:rsid w:val="006D1753"/>
    <w:rsid w:val="006D1ADC"/>
    <w:rsid w:val="006D1E46"/>
    <w:rsid w:val="006D2232"/>
    <w:rsid w:val="006D29ED"/>
    <w:rsid w:val="006D2AAA"/>
    <w:rsid w:val="006D33C4"/>
    <w:rsid w:val="006D352B"/>
    <w:rsid w:val="006D3A49"/>
    <w:rsid w:val="006D3F5B"/>
    <w:rsid w:val="006D4184"/>
    <w:rsid w:val="006D4358"/>
    <w:rsid w:val="006D450A"/>
    <w:rsid w:val="006D4871"/>
    <w:rsid w:val="006D4EDB"/>
    <w:rsid w:val="006D55F6"/>
    <w:rsid w:val="006D590C"/>
    <w:rsid w:val="006D59BD"/>
    <w:rsid w:val="006D603F"/>
    <w:rsid w:val="006D6955"/>
    <w:rsid w:val="006D73BA"/>
    <w:rsid w:val="006D7582"/>
    <w:rsid w:val="006D75A5"/>
    <w:rsid w:val="006E0889"/>
    <w:rsid w:val="006E09DE"/>
    <w:rsid w:val="006E0C11"/>
    <w:rsid w:val="006E0EA0"/>
    <w:rsid w:val="006E1BD1"/>
    <w:rsid w:val="006E1F4D"/>
    <w:rsid w:val="006E22D9"/>
    <w:rsid w:val="006E2B7B"/>
    <w:rsid w:val="006E2DEE"/>
    <w:rsid w:val="006E315A"/>
    <w:rsid w:val="006E37B7"/>
    <w:rsid w:val="006E39D2"/>
    <w:rsid w:val="006E3A45"/>
    <w:rsid w:val="006E433B"/>
    <w:rsid w:val="006E4427"/>
    <w:rsid w:val="006E4C11"/>
    <w:rsid w:val="006E4D31"/>
    <w:rsid w:val="006E52D4"/>
    <w:rsid w:val="006E5A43"/>
    <w:rsid w:val="006E5BE1"/>
    <w:rsid w:val="006E6111"/>
    <w:rsid w:val="006E6147"/>
    <w:rsid w:val="006E6D09"/>
    <w:rsid w:val="006E7328"/>
    <w:rsid w:val="006E78B8"/>
    <w:rsid w:val="006E7CF2"/>
    <w:rsid w:val="006F0002"/>
    <w:rsid w:val="006F28AF"/>
    <w:rsid w:val="006F302A"/>
    <w:rsid w:val="006F31C4"/>
    <w:rsid w:val="006F325A"/>
    <w:rsid w:val="006F3C38"/>
    <w:rsid w:val="006F4886"/>
    <w:rsid w:val="006F48BF"/>
    <w:rsid w:val="006F5063"/>
    <w:rsid w:val="006F514E"/>
    <w:rsid w:val="006F5739"/>
    <w:rsid w:val="006F79F4"/>
    <w:rsid w:val="006F7FA0"/>
    <w:rsid w:val="007004DC"/>
    <w:rsid w:val="00700DC3"/>
    <w:rsid w:val="00701295"/>
    <w:rsid w:val="0070135E"/>
    <w:rsid w:val="00701427"/>
    <w:rsid w:val="007016CF"/>
    <w:rsid w:val="00701A95"/>
    <w:rsid w:val="0070212A"/>
    <w:rsid w:val="00703499"/>
    <w:rsid w:val="00703587"/>
    <w:rsid w:val="0070378F"/>
    <w:rsid w:val="0070390C"/>
    <w:rsid w:val="00704179"/>
    <w:rsid w:val="00704294"/>
    <w:rsid w:val="0070513B"/>
    <w:rsid w:val="00705900"/>
    <w:rsid w:val="0070627C"/>
    <w:rsid w:val="00706A34"/>
    <w:rsid w:val="0070735A"/>
    <w:rsid w:val="00707521"/>
    <w:rsid w:val="0070752B"/>
    <w:rsid w:val="00707578"/>
    <w:rsid w:val="00707D6A"/>
    <w:rsid w:val="00707DB0"/>
    <w:rsid w:val="00711CB7"/>
    <w:rsid w:val="007120D2"/>
    <w:rsid w:val="00712B86"/>
    <w:rsid w:val="00712BAF"/>
    <w:rsid w:val="007132CE"/>
    <w:rsid w:val="0071333E"/>
    <w:rsid w:val="00713444"/>
    <w:rsid w:val="0071369D"/>
    <w:rsid w:val="00713900"/>
    <w:rsid w:val="00714B9C"/>
    <w:rsid w:val="00714E1E"/>
    <w:rsid w:val="00714F7E"/>
    <w:rsid w:val="0071545A"/>
    <w:rsid w:val="00715B17"/>
    <w:rsid w:val="00716E86"/>
    <w:rsid w:val="00716EAE"/>
    <w:rsid w:val="007171F7"/>
    <w:rsid w:val="00717996"/>
    <w:rsid w:val="00717CD2"/>
    <w:rsid w:val="00717FD5"/>
    <w:rsid w:val="00720D99"/>
    <w:rsid w:val="00720F31"/>
    <w:rsid w:val="007219E1"/>
    <w:rsid w:val="00721AE1"/>
    <w:rsid w:val="00721B33"/>
    <w:rsid w:val="00721DF6"/>
    <w:rsid w:val="007224AF"/>
    <w:rsid w:val="007226C2"/>
    <w:rsid w:val="0072270E"/>
    <w:rsid w:val="00722D68"/>
    <w:rsid w:val="007234DE"/>
    <w:rsid w:val="00724018"/>
    <w:rsid w:val="00724A86"/>
    <w:rsid w:val="00724F10"/>
    <w:rsid w:val="0072575C"/>
    <w:rsid w:val="0072580C"/>
    <w:rsid w:val="007259EE"/>
    <w:rsid w:val="00725DDC"/>
    <w:rsid w:val="007271B6"/>
    <w:rsid w:val="00727374"/>
    <w:rsid w:val="0072739F"/>
    <w:rsid w:val="00727AC2"/>
    <w:rsid w:val="00727BE7"/>
    <w:rsid w:val="00727EF2"/>
    <w:rsid w:val="00731ED0"/>
    <w:rsid w:val="00732243"/>
    <w:rsid w:val="0073317F"/>
    <w:rsid w:val="007338AA"/>
    <w:rsid w:val="007339A8"/>
    <w:rsid w:val="00734309"/>
    <w:rsid w:val="007343BC"/>
    <w:rsid w:val="00734DF1"/>
    <w:rsid w:val="007350C0"/>
    <w:rsid w:val="0073539D"/>
    <w:rsid w:val="00735BE9"/>
    <w:rsid w:val="00735DAD"/>
    <w:rsid w:val="00736435"/>
    <w:rsid w:val="007366ED"/>
    <w:rsid w:val="0073690F"/>
    <w:rsid w:val="00736C87"/>
    <w:rsid w:val="00736E6F"/>
    <w:rsid w:val="00736FAC"/>
    <w:rsid w:val="00737174"/>
    <w:rsid w:val="007376ED"/>
    <w:rsid w:val="00737724"/>
    <w:rsid w:val="00737A47"/>
    <w:rsid w:val="00737DDB"/>
    <w:rsid w:val="00737F69"/>
    <w:rsid w:val="00740072"/>
    <w:rsid w:val="007410C1"/>
    <w:rsid w:val="00741414"/>
    <w:rsid w:val="00741B6C"/>
    <w:rsid w:val="00741C33"/>
    <w:rsid w:val="00742CBD"/>
    <w:rsid w:val="00742E2E"/>
    <w:rsid w:val="00742E42"/>
    <w:rsid w:val="00743030"/>
    <w:rsid w:val="00743B33"/>
    <w:rsid w:val="007442DF"/>
    <w:rsid w:val="007452AB"/>
    <w:rsid w:val="00745A0C"/>
    <w:rsid w:val="00745BAE"/>
    <w:rsid w:val="007469B3"/>
    <w:rsid w:val="00747161"/>
    <w:rsid w:val="0074780A"/>
    <w:rsid w:val="007478FB"/>
    <w:rsid w:val="007479AD"/>
    <w:rsid w:val="00747A73"/>
    <w:rsid w:val="00747EF4"/>
    <w:rsid w:val="00750DB2"/>
    <w:rsid w:val="00750F4B"/>
    <w:rsid w:val="00751672"/>
    <w:rsid w:val="00751B1D"/>
    <w:rsid w:val="00752258"/>
    <w:rsid w:val="00753238"/>
    <w:rsid w:val="00753611"/>
    <w:rsid w:val="0075373D"/>
    <w:rsid w:val="00753BB7"/>
    <w:rsid w:val="00753CA0"/>
    <w:rsid w:val="00753EEE"/>
    <w:rsid w:val="00754234"/>
    <w:rsid w:val="0075462A"/>
    <w:rsid w:val="00754CA6"/>
    <w:rsid w:val="00755144"/>
    <w:rsid w:val="00755F32"/>
    <w:rsid w:val="007561DC"/>
    <w:rsid w:val="007565CE"/>
    <w:rsid w:val="00756AA6"/>
    <w:rsid w:val="0075760C"/>
    <w:rsid w:val="007605D6"/>
    <w:rsid w:val="0076099E"/>
    <w:rsid w:val="007609DA"/>
    <w:rsid w:val="00760DE6"/>
    <w:rsid w:val="007610F3"/>
    <w:rsid w:val="00761560"/>
    <w:rsid w:val="0076163E"/>
    <w:rsid w:val="0076187B"/>
    <w:rsid w:val="00762287"/>
    <w:rsid w:val="00762CBC"/>
    <w:rsid w:val="00764221"/>
    <w:rsid w:val="00764F5B"/>
    <w:rsid w:val="007652B8"/>
    <w:rsid w:val="00765331"/>
    <w:rsid w:val="00765CC9"/>
    <w:rsid w:val="00767260"/>
    <w:rsid w:val="00767F1E"/>
    <w:rsid w:val="0077036C"/>
    <w:rsid w:val="007706C3"/>
    <w:rsid w:val="00770D90"/>
    <w:rsid w:val="00771D3E"/>
    <w:rsid w:val="007724AD"/>
    <w:rsid w:val="00772567"/>
    <w:rsid w:val="007725A8"/>
    <w:rsid w:val="007729D1"/>
    <w:rsid w:val="00772E21"/>
    <w:rsid w:val="00773AE6"/>
    <w:rsid w:val="00773E14"/>
    <w:rsid w:val="00774236"/>
    <w:rsid w:val="00774712"/>
    <w:rsid w:val="007747CD"/>
    <w:rsid w:val="00775AD7"/>
    <w:rsid w:val="00775BDB"/>
    <w:rsid w:val="00775FDF"/>
    <w:rsid w:val="007761EA"/>
    <w:rsid w:val="0077644F"/>
    <w:rsid w:val="00776ADA"/>
    <w:rsid w:val="00777606"/>
    <w:rsid w:val="00777970"/>
    <w:rsid w:val="007779F7"/>
    <w:rsid w:val="007802E5"/>
    <w:rsid w:val="007810A3"/>
    <w:rsid w:val="0078146A"/>
    <w:rsid w:val="0078165C"/>
    <w:rsid w:val="007819A9"/>
    <w:rsid w:val="00781A5F"/>
    <w:rsid w:val="0078237B"/>
    <w:rsid w:val="007825CE"/>
    <w:rsid w:val="007825F7"/>
    <w:rsid w:val="00782927"/>
    <w:rsid w:val="00782A09"/>
    <w:rsid w:val="007834F6"/>
    <w:rsid w:val="007838FB"/>
    <w:rsid w:val="0078438B"/>
    <w:rsid w:val="00784486"/>
    <w:rsid w:val="007849A6"/>
    <w:rsid w:val="00784E4F"/>
    <w:rsid w:val="007853C7"/>
    <w:rsid w:val="00785C94"/>
    <w:rsid w:val="00785C9F"/>
    <w:rsid w:val="00786469"/>
    <w:rsid w:val="0078658D"/>
    <w:rsid w:val="0078667F"/>
    <w:rsid w:val="007867AC"/>
    <w:rsid w:val="007871C6"/>
    <w:rsid w:val="00787D5B"/>
    <w:rsid w:val="00790BCC"/>
    <w:rsid w:val="00791076"/>
    <w:rsid w:val="0079123A"/>
    <w:rsid w:val="0079162D"/>
    <w:rsid w:val="00792672"/>
    <w:rsid w:val="0079273B"/>
    <w:rsid w:val="00792792"/>
    <w:rsid w:val="00792DF2"/>
    <w:rsid w:val="00793359"/>
    <w:rsid w:val="0079429C"/>
    <w:rsid w:val="0079532A"/>
    <w:rsid w:val="00795BA3"/>
    <w:rsid w:val="00795DE4"/>
    <w:rsid w:val="00795ED5"/>
    <w:rsid w:val="00796CB9"/>
    <w:rsid w:val="00796CD2"/>
    <w:rsid w:val="0079790F"/>
    <w:rsid w:val="00797CC2"/>
    <w:rsid w:val="00797F0C"/>
    <w:rsid w:val="007A0068"/>
    <w:rsid w:val="007A097D"/>
    <w:rsid w:val="007A1548"/>
    <w:rsid w:val="007A193F"/>
    <w:rsid w:val="007A255B"/>
    <w:rsid w:val="007A2590"/>
    <w:rsid w:val="007A28CE"/>
    <w:rsid w:val="007A2E1C"/>
    <w:rsid w:val="007A30B2"/>
    <w:rsid w:val="007A371B"/>
    <w:rsid w:val="007A4223"/>
    <w:rsid w:val="007A4231"/>
    <w:rsid w:val="007A599C"/>
    <w:rsid w:val="007A61DD"/>
    <w:rsid w:val="007A64CB"/>
    <w:rsid w:val="007A6952"/>
    <w:rsid w:val="007A6E21"/>
    <w:rsid w:val="007B08E8"/>
    <w:rsid w:val="007B0923"/>
    <w:rsid w:val="007B0AB8"/>
    <w:rsid w:val="007B0B96"/>
    <w:rsid w:val="007B1226"/>
    <w:rsid w:val="007B138D"/>
    <w:rsid w:val="007B165C"/>
    <w:rsid w:val="007B1F15"/>
    <w:rsid w:val="007B2B80"/>
    <w:rsid w:val="007B2F4D"/>
    <w:rsid w:val="007B3132"/>
    <w:rsid w:val="007B31CC"/>
    <w:rsid w:val="007B3CED"/>
    <w:rsid w:val="007B4263"/>
    <w:rsid w:val="007B4B28"/>
    <w:rsid w:val="007B4C59"/>
    <w:rsid w:val="007B4D5D"/>
    <w:rsid w:val="007B54C9"/>
    <w:rsid w:val="007B5ACB"/>
    <w:rsid w:val="007B7D9F"/>
    <w:rsid w:val="007C0414"/>
    <w:rsid w:val="007C0914"/>
    <w:rsid w:val="007C0AE8"/>
    <w:rsid w:val="007C0B6B"/>
    <w:rsid w:val="007C1391"/>
    <w:rsid w:val="007C15FC"/>
    <w:rsid w:val="007C185D"/>
    <w:rsid w:val="007C1880"/>
    <w:rsid w:val="007C19D6"/>
    <w:rsid w:val="007C1D68"/>
    <w:rsid w:val="007C1DA1"/>
    <w:rsid w:val="007C1E1D"/>
    <w:rsid w:val="007C248D"/>
    <w:rsid w:val="007C26DD"/>
    <w:rsid w:val="007C276C"/>
    <w:rsid w:val="007C278F"/>
    <w:rsid w:val="007C2C76"/>
    <w:rsid w:val="007C2ED9"/>
    <w:rsid w:val="007C331C"/>
    <w:rsid w:val="007C3576"/>
    <w:rsid w:val="007C4231"/>
    <w:rsid w:val="007C44FC"/>
    <w:rsid w:val="007C45C3"/>
    <w:rsid w:val="007C491B"/>
    <w:rsid w:val="007C4EC8"/>
    <w:rsid w:val="007C51CF"/>
    <w:rsid w:val="007C5357"/>
    <w:rsid w:val="007C5A02"/>
    <w:rsid w:val="007C5A3D"/>
    <w:rsid w:val="007C6289"/>
    <w:rsid w:val="007C6707"/>
    <w:rsid w:val="007C73B6"/>
    <w:rsid w:val="007D00B9"/>
    <w:rsid w:val="007D074D"/>
    <w:rsid w:val="007D0D64"/>
    <w:rsid w:val="007D1F1E"/>
    <w:rsid w:val="007D398D"/>
    <w:rsid w:val="007D3EB4"/>
    <w:rsid w:val="007D3EBA"/>
    <w:rsid w:val="007D425A"/>
    <w:rsid w:val="007D4366"/>
    <w:rsid w:val="007D4E4E"/>
    <w:rsid w:val="007D5DC7"/>
    <w:rsid w:val="007D64CC"/>
    <w:rsid w:val="007D65BE"/>
    <w:rsid w:val="007D67AD"/>
    <w:rsid w:val="007D72C3"/>
    <w:rsid w:val="007D75F2"/>
    <w:rsid w:val="007D79CC"/>
    <w:rsid w:val="007D7BF9"/>
    <w:rsid w:val="007E03B9"/>
    <w:rsid w:val="007E0B90"/>
    <w:rsid w:val="007E0EA4"/>
    <w:rsid w:val="007E0EE7"/>
    <w:rsid w:val="007E145F"/>
    <w:rsid w:val="007E2E68"/>
    <w:rsid w:val="007E3A61"/>
    <w:rsid w:val="007E438A"/>
    <w:rsid w:val="007E4537"/>
    <w:rsid w:val="007E4888"/>
    <w:rsid w:val="007E4CFF"/>
    <w:rsid w:val="007E4D65"/>
    <w:rsid w:val="007E4FC2"/>
    <w:rsid w:val="007E5049"/>
    <w:rsid w:val="007E53CA"/>
    <w:rsid w:val="007E5847"/>
    <w:rsid w:val="007E5B34"/>
    <w:rsid w:val="007E5C9B"/>
    <w:rsid w:val="007E62D6"/>
    <w:rsid w:val="007E6D23"/>
    <w:rsid w:val="007E6EB7"/>
    <w:rsid w:val="007E7409"/>
    <w:rsid w:val="007E76F3"/>
    <w:rsid w:val="007E7855"/>
    <w:rsid w:val="007F08A9"/>
    <w:rsid w:val="007F1840"/>
    <w:rsid w:val="007F1AEC"/>
    <w:rsid w:val="007F254C"/>
    <w:rsid w:val="007F2B9E"/>
    <w:rsid w:val="007F414E"/>
    <w:rsid w:val="007F44C0"/>
    <w:rsid w:val="007F482C"/>
    <w:rsid w:val="007F48A3"/>
    <w:rsid w:val="007F4AFE"/>
    <w:rsid w:val="007F4BA4"/>
    <w:rsid w:val="007F4F3B"/>
    <w:rsid w:val="007F5EA8"/>
    <w:rsid w:val="007F60FC"/>
    <w:rsid w:val="007F63D8"/>
    <w:rsid w:val="007F6FE0"/>
    <w:rsid w:val="007F7163"/>
    <w:rsid w:val="007F761B"/>
    <w:rsid w:val="007F7944"/>
    <w:rsid w:val="007F7C2C"/>
    <w:rsid w:val="007F7E71"/>
    <w:rsid w:val="008001A6"/>
    <w:rsid w:val="0080045A"/>
    <w:rsid w:val="00800959"/>
    <w:rsid w:val="00800F05"/>
    <w:rsid w:val="00800F8C"/>
    <w:rsid w:val="00801049"/>
    <w:rsid w:val="008015E1"/>
    <w:rsid w:val="008019CF"/>
    <w:rsid w:val="00801B8A"/>
    <w:rsid w:val="00801FA3"/>
    <w:rsid w:val="008028DF"/>
    <w:rsid w:val="00802D34"/>
    <w:rsid w:val="00802F9A"/>
    <w:rsid w:val="00804202"/>
    <w:rsid w:val="008044B8"/>
    <w:rsid w:val="008051A6"/>
    <w:rsid w:val="00805452"/>
    <w:rsid w:val="008057A1"/>
    <w:rsid w:val="00805AD4"/>
    <w:rsid w:val="00805CEB"/>
    <w:rsid w:val="008060F2"/>
    <w:rsid w:val="008072A8"/>
    <w:rsid w:val="00807BA4"/>
    <w:rsid w:val="00810F3C"/>
    <w:rsid w:val="0081101B"/>
    <w:rsid w:val="0081149D"/>
    <w:rsid w:val="00812767"/>
    <w:rsid w:val="00812B4C"/>
    <w:rsid w:val="00813072"/>
    <w:rsid w:val="008130FF"/>
    <w:rsid w:val="00814DBB"/>
    <w:rsid w:val="00815100"/>
    <w:rsid w:val="00815413"/>
    <w:rsid w:val="0081555B"/>
    <w:rsid w:val="00815687"/>
    <w:rsid w:val="00815EB1"/>
    <w:rsid w:val="00815FCA"/>
    <w:rsid w:val="008160FB"/>
    <w:rsid w:val="0081661A"/>
    <w:rsid w:val="008166E2"/>
    <w:rsid w:val="008167C9"/>
    <w:rsid w:val="008168D9"/>
    <w:rsid w:val="0081754C"/>
    <w:rsid w:val="00817CA8"/>
    <w:rsid w:val="00820220"/>
    <w:rsid w:val="0082064E"/>
    <w:rsid w:val="0082172C"/>
    <w:rsid w:val="00821E08"/>
    <w:rsid w:val="0082266F"/>
    <w:rsid w:val="00822A31"/>
    <w:rsid w:val="00823783"/>
    <w:rsid w:val="00823A9D"/>
    <w:rsid w:val="00823EDF"/>
    <w:rsid w:val="0082447D"/>
    <w:rsid w:val="0082453C"/>
    <w:rsid w:val="00824704"/>
    <w:rsid w:val="0082547D"/>
    <w:rsid w:val="00825490"/>
    <w:rsid w:val="008255E9"/>
    <w:rsid w:val="00825752"/>
    <w:rsid w:val="0082764B"/>
    <w:rsid w:val="00830556"/>
    <w:rsid w:val="00830590"/>
    <w:rsid w:val="00830B9F"/>
    <w:rsid w:val="008312B0"/>
    <w:rsid w:val="0083134A"/>
    <w:rsid w:val="00831456"/>
    <w:rsid w:val="008322F1"/>
    <w:rsid w:val="008329CC"/>
    <w:rsid w:val="00832AB4"/>
    <w:rsid w:val="00832FC0"/>
    <w:rsid w:val="00833357"/>
    <w:rsid w:val="00833449"/>
    <w:rsid w:val="008338EC"/>
    <w:rsid w:val="00833907"/>
    <w:rsid w:val="00833A8E"/>
    <w:rsid w:val="00834446"/>
    <w:rsid w:val="0083473E"/>
    <w:rsid w:val="00835069"/>
    <w:rsid w:val="00835145"/>
    <w:rsid w:val="00835179"/>
    <w:rsid w:val="0083550C"/>
    <w:rsid w:val="00835BA1"/>
    <w:rsid w:val="008361B2"/>
    <w:rsid w:val="00836260"/>
    <w:rsid w:val="00836399"/>
    <w:rsid w:val="00836457"/>
    <w:rsid w:val="0083681D"/>
    <w:rsid w:val="008368BB"/>
    <w:rsid w:val="0083779B"/>
    <w:rsid w:val="00837AB6"/>
    <w:rsid w:val="00837CCB"/>
    <w:rsid w:val="0084032E"/>
    <w:rsid w:val="00840A7C"/>
    <w:rsid w:val="00840A95"/>
    <w:rsid w:val="0084258C"/>
    <w:rsid w:val="00842715"/>
    <w:rsid w:val="00842BEE"/>
    <w:rsid w:val="00842E05"/>
    <w:rsid w:val="00842E21"/>
    <w:rsid w:val="00843230"/>
    <w:rsid w:val="0084346F"/>
    <w:rsid w:val="00843B82"/>
    <w:rsid w:val="00843C69"/>
    <w:rsid w:val="0084421B"/>
    <w:rsid w:val="00844569"/>
    <w:rsid w:val="00844E81"/>
    <w:rsid w:val="00845169"/>
    <w:rsid w:val="00845245"/>
    <w:rsid w:val="008455A6"/>
    <w:rsid w:val="008455FF"/>
    <w:rsid w:val="00845A8B"/>
    <w:rsid w:val="00845B0E"/>
    <w:rsid w:val="00846A55"/>
    <w:rsid w:val="0084702D"/>
    <w:rsid w:val="00850933"/>
    <w:rsid w:val="00850C97"/>
    <w:rsid w:val="00853237"/>
    <w:rsid w:val="00853EAA"/>
    <w:rsid w:val="00854221"/>
    <w:rsid w:val="00854CEB"/>
    <w:rsid w:val="00854FF1"/>
    <w:rsid w:val="00855C31"/>
    <w:rsid w:val="008565BF"/>
    <w:rsid w:val="00856D3C"/>
    <w:rsid w:val="00856EC5"/>
    <w:rsid w:val="00857392"/>
    <w:rsid w:val="00857E4A"/>
    <w:rsid w:val="00857F8F"/>
    <w:rsid w:val="008601EC"/>
    <w:rsid w:val="00860288"/>
    <w:rsid w:val="00860358"/>
    <w:rsid w:val="00861165"/>
    <w:rsid w:val="008612F7"/>
    <w:rsid w:val="008613D0"/>
    <w:rsid w:val="008616EB"/>
    <w:rsid w:val="0086275F"/>
    <w:rsid w:val="008627CD"/>
    <w:rsid w:val="00862B84"/>
    <w:rsid w:val="00862BF6"/>
    <w:rsid w:val="00863376"/>
    <w:rsid w:val="008633AE"/>
    <w:rsid w:val="008636BB"/>
    <w:rsid w:val="00863790"/>
    <w:rsid w:val="008639F4"/>
    <w:rsid w:val="00863AEC"/>
    <w:rsid w:val="00863C9C"/>
    <w:rsid w:val="00864785"/>
    <w:rsid w:val="008648CD"/>
    <w:rsid w:val="0086531E"/>
    <w:rsid w:val="0086557B"/>
    <w:rsid w:val="008657C0"/>
    <w:rsid w:val="008657EA"/>
    <w:rsid w:val="008659FF"/>
    <w:rsid w:val="00865A6D"/>
    <w:rsid w:val="00865C3B"/>
    <w:rsid w:val="00865D97"/>
    <w:rsid w:val="00866484"/>
    <w:rsid w:val="00867188"/>
    <w:rsid w:val="00867435"/>
    <w:rsid w:val="00867971"/>
    <w:rsid w:val="008700C9"/>
    <w:rsid w:val="00870291"/>
    <w:rsid w:val="00870EB9"/>
    <w:rsid w:val="00870F5A"/>
    <w:rsid w:val="0087129C"/>
    <w:rsid w:val="008712FA"/>
    <w:rsid w:val="00871BEB"/>
    <w:rsid w:val="00871C13"/>
    <w:rsid w:val="00872156"/>
    <w:rsid w:val="00872D37"/>
    <w:rsid w:val="00873568"/>
    <w:rsid w:val="00873C2E"/>
    <w:rsid w:val="008752FB"/>
    <w:rsid w:val="008753AA"/>
    <w:rsid w:val="00875C65"/>
    <w:rsid w:val="00875F52"/>
    <w:rsid w:val="008762A4"/>
    <w:rsid w:val="008765B0"/>
    <w:rsid w:val="008765D1"/>
    <w:rsid w:val="00876D3B"/>
    <w:rsid w:val="00876EC4"/>
    <w:rsid w:val="008777F4"/>
    <w:rsid w:val="00877BFE"/>
    <w:rsid w:val="00880153"/>
    <w:rsid w:val="00880932"/>
    <w:rsid w:val="008819B1"/>
    <w:rsid w:val="00881B9E"/>
    <w:rsid w:val="00882F17"/>
    <w:rsid w:val="00883008"/>
    <w:rsid w:val="0088300E"/>
    <w:rsid w:val="0088318D"/>
    <w:rsid w:val="00883815"/>
    <w:rsid w:val="00883A8A"/>
    <w:rsid w:val="00883D46"/>
    <w:rsid w:val="00883D7F"/>
    <w:rsid w:val="00883ECE"/>
    <w:rsid w:val="00884068"/>
    <w:rsid w:val="0088499F"/>
    <w:rsid w:val="00884CD0"/>
    <w:rsid w:val="00884E99"/>
    <w:rsid w:val="00886117"/>
    <w:rsid w:val="00886F11"/>
    <w:rsid w:val="00886F35"/>
    <w:rsid w:val="0088713B"/>
    <w:rsid w:val="00887406"/>
    <w:rsid w:val="00887458"/>
    <w:rsid w:val="00887C49"/>
    <w:rsid w:val="00890F29"/>
    <w:rsid w:val="00891550"/>
    <w:rsid w:val="00891D45"/>
    <w:rsid w:val="00891E2F"/>
    <w:rsid w:val="008923C7"/>
    <w:rsid w:val="00892452"/>
    <w:rsid w:val="00892944"/>
    <w:rsid w:val="008929C6"/>
    <w:rsid w:val="00892C22"/>
    <w:rsid w:val="00893180"/>
    <w:rsid w:val="00893573"/>
    <w:rsid w:val="008935EB"/>
    <w:rsid w:val="00893E7A"/>
    <w:rsid w:val="00894AEC"/>
    <w:rsid w:val="00894CA4"/>
    <w:rsid w:val="0089517E"/>
    <w:rsid w:val="00895A1B"/>
    <w:rsid w:val="00895A9F"/>
    <w:rsid w:val="00896A4F"/>
    <w:rsid w:val="008975C4"/>
    <w:rsid w:val="00897CE0"/>
    <w:rsid w:val="008A0953"/>
    <w:rsid w:val="008A102D"/>
    <w:rsid w:val="008A2DD7"/>
    <w:rsid w:val="008A3350"/>
    <w:rsid w:val="008A337E"/>
    <w:rsid w:val="008A3637"/>
    <w:rsid w:val="008A3CD3"/>
    <w:rsid w:val="008A3E4C"/>
    <w:rsid w:val="008A43E5"/>
    <w:rsid w:val="008A5219"/>
    <w:rsid w:val="008A57DF"/>
    <w:rsid w:val="008A5A78"/>
    <w:rsid w:val="008A6139"/>
    <w:rsid w:val="008A65A3"/>
    <w:rsid w:val="008A673B"/>
    <w:rsid w:val="008A67AE"/>
    <w:rsid w:val="008A681C"/>
    <w:rsid w:val="008A6AB6"/>
    <w:rsid w:val="008A6B63"/>
    <w:rsid w:val="008A6E01"/>
    <w:rsid w:val="008A6F4C"/>
    <w:rsid w:val="008A704F"/>
    <w:rsid w:val="008A7362"/>
    <w:rsid w:val="008A7B6A"/>
    <w:rsid w:val="008A7CD0"/>
    <w:rsid w:val="008A7E35"/>
    <w:rsid w:val="008B0033"/>
    <w:rsid w:val="008B0581"/>
    <w:rsid w:val="008B088D"/>
    <w:rsid w:val="008B10F0"/>
    <w:rsid w:val="008B1D95"/>
    <w:rsid w:val="008B22C0"/>
    <w:rsid w:val="008B243A"/>
    <w:rsid w:val="008B2870"/>
    <w:rsid w:val="008B2ACD"/>
    <w:rsid w:val="008B2F38"/>
    <w:rsid w:val="008B31E4"/>
    <w:rsid w:val="008B354E"/>
    <w:rsid w:val="008B3C2C"/>
    <w:rsid w:val="008B3E27"/>
    <w:rsid w:val="008B43D0"/>
    <w:rsid w:val="008B581B"/>
    <w:rsid w:val="008B5AB9"/>
    <w:rsid w:val="008B6587"/>
    <w:rsid w:val="008B6611"/>
    <w:rsid w:val="008B6C11"/>
    <w:rsid w:val="008B70AE"/>
    <w:rsid w:val="008B71A7"/>
    <w:rsid w:val="008B747B"/>
    <w:rsid w:val="008B76E4"/>
    <w:rsid w:val="008B7CCF"/>
    <w:rsid w:val="008C063F"/>
    <w:rsid w:val="008C099E"/>
    <w:rsid w:val="008C1101"/>
    <w:rsid w:val="008C11A6"/>
    <w:rsid w:val="008C13B0"/>
    <w:rsid w:val="008C1578"/>
    <w:rsid w:val="008C16B8"/>
    <w:rsid w:val="008C22C1"/>
    <w:rsid w:val="008C23DF"/>
    <w:rsid w:val="008C2902"/>
    <w:rsid w:val="008C31DC"/>
    <w:rsid w:val="008C330E"/>
    <w:rsid w:val="008C3CA0"/>
    <w:rsid w:val="008C3F0C"/>
    <w:rsid w:val="008C4FDC"/>
    <w:rsid w:val="008C5683"/>
    <w:rsid w:val="008C5ACF"/>
    <w:rsid w:val="008C6AE2"/>
    <w:rsid w:val="008C77D0"/>
    <w:rsid w:val="008D00FC"/>
    <w:rsid w:val="008D0916"/>
    <w:rsid w:val="008D0940"/>
    <w:rsid w:val="008D0C37"/>
    <w:rsid w:val="008D0D4E"/>
    <w:rsid w:val="008D0E4E"/>
    <w:rsid w:val="008D10F4"/>
    <w:rsid w:val="008D287C"/>
    <w:rsid w:val="008D2929"/>
    <w:rsid w:val="008D2FC9"/>
    <w:rsid w:val="008D3142"/>
    <w:rsid w:val="008D31D1"/>
    <w:rsid w:val="008D3734"/>
    <w:rsid w:val="008D38D6"/>
    <w:rsid w:val="008D3EB6"/>
    <w:rsid w:val="008D402D"/>
    <w:rsid w:val="008D411D"/>
    <w:rsid w:val="008D4169"/>
    <w:rsid w:val="008D443C"/>
    <w:rsid w:val="008D4E65"/>
    <w:rsid w:val="008D57F3"/>
    <w:rsid w:val="008D6821"/>
    <w:rsid w:val="008D73DA"/>
    <w:rsid w:val="008E051D"/>
    <w:rsid w:val="008E07C0"/>
    <w:rsid w:val="008E0842"/>
    <w:rsid w:val="008E159E"/>
    <w:rsid w:val="008E1751"/>
    <w:rsid w:val="008E1DF2"/>
    <w:rsid w:val="008E21EC"/>
    <w:rsid w:val="008E234C"/>
    <w:rsid w:val="008E26D7"/>
    <w:rsid w:val="008E277A"/>
    <w:rsid w:val="008E2BD8"/>
    <w:rsid w:val="008E340E"/>
    <w:rsid w:val="008E354C"/>
    <w:rsid w:val="008E35FD"/>
    <w:rsid w:val="008E3A10"/>
    <w:rsid w:val="008E3CA1"/>
    <w:rsid w:val="008E3D09"/>
    <w:rsid w:val="008E4896"/>
    <w:rsid w:val="008E50B4"/>
    <w:rsid w:val="008E536F"/>
    <w:rsid w:val="008E5ABC"/>
    <w:rsid w:val="008E61EC"/>
    <w:rsid w:val="008E65FA"/>
    <w:rsid w:val="008E6AB3"/>
    <w:rsid w:val="008E6DA1"/>
    <w:rsid w:val="008E7820"/>
    <w:rsid w:val="008E7FFB"/>
    <w:rsid w:val="008F127C"/>
    <w:rsid w:val="008F17CF"/>
    <w:rsid w:val="008F1B62"/>
    <w:rsid w:val="008F25EF"/>
    <w:rsid w:val="008F2A35"/>
    <w:rsid w:val="008F3203"/>
    <w:rsid w:val="008F323A"/>
    <w:rsid w:val="008F3AB2"/>
    <w:rsid w:val="008F41C8"/>
    <w:rsid w:val="008F4544"/>
    <w:rsid w:val="008F4743"/>
    <w:rsid w:val="008F47D5"/>
    <w:rsid w:val="008F5031"/>
    <w:rsid w:val="008F50D7"/>
    <w:rsid w:val="008F512E"/>
    <w:rsid w:val="008F52B6"/>
    <w:rsid w:val="008F6273"/>
    <w:rsid w:val="008F6306"/>
    <w:rsid w:val="008F6A9D"/>
    <w:rsid w:val="008F6AB2"/>
    <w:rsid w:val="008F6D08"/>
    <w:rsid w:val="008F6D4E"/>
    <w:rsid w:val="008F7254"/>
    <w:rsid w:val="008F7ABC"/>
    <w:rsid w:val="008F7DDC"/>
    <w:rsid w:val="008F7E31"/>
    <w:rsid w:val="008F7FA8"/>
    <w:rsid w:val="00900E7C"/>
    <w:rsid w:val="0090143B"/>
    <w:rsid w:val="00901811"/>
    <w:rsid w:val="00901D9C"/>
    <w:rsid w:val="009024BD"/>
    <w:rsid w:val="009033FA"/>
    <w:rsid w:val="009034AC"/>
    <w:rsid w:val="009042AD"/>
    <w:rsid w:val="009044AD"/>
    <w:rsid w:val="009047B4"/>
    <w:rsid w:val="00904A27"/>
    <w:rsid w:val="00904A7E"/>
    <w:rsid w:val="009052D1"/>
    <w:rsid w:val="009058FD"/>
    <w:rsid w:val="009059B6"/>
    <w:rsid w:val="00906430"/>
    <w:rsid w:val="00906C44"/>
    <w:rsid w:val="00906EAB"/>
    <w:rsid w:val="009071FE"/>
    <w:rsid w:val="00907242"/>
    <w:rsid w:val="00907C53"/>
    <w:rsid w:val="00907D28"/>
    <w:rsid w:val="00907D6C"/>
    <w:rsid w:val="00907FC1"/>
    <w:rsid w:val="009104AC"/>
    <w:rsid w:val="00910689"/>
    <w:rsid w:val="00910A55"/>
    <w:rsid w:val="00910F31"/>
    <w:rsid w:val="009111D5"/>
    <w:rsid w:val="00911675"/>
    <w:rsid w:val="0091181D"/>
    <w:rsid w:val="009119B3"/>
    <w:rsid w:val="00911AC8"/>
    <w:rsid w:val="00911E77"/>
    <w:rsid w:val="0091218F"/>
    <w:rsid w:val="00912CE1"/>
    <w:rsid w:val="00913562"/>
    <w:rsid w:val="00913816"/>
    <w:rsid w:val="00913979"/>
    <w:rsid w:val="009139AF"/>
    <w:rsid w:val="00913B4E"/>
    <w:rsid w:val="00914F33"/>
    <w:rsid w:val="00915204"/>
    <w:rsid w:val="00915248"/>
    <w:rsid w:val="00915323"/>
    <w:rsid w:val="00916FA9"/>
    <w:rsid w:val="00917138"/>
    <w:rsid w:val="00917467"/>
    <w:rsid w:val="0091757E"/>
    <w:rsid w:val="00917C20"/>
    <w:rsid w:val="009205A1"/>
    <w:rsid w:val="00920F09"/>
    <w:rsid w:val="00921671"/>
    <w:rsid w:val="0092183C"/>
    <w:rsid w:val="00922641"/>
    <w:rsid w:val="009226DD"/>
    <w:rsid w:val="00923500"/>
    <w:rsid w:val="00923C8E"/>
    <w:rsid w:val="00923ED7"/>
    <w:rsid w:val="009240E4"/>
    <w:rsid w:val="009241AD"/>
    <w:rsid w:val="00924B3F"/>
    <w:rsid w:val="00925204"/>
    <w:rsid w:val="009255EE"/>
    <w:rsid w:val="00925C7E"/>
    <w:rsid w:val="009260B6"/>
    <w:rsid w:val="009260C7"/>
    <w:rsid w:val="00926548"/>
    <w:rsid w:val="009268EA"/>
    <w:rsid w:val="009278B4"/>
    <w:rsid w:val="009278F3"/>
    <w:rsid w:val="00927B2D"/>
    <w:rsid w:val="00930D5A"/>
    <w:rsid w:val="00930FF9"/>
    <w:rsid w:val="00931525"/>
    <w:rsid w:val="009317D4"/>
    <w:rsid w:val="00931836"/>
    <w:rsid w:val="00931DB2"/>
    <w:rsid w:val="00931FA6"/>
    <w:rsid w:val="00931FE4"/>
    <w:rsid w:val="009321E3"/>
    <w:rsid w:val="0093245C"/>
    <w:rsid w:val="0093274D"/>
    <w:rsid w:val="00932901"/>
    <w:rsid w:val="00932A4D"/>
    <w:rsid w:val="00932AEC"/>
    <w:rsid w:val="009334B3"/>
    <w:rsid w:val="00933B7C"/>
    <w:rsid w:val="00933EC2"/>
    <w:rsid w:val="00934124"/>
    <w:rsid w:val="009343E8"/>
    <w:rsid w:val="009351FC"/>
    <w:rsid w:val="00935A2C"/>
    <w:rsid w:val="00935D02"/>
    <w:rsid w:val="00936181"/>
    <w:rsid w:val="009363E0"/>
    <w:rsid w:val="00936B18"/>
    <w:rsid w:val="009377EE"/>
    <w:rsid w:val="00937EF6"/>
    <w:rsid w:val="00940AD3"/>
    <w:rsid w:val="00941245"/>
    <w:rsid w:val="009416E5"/>
    <w:rsid w:val="00941A21"/>
    <w:rsid w:val="00941F09"/>
    <w:rsid w:val="009422E1"/>
    <w:rsid w:val="009427F5"/>
    <w:rsid w:val="00942E12"/>
    <w:rsid w:val="00942EC5"/>
    <w:rsid w:val="0094436F"/>
    <w:rsid w:val="00944E17"/>
    <w:rsid w:val="00945253"/>
    <w:rsid w:val="00945529"/>
    <w:rsid w:val="00946409"/>
    <w:rsid w:val="00946624"/>
    <w:rsid w:val="00947433"/>
    <w:rsid w:val="009477B2"/>
    <w:rsid w:val="0095081A"/>
    <w:rsid w:val="00950FAA"/>
    <w:rsid w:val="0095189E"/>
    <w:rsid w:val="00952196"/>
    <w:rsid w:val="00952F92"/>
    <w:rsid w:val="00953005"/>
    <w:rsid w:val="009531F0"/>
    <w:rsid w:val="00953433"/>
    <w:rsid w:val="00953883"/>
    <w:rsid w:val="009543FF"/>
    <w:rsid w:val="0095445F"/>
    <w:rsid w:val="00954E7E"/>
    <w:rsid w:val="00955B96"/>
    <w:rsid w:val="0095618D"/>
    <w:rsid w:val="00956B12"/>
    <w:rsid w:val="00957274"/>
    <w:rsid w:val="009577F0"/>
    <w:rsid w:val="009602B8"/>
    <w:rsid w:val="0096050D"/>
    <w:rsid w:val="0096103F"/>
    <w:rsid w:val="0096110F"/>
    <w:rsid w:val="00961D41"/>
    <w:rsid w:val="009623EF"/>
    <w:rsid w:val="00962484"/>
    <w:rsid w:val="0096250B"/>
    <w:rsid w:val="00962AC2"/>
    <w:rsid w:val="00963798"/>
    <w:rsid w:val="00963F69"/>
    <w:rsid w:val="009643B2"/>
    <w:rsid w:val="00964F2F"/>
    <w:rsid w:val="00964F78"/>
    <w:rsid w:val="009650CD"/>
    <w:rsid w:val="00965336"/>
    <w:rsid w:val="00965AA5"/>
    <w:rsid w:val="00965E72"/>
    <w:rsid w:val="00965F60"/>
    <w:rsid w:val="00966224"/>
    <w:rsid w:val="009672F3"/>
    <w:rsid w:val="00967D71"/>
    <w:rsid w:val="009711A6"/>
    <w:rsid w:val="00971562"/>
    <w:rsid w:val="0097169E"/>
    <w:rsid w:val="00971A32"/>
    <w:rsid w:val="00971B01"/>
    <w:rsid w:val="00971B32"/>
    <w:rsid w:val="0097222B"/>
    <w:rsid w:val="0097265F"/>
    <w:rsid w:val="009730E7"/>
    <w:rsid w:val="00973D76"/>
    <w:rsid w:val="009743B4"/>
    <w:rsid w:val="009744B7"/>
    <w:rsid w:val="00974C2D"/>
    <w:rsid w:val="00974CD9"/>
    <w:rsid w:val="00974E2B"/>
    <w:rsid w:val="00975459"/>
    <w:rsid w:val="00975644"/>
    <w:rsid w:val="0097597A"/>
    <w:rsid w:val="009759B6"/>
    <w:rsid w:val="00975CBF"/>
    <w:rsid w:val="00975E54"/>
    <w:rsid w:val="0097634F"/>
    <w:rsid w:val="009768AA"/>
    <w:rsid w:val="009774C9"/>
    <w:rsid w:val="00977AA0"/>
    <w:rsid w:val="00977B8A"/>
    <w:rsid w:val="00980246"/>
    <w:rsid w:val="009804C7"/>
    <w:rsid w:val="00982527"/>
    <w:rsid w:val="00982C56"/>
    <w:rsid w:val="00984229"/>
    <w:rsid w:val="00984888"/>
    <w:rsid w:val="00984CD8"/>
    <w:rsid w:val="00984E03"/>
    <w:rsid w:val="00985C48"/>
    <w:rsid w:val="00985CEE"/>
    <w:rsid w:val="0098604F"/>
    <w:rsid w:val="00986800"/>
    <w:rsid w:val="00986A3C"/>
    <w:rsid w:val="00986DB7"/>
    <w:rsid w:val="00986E0D"/>
    <w:rsid w:val="00987453"/>
    <w:rsid w:val="00987BF6"/>
    <w:rsid w:val="00990065"/>
    <w:rsid w:val="009906AF"/>
    <w:rsid w:val="009920EB"/>
    <w:rsid w:val="00992410"/>
    <w:rsid w:val="00992450"/>
    <w:rsid w:val="00992577"/>
    <w:rsid w:val="0099289C"/>
    <w:rsid w:val="00993307"/>
    <w:rsid w:val="00993789"/>
    <w:rsid w:val="0099399D"/>
    <w:rsid w:val="00993C05"/>
    <w:rsid w:val="00994432"/>
    <w:rsid w:val="00994A42"/>
    <w:rsid w:val="00994D41"/>
    <w:rsid w:val="00995648"/>
    <w:rsid w:val="009956D5"/>
    <w:rsid w:val="00995EBF"/>
    <w:rsid w:val="00995F44"/>
    <w:rsid w:val="009961D1"/>
    <w:rsid w:val="00996307"/>
    <w:rsid w:val="0099643A"/>
    <w:rsid w:val="00996F2C"/>
    <w:rsid w:val="00997073"/>
    <w:rsid w:val="009977A8"/>
    <w:rsid w:val="009A0E2C"/>
    <w:rsid w:val="009A1230"/>
    <w:rsid w:val="009A160B"/>
    <w:rsid w:val="009A1CE7"/>
    <w:rsid w:val="009A1E02"/>
    <w:rsid w:val="009A1F29"/>
    <w:rsid w:val="009A2335"/>
    <w:rsid w:val="009A24A7"/>
    <w:rsid w:val="009A2F54"/>
    <w:rsid w:val="009A3789"/>
    <w:rsid w:val="009A37CC"/>
    <w:rsid w:val="009A3C70"/>
    <w:rsid w:val="009A3CCB"/>
    <w:rsid w:val="009A479C"/>
    <w:rsid w:val="009A544B"/>
    <w:rsid w:val="009A6661"/>
    <w:rsid w:val="009A70AC"/>
    <w:rsid w:val="009A7A48"/>
    <w:rsid w:val="009B075F"/>
    <w:rsid w:val="009B093B"/>
    <w:rsid w:val="009B0E2B"/>
    <w:rsid w:val="009B1607"/>
    <w:rsid w:val="009B1D06"/>
    <w:rsid w:val="009B1F16"/>
    <w:rsid w:val="009B2CD9"/>
    <w:rsid w:val="009B3BFA"/>
    <w:rsid w:val="009B3F96"/>
    <w:rsid w:val="009B41F6"/>
    <w:rsid w:val="009B4A69"/>
    <w:rsid w:val="009B53F8"/>
    <w:rsid w:val="009B5587"/>
    <w:rsid w:val="009B56D6"/>
    <w:rsid w:val="009B594A"/>
    <w:rsid w:val="009B5964"/>
    <w:rsid w:val="009B59D6"/>
    <w:rsid w:val="009B649B"/>
    <w:rsid w:val="009B6522"/>
    <w:rsid w:val="009B6693"/>
    <w:rsid w:val="009B6B8C"/>
    <w:rsid w:val="009B7D12"/>
    <w:rsid w:val="009B7E39"/>
    <w:rsid w:val="009B7EBF"/>
    <w:rsid w:val="009C091F"/>
    <w:rsid w:val="009C1112"/>
    <w:rsid w:val="009C2886"/>
    <w:rsid w:val="009C2E8C"/>
    <w:rsid w:val="009C2EEC"/>
    <w:rsid w:val="009C2F64"/>
    <w:rsid w:val="009C3489"/>
    <w:rsid w:val="009C364D"/>
    <w:rsid w:val="009C3BAF"/>
    <w:rsid w:val="009C3E5C"/>
    <w:rsid w:val="009C429A"/>
    <w:rsid w:val="009C469F"/>
    <w:rsid w:val="009C4A58"/>
    <w:rsid w:val="009C4AB8"/>
    <w:rsid w:val="009C4D79"/>
    <w:rsid w:val="009C4DF6"/>
    <w:rsid w:val="009C5310"/>
    <w:rsid w:val="009C5717"/>
    <w:rsid w:val="009C572B"/>
    <w:rsid w:val="009C6430"/>
    <w:rsid w:val="009C7147"/>
    <w:rsid w:val="009C77B1"/>
    <w:rsid w:val="009C7DB7"/>
    <w:rsid w:val="009D073A"/>
    <w:rsid w:val="009D0E70"/>
    <w:rsid w:val="009D0F51"/>
    <w:rsid w:val="009D1382"/>
    <w:rsid w:val="009D163A"/>
    <w:rsid w:val="009D19DF"/>
    <w:rsid w:val="009D1B28"/>
    <w:rsid w:val="009D1DC0"/>
    <w:rsid w:val="009D1F21"/>
    <w:rsid w:val="009D305E"/>
    <w:rsid w:val="009D33C4"/>
    <w:rsid w:val="009D4392"/>
    <w:rsid w:val="009D4784"/>
    <w:rsid w:val="009D4F24"/>
    <w:rsid w:val="009D51DB"/>
    <w:rsid w:val="009D5718"/>
    <w:rsid w:val="009D57C5"/>
    <w:rsid w:val="009D5B8F"/>
    <w:rsid w:val="009D6C01"/>
    <w:rsid w:val="009D71A9"/>
    <w:rsid w:val="009E0207"/>
    <w:rsid w:val="009E137F"/>
    <w:rsid w:val="009E1717"/>
    <w:rsid w:val="009E1737"/>
    <w:rsid w:val="009E1F38"/>
    <w:rsid w:val="009E22C8"/>
    <w:rsid w:val="009E2537"/>
    <w:rsid w:val="009E26BA"/>
    <w:rsid w:val="009E3052"/>
    <w:rsid w:val="009E38E5"/>
    <w:rsid w:val="009E3A55"/>
    <w:rsid w:val="009E3EDF"/>
    <w:rsid w:val="009E4189"/>
    <w:rsid w:val="009E41C0"/>
    <w:rsid w:val="009E4261"/>
    <w:rsid w:val="009E4561"/>
    <w:rsid w:val="009E492A"/>
    <w:rsid w:val="009E4A46"/>
    <w:rsid w:val="009E5246"/>
    <w:rsid w:val="009E60DC"/>
    <w:rsid w:val="009E62BC"/>
    <w:rsid w:val="009E6B21"/>
    <w:rsid w:val="009E7E3B"/>
    <w:rsid w:val="009E7F6E"/>
    <w:rsid w:val="009F0336"/>
    <w:rsid w:val="009F0427"/>
    <w:rsid w:val="009F0538"/>
    <w:rsid w:val="009F0770"/>
    <w:rsid w:val="009F08EA"/>
    <w:rsid w:val="009F0F10"/>
    <w:rsid w:val="009F16BE"/>
    <w:rsid w:val="009F1EF6"/>
    <w:rsid w:val="009F31F9"/>
    <w:rsid w:val="009F4657"/>
    <w:rsid w:val="009F47EE"/>
    <w:rsid w:val="009F50AE"/>
    <w:rsid w:val="009F52F8"/>
    <w:rsid w:val="009F5AE6"/>
    <w:rsid w:val="009F63AD"/>
    <w:rsid w:val="009F65AA"/>
    <w:rsid w:val="009F6689"/>
    <w:rsid w:val="009F6CF0"/>
    <w:rsid w:val="009F6E1C"/>
    <w:rsid w:val="009F786D"/>
    <w:rsid w:val="009F7911"/>
    <w:rsid w:val="009F7914"/>
    <w:rsid w:val="009F7969"/>
    <w:rsid w:val="009F7975"/>
    <w:rsid w:val="009F7E9D"/>
    <w:rsid w:val="00A000F7"/>
    <w:rsid w:val="00A0186E"/>
    <w:rsid w:val="00A01A83"/>
    <w:rsid w:val="00A03400"/>
    <w:rsid w:val="00A036B7"/>
    <w:rsid w:val="00A03D88"/>
    <w:rsid w:val="00A03F0B"/>
    <w:rsid w:val="00A04090"/>
    <w:rsid w:val="00A0419E"/>
    <w:rsid w:val="00A04598"/>
    <w:rsid w:val="00A048D3"/>
    <w:rsid w:val="00A04B28"/>
    <w:rsid w:val="00A04F28"/>
    <w:rsid w:val="00A0524F"/>
    <w:rsid w:val="00A05323"/>
    <w:rsid w:val="00A063BA"/>
    <w:rsid w:val="00A06D84"/>
    <w:rsid w:val="00A074DA"/>
    <w:rsid w:val="00A07827"/>
    <w:rsid w:val="00A100EE"/>
    <w:rsid w:val="00A10853"/>
    <w:rsid w:val="00A10898"/>
    <w:rsid w:val="00A11081"/>
    <w:rsid w:val="00A1120D"/>
    <w:rsid w:val="00A11A79"/>
    <w:rsid w:val="00A11CF3"/>
    <w:rsid w:val="00A11FE5"/>
    <w:rsid w:val="00A1204E"/>
    <w:rsid w:val="00A121B0"/>
    <w:rsid w:val="00A123C0"/>
    <w:rsid w:val="00A12F3C"/>
    <w:rsid w:val="00A1323D"/>
    <w:rsid w:val="00A13B27"/>
    <w:rsid w:val="00A14125"/>
    <w:rsid w:val="00A1568B"/>
    <w:rsid w:val="00A15FF1"/>
    <w:rsid w:val="00A16714"/>
    <w:rsid w:val="00A16AD0"/>
    <w:rsid w:val="00A17306"/>
    <w:rsid w:val="00A1783B"/>
    <w:rsid w:val="00A2002E"/>
    <w:rsid w:val="00A20470"/>
    <w:rsid w:val="00A206FD"/>
    <w:rsid w:val="00A20FD7"/>
    <w:rsid w:val="00A210D9"/>
    <w:rsid w:val="00A21D9A"/>
    <w:rsid w:val="00A22940"/>
    <w:rsid w:val="00A22950"/>
    <w:rsid w:val="00A229C8"/>
    <w:rsid w:val="00A2329B"/>
    <w:rsid w:val="00A2370B"/>
    <w:rsid w:val="00A2472D"/>
    <w:rsid w:val="00A261C2"/>
    <w:rsid w:val="00A26534"/>
    <w:rsid w:val="00A2659A"/>
    <w:rsid w:val="00A268E3"/>
    <w:rsid w:val="00A26A4F"/>
    <w:rsid w:val="00A26BEB"/>
    <w:rsid w:val="00A270A2"/>
    <w:rsid w:val="00A27391"/>
    <w:rsid w:val="00A27427"/>
    <w:rsid w:val="00A2768A"/>
    <w:rsid w:val="00A279AE"/>
    <w:rsid w:val="00A27C79"/>
    <w:rsid w:val="00A27EE9"/>
    <w:rsid w:val="00A307C0"/>
    <w:rsid w:val="00A311B3"/>
    <w:rsid w:val="00A324D6"/>
    <w:rsid w:val="00A32761"/>
    <w:rsid w:val="00A32F0E"/>
    <w:rsid w:val="00A3321E"/>
    <w:rsid w:val="00A335F2"/>
    <w:rsid w:val="00A336DF"/>
    <w:rsid w:val="00A33A79"/>
    <w:rsid w:val="00A33D55"/>
    <w:rsid w:val="00A33EB4"/>
    <w:rsid w:val="00A35EA3"/>
    <w:rsid w:val="00A36A24"/>
    <w:rsid w:val="00A36C2B"/>
    <w:rsid w:val="00A3790E"/>
    <w:rsid w:val="00A37D61"/>
    <w:rsid w:val="00A40465"/>
    <w:rsid w:val="00A40718"/>
    <w:rsid w:val="00A40C28"/>
    <w:rsid w:val="00A40FC0"/>
    <w:rsid w:val="00A41195"/>
    <w:rsid w:val="00A41365"/>
    <w:rsid w:val="00A416CA"/>
    <w:rsid w:val="00A419C1"/>
    <w:rsid w:val="00A41E92"/>
    <w:rsid w:val="00A42BB1"/>
    <w:rsid w:val="00A43B64"/>
    <w:rsid w:val="00A448C2"/>
    <w:rsid w:val="00A44B6B"/>
    <w:rsid w:val="00A454F0"/>
    <w:rsid w:val="00A4563E"/>
    <w:rsid w:val="00A46176"/>
    <w:rsid w:val="00A467AE"/>
    <w:rsid w:val="00A46E29"/>
    <w:rsid w:val="00A47390"/>
    <w:rsid w:val="00A47766"/>
    <w:rsid w:val="00A47F1C"/>
    <w:rsid w:val="00A50246"/>
    <w:rsid w:val="00A50CDF"/>
    <w:rsid w:val="00A50F1F"/>
    <w:rsid w:val="00A51A11"/>
    <w:rsid w:val="00A51D80"/>
    <w:rsid w:val="00A52266"/>
    <w:rsid w:val="00A53277"/>
    <w:rsid w:val="00A53382"/>
    <w:rsid w:val="00A53813"/>
    <w:rsid w:val="00A53932"/>
    <w:rsid w:val="00A53B77"/>
    <w:rsid w:val="00A542BE"/>
    <w:rsid w:val="00A5456A"/>
    <w:rsid w:val="00A54F9B"/>
    <w:rsid w:val="00A55B5C"/>
    <w:rsid w:val="00A55EA8"/>
    <w:rsid w:val="00A56122"/>
    <w:rsid w:val="00A561AC"/>
    <w:rsid w:val="00A57727"/>
    <w:rsid w:val="00A57842"/>
    <w:rsid w:val="00A57987"/>
    <w:rsid w:val="00A60164"/>
    <w:rsid w:val="00A6036B"/>
    <w:rsid w:val="00A61040"/>
    <w:rsid w:val="00A61C60"/>
    <w:rsid w:val="00A61C79"/>
    <w:rsid w:val="00A61CD7"/>
    <w:rsid w:val="00A61E0F"/>
    <w:rsid w:val="00A61EDA"/>
    <w:rsid w:val="00A61F69"/>
    <w:rsid w:val="00A62A7F"/>
    <w:rsid w:val="00A63011"/>
    <w:rsid w:val="00A6307A"/>
    <w:rsid w:val="00A63A8C"/>
    <w:rsid w:val="00A63BEA"/>
    <w:rsid w:val="00A646E0"/>
    <w:rsid w:val="00A65757"/>
    <w:rsid w:val="00A65C40"/>
    <w:rsid w:val="00A660DC"/>
    <w:rsid w:val="00A6633D"/>
    <w:rsid w:val="00A66726"/>
    <w:rsid w:val="00A66BD4"/>
    <w:rsid w:val="00A67BEE"/>
    <w:rsid w:val="00A70830"/>
    <w:rsid w:val="00A70E5D"/>
    <w:rsid w:val="00A70FC2"/>
    <w:rsid w:val="00A71339"/>
    <w:rsid w:val="00A72031"/>
    <w:rsid w:val="00A72A13"/>
    <w:rsid w:val="00A73A57"/>
    <w:rsid w:val="00A7465D"/>
    <w:rsid w:val="00A74683"/>
    <w:rsid w:val="00A74E13"/>
    <w:rsid w:val="00A755D8"/>
    <w:rsid w:val="00A75A80"/>
    <w:rsid w:val="00A75DB0"/>
    <w:rsid w:val="00A764F2"/>
    <w:rsid w:val="00A76FEF"/>
    <w:rsid w:val="00A77188"/>
    <w:rsid w:val="00A774FF"/>
    <w:rsid w:val="00A77994"/>
    <w:rsid w:val="00A779BC"/>
    <w:rsid w:val="00A80267"/>
    <w:rsid w:val="00A804BA"/>
    <w:rsid w:val="00A80DCA"/>
    <w:rsid w:val="00A80EF6"/>
    <w:rsid w:val="00A8159E"/>
    <w:rsid w:val="00A815CD"/>
    <w:rsid w:val="00A8174F"/>
    <w:rsid w:val="00A824A6"/>
    <w:rsid w:val="00A82E9C"/>
    <w:rsid w:val="00A83555"/>
    <w:rsid w:val="00A8357D"/>
    <w:rsid w:val="00A836BF"/>
    <w:rsid w:val="00A83B2E"/>
    <w:rsid w:val="00A83B4A"/>
    <w:rsid w:val="00A844BE"/>
    <w:rsid w:val="00A84518"/>
    <w:rsid w:val="00A84B87"/>
    <w:rsid w:val="00A85DBC"/>
    <w:rsid w:val="00A8600F"/>
    <w:rsid w:val="00A86065"/>
    <w:rsid w:val="00A86D04"/>
    <w:rsid w:val="00A874C7"/>
    <w:rsid w:val="00A87F33"/>
    <w:rsid w:val="00A90291"/>
    <w:rsid w:val="00A90538"/>
    <w:rsid w:val="00A908DD"/>
    <w:rsid w:val="00A9097A"/>
    <w:rsid w:val="00A90CDA"/>
    <w:rsid w:val="00A92DDB"/>
    <w:rsid w:val="00A92E42"/>
    <w:rsid w:val="00A92F13"/>
    <w:rsid w:val="00A935C9"/>
    <w:rsid w:val="00A9396B"/>
    <w:rsid w:val="00A93C60"/>
    <w:rsid w:val="00A94317"/>
    <w:rsid w:val="00A9442D"/>
    <w:rsid w:val="00A9454A"/>
    <w:rsid w:val="00A94FC0"/>
    <w:rsid w:val="00A94FFD"/>
    <w:rsid w:val="00A95692"/>
    <w:rsid w:val="00A978E5"/>
    <w:rsid w:val="00A97A51"/>
    <w:rsid w:val="00A97D3F"/>
    <w:rsid w:val="00AA14D2"/>
    <w:rsid w:val="00AA164E"/>
    <w:rsid w:val="00AA181B"/>
    <w:rsid w:val="00AA2144"/>
    <w:rsid w:val="00AA2309"/>
    <w:rsid w:val="00AA23D0"/>
    <w:rsid w:val="00AA24BF"/>
    <w:rsid w:val="00AA2595"/>
    <w:rsid w:val="00AA2F10"/>
    <w:rsid w:val="00AA3777"/>
    <w:rsid w:val="00AA4909"/>
    <w:rsid w:val="00AA4E7D"/>
    <w:rsid w:val="00AA4EA3"/>
    <w:rsid w:val="00AA555F"/>
    <w:rsid w:val="00AA6B6E"/>
    <w:rsid w:val="00AA6D00"/>
    <w:rsid w:val="00AA7280"/>
    <w:rsid w:val="00AA740C"/>
    <w:rsid w:val="00AA7E3D"/>
    <w:rsid w:val="00AB09CC"/>
    <w:rsid w:val="00AB1649"/>
    <w:rsid w:val="00AB2893"/>
    <w:rsid w:val="00AB3025"/>
    <w:rsid w:val="00AB4218"/>
    <w:rsid w:val="00AB4D7C"/>
    <w:rsid w:val="00AB51FF"/>
    <w:rsid w:val="00AB6B98"/>
    <w:rsid w:val="00AB739E"/>
    <w:rsid w:val="00AB751A"/>
    <w:rsid w:val="00AB7C55"/>
    <w:rsid w:val="00AB7F89"/>
    <w:rsid w:val="00AC18F6"/>
    <w:rsid w:val="00AC1D67"/>
    <w:rsid w:val="00AC1F3C"/>
    <w:rsid w:val="00AC28D3"/>
    <w:rsid w:val="00AC2B6D"/>
    <w:rsid w:val="00AC30A5"/>
    <w:rsid w:val="00AC315C"/>
    <w:rsid w:val="00AC3373"/>
    <w:rsid w:val="00AC33D1"/>
    <w:rsid w:val="00AC3408"/>
    <w:rsid w:val="00AC3F19"/>
    <w:rsid w:val="00AC4640"/>
    <w:rsid w:val="00AC5A9F"/>
    <w:rsid w:val="00AC5D32"/>
    <w:rsid w:val="00AC5E42"/>
    <w:rsid w:val="00AC5F79"/>
    <w:rsid w:val="00AC6139"/>
    <w:rsid w:val="00AC6AD7"/>
    <w:rsid w:val="00AC6AD9"/>
    <w:rsid w:val="00AC73A5"/>
    <w:rsid w:val="00AC7C8E"/>
    <w:rsid w:val="00AC7D06"/>
    <w:rsid w:val="00AD0355"/>
    <w:rsid w:val="00AD0604"/>
    <w:rsid w:val="00AD0D14"/>
    <w:rsid w:val="00AD100D"/>
    <w:rsid w:val="00AD1426"/>
    <w:rsid w:val="00AD1623"/>
    <w:rsid w:val="00AD1B47"/>
    <w:rsid w:val="00AD23DD"/>
    <w:rsid w:val="00AD25A0"/>
    <w:rsid w:val="00AD2DE7"/>
    <w:rsid w:val="00AD2E18"/>
    <w:rsid w:val="00AD31E1"/>
    <w:rsid w:val="00AD3D8F"/>
    <w:rsid w:val="00AD3E91"/>
    <w:rsid w:val="00AD4148"/>
    <w:rsid w:val="00AD489B"/>
    <w:rsid w:val="00AD4B4A"/>
    <w:rsid w:val="00AD4B62"/>
    <w:rsid w:val="00AD4C39"/>
    <w:rsid w:val="00AD4CCB"/>
    <w:rsid w:val="00AD5407"/>
    <w:rsid w:val="00AD5AFA"/>
    <w:rsid w:val="00AD5CCC"/>
    <w:rsid w:val="00AD5E6D"/>
    <w:rsid w:val="00AD6EA1"/>
    <w:rsid w:val="00AD6F97"/>
    <w:rsid w:val="00AE0176"/>
    <w:rsid w:val="00AE0E06"/>
    <w:rsid w:val="00AE1989"/>
    <w:rsid w:val="00AE1DDE"/>
    <w:rsid w:val="00AE3219"/>
    <w:rsid w:val="00AE3A80"/>
    <w:rsid w:val="00AE3C09"/>
    <w:rsid w:val="00AE479D"/>
    <w:rsid w:val="00AE4A18"/>
    <w:rsid w:val="00AE4BCE"/>
    <w:rsid w:val="00AE4D1B"/>
    <w:rsid w:val="00AE4D73"/>
    <w:rsid w:val="00AE59E7"/>
    <w:rsid w:val="00AE6DEB"/>
    <w:rsid w:val="00AE6FD8"/>
    <w:rsid w:val="00AE76BA"/>
    <w:rsid w:val="00AE76EA"/>
    <w:rsid w:val="00AF04B2"/>
    <w:rsid w:val="00AF0516"/>
    <w:rsid w:val="00AF1205"/>
    <w:rsid w:val="00AF123C"/>
    <w:rsid w:val="00AF148C"/>
    <w:rsid w:val="00AF14EA"/>
    <w:rsid w:val="00AF1A22"/>
    <w:rsid w:val="00AF1C16"/>
    <w:rsid w:val="00AF397A"/>
    <w:rsid w:val="00AF4215"/>
    <w:rsid w:val="00AF42C6"/>
    <w:rsid w:val="00AF42FB"/>
    <w:rsid w:val="00AF4B3C"/>
    <w:rsid w:val="00AF4E6A"/>
    <w:rsid w:val="00AF4FD3"/>
    <w:rsid w:val="00AF55A3"/>
    <w:rsid w:val="00AF567B"/>
    <w:rsid w:val="00AF67D0"/>
    <w:rsid w:val="00AF6822"/>
    <w:rsid w:val="00AF6A5D"/>
    <w:rsid w:val="00AF6BE3"/>
    <w:rsid w:val="00AF796E"/>
    <w:rsid w:val="00AF7D64"/>
    <w:rsid w:val="00B000C0"/>
    <w:rsid w:val="00B00493"/>
    <w:rsid w:val="00B00528"/>
    <w:rsid w:val="00B00B0B"/>
    <w:rsid w:val="00B00F58"/>
    <w:rsid w:val="00B010D7"/>
    <w:rsid w:val="00B01176"/>
    <w:rsid w:val="00B01C43"/>
    <w:rsid w:val="00B023E7"/>
    <w:rsid w:val="00B0258D"/>
    <w:rsid w:val="00B025C3"/>
    <w:rsid w:val="00B026C0"/>
    <w:rsid w:val="00B026C4"/>
    <w:rsid w:val="00B02A0B"/>
    <w:rsid w:val="00B0407F"/>
    <w:rsid w:val="00B048F0"/>
    <w:rsid w:val="00B04D29"/>
    <w:rsid w:val="00B05377"/>
    <w:rsid w:val="00B05677"/>
    <w:rsid w:val="00B057B2"/>
    <w:rsid w:val="00B05A3C"/>
    <w:rsid w:val="00B05F81"/>
    <w:rsid w:val="00B06221"/>
    <w:rsid w:val="00B06323"/>
    <w:rsid w:val="00B065E1"/>
    <w:rsid w:val="00B06735"/>
    <w:rsid w:val="00B06AEF"/>
    <w:rsid w:val="00B06B8B"/>
    <w:rsid w:val="00B070A3"/>
    <w:rsid w:val="00B072A5"/>
    <w:rsid w:val="00B1021D"/>
    <w:rsid w:val="00B106E4"/>
    <w:rsid w:val="00B10D1A"/>
    <w:rsid w:val="00B1126B"/>
    <w:rsid w:val="00B11C93"/>
    <w:rsid w:val="00B1218A"/>
    <w:rsid w:val="00B122D2"/>
    <w:rsid w:val="00B125EA"/>
    <w:rsid w:val="00B1295D"/>
    <w:rsid w:val="00B136AF"/>
    <w:rsid w:val="00B13987"/>
    <w:rsid w:val="00B140F6"/>
    <w:rsid w:val="00B141EF"/>
    <w:rsid w:val="00B14849"/>
    <w:rsid w:val="00B1484E"/>
    <w:rsid w:val="00B15A9C"/>
    <w:rsid w:val="00B1632B"/>
    <w:rsid w:val="00B16489"/>
    <w:rsid w:val="00B16C7E"/>
    <w:rsid w:val="00B17850"/>
    <w:rsid w:val="00B20315"/>
    <w:rsid w:val="00B2077F"/>
    <w:rsid w:val="00B207E8"/>
    <w:rsid w:val="00B20BE6"/>
    <w:rsid w:val="00B2166D"/>
    <w:rsid w:val="00B22F6A"/>
    <w:rsid w:val="00B233B7"/>
    <w:rsid w:val="00B24AEB"/>
    <w:rsid w:val="00B24BD6"/>
    <w:rsid w:val="00B24CEA"/>
    <w:rsid w:val="00B2545D"/>
    <w:rsid w:val="00B25569"/>
    <w:rsid w:val="00B25947"/>
    <w:rsid w:val="00B25DE2"/>
    <w:rsid w:val="00B26106"/>
    <w:rsid w:val="00B2610F"/>
    <w:rsid w:val="00B2631F"/>
    <w:rsid w:val="00B271B6"/>
    <w:rsid w:val="00B274B5"/>
    <w:rsid w:val="00B279BB"/>
    <w:rsid w:val="00B27B97"/>
    <w:rsid w:val="00B27CBA"/>
    <w:rsid w:val="00B303DA"/>
    <w:rsid w:val="00B306CF"/>
    <w:rsid w:val="00B3085B"/>
    <w:rsid w:val="00B30A8D"/>
    <w:rsid w:val="00B30C05"/>
    <w:rsid w:val="00B30C8E"/>
    <w:rsid w:val="00B3199F"/>
    <w:rsid w:val="00B31F9B"/>
    <w:rsid w:val="00B31FF7"/>
    <w:rsid w:val="00B32F68"/>
    <w:rsid w:val="00B33964"/>
    <w:rsid w:val="00B33BA4"/>
    <w:rsid w:val="00B33C7B"/>
    <w:rsid w:val="00B33D20"/>
    <w:rsid w:val="00B33EBF"/>
    <w:rsid w:val="00B33FBB"/>
    <w:rsid w:val="00B3434C"/>
    <w:rsid w:val="00B34B95"/>
    <w:rsid w:val="00B34DD4"/>
    <w:rsid w:val="00B35040"/>
    <w:rsid w:val="00B3507A"/>
    <w:rsid w:val="00B3531A"/>
    <w:rsid w:val="00B35336"/>
    <w:rsid w:val="00B36DCD"/>
    <w:rsid w:val="00B3715B"/>
    <w:rsid w:val="00B37169"/>
    <w:rsid w:val="00B37CAA"/>
    <w:rsid w:val="00B37E7D"/>
    <w:rsid w:val="00B410BE"/>
    <w:rsid w:val="00B410D5"/>
    <w:rsid w:val="00B41856"/>
    <w:rsid w:val="00B41AA1"/>
    <w:rsid w:val="00B41C40"/>
    <w:rsid w:val="00B431D1"/>
    <w:rsid w:val="00B43AAC"/>
    <w:rsid w:val="00B4468A"/>
    <w:rsid w:val="00B455DD"/>
    <w:rsid w:val="00B46718"/>
    <w:rsid w:val="00B46D60"/>
    <w:rsid w:val="00B46DE6"/>
    <w:rsid w:val="00B47D93"/>
    <w:rsid w:val="00B505CC"/>
    <w:rsid w:val="00B506D0"/>
    <w:rsid w:val="00B50B9C"/>
    <w:rsid w:val="00B50E42"/>
    <w:rsid w:val="00B514AB"/>
    <w:rsid w:val="00B515F7"/>
    <w:rsid w:val="00B52134"/>
    <w:rsid w:val="00B528AE"/>
    <w:rsid w:val="00B53972"/>
    <w:rsid w:val="00B54607"/>
    <w:rsid w:val="00B54862"/>
    <w:rsid w:val="00B54880"/>
    <w:rsid w:val="00B55A82"/>
    <w:rsid w:val="00B55CA9"/>
    <w:rsid w:val="00B55F8D"/>
    <w:rsid w:val="00B56409"/>
    <w:rsid w:val="00B566E7"/>
    <w:rsid w:val="00B577C3"/>
    <w:rsid w:val="00B5785F"/>
    <w:rsid w:val="00B603FF"/>
    <w:rsid w:val="00B606A8"/>
    <w:rsid w:val="00B607B8"/>
    <w:rsid w:val="00B61757"/>
    <w:rsid w:val="00B61E88"/>
    <w:rsid w:val="00B6201D"/>
    <w:rsid w:val="00B620AC"/>
    <w:rsid w:val="00B6269D"/>
    <w:rsid w:val="00B62B83"/>
    <w:rsid w:val="00B63007"/>
    <w:rsid w:val="00B64139"/>
    <w:rsid w:val="00B64C12"/>
    <w:rsid w:val="00B654AD"/>
    <w:rsid w:val="00B658B3"/>
    <w:rsid w:val="00B6594E"/>
    <w:rsid w:val="00B65DA5"/>
    <w:rsid w:val="00B667CA"/>
    <w:rsid w:val="00B66B72"/>
    <w:rsid w:val="00B66B85"/>
    <w:rsid w:val="00B670AC"/>
    <w:rsid w:val="00B67170"/>
    <w:rsid w:val="00B674E9"/>
    <w:rsid w:val="00B676AF"/>
    <w:rsid w:val="00B67832"/>
    <w:rsid w:val="00B679D4"/>
    <w:rsid w:val="00B67D56"/>
    <w:rsid w:val="00B70CF2"/>
    <w:rsid w:val="00B70DAF"/>
    <w:rsid w:val="00B71F5D"/>
    <w:rsid w:val="00B72530"/>
    <w:rsid w:val="00B7253A"/>
    <w:rsid w:val="00B72A19"/>
    <w:rsid w:val="00B72D7A"/>
    <w:rsid w:val="00B72DA4"/>
    <w:rsid w:val="00B72E1C"/>
    <w:rsid w:val="00B7306F"/>
    <w:rsid w:val="00B73779"/>
    <w:rsid w:val="00B73FEE"/>
    <w:rsid w:val="00B73FF0"/>
    <w:rsid w:val="00B74D0A"/>
    <w:rsid w:val="00B74DD0"/>
    <w:rsid w:val="00B755B3"/>
    <w:rsid w:val="00B75D43"/>
    <w:rsid w:val="00B76FA5"/>
    <w:rsid w:val="00B76FEE"/>
    <w:rsid w:val="00B77013"/>
    <w:rsid w:val="00B77215"/>
    <w:rsid w:val="00B7765F"/>
    <w:rsid w:val="00B7783F"/>
    <w:rsid w:val="00B77ECC"/>
    <w:rsid w:val="00B807B9"/>
    <w:rsid w:val="00B809FD"/>
    <w:rsid w:val="00B80B14"/>
    <w:rsid w:val="00B80CCB"/>
    <w:rsid w:val="00B80FCA"/>
    <w:rsid w:val="00B8137F"/>
    <w:rsid w:val="00B81562"/>
    <w:rsid w:val="00B81889"/>
    <w:rsid w:val="00B81AEA"/>
    <w:rsid w:val="00B81FA3"/>
    <w:rsid w:val="00B8276F"/>
    <w:rsid w:val="00B8282F"/>
    <w:rsid w:val="00B828F6"/>
    <w:rsid w:val="00B82C47"/>
    <w:rsid w:val="00B8360A"/>
    <w:rsid w:val="00B840B2"/>
    <w:rsid w:val="00B8460A"/>
    <w:rsid w:val="00B84921"/>
    <w:rsid w:val="00B84AB9"/>
    <w:rsid w:val="00B84D06"/>
    <w:rsid w:val="00B850AE"/>
    <w:rsid w:val="00B850DF"/>
    <w:rsid w:val="00B8562B"/>
    <w:rsid w:val="00B85C9B"/>
    <w:rsid w:val="00B8604D"/>
    <w:rsid w:val="00B8647D"/>
    <w:rsid w:val="00B86F7F"/>
    <w:rsid w:val="00B86FB3"/>
    <w:rsid w:val="00B8711C"/>
    <w:rsid w:val="00B872BE"/>
    <w:rsid w:val="00B87568"/>
    <w:rsid w:val="00B878DD"/>
    <w:rsid w:val="00B87B79"/>
    <w:rsid w:val="00B87BC8"/>
    <w:rsid w:val="00B90337"/>
    <w:rsid w:val="00B90779"/>
    <w:rsid w:val="00B90CD6"/>
    <w:rsid w:val="00B90F4B"/>
    <w:rsid w:val="00B92049"/>
    <w:rsid w:val="00B934BA"/>
    <w:rsid w:val="00B93F30"/>
    <w:rsid w:val="00B943BE"/>
    <w:rsid w:val="00B94621"/>
    <w:rsid w:val="00B950CC"/>
    <w:rsid w:val="00B95830"/>
    <w:rsid w:val="00B9594E"/>
    <w:rsid w:val="00B95F9C"/>
    <w:rsid w:val="00B96082"/>
    <w:rsid w:val="00B967A5"/>
    <w:rsid w:val="00B96EDF"/>
    <w:rsid w:val="00B9705C"/>
    <w:rsid w:val="00B971A2"/>
    <w:rsid w:val="00B9744E"/>
    <w:rsid w:val="00B979C3"/>
    <w:rsid w:val="00B97D95"/>
    <w:rsid w:val="00BA013F"/>
    <w:rsid w:val="00BA040B"/>
    <w:rsid w:val="00BA09B8"/>
    <w:rsid w:val="00BA1E04"/>
    <w:rsid w:val="00BA29FA"/>
    <w:rsid w:val="00BA31B7"/>
    <w:rsid w:val="00BA4839"/>
    <w:rsid w:val="00BA4B5B"/>
    <w:rsid w:val="00BA4CE5"/>
    <w:rsid w:val="00BA558E"/>
    <w:rsid w:val="00BA5B80"/>
    <w:rsid w:val="00BA5CC5"/>
    <w:rsid w:val="00BA6440"/>
    <w:rsid w:val="00BA7234"/>
    <w:rsid w:val="00BB0C17"/>
    <w:rsid w:val="00BB15DF"/>
    <w:rsid w:val="00BB17B6"/>
    <w:rsid w:val="00BB1922"/>
    <w:rsid w:val="00BB1F11"/>
    <w:rsid w:val="00BB2961"/>
    <w:rsid w:val="00BB296B"/>
    <w:rsid w:val="00BB2AF5"/>
    <w:rsid w:val="00BB3129"/>
    <w:rsid w:val="00BB3850"/>
    <w:rsid w:val="00BB3B2B"/>
    <w:rsid w:val="00BB3C9C"/>
    <w:rsid w:val="00BB3E7C"/>
    <w:rsid w:val="00BB41F3"/>
    <w:rsid w:val="00BB4988"/>
    <w:rsid w:val="00BB55D4"/>
    <w:rsid w:val="00BB628C"/>
    <w:rsid w:val="00BB660D"/>
    <w:rsid w:val="00BB66D7"/>
    <w:rsid w:val="00BB7133"/>
    <w:rsid w:val="00BB7574"/>
    <w:rsid w:val="00BB76C0"/>
    <w:rsid w:val="00BB78BC"/>
    <w:rsid w:val="00BC0603"/>
    <w:rsid w:val="00BC0662"/>
    <w:rsid w:val="00BC29D7"/>
    <w:rsid w:val="00BC32A0"/>
    <w:rsid w:val="00BC33EB"/>
    <w:rsid w:val="00BC3677"/>
    <w:rsid w:val="00BC5145"/>
    <w:rsid w:val="00BC6122"/>
    <w:rsid w:val="00BC6417"/>
    <w:rsid w:val="00BC6F43"/>
    <w:rsid w:val="00BC799A"/>
    <w:rsid w:val="00BC7E61"/>
    <w:rsid w:val="00BD015E"/>
    <w:rsid w:val="00BD08ED"/>
    <w:rsid w:val="00BD15A1"/>
    <w:rsid w:val="00BD16AD"/>
    <w:rsid w:val="00BD1B91"/>
    <w:rsid w:val="00BD2652"/>
    <w:rsid w:val="00BD34C8"/>
    <w:rsid w:val="00BD3C46"/>
    <w:rsid w:val="00BD3D05"/>
    <w:rsid w:val="00BD444E"/>
    <w:rsid w:val="00BD48CA"/>
    <w:rsid w:val="00BD4CCC"/>
    <w:rsid w:val="00BD4F24"/>
    <w:rsid w:val="00BD559F"/>
    <w:rsid w:val="00BD59F0"/>
    <w:rsid w:val="00BD5A34"/>
    <w:rsid w:val="00BD5C2C"/>
    <w:rsid w:val="00BD5EC9"/>
    <w:rsid w:val="00BD6307"/>
    <w:rsid w:val="00BD6986"/>
    <w:rsid w:val="00BD6D71"/>
    <w:rsid w:val="00BD7346"/>
    <w:rsid w:val="00BE0A46"/>
    <w:rsid w:val="00BE0BE7"/>
    <w:rsid w:val="00BE0C61"/>
    <w:rsid w:val="00BE1B19"/>
    <w:rsid w:val="00BE2049"/>
    <w:rsid w:val="00BE2374"/>
    <w:rsid w:val="00BE2D14"/>
    <w:rsid w:val="00BE2F7B"/>
    <w:rsid w:val="00BE359F"/>
    <w:rsid w:val="00BE36E8"/>
    <w:rsid w:val="00BE4311"/>
    <w:rsid w:val="00BE43DD"/>
    <w:rsid w:val="00BE4AC0"/>
    <w:rsid w:val="00BE4B82"/>
    <w:rsid w:val="00BE50D5"/>
    <w:rsid w:val="00BE6885"/>
    <w:rsid w:val="00BE74A1"/>
    <w:rsid w:val="00BF0498"/>
    <w:rsid w:val="00BF0741"/>
    <w:rsid w:val="00BF0953"/>
    <w:rsid w:val="00BF0AA1"/>
    <w:rsid w:val="00BF0C73"/>
    <w:rsid w:val="00BF17C6"/>
    <w:rsid w:val="00BF2136"/>
    <w:rsid w:val="00BF22AF"/>
    <w:rsid w:val="00BF3BEE"/>
    <w:rsid w:val="00BF3DE1"/>
    <w:rsid w:val="00BF43D6"/>
    <w:rsid w:val="00BF4458"/>
    <w:rsid w:val="00BF4610"/>
    <w:rsid w:val="00BF49B6"/>
    <w:rsid w:val="00BF5860"/>
    <w:rsid w:val="00BF7027"/>
    <w:rsid w:val="00BF7C30"/>
    <w:rsid w:val="00BF7D32"/>
    <w:rsid w:val="00C0035D"/>
    <w:rsid w:val="00C00911"/>
    <w:rsid w:val="00C00C29"/>
    <w:rsid w:val="00C00F43"/>
    <w:rsid w:val="00C011F4"/>
    <w:rsid w:val="00C011FA"/>
    <w:rsid w:val="00C01B67"/>
    <w:rsid w:val="00C01D00"/>
    <w:rsid w:val="00C025FA"/>
    <w:rsid w:val="00C026D4"/>
    <w:rsid w:val="00C02EAF"/>
    <w:rsid w:val="00C0348C"/>
    <w:rsid w:val="00C034A6"/>
    <w:rsid w:val="00C03C38"/>
    <w:rsid w:val="00C03C8F"/>
    <w:rsid w:val="00C03C98"/>
    <w:rsid w:val="00C04395"/>
    <w:rsid w:val="00C0491D"/>
    <w:rsid w:val="00C05273"/>
    <w:rsid w:val="00C05F65"/>
    <w:rsid w:val="00C06660"/>
    <w:rsid w:val="00C07289"/>
    <w:rsid w:val="00C0778F"/>
    <w:rsid w:val="00C07EFC"/>
    <w:rsid w:val="00C101BC"/>
    <w:rsid w:val="00C10615"/>
    <w:rsid w:val="00C112E9"/>
    <w:rsid w:val="00C123DD"/>
    <w:rsid w:val="00C13279"/>
    <w:rsid w:val="00C134D6"/>
    <w:rsid w:val="00C137F8"/>
    <w:rsid w:val="00C141BF"/>
    <w:rsid w:val="00C1451B"/>
    <w:rsid w:val="00C14F31"/>
    <w:rsid w:val="00C16070"/>
    <w:rsid w:val="00C16243"/>
    <w:rsid w:val="00C167A4"/>
    <w:rsid w:val="00C16CD1"/>
    <w:rsid w:val="00C170CA"/>
    <w:rsid w:val="00C17353"/>
    <w:rsid w:val="00C17A19"/>
    <w:rsid w:val="00C2050B"/>
    <w:rsid w:val="00C2051A"/>
    <w:rsid w:val="00C20780"/>
    <w:rsid w:val="00C20832"/>
    <w:rsid w:val="00C2100A"/>
    <w:rsid w:val="00C212B1"/>
    <w:rsid w:val="00C219ED"/>
    <w:rsid w:val="00C21BD6"/>
    <w:rsid w:val="00C21DA5"/>
    <w:rsid w:val="00C2287B"/>
    <w:rsid w:val="00C230A7"/>
    <w:rsid w:val="00C23229"/>
    <w:rsid w:val="00C23B74"/>
    <w:rsid w:val="00C23B9A"/>
    <w:rsid w:val="00C23EC2"/>
    <w:rsid w:val="00C24394"/>
    <w:rsid w:val="00C24570"/>
    <w:rsid w:val="00C24812"/>
    <w:rsid w:val="00C2496E"/>
    <w:rsid w:val="00C24E85"/>
    <w:rsid w:val="00C25C36"/>
    <w:rsid w:val="00C25CCA"/>
    <w:rsid w:val="00C25FAF"/>
    <w:rsid w:val="00C266A4"/>
    <w:rsid w:val="00C270D7"/>
    <w:rsid w:val="00C27137"/>
    <w:rsid w:val="00C27564"/>
    <w:rsid w:val="00C30C8F"/>
    <w:rsid w:val="00C30D2B"/>
    <w:rsid w:val="00C3105B"/>
    <w:rsid w:val="00C318CA"/>
    <w:rsid w:val="00C31D8E"/>
    <w:rsid w:val="00C31E6F"/>
    <w:rsid w:val="00C325CB"/>
    <w:rsid w:val="00C328C2"/>
    <w:rsid w:val="00C32A66"/>
    <w:rsid w:val="00C32AF3"/>
    <w:rsid w:val="00C33105"/>
    <w:rsid w:val="00C33CC1"/>
    <w:rsid w:val="00C33D2C"/>
    <w:rsid w:val="00C33E5A"/>
    <w:rsid w:val="00C33FD7"/>
    <w:rsid w:val="00C3426A"/>
    <w:rsid w:val="00C34689"/>
    <w:rsid w:val="00C3497F"/>
    <w:rsid w:val="00C34A6D"/>
    <w:rsid w:val="00C34C85"/>
    <w:rsid w:val="00C35AE5"/>
    <w:rsid w:val="00C35D78"/>
    <w:rsid w:val="00C3642C"/>
    <w:rsid w:val="00C3697A"/>
    <w:rsid w:val="00C3749E"/>
    <w:rsid w:val="00C3790D"/>
    <w:rsid w:val="00C37B3C"/>
    <w:rsid w:val="00C37BA1"/>
    <w:rsid w:val="00C37F52"/>
    <w:rsid w:val="00C40FF2"/>
    <w:rsid w:val="00C41230"/>
    <w:rsid w:val="00C415C8"/>
    <w:rsid w:val="00C41601"/>
    <w:rsid w:val="00C41D22"/>
    <w:rsid w:val="00C438F5"/>
    <w:rsid w:val="00C43A50"/>
    <w:rsid w:val="00C43FA1"/>
    <w:rsid w:val="00C44144"/>
    <w:rsid w:val="00C4499B"/>
    <w:rsid w:val="00C4499F"/>
    <w:rsid w:val="00C44C9E"/>
    <w:rsid w:val="00C44CC6"/>
    <w:rsid w:val="00C44D28"/>
    <w:rsid w:val="00C455F5"/>
    <w:rsid w:val="00C45BD9"/>
    <w:rsid w:val="00C45C38"/>
    <w:rsid w:val="00C46436"/>
    <w:rsid w:val="00C46C30"/>
    <w:rsid w:val="00C46D5D"/>
    <w:rsid w:val="00C46EE1"/>
    <w:rsid w:val="00C47623"/>
    <w:rsid w:val="00C47852"/>
    <w:rsid w:val="00C47BB1"/>
    <w:rsid w:val="00C50175"/>
    <w:rsid w:val="00C50339"/>
    <w:rsid w:val="00C50944"/>
    <w:rsid w:val="00C50C67"/>
    <w:rsid w:val="00C51048"/>
    <w:rsid w:val="00C5237C"/>
    <w:rsid w:val="00C531C2"/>
    <w:rsid w:val="00C53D34"/>
    <w:rsid w:val="00C53F2A"/>
    <w:rsid w:val="00C54494"/>
    <w:rsid w:val="00C54A2E"/>
    <w:rsid w:val="00C5524B"/>
    <w:rsid w:val="00C55AB5"/>
    <w:rsid w:val="00C55C93"/>
    <w:rsid w:val="00C55FA2"/>
    <w:rsid w:val="00C560CB"/>
    <w:rsid w:val="00C57958"/>
    <w:rsid w:val="00C60E05"/>
    <w:rsid w:val="00C61251"/>
    <w:rsid w:val="00C61DD9"/>
    <w:rsid w:val="00C626AE"/>
    <w:rsid w:val="00C62E45"/>
    <w:rsid w:val="00C635ED"/>
    <w:rsid w:val="00C63B36"/>
    <w:rsid w:val="00C64400"/>
    <w:rsid w:val="00C65190"/>
    <w:rsid w:val="00C6557A"/>
    <w:rsid w:val="00C6564D"/>
    <w:rsid w:val="00C65FBE"/>
    <w:rsid w:val="00C660DD"/>
    <w:rsid w:val="00C665C9"/>
    <w:rsid w:val="00C66780"/>
    <w:rsid w:val="00C66921"/>
    <w:rsid w:val="00C66C7E"/>
    <w:rsid w:val="00C6726A"/>
    <w:rsid w:val="00C67A48"/>
    <w:rsid w:val="00C707D1"/>
    <w:rsid w:val="00C70BDC"/>
    <w:rsid w:val="00C71753"/>
    <w:rsid w:val="00C71FAC"/>
    <w:rsid w:val="00C72202"/>
    <w:rsid w:val="00C723B7"/>
    <w:rsid w:val="00C72709"/>
    <w:rsid w:val="00C74319"/>
    <w:rsid w:val="00C7523A"/>
    <w:rsid w:val="00C7537F"/>
    <w:rsid w:val="00C753CB"/>
    <w:rsid w:val="00C75C2B"/>
    <w:rsid w:val="00C75DA2"/>
    <w:rsid w:val="00C770BE"/>
    <w:rsid w:val="00C771F3"/>
    <w:rsid w:val="00C7758B"/>
    <w:rsid w:val="00C776BD"/>
    <w:rsid w:val="00C778B7"/>
    <w:rsid w:val="00C7798E"/>
    <w:rsid w:val="00C77D03"/>
    <w:rsid w:val="00C77E86"/>
    <w:rsid w:val="00C803BE"/>
    <w:rsid w:val="00C803D7"/>
    <w:rsid w:val="00C805E4"/>
    <w:rsid w:val="00C809AB"/>
    <w:rsid w:val="00C80EC2"/>
    <w:rsid w:val="00C81240"/>
    <w:rsid w:val="00C81613"/>
    <w:rsid w:val="00C81FBF"/>
    <w:rsid w:val="00C82109"/>
    <w:rsid w:val="00C825F7"/>
    <w:rsid w:val="00C827D4"/>
    <w:rsid w:val="00C82C32"/>
    <w:rsid w:val="00C839DE"/>
    <w:rsid w:val="00C83BE6"/>
    <w:rsid w:val="00C83CE5"/>
    <w:rsid w:val="00C83E23"/>
    <w:rsid w:val="00C84D1F"/>
    <w:rsid w:val="00C858ED"/>
    <w:rsid w:val="00C85A21"/>
    <w:rsid w:val="00C85DD3"/>
    <w:rsid w:val="00C85EC7"/>
    <w:rsid w:val="00C86FD6"/>
    <w:rsid w:val="00C87577"/>
    <w:rsid w:val="00C8764E"/>
    <w:rsid w:val="00C87DB4"/>
    <w:rsid w:val="00C87FF3"/>
    <w:rsid w:val="00C90011"/>
    <w:rsid w:val="00C9019A"/>
    <w:rsid w:val="00C904FD"/>
    <w:rsid w:val="00C90AA5"/>
    <w:rsid w:val="00C92251"/>
    <w:rsid w:val="00C929C1"/>
    <w:rsid w:val="00C92C77"/>
    <w:rsid w:val="00C93076"/>
    <w:rsid w:val="00C9467E"/>
    <w:rsid w:val="00C94BFC"/>
    <w:rsid w:val="00C94FF6"/>
    <w:rsid w:val="00C9508B"/>
    <w:rsid w:val="00C95A55"/>
    <w:rsid w:val="00C968DB"/>
    <w:rsid w:val="00C96FA1"/>
    <w:rsid w:val="00C9715E"/>
    <w:rsid w:val="00C97809"/>
    <w:rsid w:val="00CA0242"/>
    <w:rsid w:val="00CA0FC3"/>
    <w:rsid w:val="00CA1128"/>
    <w:rsid w:val="00CA1679"/>
    <w:rsid w:val="00CA19ED"/>
    <w:rsid w:val="00CA1A00"/>
    <w:rsid w:val="00CA1BF7"/>
    <w:rsid w:val="00CA1C7F"/>
    <w:rsid w:val="00CA2B5A"/>
    <w:rsid w:val="00CA30B0"/>
    <w:rsid w:val="00CA31AF"/>
    <w:rsid w:val="00CA3E06"/>
    <w:rsid w:val="00CA43FB"/>
    <w:rsid w:val="00CA4595"/>
    <w:rsid w:val="00CA45E1"/>
    <w:rsid w:val="00CA65AD"/>
    <w:rsid w:val="00CA7100"/>
    <w:rsid w:val="00CA75B8"/>
    <w:rsid w:val="00CA7EB8"/>
    <w:rsid w:val="00CB0316"/>
    <w:rsid w:val="00CB0578"/>
    <w:rsid w:val="00CB1877"/>
    <w:rsid w:val="00CB1B32"/>
    <w:rsid w:val="00CB1EC5"/>
    <w:rsid w:val="00CB253E"/>
    <w:rsid w:val="00CB2DF7"/>
    <w:rsid w:val="00CB2EE5"/>
    <w:rsid w:val="00CB31BD"/>
    <w:rsid w:val="00CB4188"/>
    <w:rsid w:val="00CB4DB6"/>
    <w:rsid w:val="00CB52B8"/>
    <w:rsid w:val="00CB5381"/>
    <w:rsid w:val="00CB5A0E"/>
    <w:rsid w:val="00CB5FC7"/>
    <w:rsid w:val="00CB6C22"/>
    <w:rsid w:val="00CB6E83"/>
    <w:rsid w:val="00CB76A1"/>
    <w:rsid w:val="00CC03DA"/>
    <w:rsid w:val="00CC05A1"/>
    <w:rsid w:val="00CC0D7B"/>
    <w:rsid w:val="00CC0FB7"/>
    <w:rsid w:val="00CC1EF7"/>
    <w:rsid w:val="00CC21FC"/>
    <w:rsid w:val="00CC2F2D"/>
    <w:rsid w:val="00CC3844"/>
    <w:rsid w:val="00CC3D4A"/>
    <w:rsid w:val="00CC3E33"/>
    <w:rsid w:val="00CC44FE"/>
    <w:rsid w:val="00CC461C"/>
    <w:rsid w:val="00CC4645"/>
    <w:rsid w:val="00CC470A"/>
    <w:rsid w:val="00CC4FF1"/>
    <w:rsid w:val="00CC592E"/>
    <w:rsid w:val="00CC5DD3"/>
    <w:rsid w:val="00CC664D"/>
    <w:rsid w:val="00CC735B"/>
    <w:rsid w:val="00CC7DA5"/>
    <w:rsid w:val="00CC7EB6"/>
    <w:rsid w:val="00CD0A96"/>
    <w:rsid w:val="00CD0B0F"/>
    <w:rsid w:val="00CD0D27"/>
    <w:rsid w:val="00CD0D4D"/>
    <w:rsid w:val="00CD0E85"/>
    <w:rsid w:val="00CD1739"/>
    <w:rsid w:val="00CD181F"/>
    <w:rsid w:val="00CD211A"/>
    <w:rsid w:val="00CD25E6"/>
    <w:rsid w:val="00CD27E8"/>
    <w:rsid w:val="00CD2BF8"/>
    <w:rsid w:val="00CD2CE6"/>
    <w:rsid w:val="00CD2D2A"/>
    <w:rsid w:val="00CD2E8E"/>
    <w:rsid w:val="00CD34E4"/>
    <w:rsid w:val="00CD387E"/>
    <w:rsid w:val="00CD3BBC"/>
    <w:rsid w:val="00CD4AFC"/>
    <w:rsid w:val="00CD4B98"/>
    <w:rsid w:val="00CD561C"/>
    <w:rsid w:val="00CD5BC4"/>
    <w:rsid w:val="00CD5E0C"/>
    <w:rsid w:val="00CD6060"/>
    <w:rsid w:val="00CD60D2"/>
    <w:rsid w:val="00CD63B5"/>
    <w:rsid w:val="00CD690A"/>
    <w:rsid w:val="00CD6CA1"/>
    <w:rsid w:val="00CD7B47"/>
    <w:rsid w:val="00CD7CFF"/>
    <w:rsid w:val="00CD7D25"/>
    <w:rsid w:val="00CD7F02"/>
    <w:rsid w:val="00CE048F"/>
    <w:rsid w:val="00CE0B5C"/>
    <w:rsid w:val="00CE0C77"/>
    <w:rsid w:val="00CE1A2A"/>
    <w:rsid w:val="00CE1B2A"/>
    <w:rsid w:val="00CE3244"/>
    <w:rsid w:val="00CE4737"/>
    <w:rsid w:val="00CE4885"/>
    <w:rsid w:val="00CE4E51"/>
    <w:rsid w:val="00CE5354"/>
    <w:rsid w:val="00CE67D2"/>
    <w:rsid w:val="00CE6AC0"/>
    <w:rsid w:val="00CE6E78"/>
    <w:rsid w:val="00CE79A9"/>
    <w:rsid w:val="00CE7FD3"/>
    <w:rsid w:val="00CF02A2"/>
    <w:rsid w:val="00CF0C5C"/>
    <w:rsid w:val="00CF0D1A"/>
    <w:rsid w:val="00CF0D59"/>
    <w:rsid w:val="00CF0F60"/>
    <w:rsid w:val="00CF15A4"/>
    <w:rsid w:val="00CF241F"/>
    <w:rsid w:val="00CF2483"/>
    <w:rsid w:val="00CF2858"/>
    <w:rsid w:val="00CF28BD"/>
    <w:rsid w:val="00CF2F09"/>
    <w:rsid w:val="00CF318C"/>
    <w:rsid w:val="00CF34DA"/>
    <w:rsid w:val="00CF3562"/>
    <w:rsid w:val="00CF35A0"/>
    <w:rsid w:val="00CF38FD"/>
    <w:rsid w:val="00CF3C9D"/>
    <w:rsid w:val="00CF3E8E"/>
    <w:rsid w:val="00CF3EA6"/>
    <w:rsid w:val="00CF3FF0"/>
    <w:rsid w:val="00CF46D3"/>
    <w:rsid w:val="00CF4929"/>
    <w:rsid w:val="00CF4B77"/>
    <w:rsid w:val="00CF5069"/>
    <w:rsid w:val="00CF5700"/>
    <w:rsid w:val="00CF5A41"/>
    <w:rsid w:val="00CF5EEC"/>
    <w:rsid w:val="00CF6285"/>
    <w:rsid w:val="00CF64E3"/>
    <w:rsid w:val="00CF67E8"/>
    <w:rsid w:val="00CF6A87"/>
    <w:rsid w:val="00CF6E69"/>
    <w:rsid w:val="00CF7790"/>
    <w:rsid w:val="00D00334"/>
    <w:rsid w:val="00D003AA"/>
    <w:rsid w:val="00D0106B"/>
    <w:rsid w:val="00D0110D"/>
    <w:rsid w:val="00D01390"/>
    <w:rsid w:val="00D0168F"/>
    <w:rsid w:val="00D017CC"/>
    <w:rsid w:val="00D01CB6"/>
    <w:rsid w:val="00D02162"/>
    <w:rsid w:val="00D025C9"/>
    <w:rsid w:val="00D028A2"/>
    <w:rsid w:val="00D02C36"/>
    <w:rsid w:val="00D03172"/>
    <w:rsid w:val="00D031C6"/>
    <w:rsid w:val="00D0350A"/>
    <w:rsid w:val="00D03B59"/>
    <w:rsid w:val="00D042F1"/>
    <w:rsid w:val="00D04335"/>
    <w:rsid w:val="00D0507B"/>
    <w:rsid w:val="00D0535C"/>
    <w:rsid w:val="00D058AB"/>
    <w:rsid w:val="00D05B3B"/>
    <w:rsid w:val="00D05F5C"/>
    <w:rsid w:val="00D06597"/>
    <w:rsid w:val="00D06BBE"/>
    <w:rsid w:val="00D07445"/>
    <w:rsid w:val="00D10D58"/>
    <w:rsid w:val="00D1171A"/>
    <w:rsid w:val="00D11D13"/>
    <w:rsid w:val="00D1239F"/>
    <w:rsid w:val="00D1253A"/>
    <w:rsid w:val="00D126C6"/>
    <w:rsid w:val="00D12741"/>
    <w:rsid w:val="00D12BF9"/>
    <w:rsid w:val="00D133AD"/>
    <w:rsid w:val="00D13EAC"/>
    <w:rsid w:val="00D14122"/>
    <w:rsid w:val="00D15418"/>
    <w:rsid w:val="00D15657"/>
    <w:rsid w:val="00D15BB5"/>
    <w:rsid w:val="00D1613F"/>
    <w:rsid w:val="00D16C15"/>
    <w:rsid w:val="00D16F0F"/>
    <w:rsid w:val="00D21CF4"/>
    <w:rsid w:val="00D227D8"/>
    <w:rsid w:val="00D22ADD"/>
    <w:rsid w:val="00D230D9"/>
    <w:rsid w:val="00D23353"/>
    <w:rsid w:val="00D235A7"/>
    <w:rsid w:val="00D238F4"/>
    <w:rsid w:val="00D241D9"/>
    <w:rsid w:val="00D247D7"/>
    <w:rsid w:val="00D247DF"/>
    <w:rsid w:val="00D24BED"/>
    <w:rsid w:val="00D2510B"/>
    <w:rsid w:val="00D251E6"/>
    <w:rsid w:val="00D25CFB"/>
    <w:rsid w:val="00D26324"/>
    <w:rsid w:val="00D2667C"/>
    <w:rsid w:val="00D26E40"/>
    <w:rsid w:val="00D274B3"/>
    <w:rsid w:val="00D27591"/>
    <w:rsid w:val="00D2785F"/>
    <w:rsid w:val="00D278BC"/>
    <w:rsid w:val="00D300BB"/>
    <w:rsid w:val="00D306D1"/>
    <w:rsid w:val="00D308D6"/>
    <w:rsid w:val="00D30C28"/>
    <w:rsid w:val="00D30E6D"/>
    <w:rsid w:val="00D31421"/>
    <w:rsid w:val="00D317D0"/>
    <w:rsid w:val="00D325C7"/>
    <w:rsid w:val="00D32623"/>
    <w:rsid w:val="00D32C4E"/>
    <w:rsid w:val="00D33274"/>
    <w:rsid w:val="00D33E04"/>
    <w:rsid w:val="00D34301"/>
    <w:rsid w:val="00D34AC1"/>
    <w:rsid w:val="00D34CCF"/>
    <w:rsid w:val="00D352D0"/>
    <w:rsid w:val="00D35614"/>
    <w:rsid w:val="00D3573B"/>
    <w:rsid w:val="00D358D2"/>
    <w:rsid w:val="00D35A29"/>
    <w:rsid w:val="00D35A69"/>
    <w:rsid w:val="00D3697C"/>
    <w:rsid w:val="00D369B1"/>
    <w:rsid w:val="00D36C79"/>
    <w:rsid w:val="00D36DD6"/>
    <w:rsid w:val="00D36E6F"/>
    <w:rsid w:val="00D36EA1"/>
    <w:rsid w:val="00D37234"/>
    <w:rsid w:val="00D377A2"/>
    <w:rsid w:val="00D37A5A"/>
    <w:rsid w:val="00D400F3"/>
    <w:rsid w:val="00D411E4"/>
    <w:rsid w:val="00D412A8"/>
    <w:rsid w:val="00D4197E"/>
    <w:rsid w:val="00D41DFE"/>
    <w:rsid w:val="00D42347"/>
    <w:rsid w:val="00D4295A"/>
    <w:rsid w:val="00D42D96"/>
    <w:rsid w:val="00D43045"/>
    <w:rsid w:val="00D43F37"/>
    <w:rsid w:val="00D45DA6"/>
    <w:rsid w:val="00D46170"/>
    <w:rsid w:val="00D46326"/>
    <w:rsid w:val="00D47AD4"/>
    <w:rsid w:val="00D47BAD"/>
    <w:rsid w:val="00D5021D"/>
    <w:rsid w:val="00D506AA"/>
    <w:rsid w:val="00D50900"/>
    <w:rsid w:val="00D5274D"/>
    <w:rsid w:val="00D52960"/>
    <w:rsid w:val="00D5297B"/>
    <w:rsid w:val="00D53200"/>
    <w:rsid w:val="00D53529"/>
    <w:rsid w:val="00D53880"/>
    <w:rsid w:val="00D53C14"/>
    <w:rsid w:val="00D53E43"/>
    <w:rsid w:val="00D54295"/>
    <w:rsid w:val="00D54507"/>
    <w:rsid w:val="00D55C84"/>
    <w:rsid w:val="00D5611C"/>
    <w:rsid w:val="00D5680B"/>
    <w:rsid w:val="00D56D92"/>
    <w:rsid w:val="00D56EB2"/>
    <w:rsid w:val="00D57113"/>
    <w:rsid w:val="00D579AC"/>
    <w:rsid w:val="00D60099"/>
    <w:rsid w:val="00D6018E"/>
    <w:rsid w:val="00D60A7A"/>
    <w:rsid w:val="00D6136C"/>
    <w:rsid w:val="00D6208A"/>
    <w:rsid w:val="00D62193"/>
    <w:rsid w:val="00D62257"/>
    <w:rsid w:val="00D62442"/>
    <w:rsid w:val="00D62888"/>
    <w:rsid w:val="00D62ADB"/>
    <w:rsid w:val="00D6300B"/>
    <w:rsid w:val="00D632C9"/>
    <w:rsid w:val="00D638E0"/>
    <w:rsid w:val="00D63E73"/>
    <w:rsid w:val="00D6405C"/>
    <w:rsid w:val="00D6435D"/>
    <w:rsid w:val="00D6526A"/>
    <w:rsid w:val="00D65C51"/>
    <w:rsid w:val="00D65EE4"/>
    <w:rsid w:val="00D6634D"/>
    <w:rsid w:val="00D6691D"/>
    <w:rsid w:val="00D67FA8"/>
    <w:rsid w:val="00D70026"/>
    <w:rsid w:val="00D700E9"/>
    <w:rsid w:val="00D714EB"/>
    <w:rsid w:val="00D71765"/>
    <w:rsid w:val="00D719D6"/>
    <w:rsid w:val="00D71CC7"/>
    <w:rsid w:val="00D71FB2"/>
    <w:rsid w:val="00D7226D"/>
    <w:rsid w:val="00D725F8"/>
    <w:rsid w:val="00D7261B"/>
    <w:rsid w:val="00D73AB0"/>
    <w:rsid w:val="00D73B9F"/>
    <w:rsid w:val="00D74391"/>
    <w:rsid w:val="00D74516"/>
    <w:rsid w:val="00D74A7A"/>
    <w:rsid w:val="00D74D91"/>
    <w:rsid w:val="00D74DE6"/>
    <w:rsid w:val="00D75137"/>
    <w:rsid w:val="00D75154"/>
    <w:rsid w:val="00D751CE"/>
    <w:rsid w:val="00D753E1"/>
    <w:rsid w:val="00D7595E"/>
    <w:rsid w:val="00D76089"/>
    <w:rsid w:val="00D76820"/>
    <w:rsid w:val="00D7684C"/>
    <w:rsid w:val="00D76C15"/>
    <w:rsid w:val="00D772EA"/>
    <w:rsid w:val="00D77C2B"/>
    <w:rsid w:val="00D81199"/>
    <w:rsid w:val="00D81759"/>
    <w:rsid w:val="00D81D6A"/>
    <w:rsid w:val="00D82213"/>
    <w:rsid w:val="00D82BDA"/>
    <w:rsid w:val="00D83B79"/>
    <w:rsid w:val="00D841BA"/>
    <w:rsid w:val="00D8464C"/>
    <w:rsid w:val="00D84A0D"/>
    <w:rsid w:val="00D84D26"/>
    <w:rsid w:val="00D85813"/>
    <w:rsid w:val="00D86327"/>
    <w:rsid w:val="00D873FF"/>
    <w:rsid w:val="00D8772F"/>
    <w:rsid w:val="00D877FE"/>
    <w:rsid w:val="00D87E47"/>
    <w:rsid w:val="00D904DD"/>
    <w:rsid w:val="00D90C0E"/>
    <w:rsid w:val="00D911CA"/>
    <w:rsid w:val="00D9156B"/>
    <w:rsid w:val="00D919DD"/>
    <w:rsid w:val="00D91CA0"/>
    <w:rsid w:val="00D91D2E"/>
    <w:rsid w:val="00D91DF6"/>
    <w:rsid w:val="00D92177"/>
    <w:rsid w:val="00D922BA"/>
    <w:rsid w:val="00D924D7"/>
    <w:rsid w:val="00D9306B"/>
    <w:rsid w:val="00D94577"/>
    <w:rsid w:val="00D94725"/>
    <w:rsid w:val="00D951DD"/>
    <w:rsid w:val="00D95B2E"/>
    <w:rsid w:val="00D96237"/>
    <w:rsid w:val="00D96AAE"/>
    <w:rsid w:val="00D96B0F"/>
    <w:rsid w:val="00D96BE8"/>
    <w:rsid w:val="00D96E07"/>
    <w:rsid w:val="00D97AC7"/>
    <w:rsid w:val="00DA0206"/>
    <w:rsid w:val="00DA039D"/>
    <w:rsid w:val="00DA03F5"/>
    <w:rsid w:val="00DA07F6"/>
    <w:rsid w:val="00DA1448"/>
    <w:rsid w:val="00DA23A2"/>
    <w:rsid w:val="00DA27D1"/>
    <w:rsid w:val="00DA288A"/>
    <w:rsid w:val="00DA350E"/>
    <w:rsid w:val="00DA3916"/>
    <w:rsid w:val="00DA3CE3"/>
    <w:rsid w:val="00DA3EDE"/>
    <w:rsid w:val="00DA41E4"/>
    <w:rsid w:val="00DA4725"/>
    <w:rsid w:val="00DA484C"/>
    <w:rsid w:val="00DA5214"/>
    <w:rsid w:val="00DA55D7"/>
    <w:rsid w:val="00DA5FD3"/>
    <w:rsid w:val="00DA6001"/>
    <w:rsid w:val="00DA66DC"/>
    <w:rsid w:val="00DA68D4"/>
    <w:rsid w:val="00DA6CBE"/>
    <w:rsid w:val="00DB0A3A"/>
    <w:rsid w:val="00DB111A"/>
    <w:rsid w:val="00DB1747"/>
    <w:rsid w:val="00DB183F"/>
    <w:rsid w:val="00DB1C70"/>
    <w:rsid w:val="00DB1C7D"/>
    <w:rsid w:val="00DB1D7F"/>
    <w:rsid w:val="00DB2F0A"/>
    <w:rsid w:val="00DB3046"/>
    <w:rsid w:val="00DB3C29"/>
    <w:rsid w:val="00DB409D"/>
    <w:rsid w:val="00DB414A"/>
    <w:rsid w:val="00DB4D5B"/>
    <w:rsid w:val="00DB5F8D"/>
    <w:rsid w:val="00DB6622"/>
    <w:rsid w:val="00DB676B"/>
    <w:rsid w:val="00DB694B"/>
    <w:rsid w:val="00DB7198"/>
    <w:rsid w:val="00DB7286"/>
    <w:rsid w:val="00DB7539"/>
    <w:rsid w:val="00DB7628"/>
    <w:rsid w:val="00DB7A5E"/>
    <w:rsid w:val="00DB7EFC"/>
    <w:rsid w:val="00DC075C"/>
    <w:rsid w:val="00DC0846"/>
    <w:rsid w:val="00DC15A5"/>
    <w:rsid w:val="00DC1798"/>
    <w:rsid w:val="00DC1A65"/>
    <w:rsid w:val="00DC2C88"/>
    <w:rsid w:val="00DC2FCA"/>
    <w:rsid w:val="00DC3108"/>
    <w:rsid w:val="00DC3561"/>
    <w:rsid w:val="00DC3E59"/>
    <w:rsid w:val="00DC427C"/>
    <w:rsid w:val="00DC4C7A"/>
    <w:rsid w:val="00DC4EB6"/>
    <w:rsid w:val="00DC5EC6"/>
    <w:rsid w:val="00DC62BA"/>
    <w:rsid w:val="00DC6A51"/>
    <w:rsid w:val="00DC6B5B"/>
    <w:rsid w:val="00DC6E43"/>
    <w:rsid w:val="00DC70AB"/>
    <w:rsid w:val="00DC7762"/>
    <w:rsid w:val="00DC7C58"/>
    <w:rsid w:val="00DD0856"/>
    <w:rsid w:val="00DD1A2B"/>
    <w:rsid w:val="00DD1A67"/>
    <w:rsid w:val="00DD24B7"/>
    <w:rsid w:val="00DD2991"/>
    <w:rsid w:val="00DD3AD4"/>
    <w:rsid w:val="00DD4816"/>
    <w:rsid w:val="00DD4B3B"/>
    <w:rsid w:val="00DD4C3D"/>
    <w:rsid w:val="00DD5B20"/>
    <w:rsid w:val="00DD6DB1"/>
    <w:rsid w:val="00DD6EF2"/>
    <w:rsid w:val="00DD70D1"/>
    <w:rsid w:val="00DD7D94"/>
    <w:rsid w:val="00DD7F89"/>
    <w:rsid w:val="00DE0429"/>
    <w:rsid w:val="00DE0AAA"/>
    <w:rsid w:val="00DE1523"/>
    <w:rsid w:val="00DE1B78"/>
    <w:rsid w:val="00DE1FC0"/>
    <w:rsid w:val="00DE28C9"/>
    <w:rsid w:val="00DE2F6D"/>
    <w:rsid w:val="00DE3010"/>
    <w:rsid w:val="00DE36E2"/>
    <w:rsid w:val="00DE3863"/>
    <w:rsid w:val="00DE39BC"/>
    <w:rsid w:val="00DE3FF3"/>
    <w:rsid w:val="00DE4214"/>
    <w:rsid w:val="00DE433B"/>
    <w:rsid w:val="00DE4849"/>
    <w:rsid w:val="00DE4D60"/>
    <w:rsid w:val="00DE5584"/>
    <w:rsid w:val="00DE5753"/>
    <w:rsid w:val="00DE5969"/>
    <w:rsid w:val="00DE5EDD"/>
    <w:rsid w:val="00DE64D3"/>
    <w:rsid w:val="00DE6542"/>
    <w:rsid w:val="00DE6738"/>
    <w:rsid w:val="00DE697D"/>
    <w:rsid w:val="00DE6CFD"/>
    <w:rsid w:val="00DE6EC8"/>
    <w:rsid w:val="00DE6F01"/>
    <w:rsid w:val="00DE740F"/>
    <w:rsid w:val="00DF0553"/>
    <w:rsid w:val="00DF0908"/>
    <w:rsid w:val="00DF0991"/>
    <w:rsid w:val="00DF0D95"/>
    <w:rsid w:val="00DF0E0B"/>
    <w:rsid w:val="00DF10C2"/>
    <w:rsid w:val="00DF19A7"/>
    <w:rsid w:val="00DF2CBC"/>
    <w:rsid w:val="00DF2DB3"/>
    <w:rsid w:val="00DF32CA"/>
    <w:rsid w:val="00DF3402"/>
    <w:rsid w:val="00DF3437"/>
    <w:rsid w:val="00DF3EB2"/>
    <w:rsid w:val="00DF470E"/>
    <w:rsid w:val="00DF4FD8"/>
    <w:rsid w:val="00DF50B2"/>
    <w:rsid w:val="00DF5D3C"/>
    <w:rsid w:val="00DF5FAD"/>
    <w:rsid w:val="00DF5FE5"/>
    <w:rsid w:val="00DF6729"/>
    <w:rsid w:val="00DF7E08"/>
    <w:rsid w:val="00DF7E59"/>
    <w:rsid w:val="00DF7F5B"/>
    <w:rsid w:val="00E0114C"/>
    <w:rsid w:val="00E018C3"/>
    <w:rsid w:val="00E02404"/>
    <w:rsid w:val="00E025CC"/>
    <w:rsid w:val="00E02A5D"/>
    <w:rsid w:val="00E02AFE"/>
    <w:rsid w:val="00E02B44"/>
    <w:rsid w:val="00E0349F"/>
    <w:rsid w:val="00E0397A"/>
    <w:rsid w:val="00E03C59"/>
    <w:rsid w:val="00E03DB3"/>
    <w:rsid w:val="00E04DFF"/>
    <w:rsid w:val="00E0520E"/>
    <w:rsid w:val="00E053A6"/>
    <w:rsid w:val="00E05865"/>
    <w:rsid w:val="00E0615B"/>
    <w:rsid w:val="00E06BC6"/>
    <w:rsid w:val="00E06CC1"/>
    <w:rsid w:val="00E06CFF"/>
    <w:rsid w:val="00E06D81"/>
    <w:rsid w:val="00E0713A"/>
    <w:rsid w:val="00E07540"/>
    <w:rsid w:val="00E078DF"/>
    <w:rsid w:val="00E07980"/>
    <w:rsid w:val="00E07C6B"/>
    <w:rsid w:val="00E10627"/>
    <w:rsid w:val="00E10BE7"/>
    <w:rsid w:val="00E10C5A"/>
    <w:rsid w:val="00E10DCE"/>
    <w:rsid w:val="00E113B6"/>
    <w:rsid w:val="00E12536"/>
    <w:rsid w:val="00E128D9"/>
    <w:rsid w:val="00E12F28"/>
    <w:rsid w:val="00E13582"/>
    <w:rsid w:val="00E13C6E"/>
    <w:rsid w:val="00E13D12"/>
    <w:rsid w:val="00E14190"/>
    <w:rsid w:val="00E1450F"/>
    <w:rsid w:val="00E1457B"/>
    <w:rsid w:val="00E14592"/>
    <w:rsid w:val="00E1467B"/>
    <w:rsid w:val="00E14705"/>
    <w:rsid w:val="00E1493C"/>
    <w:rsid w:val="00E1511F"/>
    <w:rsid w:val="00E16521"/>
    <w:rsid w:val="00E1663D"/>
    <w:rsid w:val="00E1670D"/>
    <w:rsid w:val="00E1752D"/>
    <w:rsid w:val="00E1796E"/>
    <w:rsid w:val="00E17C26"/>
    <w:rsid w:val="00E202C9"/>
    <w:rsid w:val="00E20417"/>
    <w:rsid w:val="00E20606"/>
    <w:rsid w:val="00E207AB"/>
    <w:rsid w:val="00E2119A"/>
    <w:rsid w:val="00E218F4"/>
    <w:rsid w:val="00E21BBA"/>
    <w:rsid w:val="00E21F2E"/>
    <w:rsid w:val="00E21FDD"/>
    <w:rsid w:val="00E22E6C"/>
    <w:rsid w:val="00E23140"/>
    <w:rsid w:val="00E23618"/>
    <w:rsid w:val="00E23680"/>
    <w:rsid w:val="00E241A4"/>
    <w:rsid w:val="00E24DCE"/>
    <w:rsid w:val="00E25021"/>
    <w:rsid w:val="00E250C2"/>
    <w:rsid w:val="00E252BC"/>
    <w:rsid w:val="00E25D36"/>
    <w:rsid w:val="00E264BC"/>
    <w:rsid w:val="00E26783"/>
    <w:rsid w:val="00E268E5"/>
    <w:rsid w:val="00E27071"/>
    <w:rsid w:val="00E30D01"/>
    <w:rsid w:val="00E31CA7"/>
    <w:rsid w:val="00E31D49"/>
    <w:rsid w:val="00E32078"/>
    <w:rsid w:val="00E3258B"/>
    <w:rsid w:val="00E327B0"/>
    <w:rsid w:val="00E328FB"/>
    <w:rsid w:val="00E32984"/>
    <w:rsid w:val="00E32AFC"/>
    <w:rsid w:val="00E32B26"/>
    <w:rsid w:val="00E32B74"/>
    <w:rsid w:val="00E33343"/>
    <w:rsid w:val="00E33A73"/>
    <w:rsid w:val="00E33AB0"/>
    <w:rsid w:val="00E33D78"/>
    <w:rsid w:val="00E35B80"/>
    <w:rsid w:val="00E3699F"/>
    <w:rsid w:val="00E36CC5"/>
    <w:rsid w:val="00E3723D"/>
    <w:rsid w:val="00E379E4"/>
    <w:rsid w:val="00E37AE5"/>
    <w:rsid w:val="00E37BBF"/>
    <w:rsid w:val="00E404BD"/>
    <w:rsid w:val="00E40780"/>
    <w:rsid w:val="00E412F6"/>
    <w:rsid w:val="00E4132C"/>
    <w:rsid w:val="00E41B95"/>
    <w:rsid w:val="00E41BEE"/>
    <w:rsid w:val="00E42004"/>
    <w:rsid w:val="00E42221"/>
    <w:rsid w:val="00E4253A"/>
    <w:rsid w:val="00E42D59"/>
    <w:rsid w:val="00E436B8"/>
    <w:rsid w:val="00E436D1"/>
    <w:rsid w:val="00E43894"/>
    <w:rsid w:val="00E440A1"/>
    <w:rsid w:val="00E44391"/>
    <w:rsid w:val="00E45147"/>
    <w:rsid w:val="00E4544C"/>
    <w:rsid w:val="00E45841"/>
    <w:rsid w:val="00E45C7C"/>
    <w:rsid w:val="00E46187"/>
    <w:rsid w:val="00E46259"/>
    <w:rsid w:val="00E46A65"/>
    <w:rsid w:val="00E47282"/>
    <w:rsid w:val="00E50588"/>
    <w:rsid w:val="00E51AA1"/>
    <w:rsid w:val="00E51D3E"/>
    <w:rsid w:val="00E51E7A"/>
    <w:rsid w:val="00E52029"/>
    <w:rsid w:val="00E522B0"/>
    <w:rsid w:val="00E5241C"/>
    <w:rsid w:val="00E53062"/>
    <w:rsid w:val="00E530AE"/>
    <w:rsid w:val="00E530B6"/>
    <w:rsid w:val="00E53AB5"/>
    <w:rsid w:val="00E55161"/>
    <w:rsid w:val="00E5558C"/>
    <w:rsid w:val="00E55A79"/>
    <w:rsid w:val="00E5609B"/>
    <w:rsid w:val="00E561CF"/>
    <w:rsid w:val="00E562C7"/>
    <w:rsid w:val="00E566DE"/>
    <w:rsid w:val="00E575FE"/>
    <w:rsid w:val="00E57A3E"/>
    <w:rsid w:val="00E57F7D"/>
    <w:rsid w:val="00E60560"/>
    <w:rsid w:val="00E606D2"/>
    <w:rsid w:val="00E62648"/>
    <w:rsid w:val="00E62D38"/>
    <w:rsid w:val="00E6320F"/>
    <w:rsid w:val="00E6335B"/>
    <w:rsid w:val="00E633B4"/>
    <w:rsid w:val="00E6340F"/>
    <w:rsid w:val="00E639C5"/>
    <w:rsid w:val="00E641D9"/>
    <w:rsid w:val="00E64823"/>
    <w:rsid w:val="00E64959"/>
    <w:rsid w:val="00E654F3"/>
    <w:rsid w:val="00E660BD"/>
    <w:rsid w:val="00E66620"/>
    <w:rsid w:val="00E66703"/>
    <w:rsid w:val="00E66782"/>
    <w:rsid w:val="00E6718D"/>
    <w:rsid w:val="00E679F7"/>
    <w:rsid w:val="00E70017"/>
    <w:rsid w:val="00E7036F"/>
    <w:rsid w:val="00E70E55"/>
    <w:rsid w:val="00E71795"/>
    <w:rsid w:val="00E72EED"/>
    <w:rsid w:val="00E731FD"/>
    <w:rsid w:val="00E736A1"/>
    <w:rsid w:val="00E73E15"/>
    <w:rsid w:val="00E73EDC"/>
    <w:rsid w:val="00E744A5"/>
    <w:rsid w:val="00E74D58"/>
    <w:rsid w:val="00E74DCF"/>
    <w:rsid w:val="00E74FB8"/>
    <w:rsid w:val="00E7535C"/>
    <w:rsid w:val="00E757C3"/>
    <w:rsid w:val="00E75A6B"/>
    <w:rsid w:val="00E75D4C"/>
    <w:rsid w:val="00E75ED9"/>
    <w:rsid w:val="00E75F72"/>
    <w:rsid w:val="00E76792"/>
    <w:rsid w:val="00E76AE8"/>
    <w:rsid w:val="00E76BE4"/>
    <w:rsid w:val="00E76EC6"/>
    <w:rsid w:val="00E778A8"/>
    <w:rsid w:val="00E779C0"/>
    <w:rsid w:val="00E77A54"/>
    <w:rsid w:val="00E77BA0"/>
    <w:rsid w:val="00E77EEF"/>
    <w:rsid w:val="00E80855"/>
    <w:rsid w:val="00E813F3"/>
    <w:rsid w:val="00E82089"/>
    <w:rsid w:val="00E824D6"/>
    <w:rsid w:val="00E824FC"/>
    <w:rsid w:val="00E82765"/>
    <w:rsid w:val="00E82A02"/>
    <w:rsid w:val="00E832CF"/>
    <w:rsid w:val="00E84183"/>
    <w:rsid w:val="00E84233"/>
    <w:rsid w:val="00E84916"/>
    <w:rsid w:val="00E85EF7"/>
    <w:rsid w:val="00E86033"/>
    <w:rsid w:val="00E860FB"/>
    <w:rsid w:val="00E86325"/>
    <w:rsid w:val="00E86489"/>
    <w:rsid w:val="00E868E9"/>
    <w:rsid w:val="00E87994"/>
    <w:rsid w:val="00E87AF3"/>
    <w:rsid w:val="00E87DF6"/>
    <w:rsid w:val="00E87E06"/>
    <w:rsid w:val="00E90019"/>
    <w:rsid w:val="00E90040"/>
    <w:rsid w:val="00E90D55"/>
    <w:rsid w:val="00E917CF"/>
    <w:rsid w:val="00E91D5D"/>
    <w:rsid w:val="00E91DBE"/>
    <w:rsid w:val="00E922B1"/>
    <w:rsid w:val="00E92BC1"/>
    <w:rsid w:val="00E93D79"/>
    <w:rsid w:val="00E941DA"/>
    <w:rsid w:val="00E94437"/>
    <w:rsid w:val="00E944BF"/>
    <w:rsid w:val="00E948F1"/>
    <w:rsid w:val="00E94CF2"/>
    <w:rsid w:val="00E95042"/>
    <w:rsid w:val="00E963D2"/>
    <w:rsid w:val="00E9685D"/>
    <w:rsid w:val="00E97864"/>
    <w:rsid w:val="00E97B78"/>
    <w:rsid w:val="00EA03B7"/>
    <w:rsid w:val="00EA0462"/>
    <w:rsid w:val="00EA059C"/>
    <w:rsid w:val="00EA0B59"/>
    <w:rsid w:val="00EA153E"/>
    <w:rsid w:val="00EA1B16"/>
    <w:rsid w:val="00EA1E30"/>
    <w:rsid w:val="00EA1EC8"/>
    <w:rsid w:val="00EA2767"/>
    <w:rsid w:val="00EA2CC1"/>
    <w:rsid w:val="00EA41DE"/>
    <w:rsid w:val="00EA43C2"/>
    <w:rsid w:val="00EA44DD"/>
    <w:rsid w:val="00EA48C7"/>
    <w:rsid w:val="00EA57D5"/>
    <w:rsid w:val="00EA646F"/>
    <w:rsid w:val="00EA69A7"/>
    <w:rsid w:val="00EA6A68"/>
    <w:rsid w:val="00EA75B5"/>
    <w:rsid w:val="00EA7C69"/>
    <w:rsid w:val="00EB040B"/>
    <w:rsid w:val="00EB0A9F"/>
    <w:rsid w:val="00EB0EC6"/>
    <w:rsid w:val="00EB0F13"/>
    <w:rsid w:val="00EB13DD"/>
    <w:rsid w:val="00EB1979"/>
    <w:rsid w:val="00EB1A3F"/>
    <w:rsid w:val="00EB1A5E"/>
    <w:rsid w:val="00EB1DBC"/>
    <w:rsid w:val="00EB2601"/>
    <w:rsid w:val="00EB2DD6"/>
    <w:rsid w:val="00EB343C"/>
    <w:rsid w:val="00EB37EF"/>
    <w:rsid w:val="00EB409E"/>
    <w:rsid w:val="00EB423D"/>
    <w:rsid w:val="00EB561A"/>
    <w:rsid w:val="00EB566D"/>
    <w:rsid w:val="00EB5773"/>
    <w:rsid w:val="00EB5EE1"/>
    <w:rsid w:val="00EB61BB"/>
    <w:rsid w:val="00EB6B93"/>
    <w:rsid w:val="00EB721D"/>
    <w:rsid w:val="00EB7361"/>
    <w:rsid w:val="00EB7E9E"/>
    <w:rsid w:val="00EB7F8B"/>
    <w:rsid w:val="00EC0142"/>
    <w:rsid w:val="00EC0252"/>
    <w:rsid w:val="00EC0A67"/>
    <w:rsid w:val="00EC0D03"/>
    <w:rsid w:val="00EC106F"/>
    <w:rsid w:val="00EC1702"/>
    <w:rsid w:val="00EC1937"/>
    <w:rsid w:val="00EC2961"/>
    <w:rsid w:val="00EC2F09"/>
    <w:rsid w:val="00EC33D8"/>
    <w:rsid w:val="00EC363D"/>
    <w:rsid w:val="00EC402C"/>
    <w:rsid w:val="00EC4079"/>
    <w:rsid w:val="00EC43AA"/>
    <w:rsid w:val="00EC4421"/>
    <w:rsid w:val="00EC4A20"/>
    <w:rsid w:val="00EC4D0B"/>
    <w:rsid w:val="00EC4E45"/>
    <w:rsid w:val="00EC4E62"/>
    <w:rsid w:val="00EC585B"/>
    <w:rsid w:val="00EC641B"/>
    <w:rsid w:val="00EC68C1"/>
    <w:rsid w:val="00EC6A5B"/>
    <w:rsid w:val="00EC6EB2"/>
    <w:rsid w:val="00EC6F5C"/>
    <w:rsid w:val="00EC78D7"/>
    <w:rsid w:val="00EC7944"/>
    <w:rsid w:val="00ED0B35"/>
    <w:rsid w:val="00ED0D4A"/>
    <w:rsid w:val="00ED1212"/>
    <w:rsid w:val="00ED169B"/>
    <w:rsid w:val="00ED1D21"/>
    <w:rsid w:val="00ED2B5D"/>
    <w:rsid w:val="00ED2B9C"/>
    <w:rsid w:val="00ED3C00"/>
    <w:rsid w:val="00ED49EB"/>
    <w:rsid w:val="00ED4B24"/>
    <w:rsid w:val="00ED4DA5"/>
    <w:rsid w:val="00ED5E5C"/>
    <w:rsid w:val="00ED7484"/>
    <w:rsid w:val="00ED748C"/>
    <w:rsid w:val="00ED7955"/>
    <w:rsid w:val="00ED7993"/>
    <w:rsid w:val="00ED7D25"/>
    <w:rsid w:val="00ED7E92"/>
    <w:rsid w:val="00ED7FB9"/>
    <w:rsid w:val="00EE004E"/>
    <w:rsid w:val="00EE07D9"/>
    <w:rsid w:val="00EE0BD5"/>
    <w:rsid w:val="00EE0DE2"/>
    <w:rsid w:val="00EE1369"/>
    <w:rsid w:val="00EE1802"/>
    <w:rsid w:val="00EE1B13"/>
    <w:rsid w:val="00EE1FB9"/>
    <w:rsid w:val="00EE222E"/>
    <w:rsid w:val="00EE243E"/>
    <w:rsid w:val="00EE2A17"/>
    <w:rsid w:val="00EE2E60"/>
    <w:rsid w:val="00EE354D"/>
    <w:rsid w:val="00EE3752"/>
    <w:rsid w:val="00EE37F7"/>
    <w:rsid w:val="00EE3B5C"/>
    <w:rsid w:val="00EE50E2"/>
    <w:rsid w:val="00EE54F4"/>
    <w:rsid w:val="00EE5985"/>
    <w:rsid w:val="00EE5AB5"/>
    <w:rsid w:val="00EE5C54"/>
    <w:rsid w:val="00EE6C2D"/>
    <w:rsid w:val="00EE762F"/>
    <w:rsid w:val="00EE79BA"/>
    <w:rsid w:val="00EE7A9A"/>
    <w:rsid w:val="00EF01C4"/>
    <w:rsid w:val="00EF05FF"/>
    <w:rsid w:val="00EF08FF"/>
    <w:rsid w:val="00EF0D21"/>
    <w:rsid w:val="00EF0FF3"/>
    <w:rsid w:val="00EF1143"/>
    <w:rsid w:val="00EF1341"/>
    <w:rsid w:val="00EF1389"/>
    <w:rsid w:val="00EF1793"/>
    <w:rsid w:val="00EF1D62"/>
    <w:rsid w:val="00EF20D9"/>
    <w:rsid w:val="00EF33C3"/>
    <w:rsid w:val="00EF37A2"/>
    <w:rsid w:val="00EF3C5A"/>
    <w:rsid w:val="00EF3CE4"/>
    <w:rsid w:val="00EF4489"/>
    <w:rsid w:val="00EF455F"/>
    <w:rsid w:val="00EF4676"/>
    <w:rsid w:val="00EF4ABB"/>
    <w:rsid w:val="00EF4CC1"/>
    <w:rsid w:val="00EF4F4B"/>
    <w:rsid w:val="00EF5054"/>
    <w:rsid w:val="00EF55CA"/>
    <w:rsid w:val="00EF6482"/>
    <w:rsid w:val="00EF6CAD"/>
    <w:rsid w:val="00EF76C7"/>
    <w:rsid w:val="00EF7EF1"/>
    <w:rsid w:val="00F0014B"/>
    <w:rsid w:val="00F00448"/>
    <w:rsid w:val="00F00928"/>
    <w:rsid w:val="00F00E7C"/>
    <w:rsid w:val="00F01467"/>
    <w:rsid w:val="00F01D65"/>
    <w:rsid w:val="00F01F5F"/>
    <w:rsid w:val="00F023E8"/>
    <w:rsid w:val="00F02632"/>
    <w:rsid w:val="00F02B2D"/>
    <w:rsid w:val="00F02D3A"/>
    <w:rsid w:val="00F02E5F"/>
    <w:rsid w:val="00F03C35"/>
    <w:rsid w:val="00F03F8C"/>
    <w:rsid w:val="00F04677"/>
    <w:rsid w:val="00F048E7"/>
    <w:rsid w:val="00F0496B"/>
    <w:rsid w:val="00F04973"/>
    <w:rsid w:val="00F04B3A"/>
    <w:rsid w:val="00F04D0A"/>
    <w:rsid w:val="00F050A0"/>
    <w:rsid w:val="00F051CF"/>
    <w:rsid w:val="00F0533B"/>
    <w:rsid w:val="00F05BA1"/>
    <w:rsid w:val="00F06360"/>
    <w:rsid w:val="00F06B17"/>
    <w:rsid w:val="00F06B41"/>
    <w:rsid w:val="00F07267"/>
    <w:rsid w:val="00F10D43"/>
    <w:rsid w:val="00F117FC"/>
    <w:rsid w:val="00F11848"/>
    <w:rsid w:val="00F1248A"/>
    <w:rsid w:val="00F12DCD"/>
    <w:rsid w:val="00F13DD3"/>
    <w:rsid w:val="00F14597"/>
    <w:rsid w:val="00F147E3"/>
    <w:rsid w:val="00F149EA"/>
    <w:rsid w:val="00F14BDE"/>
    <w:rsid w:val="00F15814"/>
    <w:rsid w:val="00F158E2"/>
    <w:rsid w:val="00F15A30"/>
    <w:rsid w:val="00F16248"/>
    <w:rsid w:val="00F16301"/>
    <w:rsid w:val="00F16BEF"/>
    <w:rsid w:val="00F16C7C"/>
    <w:rsid w:val="00F1743D"/>
    <w:rsid w:val="00F175A6"/>
    <w:rsid w:val="00F17604"/>
    <w:rsid w:val="00F176E7"/>
    <w:rsid w:val="00F17F1B"/>
    <w:rsid w:val="00F202C0"/>
    <w:rsid w:val="00F20F49"/>
    <w:rsid w:val="00F2187F"/>
    <w:rsid w:val="00F2207E"/>
    <w:rsid w:val="00F22A21"/>
    <w:rsid w:val="00F22E3C"/>
    <w:rsid w:val="00F22E5D"/>
    <w:rsid w:val="00F23588"/>
    <w:rsid w:val="00F235C9"/>
    <w:rsid w:val="00F237C2"/>
    <w:rsid w:val="00F23808"/>
    <w:rsid w:val="00F23C1D"/>
    <w:rsid w:val="00F23D7E"/>
    <w:rsid w:val="00F23F31"/>
    <w:rsid w:val="00F241D4"/>
    <w:rsid w:val="00F254EB"/>
    <w:rsid w:val="00F25857"/>
    <w:rsid w:val="00F25C8C"/>
    <w:rsid w:val="00F272E8"/>
    <w:rsid w:val="00F27427"/>
    <w:rsid w:val="00F27B3D"/>
    <w:rsid w:val="00F27C7C"/>
    <w:rsid w:val="00F27DFD"/>
    <w:rsid w:val="00F30731"/>
    <w:rsid w:val="00F30997"/>
    <w:rsid w:val="00F30CF4"/>
    <w:rsid w:val="00F31641"/>
    <w:rsid w:val="00F32216"/>
    <w:rsid w:val="00F3227A"/>
    <w:rsid w:val="00F32E31"/>
    <w:rsid w:val="00F32E3F"/>
    <w:rsid w:val="00F337FE"/>
    <w:rsid w:val="00F33DE2"/>
    <w:rsid w:val="00F33E60"/>
    <w:rsid w:val="00F3436A"/>
    <w:rsid w:val="00F34403"/>
    <w:rsid w:val="00F3456C"/>
    <w:rsid w:val="00F3461D"/>
    <w:rsid w:val="00F346CC"/>
    <w:rsid w:val="00F35391"/>
    <w:rsid w:val="00F35472"/>
    <w:rsid w:val="00F3729E"/>
    <w:rsid w:val="00F37AB3"/>
    <w:rsid w:val="00F37EB9"/>
    <w:rsid w:val="00F40088"/>
    <w:rsid w:val="00F4073D"/>
    <w:rsid w:val="00F40DF7"/>
    <w:rsid w:val="00F40EC5"/>
    <w:rsid w:val="00F410A3"/>
    <w:rsid w:val="00F410E1"/>
    <w:rsid w:val="00F4158C"/>
    <w:rsid w:val="00F416A2"/>
    <w:rsid w:val="00F4187B"/>
    <w:rsid w:val="00F4242E"/>
    <w:rsid w:val="00F42519"/>
    <w:rsid w:val="00F42AA2"/>
    <w:rsid w:val="00F43861"/>
    <w:rsid w:val="00F4395C"/>
    <w:rsid w:val="00F43BC7"/>
    <w:rsid w:val="00F44E5F"/>
    <w:rsid w:val="00F44F16"/>
    <w:rsid w:val="00F454CF"/>
    <w:rsid w:val="00F45AC5"/>
    <w:rsid w:val="00F45E54"/>
    <w:rsid w:val="00F4611C"/>
    <w:rsid w:val="00F46AED"/>
    <w:rsid w:val="00F46BBA"/>
    <w:rsid w:val="00F47ECC"/>
    <w:rsid w:val="00F50151"/>
    <w:rsid w:val="00F50AE2"/>
    <w:rsid w:val="00F51020"/>
    <w:rsid w:val="00F51378"/>
    <w:rsid w:val="00F51B78"/>
    <w:rsid w:val="00F52111"/>
    <w:rsid w:val="00F52974"/>
    <w:rsid w:val="00F535C5"/>
    <w:rsid w:val="00F53AAC"/>
    <w:rsid w:val="00F53AD4"/>
    <w:rsid w:val="00F5495D"/>
    <w:rsid w:val="00F54965"/>
    <w:rsid w:val="00F54B1C"/>
    <w:rsid w:val="00F5551D"/>
    <w:rsid w:val="00F565B9"/>
    <w:rsid w:val="00F56971"/>
    <w:rsid w:val="00F574B6"/>
    <w:rsid w:val="00F57775"/>
    <w:rsid w:val="00F578E0"/>
    <w:rsid w:val="00F579E6"/>
    <w:rsid w:val="00F57EE7"/>
    <w:rsid w:val="00F60E8B"/>
    <w:rsid w:val="00F6108E"/>
    <w:rsid w:val="00F61472"/>
    <w:rsid w:val="00F61C9F"/>
    <w:rsid w:val="00F61CC9"/>
    <w:rsid w:val="00F61DDC"/>
    <w:rsid w:val="00F622F8"/>
    <w:rsid w:val="00F632A5"/>
    <w:rsid w:val="00F634F8"/>
    <w:rsid w:val="00F6369B"/>
    <w:rsid w:val="00F637B8"/>
    <w:rsid w:val="00F643A5"/>
    <w:rsid w:val="00F64843"/>
    <w:rsid w:val="00F65353"/>
    <w:rsid w:val="00F65361"/>
    <w:rsid w:val="00F65648"/>
    <w:rsid w:val="00F65900"/>
    <w:rsid w:val="00F65A38"/>
    <w:rsid w:val="00F66115"/>
    <w:rsid w:val="00F66B6E"/>
    <w:rsid w:val="00F67172"/>
    <w:rsid w:val="00F6757B"/>
    <w:rsid w:val="00F67D79"/>
    <w:rsid w:val="00F70007"/>
    <w:rsid w:val="00F70C04"/>
    <w:rsid w:val="00F70FCE"/>
    <w:rsid w:val="00F71398"/>
    <w:rsid w:val="00F71790"/>
    <w:rsid w:val="00F719D3"/>
    <w:rsid w:val="00F71BE6"/>
    <w:rsid w:val="00F7239B"/>
    <w:rsid w:val="00F724B9"/>
    <w:rsid w:val="00F72C4B"/>
    <w:rsid w:val="00F730B4"/>
    <w:rsid w:val="00F730DE"/>
    <w:rsid w:val="00F73C5A"/>
    <w:rsid w:val="00F740DE"/>
    <w:rsid w:val="00F74406"/>
    <w:rsid w:val="00F7474E"/>
    <w:rsid w:val="00F75362"/>
    <w:rsid w:val="00F763BD"/>
    <w:rsid w:val="00F76899"/>
    <w:rsid w:val="00F77939"/>
    <w:rsid w:val="00F77B8F"/>
    <w:rsid w:val="00F802DE"/>
    <w:rsid w:val="00F80380"/>
    <w:rsid w:val="00F80515"/>
    <w:rsid w:val="00F80954"/>
    <w:rsid w:val="00F8215E"/>
    <w:rsid w:val="00F8242F"/>
    <w:rsid w:val="00F8256E"/>
    <w:rsid w:val="00F828E9"/>
    <w:rsid w:val="00F82A23"/>
    <w:rsid w:val="00F82CAE"/>
    <w:rsid w:val="00F82FB3"/>
    <w:rsid w:val="00F83300"/>
    <w:rsid w:val="00F8398F"/>
    <w:rsid w:val="00F83E03"/>
    <w:rsid w:val="00F84058"/>
    <w:rsid w:val="00F8406F"/>
    <w:rsid w:val="00F84542"/>
    <w:rsid w:val="00F84BC1"/>
    <w:rsid w:val="00F851F3"/>
    <w:rsid w:val="00F85311"/>
    <w:rsid w:val="00F85510"/>
    <w:rsid w:val="00F85DCC"/>
    <w:rsid w:val="00F865F8"/>
    <w:rsid w:val="00F866EC"/>
    <w:rsid w:val="00F86820"/>
    <w:rsid w:val="00F86EE3"/>
    <w:rsid w:val="00F87055"/>
    <w:rsid w:val="00F8730A"/>
    <w:rsid w:val="00F87F57"/>
    <w:rsid w:val="00F9014E"/>
    <w:rsid w:val="00F901D5"/>
    <w:rsid w:val="00F90359"/>
    <w:rsid w:val="00F907B3"/>
    <w:rsid w:val="00F908A2"/>
    <w:rsid w:val="00F9094A"/>
    <w:rsid w:val="00F90BDB"/>
    <w:rsid w:val="00F91435"/>
    <w:rsid w:val="00F914BF"/>
    <w:rsid w:val="00F91509"/>
    <w:rsid w:val="00F91885"/>
    <w:rsid w:val="00F92025"/>
    <w:rsid w:val="00F93623"/>
    <w:rsid w:val="00F93CB3"/>
    <w:rsid w:val="00F93D9A"/>
    <w:rsid w:val="00F93FB2"/>
    <w:rsid w:val="00F9418C"/>
    <w:rsid w:val="00F94464"/>
    <w:rsid w:val="00F94697"/>
    <w:rsid w:val="00F94EBD"/>
    <w:rsid w:val="00F952FE"/>
    <w:rsid w:val="00F95793"/>
    <w:rsid w:val="00F9612D"/>
    <w:rsid w:val="00F966A5"/>
    <w:rsid w:val="00F967F2"/>
    <w:rsid w:val="00F96849"/>
    <w:rsid w:val="00F969EF"/>
    <w:rsid w:val="00F96E6C"/>
    <w:rsid w:val="00F97097"/>
    <w:rsid w:val="00F974BE"/>
    <w:rsid w:val="00F97D72"/>
    <w:rsid w:val="00FA05F8"/>
    <w:rsid w:val="00FA0D72"/>
    <w:rsid w:val="00FA0FFB"/>
    <w:rsid w:val="00FA1521"/>
    <w:rsid w:val="00FA1D1B"/>
    <w:rsid w:val="00FA222C"/>
    <w:rsid w:val="00FA26C7"/>
    <w:rsid w:val="00FA2FAE"/>
    <w:rsid w:val="00FA35BE"/>
    <w:rsid w:val="00FA36EF"/>
    <w:rsid w:val="00FA3F84"/>
    <w:rsid w:val="00FA4C6E"/>
    <w:rsid w:val="00FA4FFE"/>
    <w:rsid w:val="00FA549D"/>
    <w:rsid w:val="00FA550B"/>
    <w:rsid w:val="00FA5928"/>
    <w:rsid w:val="00FA623F"/>
    <w:rsid w:val="00FA6B28"/>
    <w:rsid w:val="00FA714C"/>
    <w:rsid w:val="00FA79CE"/>
    <w:rsid w:val="00FA7B46"/>
    <w:rsid w:val="00FA7D7C"/>
    <w:rsid w:val="00FB02CC"/>
    <w:rsid w:val="00FB087F"/>
    <w:rsid w:val="00FB20D3"/>
    <w:rsid w:val="00FB22E5"/>
    <w:rsid w:val="00FB237B"/>
    <w:rsid w:val="00FB3006"/>
    <w:rsid w:val="00FB3AC4"/>
    <w:rsid w:val="00FB3CDB"/>
    <w:rsid w:val="00FB4279"/>
    <w:rsid w:val="00FB4330"/>
    <w:rsid w:val="00FB443F"/>
    <w:rsid w:val="00FB4496"/>
    <w:rsid w:val="00FB45C5"/>
    <w:rsid w:val="00FB4F38"/>
    <w:rsid w:val="00FB5381"/>
    <w:rsid w:val="00FB552D"/>
    <w:rsid w:val="00FB6A7D"/>
    <w:rsid w:val="00FB791D"/>
    <w:rsid w:val="00FB7CDD"/>
    <w:rsid w:val="00FC0159"/>
    <w:rsid w:val="00FC03C5"/>
    <w:rsid w:val="00FC06CA"/>
    <w:rsid w:val="00FC0A77"/>
    <w:rsid w:val="00FC101B"/>
    <w:rsid w:val="00FC18D0"/>
    <w:rsid w:val="00FC2324"/>
    <w:rsid w:val="00FC2461"/>
    <w:rsid w:val="00FC2B8E"/>
    <w:rsid w:val="00FC2C06"/>
    <w:rsid w:val="00FC3779"/>
    <w:rsid w:val="00FC384C"/>
    <w:rsid w:val="00FC3A77"/>
    <w:rsid w:val="00FC3C23"/>
    <w:rsid w:val="00FC42C9"/>
    <w:rsid w:val="00FC4550"/>
    <w:rsid w:val="00FC4EEF"/>
    <w:rsid w:val="00FC4F80"/>
    <w:rsid w:val="00FC5125"/>
    <w:rsid w:val="00FC51FF"/>
    <w:rsid w:val="00FC5E52"/>
    <w:rsid w:val="00FC5FB4"/>
    <w:rsid w:val="00FC6544"/>
    <w:rsid w:val="00FC67F8"/>
    <w:rsid w:val="00FC6EB7"/>
    <w:rsid w:val="00FC742E"/>
    <w:rsid w:val="00FC7D61"/>
    <w:rsid w:val="00FC7E74"/>
    <w:rsid w:val="00FD0264"/>
    <w:rsid w:val="00FD0D02"/>
    <w:rsid w:val="00FD0D84"/>
    <w:rsid w:val="00FD109E"/>
    <w:rsid w:val="00FD1524"/>
    <w:rsid w:val="00FD2443"/>
    <w:rsid w:val="00FD29C4"/>
    <w:rsid w:val="00FD356B"/>
    <w:rsid w:val="00FD3B6B"/>
    <w:rsid w:val="00FD44DB"/>
    <w:rsid w:val="00FD479E"/>
    <w:rsid w:val="00FD47D1"/>
    <w:rsid w:val="00FD49C9"/>
    <w:rsid w:val="00FD4D08"/>
    <w:rsid w:val="00FD57F3"/>
    <w:rsid w:val="00FD5ADC"/>
    <w:rsid w:val="00FD5FB3"/>
    <w:rsid w:val="00FD6582"/>
    <w:rsid w:val="00FD6C60"/>
    <w:rsid w:val="00FD6CE3"/>
    <w:rsid w:val="00FD7820"/>
    <w:rsid w:val="00FD79E2"/>
    <w:rsid w:val="00FD7A43"/>
    <w:rsid w:val="00FD7DDA"/>
    <w:rsid w:val="00FE01BF"/>
    <w:rsid w:val="00FE10E9"/>
    <w:rsid w:val="00FE1E9F"/>
    <w:rsid w:val="00FE3134"/>
    <w:rsid w:val="00FE40AE"/>
    <w:rsid w:val="00FE45A3"/>
    <w:rsid w:val="00FE5535"/>
    <w:rsid w:val="00FE55E8"/>
    <w:rsid w:val="00FE5BC9"/>
    <w:rsid w:val="00FE6D74"/>
    <w:rsid w:val="00FE790F"/>
    <w:rsid w:val="00FF061C"/>
    <w:rsid w:val="00FF0833"/>
    <w:rsid w:val="00FF0CE8"/>
    <w:rsid w:val="00FF129C"/>
    <w:rsid w:val="00FF1EC8"/>
    <w:rsid w:val="00FF23F0"/>
    <w:rsid w:val="00FF271D"/>
    <w:rsid w:val="00FF2C74"/>
    <w:rsid w:val="00FF2F27"/>
    <w:rsid w:val="00FF2FA1"/>
    <w:rsid w:val="00FF48BE"/>
    <w:rsid w:val="00FF50AE"/>
    <w:rsid w:val="00FF50CA"/>
    <w:rsid w:val="00FF51DF"/>
    <w:rsid w:val="00FF5AEA"/>
    <w:rsid w:val="00FF5E97"/>
    <w:rsid w:val="00FF61B0"/>
    <w:rsid w:val="00FF61FF"/>
    <w:rsid w:val="00FF6E79"/>
    <w:rsid w:val="00FF6F65"/>
    <w:rsid w:val="00FF720E"/>
    <w:rsid w:val="00FF7552"/>
    <w:rsid w:val="00FF767E"/>
    <w:rsid w:val="00FF7804"/>
    <w:rsid w:val="00FF7BC8"/>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uiPriority w:val="99"/>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1517D9"/>
    <w:pPr>
      <w:tabs>
        <w:tab w:val="right" w:leader="dot" w:pos="9072"/>
      </w:tabs>
      <w:spacing w:before="120"/>
      <w:jc w:val="left"/>
    </w:pPr>
    <w:rPr>
      <w:noProof/>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uiPriority w:val="99"/>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1517D9"/>
    <w:pPr>
      <w:tabs>
        <w:tab w:val="right" w:leader="dot" w:pos="9072"/>
      </w:tabs>
      <w:spacing w:before="120"/>
      <w:jc w:val="left"/>
    </w:pPr>
    <w:rPr>
      <w:noProof/>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4424373">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61507933">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72791492">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92124773">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70173145">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495536934">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16957520">
      <w:bodyDiv w:val="1"/>
      <w:marLeft w:val="0"/>
      <w:marRight w:val="0"/>
      <w:marTop w:val="0"/>
      <w:marBottom w:val="0"/>
      <w:divBdr>
        <w:top w:val="none" w:sz="0" w:space="0" w:color="auto"/>
        <w:left w:val="none" w:sz="0" w:space="0" w:color="auto"/>
        <w:bottom w:val="none" w:sz="0" w:space="0" w:color="auto"/>
        <w:right w:val="none" w:sz="0" w:space="0" w:color="auto"/>
      </w:divBdr>
    </w:div>
    <w:div w:id="617300200">
      <w:bodyDiv w:val="1"/>
      <w:marLeft w:val="0"/>
      <w:marRight w:val="0"/>
      <w:marTop w:val="0"/>
      <w:marBottom w:val="0"/>
      <w:divBdr>
        <w:top w:val="none" w:sz="0" w:space="0" w:color="auto"/>
        <w:left w:val="none" w:sz="0" w:space="0" w:color="auto"/>
        <w:bottom w:val="none" w:sz="0" w:space="0" w:color="auto"/>
        <w:right w:val="none" w:sz="0" w:space="0" w:color="auto"/>
      </w:divBdr>
    </w:div>
    <w:div w:id="622423575">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3964948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50977737">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786702691">
      <w:bodyDiv w:val="1"/>
      <w:marLeft w:val="0"/>
      <w:marRight w:val="0"/>
      <w:marTop w:val="0"/>
      <w:marBottom w:val="0"/>
      <w:divBdr>
        <w:top w:val="none" w:sz="0" w:space="0" w:color="auto"/>
        <w:left w:val="none" w:sz="0" w:space="0" w:color="auto"/>
        <w:bottom w:val="none" w:sz="0" w:space="0" w:color="auto"/>
        <w:right w:val="none" w:sz="0" w:space="0" w:color="auto"/>
      </w:divBdr>
    </w:div>
    <w:div w:id="835153733">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72561551">
      <w:bodyDiv w:val="1"/>
      <w:marLeft w:val="0"/>
      <w:marRight w:val="0"/>
      <w:marTop w:val="0"/>
      <w:marBottom w:val="0"/>
      <w:divBdr>
        <w:top w:val="none" w:sz="0" w:space="0" w:color="auto"/>
        <w:left w:val="none" w:sz="0" w:space="0" w:color="auto"/>
        <w:bottom w:val="none" w:sz="0" w:space="0" w:color="auto"/>
        <w:right w:val="none" w:sz="0" w:space="0" w:color="auto"/>
      </w:divBdr>
    </w:div>
    <w:div w:id="979459647">
      <w:bodyDiv w:val="1"/>
      <w:marLeft w:val="0"/>
      <w:marRight w:val="0"/>
      <w:marTop w:val="0"/>
      <w:marBottom w:val="0"/>
      <w:divBdr>
        <w:top w:val="none" w:sz="0" w:space="0" w:color="auto"/>
        <w:left w:val="none" w:sz="0" w:space="0" w:color="auto"/>
        <w:bottom w:val="none" w:sz="0" w:space="0" w:color="auto"/>
        <w:right w:val="none" w:sz="0" w:space="0" w:color="auto"/>
      </w:divBdr>
    </w:div>
    <w:div w:id="988751847">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093430065">
      <w:bodyDiv w:val="1"/>
      <w:marLeft w:val="0"/>
      <w:marRight w:val="0"/>
      <w:marTop w:val="0"/>
      <w:marBottom w:val="0"/>
      <w:divBdr>
        <w:top w:val="none" w:sz="0" w:space="0" w:color="auto"/>
        <w:left w:val="none" w:sz="0" w:space="0" w:color="auto"/>
        <w:bottom w:val="none" w:sz="0" w:space="0" w:color="auto"/>
        <w:right w:val="none" w:sz="0" w:space="0" w:color="auto"/>
      </w:divBdr>
    </w:div>
    <w:div w:id="1113329861">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299804626">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02540611">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49480669">
      <w:bodyDiv w:val="1"/>
      <w:marLeft w:val="0"/>
      <w:marRight w:val="0"/>
      <w:marTop w:val="0"/>
      <w:marBottom w:val="0"/>
      <w:divBdr>
        <w:top w:val="none" w:sz="0" w:space="0" w:color="auto"/>
        <w:left w:val="none" w:sz="0" w:space="0" w:color="auto"/>
        <w:bottom w:val="none" w:sz="0" w:space="0" w:color="auto"/>
        <w:right w:val="none" w:sz="0" w:space="0" w:color="auto"/>
      </w:divBdr>
    </w:div>
    <w:div w:id="135727064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15472560">
      <w:bodyDiv w:val="1"/>
      <w:marLeft w:val="0"/>
      <w:marRight w:val="0"/>
      <w:marTop w:val="0"/>
      <w:marBottom w:val="0"/>
      <w:divBdr>
        <w:top w:val="none" w:sz="0" w:space="0" w:color="auto"/>
        <w:left w:val="none" w:sz="0" w:space="0" w:color="auto"/>
        <w:bottom w:val="none" w:sz="0" w:space="0" w:color="auto"/>
        <w:right w:val="none" w:sz="0" w:space="0" w:color="auto"/>
      </w:divBdr>
    </w:div>
    <w:div w:id="1442143029">
      <w:bodyDiv w:val="1"/>
      <w:marLeft w:val="0"/>
      <w:marRight w:val="0"/>
      <w:marTop w:val="0"/>
      <w:marBottom w:val="0"/>
      <w:divBdr>
        <w:top w:val="none" w:sz="0" w:space="0" w:color="auto"/>
        <w:left w:val="none" w:sz="0" w:space="0" w:color="auto"/>
        <w:bottom w:val="none" w:sz="0" w:space="0" w:color="auto"/>
        <w:right w:val="none" w:sz="0" w:space="0" w:color="auto"/>
      </w:divBdr>
    </w:div>
    <w:div w:id="1467314771">
      <w:bodyDiv w:val="1"/>
      <w:marLeft w:val="0"/>
      <w:marRight w:val="0"/>
      <w:marTop w:val="0"/>
      <w:marBottom w:val="0"/>
      <w:divBdr>
        <w:top w:val="none" w:sz="0" w:space="0" w:color="auto"/>
        <w:left w:val="none" w:sz="0" w:space="0" w:color="auto"/>
        <w:bottom w:val="none" w:sz="0" w:space="0" w:color="auto"/>
        <w:right w:val="none" w:sz="0" w:space="0" w:color="auto"/>
      </w:divBdr>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50859809">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667703009">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913077357">
      <w:bodyDiv w:val="1"/>
      <w:marLeft w:val="0"/>
      <w:marRight w:val="0"/>
      <w:marTop w:val="0"/>
      <w:marBottom w:val="0"/>
      <w:divBdr>
        <w:top w:val="none" w:sz="0" w:space="0" w:color="auto"/>
        <w:left w:val="none" w:sz="0" w:space="0" w:color="auto"/>
        <w:bottom w:val="none" w:sz="0" w:space="0" w:color="auto"/>
        <w:right w:val="none" w:sz="0" w:space="0" w:color="auto"/>
      </w:divBdr>
    </w:div>
    <w:div w:id="1915554724">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1983776791">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 w:id="2099790504">
      <w:bodyDiv w:val="1"/>
      <w:marLeft w:val="0"/>
      <w:marRight w:val="0"/>
      <w:marTop w:val="0"/>
      <w:marBottom w:val="0"/>
      <w:divBdr>
        <w:top w:val="none" w:sz="0" w:space="0" w:color="auto"/>
        <w:left w:val="none" w:sz="0" w:space="0" w:color="auto"/>
        <w:bottom w:val="none" w:sz="0" w:space="0" w:color="auto"/>
        <w:right w:val="none" w:sz="0" w:space="0" w:color="auto"/>
      </w:divBdr>
    </w:div>
    <w:div w:id="2113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hart" Target="charts/chart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4%20Jan%20to%20Jun\Annual%20report\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c-fps01\data$\Education%20(Current)\DHB%20Reports\2014%20Jan%20to%20Jun\Annual%20report\Analysis.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hdc-fps01\data$\Education%20(Current)\DHB%20Reports\2014%20Jan%20to%20Jun\Annual%20report\Analysis.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hdc-fps01\data$\Education%20(Current)\DHB%20Reports\2014%20Jan%20to%20Jun\Annual%20report\Analysis.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hdc-fps01\data$\Education%20(Current)\DHB%20Reports\2014%20Jan%20to%20Jun\Annual%20report\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strRef>
              <c:f>'Complaints per year'!$A$1:$E$1</c:f>
              <c:strCache>
                <c:ptCount val="5"/>
                <c:pt idx="0">
                  <c:v>2009/2010</c:v>
                </c:pt>
                <c:pt idx="1">
                  <c:v>2010/2011</c:v>
                </c:pt>
                <c:pt idx="2">
                  <c:v>2011/2012</c:v>
                </c:pt>
                <c:pt idx="3">
                  <c:v>2012/2013</c:v>
                </c:pt>
                <c:pt idx="4">
                  <c:v>2013/2014</c:v>
                </c:pt>
              </c:strCache>
            </c:strRef>
          </c:cat>
          <c:val>
            <c:numRef>
              <c:f>'Complaints per year'!$A$2:$E$2</c:f>
              <c:numCache>
                <c:formatCode>General</c:formatCode>
                <c:ptCount val="5"/>
                <c:pt idx="0">
                  <c:v>526</c:v>
                </c:pt>
                <c:pt idx="1">
                  <c:v>525</c:v>
                </c:pt>
                <c:pt idx="2">
                  <c:v>610</c:v>
                </c:pt>
                <c:pt idx="3">
                  <c:v>616</c:v>
                </c:pt>
                <c:pt idx="4">
                  <c:v>660</c:v>
                </c:pt>
              </c:numCache>
            </c:numRef>
          </c:val>
          <c:smooth val="0"/>
        </c:ser>
        <c:dLbls>
          <c:showLegendKey val="0"/>
          <c:showVal val="0"/>
          <c:showCatName val="0"/>
          <c:showSerName val="0"/>
          <c:showPercent val="0"/>
          <c:showBubbleSize val="0"/>
        </c:dLbls>
        <c:marker val="1"/>
        <c:smooth val="0"/>
        <c:axId val="78614912"/>
        <c:axId val="78616448"/>
      </c:lineChart>
      <c:catAx>
        <c:axId val="78614912"/>
        <c:scaling>
          <c:orientation val="minMax"/>
        </c:scaling>
        <c:delete val="0"/>
        <c:axPos val="b"/>
        <c:majorTickMark val="out"/>
        <c:minorTickMark val="none"/>
        <c:tickLblPos val="nextTo"/>
        <c:crossAx val="78616448"/>
        <c:crosses val="autoZero"/>
        <c:auto val="1"/>
        <c:lblAlgn val="ctr"/>
        <c:lblOffset val="100"/>
        <c:noMultiLvlLbl val="0"/>
      </c:catAx>
      <c:valAx>
        <c:axId val="78616448"/>
        <c:scaling>
          <c:orientation val="minMax"/>
        </c:scaling>
        <c:delete val="0"/>
        <c:axPos val="l"/>
        <c:majorGridlines/>
        <c:numFmt formatCode="General" sourceLinked="1"/>
        <c:majorTickMark val="out"/>
        <c:minorTickMark val="none"/>
        <c:tickLblPos val="nextTo"/>
        <c:crossAx val="786149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strRef>
              <c:f>'Rate per year'!$I$1:$M$1</c:f>
              <c:strCache>
                <c:ptCount val="5"/>
                <c:pt idx="0">
                  <c:v>2009/2010</c:v>
                </c:pt>
                <c:pt idx="1">
                  <c:v>2010/2011</c:v>
                </c:pt>
                <c:pt idx="2">
                  <c:v>2011/2012</c:v>
                </c:pt>
                <c:pt idx="3">
                  <c:v>2012/2013</c:v>
                </c:pt>
                <c:pt idx="4">
                  <c:v>2013/2014</c:v>
                </c:pt>
              </c:strCache>
            </c:strRef>
          </c:cat>
          <c:val>
            <c:numRef>
              <c:f>'Rate per year'!$I$2:$M$2</c:f>
              <c:numCache>
                <c:formatCode>General</c:formatCode>
                <c:ptCount val="5"/>
                <c:pt idx="0">
                  <c:v>60.91</c:v>
                </c:pt>
                <c:pt idx="1">
                  <c:v>59.61</c:v>
                </c:pt>
                <c:pt idx="2">
                  <c:v>67.8</c:v>
                </c:pt>
                <c:pt idx="3">
                  <c:v>67.47</c:v>
                </c:pt>
                <c:pt idx="4">
                  <c:v>72.08</c:v>
                </c:pt>
              </c:numCache>
            </c:numRef>
          </c:val>
          <c:smooth val="0"/>
        </c:ser>
        <c:dLbls>
          <c:showLegendKey val="0"/>
          <c:showVal val="0"/>
          <c:showCatName val="0"/>
          <c:showSerName val="0"/>
          <c:showPercent val="0"/>
          <c:showBubbleSize val="0"/>
        </c:dLbls>
        <c:marker val="1"/>
        <c:smooth val="0"/>
        <c:axId val="78718080"/>
        <c:axId val="78719616"/>
      </c:lineChart>
      <c:catAx>
        <c:axId val="78718080"/>
        <c:scaling>
          <c:orientation val="minMax"/>
        </c:scaling>
        <c:delete val="0"/>
        <c:axPos val="b"/>
        <c:majorTickMark val="out"/>
        <c:minorTickMark val="none"/>
        <c:tickLblPos val="nextTo"/>
        <c:crossAx val="78719616"/>
        <c:crosses val="autoZero"/>
        <c:auto val="1"/>
        <c:lblAlgn val="ctr"/>
        <c:lblOffset val="100"/>
        <c:noMultiLvlLbl val="0"/>
      </c:catAx>
      <c:valAx>
        <c:axId val="78719616"/>
        <c:scaling>
          <c:orientation val="minMax"/>
        </c:scaling>
        <c:delete val="0"/>
        <c:axPos val="l"/>
        <c:majorGridlines/>
        <c:numFmt formatCode="General" sourceLinked="1"/>
        <c:majorTickMark val="out"/>
        <c:minorTickMark val="none"/>
        <c:tickLblPos val="nextTo"/>
        <c:crossAx val="787180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cat>
            <c:strRef>
              <c:f>'Service graph'!$A$1:$A$12</c:f>
              <c:strCache>
                <c:ptCount val="12"/>
                <c:pt idx="0">
                  <c:v>Other</c:v>
                </c:pt>
                <c:pt idx="1">
                  <c:v>Dental </c:v>
                </c:pt>
                <c:pt idx="2">
                  <c:v>Rehabilitation services </c:v>
                </c:pt>
                <c:pt idx="3">
                  <c:v>Alcohol and drug</c:v>
                </c:pt>
                <c:pt idx="4">
                  <c:v>Intensive care </c:v>
                </c:pt>
                <c:pt idx="5">
                  <c:v>Diagnostics</c:v>
                </c:pt>
                <c:pt idx="6">
                  <c:v>Paediatrics</c:v>
                </c:pt>
                <c:pt idx="7">
                  <c:v>Maternity</c:v>
                </c:pt>
                <c:pt idx="8">
                  <c:v>Accident and emergency</c:v>
                </c:pt>
                <c:pt idx="9">
                  <c:v>General medicine</c:v>
                </c:pt>
                <c:pt idx="10">
                  <c:v>Mental health </c:v>
                </c:pt>
                <c:pt idx="11">
                  <c:v>Surgery</c:v>
                </c:pt>
              </c:strCache>
            </c:strRef>
          </c:cat>
          <c:val>
            <c:numRef>
              <c:f>'Service graph'!$B$1:$B$12</c:f>
              <c:numCache>
                <c:formatCode>General</c:formatCode>
                <c:ptCount val="12"/>
                <c:pt idx="0">
                  <c:v>30</c:v>
                </c:pt>
                <c:pt idx="1">
                  <c:v>8</c:v>
                </c:pt>
                <c:pt idx="2">
                  <c:v>10</c:v>
                </c:pt>
                <c:pt idx="3">
                  <c:v>11</c:v>
                </c:pt>
                <c:pt idx="4">
                  <c:v>11</c:v>
                </c:pt>
                <c:pt idx="5">
                  <c:v>16</c:v>
                </c:pt>
                <c:pt idx="6">
                  <c:v>31</c:v>
                </c:pt>
                <c:pt idx="7">
                  <c:v>38</c:v>
                </c:pt>
                <c:pt idx="8">
                  <c:v>89</c:v>
                </c:pt>
                <c:pt idx="9">
                  <c:v>130</c:v>
                </c:pt>
                <c:pt idx="10">
                  <c:v>132</c:v>
                </c:pt>
                <c:pt idx="11">
                  <c:v>179</c:v>
                </c:pt>
              </c:numCache>
            </c:numRef>
          </c:val>
        </c:ser>
        <c:dLbls>
          <c:showLegendKey val="0"/>
          <c:showVal val="0"/>
          <c:showCatName val="0"/>
          <c:showSerName val="0"/>
          <c:showPercent val="0"/>
          <c:showBubbleSize val="0"/>
        </c:dLbls>
        <c:gapWidth val="150"/>
        <c:axId val="78743424"/>
        <c:axId val="78744960"/>
      </c:barChart>
      <c:catAx>
        <c:axId val="78743424"/>
        <c:scaling>
          <c:orientation val="minMax"/>
        </c:scaling>
        <c:delete val="0"/>
        <c:axPos val="l"/>
        <c:majorTickMark val="out"/>
        <c:minorTickMark val="none"/>
        <c:tickLblPos val="nextTo"/>
        <c:txPr>
          <a:bodyPr/>
          <a:lstStyle/>
          <a:p>
            <a:pPr>
              <a:defRPr sz="1050"/>
            </a:pPr>
            <a:endParaRPr lang="en-US"/>
          </a:p>
        </c:txPr>
        <c:crossAx val="78744960"/>
        <c:crosses val="autoZero"/>
        <c:auto val="1"/>
        <c:lblAlgn val="ctr"/>
        <c:lblOffset val="100"/>
        <c:noMultiLvlLbl val="0"/>
      </c:catAx>
      <c:valAx>
        <c:axId val="78744960"/>
        <c:scaling>
          <c:orientation val="minMax"/>
        </c:scaling>
        <c:delete val="0"/>
        <c:axPos val="b"/>
        <c:majorGridlines/>
        <c:title>
          <c:tx>
            <c:rich>
              <a:bodyPr/>
              <a:lstStyle/>
              <a:p>
                <a:pPr>
                  <a:defRPr/>
                </a:pPr>
                <a:r>
                  <a:rPr lang="en-NZ"/>
                  <a:t>Number of complaints</a:t>
                </a:r>
              </a:p>
            </c:rich>
          </c:tx>
          <c:overlay val="0"/>
        </c:title>
        <c:numFmt formatCode="General" sourceLinked="1"/>
        <c:majorTickMark val="out"/>
        <c:minorTickMark val="none"/>
        <c:tickLblPos val="nextTo"/>
        <c:txPr>
          <a:bodyPr/>
          <a:lstStyle/>
          <a:p>
            <a:pPr>
              <a:defRPr sz="1050"/>
            </a:pPr>
            <a:endParaRPr lang="en-US"/>
          </a:p>
        </c:txPr>
        <c:crossAx val="7874342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6155058513690608"/>
          <c:y val="2.9048656499636893E-2"/>
          <c:w val="0.45830825602245262"/>
          <c:h val="0.87583027121609802"/>
        </c:manualLayout>
      </c:layout>
      <c:barChart>
        <c:barDir val="bar"/>
        <c:grouping val="clustered"/>
        <c:varyColors val="0"/>
        <c:ser>
          <c:idx val="0"/>
          <c:order val="0"/>
          <c:tx>
            <c:strRef>
              <c:f>'Issues graph'!$B$1</c:f>
              <c:strCache>
                <c:ptCount val="1"/>
                <c:pt idx="0">
                  <c:v>Primary issue (%)</c:v>
                </c:pt>
              </c:strCache>
            </c:strRef>
          </c:tx>
          <c:invertIfNegative val="0"/>
          <c:cat>
            <c:strRef>
              <c:f>'Issues graph'!$A$2:$A$8</c:f>
              <c:strCache>
                <c:ptCount val="7"/>
                <c:pt idx="0">
                  <c:v>Failure to communicate effectively with consumer</c:v>
                </c:pt>
                <c:pt idx="1">
                  <c:v>Failure to communicate effectively with family</c:v>
                </c:pt>
                <c:pt idx="2">
                  <c:v>Inappropriate/delayed discharge/transfer</c:v>
                </c:pt>
                <c:pt idx="3">
                  <c:v>Unexpected treatment outcome</c:v>
                </c:pt>
                <c:pt idx="4">
                  <c:v>Disrespectful manner/attitude</c:v>
                </c:pt>
                <c:pt idx="5">
                  <c:v>Inadequate/inappropriate treatment</c:v>
                </c:pt>
                <c:pt idx="6">
                  <c:v>Missed/incorrect/delayed diagnosis</c:v>
                </c:pt>
              </c:strCache>
            </c:strRef>
          </c:cat>
          <c:val>
            <c:numRef>
              <c:f>'Issues graph'!$B$2:$B$8</c:f>
              <c:numCache>
                <c:formatCode>General</c:formatCode>
                <c:ptCount val="7"/>
                <c:pt idx="0">
                  <c:v>1.8</c:v>
                </c:pt>
                <c:pt idx="1">
                  <c:v>3</c:v>
                </c:pt>
                <c:pt idx="2">
                  <c:v>4</c:v>
                </c:pt>
                <c:pt idx="3">
                  <c:v>4.5</c:v>
                </c:pt>
                <c:pt idx="4">
                  <c:v>5.5</c:v>
                </c:pt>
                <c:pt idx="5">
                  <c:v>13.9</c:v>
                </c:pt>
                <c:pt idx="6">
                  <c:v>17.100000000000001</c:v>
                </c:pt>
              </c:numCache>
            </c:numRef>
          </c:val>
        </c:ser>
        <c:ser>
          <c:idx val="1"/>
          <c:order val="1"/>
          <c:tx>
            <c:strRef>
              <c:f>'Issues graph'!$C$1</c:f>
              <c:strCache>
                <c:ptCount val="1"/>
                <c:pt idx="0">
                  <c:v>All issues (%)</c:v>
                </c:pt>
              </c:strCache>
            </c:strRef>
          </c:tx>
          <c:invertIfNegative val="0"/>
          <c:cat>
            <c:strRef>
              <c:f>'Issues graph'!$A$2:$A$8</c:f>
              <c:strCache>
                <c:ptCount val="7"/>
                <c:pt idx="0">
                  <c:v>Failure to communicate effectively with consumer</c:v>
                </c:pt>
                <c:pt idx="1">
                  <c:v>Failure to communicate effectively with family</c:v>
                </c:pt>
                <c:pt idx="2">
                  <c:v>Inappropriate/delayed discharge/transfer</c:v>
                </c:pt>
                <c:pt idx="3">
                  <c:v>Unexpected treatment outcome</c:v>
                </c:pt>
                <c:pt idx="4">
                  <c:v>Disrespectful manner/attitude</c:v>
                </c:pt>
                <c:pt idx="5">
                  <c:v>Inadequate/inappropriate treatment</c:v>
                </c:pt>
                <c:pt idx="6">
                  <c:v>Missed/incorrect/delayed diagnosis</c:v>
                </c:pt>
              </c:strCache>
            </c:strRef>
          </c:cat>
          <c:val>
            <c:numRef>
              <c:f>'Issues graph'!$C$2:$C$8</c:f>
              <c:numCache>
                <c:formatCode>General</c:formatCode>
                <c:ptCount val="7"/>
                <c:pt idx="0">
                  <c:v>20.8</c:v>
                </c:pt>
                <c:pt idx="1">
                  <c:v>20.6</c:v>
                </c:pt>
                <c:pt idx="2">
                  <c:v>13.3</c:v>
                </c:pt>
                <c:pt idx="3">
                  <c:v>15</c:v>
                </c:pt>
                <c:pt idx="4">
                  <c:v>20</c:v>
                </c:pt>
                <c:pt idx="5">
                  <c:v>36.700000000000003</c:v>
                </c:pt>
                <c:pt idx="6">
                  <c:v>27.4</c:v>
                </c:pt>
              </c:numCache>
            </c:numRef>
          </c:val>
        </c:ser>
        <c:dLbls>
          <c:showLegendKey val="0"/>
          <c:showVal val="0"/>
          <c:showCatName val="0"/>
          <c:showSerName val="0"/>
          <c:showPercent val="0"/>
          <c:showBubbleSize val="0"/>
        </c:dLbls>
        <c:gapWidth val="150"/>
        <c:axId val="78764288"/>
        <c:axId val="114626560"/>
      </c:barChart>
      <c:catAx>
        <c:axId val="78764288"/>
        <c:scaling>
          <c:orientation val="minMax"/>
        </c:scaling>
        <c:delete val="0"/>
        <c:axPos val="l"/>
        <c:majorTickMark val="out"/>
        <c:minorTickMark val="none"/>
        <c:tickLblPos val="nextTo"/>
        <c:crossAx val="114626560"/>
        <c:crosses val="autoZero"/>
        <c:auto val="1"/>
        <c:lblAlgn val="ctr"/>
        <c:lblOffset val="100"/>
        <c:noMultiLvlLbl val="0"/>
      </c:catAx>
      <c:valAx>
        <c:axId val="114626560"/>
        <c:scaling>
          <c:orientation val="minMax"/>
        </c:scaling>
        <c:delete val="0"/>
        <c:axPos val="b"/>
        <c:majorGridlines/>
        <c:title>
          <c:tx>
            <c:rich>
              <a:bodyPr/>
              <a:lstStyle/>
              <a:p>
                <a:pPr>
                  <a:defRPr/>
                </a:pPr>
                <a:r>
                  <a:rPr lang="en-NZ"/>
                  <a:t>Percentage of complaints</a:t>
                </a:r>
              </a:p>
            </c:rich>
          </c:tx>
          <c:layout>
            <c:manualLayout>
              <c:xMode val="edge"/>
              <c:yMode val="edge"/>
              <c:x val="0.48821628077859097"/>
              <c:y val="0.95776377952755909"/>
            </c:manualLayout>
          </c:layout>
          <c:overlay val="0"/>
        </c:title>
        <c:numFmt formatCode="General" sourceLinked="1"/>
        <c:majorTickMark val="out"/>
        <c:minorTickMark val="none"/>
        <c:tickLblPos val="nextTo"/>
        <c:crossAx val="7876428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'Closed graph'!$A$3</c:f>
              <c:strCache>
                <c:ptCount val="1"/>
                <c:pt idx="0">
                  <c:v>Total complaints closed</c:v>
                </c:pt>
              </c:strCache>
            </c:strRef>
          </c:tx>
          <c:cat>
            <c:strRef>
              <c:f>'Closed graph'!$B$1:$F$2</c:f>
              <c:strCache>
                <c:ptCount val="5"/>
                <c:pt idx="0">
                  <c:v>2009/2010</c:v>
                </c:pt>
                <c:pt idx="1">
                  <c:v>2010/2011</c:v>
                </c:pt>
                <c:pt idx="2">
                  <c:v>2011/2012</c:v>
                </c:pt>
                <c:pt idx="3">
                  <c:v>2012/2013</c:v>
                </c:pt>
                <c:pt idx="4">
                  <c:v>2013/2014</c:v>
                </c:pt>
              </c:strCache>
            </c:strRef>
          </c:cat>
          <c:val>
            <c:numRef>
              <c:f>'Closed graph'!$B$3:$F$3</c:f>
              <c:numCache>
                <c:formatCode>General</c:formatCode>
                <c:ptCount val="5"/>
                <c:pt idx="0">
                  <c:v>490</c:v>
                </c:pt>
                <c:pt idx="1">
                  <c:v>503</c:v>
                </c:pt>
                <c:pt idx="2">
                  <c:v>519</c:v>
                </c:pt>
                <c:pt idx="3">
                  <c:v>591</c:v>
                </c:pt>
                <c:pt idx="4">
                  <c:v>691</c:v>
                </c:pt>
              </c:numCache>
            </c:numRef>
          </c:val>
          <c:smooth val="0"/>
        </c:ser>
        <c:dLbls>
          <c:showLegendKey val="0"/>
          <c:showVal val="0"/>
          <c:showCatName val="0"/>
          <c:showSerName val="0"/>
          <c:showPercent val="0"/>
          <c:showBubbleSize val="0"/>
        </c:dLbls>
        <c:marker val="1"/>
        <c:smooth val="0"/>
        <c:axId val="114651520"/>
        <c:axId val="114653056"/>
      </c:lineChart>
      <c:catAx>
        <c:axId val="114651520"/>
        <c:scaling>
          <c:orientation val="minMax"/>
        </c:scaling>
        <c:delete val="0"/>
        <c:axPos val="b"/>
        <c:majorTickMark val="out"/>
        <c:minorTickMark val="none"/>
        <c:tickLblPos val="nextTo"/>
        <c:crossAx val="114653056"/>
        <c:crosses val="autoZero"/>
        <c:auto val="1"/>
        <c:lblAlgn val="ctr"/>
        <c:lblOffset val="100"/>
        <c:noMultiLvlLbl val="0"/>
      </c:catAx>
      <c:valAx>
        <c:axId val="114653056"/>
        <c:scaling>
          <c:orientation val="minMax"/>
        </c:scaling>
        <c:delete val="0"/>
        <c:axPos val="l"/>
        <c:majorGridlines/>
        <c:numFmt formatCode="General" sourceLinked="1"/>
        <c:majorTickMark val="out"/>
        <c:minorTickMark val="none"/>
        <c:tickLblPos val="nextTo"/>
        <c:crossAx val="1146515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A91C-A5D8-4628-8262-331F4053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949AE8E2</Template>
  <TotalTime>0</TotalTime>
  <Pages>33</Pages>
  <Words>9108</Words>
  <Characters>51921</Characters>
  <Application>Microsoft Office Word</Application>
  <DocSecurity>0</DocSecurity>
  <Lines>432</Lines>
  <Paragraphs>121</Paragraphs>
  <ScaleCrop>false</ScaleCrop>
  <Company/>
  <LinksUpToDate>false</LinksUpToDate>
  <CharactersWithSpaces>60908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2015-04-17T03:39:00Z</dcterms:created>
  <dcterms:modified xsi:type="dcterms:W3CDTF">2015-04-17T03:40:00Z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