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8916" w14:textId="735C95F8" w:rsidR="009247DC" w:rsidRPr="009B2CA8" w:rsidRDefault="009247DC" w:rsidP="009247DC">
      <w:pPr>
        <w:rPr>
          <w:lang w:val="en-GB"/>
        </w:rPr>
      </w:pPr>
      <w:bookmarkStart w:id="0" w:name="_Toc11657573"/>
      <w:bookmarkStart w:id="1" w:name="_Toc132964793"/>
      <w:bookmarkStart w:id="2" w:name="_Toc101344203"/>
      <w:bookmarkStart w:id="3" w:name="_Toc410308174"/>
      <w:bookmarkStart w:id="4" w:name="_Toc410312203"/>
      <w:bookmarkStart w:id="5" w:name="_Toc254863946"/>
      <w:bookmarkStart w:id="6" w:name="_Toc262460022"/>
      <w:bookmarkStart w:id="7" w:name="_Toc131410606"/>
      <w:bookmarkStart w:id="8" w:name="_Toc135461938"/>
      <w:bookmarkStart w:id="9" w:name="_Toc170703456"/>
      <w:bookmarkStart w:id="10" w:name="_Toc194296742"/>
      <w:bookmarkStart w:id="11" w:name="_Toc231360966"/>
    </w:p>
    <w:p w14:paraId="7A60195B" w14:textId="77777777" w:rsidR="009B2CA8" w:rsidRPr="009B2CA8" w:rsidRDefault="009B2CA8" w:rsidP="009B2CA8">
      <w:pPr>
        <w:pStyle w:val="NormalWeb"/>
        <w:jc w:val="left"/>
        <w:rPr>
          <w:color w:val="auto"/>
        </w:rPr>
      </w:pPr>
      <w:r w:rsidRPr="009B2CA8">
        <w:rPr>
          <w:noProof/>
          <w:color w:val="auto"/>
          <w:lang w:eastAsia="en-NZ"/>
        </w:rPr>
        <w:drawing>
          <wp:anchor distT="0" distB="0" distL="114300" distR="114300" simplePos="0" relativeHeight="251659264" behindDoc="0" locked="0" layoutInCell="1" allowOverlap="1" wp14:anchorId="1EE4474E" wp14:editId="36904ECF">
            <wp:simplePos x="0" y="0"/>
            <wp:positionH relativeFrom="column">
              <wp:posOffset>1725930</wp:posOffset>
            </wp:positionH>
            <wp:positionV relativeFrom="paragraph">
              <wp:posOffset>163830</wp:posOffset>
            </wp:positionV>
            <wp:extent cx="2465070" cy="1353820"/>
            <wp:effectExtent l="19050" t="0" r="0" b="0"/>
            <wp:wrapSquare wrapText="bothSides"/>
            <wp:docPr id="85" name="Picture 2" descr="Best_HD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_HDC_logo"/>
                    <pic:cNvPicPr>
                      <a:picLocks noChangeAspect="1" noChangeArrowheads="1"/>
                    </pic:cNvPicPr>
                  </pic:nvPicPr>
                  <pic:blipFill>
                    <a:blip r:embed="rId9" cstate="print"/>
                    <a:srcRect/>
                    <a:stretch>
                      <a:fillRect/>
                    </a:stretch>
                  </pic:blipFill>
                  <pic:spPr bwMode="auto">
                    <a:xfrm>
                      <a:off x="0" y="0"/>
                      <a:ext cx="2465070" cy="1353820"/>
                    </a:xfrm>
                    <a:prstGeom prst="rect">
                      <a:avLst/>
                    </a:prstGeom>
                    <a:noFill/>
                    <a:ln w="9525">
                      <a:noFill/>
                      <a:miter lim="800000"/>
                      <a:headEnd/>
                      <a:tailEnd/>
                    </a:ln>
                  </pic:spPr>
                </pic:pic>
              </a:graphicData>
            </a:graphic>
          </wp:anchor>
        </w:drawing>
      </w:r>
      <w:r w:rsidRPr="009B2CA8">
        <w:rPr>
          <w:color w:val="auto"/>
        </w:rPr>
        <w:tab/>
      </w:r>
      <w:r w:rsidRPr="009B2CA8">
        <w:rPr>
          <w:color w:val="auto"/>
        </w:rPr>
        <w:tab/>
      </w:r>
      <w:r w:rsidRPr="009B2CA8">
        <w:rPr>
          <w:color w:val="auto"/>
        </w:rPr>
        <w:tab/>
      </w:r>
      <w:r w:rsidRPr="009B2CA8">
        <w:rPr>
          <w:color w:val="auto"/>
        </w:rPr>
        <w:tab/>
      </w:r>
      <w:r w:rsidRPr="009B2CA8">
        <w:rPr>
          <w:color w:val="auto"/>
        </w:rPr>
        <w:tab/>
        <w:t>E.17</w:t>
      </w:r>
    </w:p>
    <w:p w14:paraId="53B9B75C" w14:textId="77777777" w:rsidR="009B2CA8" w:rsidRPr="009B2CA8" w:rsidRDefault="009B2CA8" w:rsidP="009B2CA8">
      <w:pPr>
        <w:pStyle w:val="NormalWeb"/>
        <w:jc w:val="left"/>
        <w:rPr>
          <w:color w:val="auto"/>
        </w:rPr>
      </w:pPr>
    </w:p>
    <w:p w14:paraId="16BC35A4" w14:textId="77777777" w:rsidR="009B2CA8" w:rsidRPr="009B2CA8" w:rsidRDefault="009B2CA8" w:rsidP="009B2CA8">
      <w:pPr>
        <w:pStyle w:val="NormalWeb"/>
        <w:jc w:val="left"/>
        <w:rPr>
          <w:color w:val="auto"/>
        </w:rPr>
      </w:pPr>
    </w:p>
    <w:p w14:paraId="4D6299A9" w14:textId="77777777" w:rsidR="009B2CA8" w:rsidRPr="009B2CA8" w:rsidRDefault="009B2CA8" w:rsidP="009B2CA8">
      <w:pPr>
        <w:pStyle w:val="NormalWeb"/>
        <w:jc w:val="left"/>
        <w:rPr>
          <w:color w:val="auto"/>
        </w:rPr>
      </w:pPr>
    </w:p>
    <w:p w14:paraId="5AADD45D" w14:textId="77777777" w:rsidR="009B2CA8" w:rsidRPr="009B2CA8" w:rsidRDefault="009B2CA8" w:rsidP="009B2CA8">
      <w:pPr>
        <w:pStyle w:val="NormalWeb"/>
        <w:jc w:val="left"/>
        <w:rPr>
          <w:color w:val="auto"/>
        </w:rPr>
      </w:pPr>
    </w:p>
    <w:p w14:paraId="59B8EA2C" w14:textId="77777777" w:rsidR="009B2CA8" w:rsidRPr="009B2CA8" w:rsidRDefault="009B2CA8" w:rsidP="009B2CA8">
      <w:pPr>
        <w:pStyle w:val="NormalWeb"/>
        <w:jc w:val="center"/>
        <w:rPr>
          <w:color w:val="auto"/>
          <w:sz w:val="56"/>
          <w:szCs w:val="56"/>
        </w:rPr>
      </w:pPr>
    </w:p>
    <w:p w14:paraId="60E8B7D7" w14:textId="73EF55B5" w:rsidR="009B2CA8" w:rsidRPr="009B2CA8" w:rsidRDefault="009B2CA8" w:rsidP="007230F9">
      <w:pPr>
        <w:pStyle w:val="NormalWeb"/>
        <w:spacing w:after="120" w:afterAutospacing="0"/>
        <w:jc w:val="center"/>
        <w:rPr>
          <w:color w:val="auto"/>
          <w:sz w:val="44"/>
          <w:szCs w:val="44"/>
        </w:rPr>
      </w:pPr>
      <w:r w:rsidRPr="009B2CA8">
        <w:rPr>
          <w:color w:val="auto"/>
          <w:sz w:val="44"/>
          <w:szCs w:val="44"/>
        </w:rPr>
        <w:t>Office of the</w:t>
      </w:r>
      <w:r w:rsidR="00891F41">
        <w:rPr>
          <w:color w:val="auto"/>
          <w:sz w:val="44"/>
          <w:szCs w:val="44"/>
        </w:rPr>
        <w:br/>
      </w:r>
      <w:r w:rsidRPr="009B2CA8">
        <w:rPr>
          <w:color w:val="auto"/>
          <w:sz w:val="44"/>
          <w:szCs w:val="44"/>
        </w:rPr>
        <w:t xml:space="preserve">Health and Disability Commissioner  </w:t>
      </w:r>
    </w:p>
    <w:p w14:paraId="1C5015EA" w14:textId="77777777" w:rsidR="009B2CA8" w:rsidRPr="009B2CA8" w:rsidRDefault="009B2CA8" w:rsidP="009B2CA8">
      <w:pPr>
        <w:jc w:val="center"/>
        <w:rPr>
          <w:color w:val="auto"/>
          <w:sz w:val="44"/>
          <w:szCs w:val="44"/>
        </w:rPr>
      </w:pPr>
      <w:r w:rsidRPr="009B2CA8">
        <w:rPr>
          <w:color w:val="auto"/>
          <w:sz w:val="44"/>
          <w:szCs w:val="44"/>
        </w:rPr>
        <w:t xml:space="preserve">Te </w:t>
      </w:r>
      <w:proofErr w:type="spellStart"/>
      <w:r w:rsidRPr="009B2CA8">
        <w:rPr>
          <w:color w:val="auto"/>
          <w:sz w:val="44"/>
          <w:szCs w:val="44"/>
        </w:rPr>
        <w:t>Toihau</w:t>
      </w:r>
      <w:proofErr w:type="spellEnd"/>
      <w:r w:rsidRPr="009B2CA8">
        <w:rPr>
          <w:color w:val="auto"/>
          <w:sz w:val="44"/>
          <w:szCs w:val="44"/>
        </w:rPr>
        <w:t xml:space="preserve"> Hauora, </w:t>
      </w:r>
      <w:proofErr w:type="spellStart"/>
      <w:r w:rsidRPr="009B2CA8">
        <w:rPr>
          <w:color w:val="auto"/>
          <w:sz w:val="44"/>
          <w:szCs w:val="44"/>
        </w:rPr>
        <w:t>Hauātanga</w:t>
      </w:r>
      <w:proofErr w:type="spellEnd"/>
    </w:p>
    <w:p w14:paraId="4765657C" w14:textId="0FED890C" w:rsidR="009B2CA8" w:rsidRDefault="009B2CA8" w:rsidP="009B2CA8">
      <w:pPr>
        <w:pStyle w:val="NormalWeb"/>
        <w:jc w:val="left"/>
        <w:rPr>
          <w:color w:val="auto"/>
          <w:sz w:val="56"/>
          <w:szCs w:val="56"/>
        </w:rPr>
      </w:pPr>
    </w:p>
    <w:p w14:paraId="26AF39E6" w14:textId="77777777" w:rsidR="00891F41" w:rsidRPr="009B2CA8" w:rsidRDefault="00891F41" w:rsidP="009B2CA8">
      <w:pPr>
        <w:pStyle w:val="NormalWeb"/>
        <w:jc w:val="left"/>
        <w:rPr>
          <w:color w:val="auto"/>
          <w:sz w:val="56"/>
          <w:szCs w:val="56"/>
        </w:rPr>
      </w:pPr>
    </w:p>
    <w:p w14:paraId="17F317B9" w14:textId="77777777" w:rsidR="009B2CA8" w:rsidRPr="009B2CA8" w:rsidRDefault="009B2CA8" w:rsidP="009B2CA8">
      <w:pPr>
        <w:pStyle w:val="NormalWeb"/>
        <w:jc w:val="center"/>
        <w:rPr>
          <w:b/>
          <w:color w:val="auto"/>
          <w:sz w:val="44"/>
          <w:szCs w:val="44"/>
        </w:rPr>
      </w:pPr>
      <w:r w:rsidRPr="009B2CA8">
        <w:rPr>
          <w:b/>
          <w:color w:val="auto"/>
          <w:sz w:val="44"/>
          <w:szCs w:val="44"/>
        </w:rPr>
        <w:t>Statement of Performance Expectations</w:t>
      </w:r>
    </w:p>
    <w:p w14:paraId="63E1C73B" w14:textId="77777777" w:rsidR="009B2CA8" w:rsidRPr="009B2CA8" w:rsidRDefault="009B2CA8" w:rsidP="009B2CA8">
      <w:pPr>
        <w:pStyle w:val="NormalWeb"/>
        <w:jc w:val="center"/>
        <w:rPr>
          <w:color w:val="auto"/>
          <w:sz w:val="44"/>
          <w:szCs w:val="44"/>
        </w:rPr>
      </w:pPr>
      <w:r w:rsidRPr="009B2CA8">
        <w:rPr>
          <w:color w:val="auto"/>
          <w:sz w:val="44"/>
          <w:szCs w:val="44"/>
        </w:rPr>
        <w:t>2023/2024</w:t>
      </w:r>
    </w:p>
    <w:p w14:paraId="67A51705" w14:textId="77777777" w:rsidR="009B2CA8" w:rsidRPr="009B2CA8" w:rsidRDefault="009B2CA8" w:rsidP="009B2CA8">
      <w:pPr>
        <w:pStyle w:val="NormalWeb"/>
        <w:jc w:val="left"/>
        <w:rPr>
          <w:color w:val="auto"/>
        </w:rPr>
      </w:pPr>
    </w:p>
    <w:p w14:paraId="43710CEF" w14:textId="77777777" w:rsidR="009B2CA8" w:rsidRPr="009B2CA8" w:rsidRDefault="009B2CA8" w:rsidP="009B2CA8">
      <w:pPr>
        <w:jc w:val="center"/>
        <w:rPr>
          <w:color w:val="auto"/>
          <w:sz w:val="40"/>
        </w:rPr>
        <w:sectPr w:rsidR="009B2CA8" w:rsidRPr="009B2CA8" w:rsidSect="00B42FBB">
          <w:pgSz w:w="11906" w:h="16838" w:code="9"/>
          <w:pgMar w:top="1361" w:right="1361" w:bottom="1361" w:left="1361" w:header="709" w:footer="709" w:gutter="0"/>
          <w:pgNumType w:fmt="lowerRoman" w:start="1"/>
          <w:cols w:space="708"/>
          <w:titlePg/>
          <w:docGrid w:linePitch="360"/>
        </w:sectPr>
      </w:pPr>
    </w:p>
    <w:p w14:paraId="6309F8CD" w14:textId="77777777" w:rsidR="009B2CA8" w:rsidRPr="009B2CA8" w:rsidRDefault="009B2CA8" w:rsidP="009B2CA8">
      <w:pPr>
        <w:rPr>
          <w:color w:val="auto"/>
        </w:rPr>
      </w:pPr>
    </w:p>
    <w:p w14:paraId="109AB15C" w14:textId="77777777" w:rsidR="009B2CA8" w:rsidRPr="009B2CA8" w:rsidRDefault="009B2CA8" w:rsidP="009B2CA8">
      <w:pPr>
        <w:tabs>
          <w:tab w:val="right" w:leader="dot" w:pos="9214"/>
        </w:tabs>
        <w:rPr>
          <w:rFonts w:cs="Arial"/>
          <w:noProof/>
          <w:color w:val="auto"/>
          <w:sz w:val="28"/>
          <w:szCs w:val="32"/>
        </w:rPr>
      </w:pPr>
    </w:p>
    <w:p w14:paraId="1992C495" w14:textId="77777777" w:rsidR="009B2CA8" w:rsidRPr="009B2CA8" w:rsidRDefault="009B2CA8" w:rsidP="009B2CA8">
      <w:pPr>
        <w:tabs>
          <w:tab w:val="right" w:leader="dot" w:pos="9214"/>
        </w:tabs>
        <w:rPr>
          <w:color w:val="auto"/>
          <w:sz w:val="28"/>
          <w:szCs w:val="32"/>
        </w:rPr>
      </w:pPr>
    </w:p>
    <w:p w14:paraId="2E8C3769" w14:textId="77777777" w:rsidR="009B2CA8" w:rsidRPr="009B2CA8" w:rsidRDefault="009B2CA8" w:rsidP="009B2CA8">
      <w:pPr>
        <w:tabs>
          <w:tab w:val="right" w:leader="dot" w:pos="9214"/>
        </w:tabs>
        <w:rPr>
          <w:color w:val="auto"/>
          <w:sz w:val="28"/>
          <w:szCs w:val="32"/>
        </w:rPr>
      </w:pPr>
    </w:p>
    <w:p w14:paraId="54368239" w14:textId="77777777" w:rsidR="009B2CA8" w:rsidRPr="009B2CA8" w:rsidRDefault="009B2CA8" w:rsidP="009B2CA8">
      <w:pPr>
        <w:tabs>
          <w:tab w:val="right" w:leader="dot" w:pos="9214"/>
        </w:tabs>
        <w:rPr>
          <w:color w:val="auto"/>
          <w:sz w:val="28"/>
          <w:szCs w:val="32"/>
        </w:rPr>
      </w:pPr>
    </w:p>
    <w:p w14:paraId="4A2E9EB2" w14:textId="77777777" w:rsidR="009B2CA8" w:rsidRPr="009B2CA8" w:rsidRDefault="009B2CA8" w:rsidP="009B2CA8">
      <w:pPr>
        <w:tabs>
          <w:tab w:val="right" w:leader="dot" w:pos="9214"/>
        </w:tabs>
        <w:rPr>
          <w:color w:val="auto"/>
          <w:sz w:val="28"/>
          <w:szCs w:val="32"/>
        </w:rPr>
      </w:pPr>
    </w:p>
    <w:p w14:paraId="798AF245" w14:textId="77777777" w:rsidR="009B2CA8" w:rsidRPr="009B2CA8" w:rsidRDefault="009B2CA8" w:rsidP="009B2CA8">
      <w:pPr>
        <w:tabs>
          <w:tab w:val="right" w:leader="dot" w:pos="9214"/>
        </w:tabs>
        <w:rPr>
          <w:color w:val="auto"/>
          <w:sz w:val="28"/>
          <w:szCs w:val="32"/>
        </w:rPr>
      </w:pPr>
    </w:p>
    <w:p w14:paraId="627D3893" w14:textId="77777777" w:rsidR="009B2CA8" w:rsidRPr="009B2CA8" w:rsidRDefault="009B2CA8" w:rsidP="009B2CA8">
      <w:pPr>
        <w:tabs>
          <w:tab w:val="right" w:leader="dot" w:pos="9214"/>
        </w:tabs>
        <w:rPr>
          <w:color w:val="auto"/>
          <w:sz w:val="28"/>
          <w:szCs w:val="32"/>
        </w:rPr>
      </w:pPr>
    </w:p>
    <w:p w14:paraId="78F054D0" w14:textId="77777777" w:rsidR="009B2CA8" w:rsidRPr="009B2CA8" w:rsidRDefault="009B2CA8" w:rsidP="009B2CA8">
      <w:pPr>
        <w:tabs>
          <w:tab w:val="right" w:leader="dot" w:pos="9214"/>
        </w:tabs>
        <w:rPr>
          <w:color w:val="auto"/>
          <w:sz w:val="28"/>
          <w:szCs w:val="32"/>
        </w:rPr>
      </w:pPr>
    </w:p>
    <w:p w14:paraId="36F2A19B" w14:textId="77777777" w:rsidR="009B2CA8" w:rsidRPr="009B2CA8" w:rsidRDefault="009B2CA8" w:rsidP="009B2CA8">
      <w:pPr>
        <w:tabs>
          <w:tab w:val="right" w:leader="dot" w:pos="9214"/>
        </w:tabs>
        <w:rPr>
          <w:color w:val="auto"/>
          <w:sz w:val="28"/>
          <w:szCs w:val="32"/>
        </w:rPr>
      </w:pPr>
    </w:p>
    <w:p w14:paraId="152E7C78" w14:textId="77777777" w:rsidR="009B2CA8" w:rsidRPr="009B2CA8" w:rsidRDefault="009B2CA8" w:rsidP="009B2CA8">
      <w:pPr>
        <w:tabs>
          <w:tab w:val="right" w:leader="dot" w:pos="9214"/>
        </w:tabs>
        <w:rPr>
          <w:color w:val="auto"/>
          <w:sz w:val="28"/>
          <w:szCs w:val="32"/>
        </w:rPr>
      </w:pPr>
    </w:p>
    <w:p w14:paraId="3369D42C" w14:textId="77777777" w:rsidR="009B2CA8" w:rsidRPr="009B2CA8" w:rsidRDefault="009B2CA8" w:rsidP="009B2CA8">
      <w:pPr>
        <w:tabs>
          <w:tab w:val="right" w:leader="dot" w:pos="9214"/>
        </w:tabs>
        <w:rPr>
          <w:color w:val="auto"/>
          <w:sz w:val="28"/>
          <w:szCs w:val="32"/>
        </w:rPr>
      </w:pPr>
    </w:p>
    <w:p w14:paraId="7DFD67E2" w14:textId="77777777" w:rsidR="009B2CA8" w:rsidRPr="009B2CA8" w:rsidRDefault="009B2CA8" w:rsidP="009B2CA8">
      <w:pPr>
        <w:tabs>
          <w:tab w:val="right" w:leader="dot" w:pos="9214"/>
        </w:tabs>
        <w:rPr>
          <w:color w:val="auto"/>
          <w:sz w:val="28"/>
          <w:szCs w:val="32"/>
        </w:rPr>
      </w:pPr>
    </w:p>
    <w:p w14:paraId="7D874960" w14:textId="77777777" w:rsidR="009B2CA8" w:rsidRPr="009B2CA8" w:rsidRDefault="009B2CA8" w:rsidP="009B2CA8">
      <w:pPr>
        <w:tabs>
          <w:tab w:val="right" w:leader="dot" w:pos="9214"/>
        </w:tabs>
        <w:rPr>
          <w:color w:val="auto"/>
          <w:sz w:val="28"/>
          <w:szCs w:val="32"/>
        </w:rPr>
      </w:pPr>
    </w:p>
    <w:p w14:paraId="4A16E6E1" w14:textId="77777777" w:rsidR="009B2CA8" w:rsidRPr="009B2CA8" w:rsidRDefault="009B2CA8" w:rsidP="009B2CA8">
      <w:pPr>
        <w:tabs>
          <w:tab w:val="right" w:leader="dot" w:pos="9214"/>
        </w:tabs>
        <w:rPr>
          <w:color w:val="auto"/>
          <w:sz w:val="28"/>
          <w:szCs w:val="32"/>
        </w:rPr>
      </w:pPr>
    </w:p>
    <w:p w14:paraId="6BA41B14" w14:textId="77777777" w:rsidR="009B2CA8" w:rsidRPr="009B2CA8" w:rsidRDefault="009B2CA8" w:rsidP="009B2CA8">
      <w:pPr>
        <w:tabs>
          <w:tab w:val="right" w:leader="dot" w:pos="9214"/>
        </w:tabs>
        <w:rPr>
          <w:color w:val="auto"/>
          <w:sz w:val="28"/>
          <w:szCs w:val="32"/>
        </w:rPr>
      </w:pPr>
    </w:p>
    <w:p w14:paraId="11AFCA33" w14:textId="77777777" w:rsidR="009B2CA8" w:rsidRPr="009B2CA8" w:rsidRDefault="009B2CA8" w:rsidP="009B2CA8">
      <w:pPr>
        <w:tabs>
          <w:tab w:val="right" w:leader="dot" w:pos="9214"/>
        </w:tabs>
        <w:rPr>
          <w:color w:val="auto"/>
          <w:sz w:val="28"/>
          <w:szCs w:val="32"/>
        </w:rPr>
      </w:pPr>
    </w:p>
    <w:p w14:paraId="1FECCACA" w14:textId="77777777" w:rsidR="009B2CA8" w:rsidRPr="009B2CA8" w:rsidRDefault="009B2CA8" w:rsidP="009B2CA8">
      <w:pPr>
        <w:tabs>
          <w:tab w:val="right" w:leader="dot" w:pos="9214"/>
        </w:tabs>
        <w:rPr>
          <w:color w:val="auto"/>
          <w:sz w:val="28"/>
          <w:szCs w:val="32"/>
        </w:rPr>
      </w:pPr>
    </w:p>
    <w:p w14:paraId="5A2C6D11" w14:textId="77777777" w:rsidR="009B2CA8" w:rsidRPr="009B2CA8" w:rsidRDefault="009B2CA8" w:rsidP="009B2CA8">
      <w:pPr>
        <w:rPr>
          <w:color w:val="auto"/>
        </w:rPr>
      </w:pPr>
      <w:bookmarkStart w:id="12" w:name="_Our_Statement_of"/>
      <w:bookmarkEnd w:id="12"/>
    </w:p>
    <w:p w14:paraId="7560FC2A" w14:textId="77777777" w:rsidR="009B2CA8" w:rsidRPr="009B2CA8" w:rsidRDefault="009B2CA8" w:rsidP="009B2CA8">
      <w:pPr>
        <w:spacing w:after="60"/>
        <w:rPr>
          <w:color w:val="auto"/>
          <w:sz w:val="20"/>
          <w:szCs w:val="20"/>
        </w:rPr>
      </w:pPr>
      <w:r w:rsidRPr="009B2CA8">
        <w:rPr>
          <w:color w:val="auto"/>
          <w:sz w:val="20"/>
          <w:szCs w:val="20"/>
        </w:rPr>
        <w:t>Published by the Health and Disability Commissioner</w:t>
      </w:r>
    </w:p>
    <w:p w14:paraId="24B6D30B" w14:textId="77777777" w:rsidR="009B2CA8" w:rsidRPr="009B2CA8" w:rsidRDefault="009B2CA8" w:rsidP="009B2CA8">
      <w:pPr>
        <w:rPr>
          <w:color w:val="auto"/>
        </w:rPr>
      </w:pPr>
      <w:r w:rsidRPr="009B2CA8">
        <w:rPr>
          <w:color w:val="auto"/>
          <w:sz w:val="20"/>
          <w:szCs w:val="20"/>
        </w:rPr>
        <w:t>PO Box 1791, Auckland 1140</w:t>
      </w:r>
    </w:p>
    <w:p w14:paraId="14CB032C" w14:textId="77777777" w:rsidR="009B2CA8" w:rsidRPr="009B2CA8" w:rsidRDefault="009B2CA8" w:rsidP="009B2CA8">
      <w:pPr>
        <w:rPr>
          <w:color w:val="auto"/>
        </w:rPr>
      </w:pPr>
      <w:bookmarkStart w:id="13" w:name="_Toc391896721"/>
      <w:bookmarkStart w:id="14" w:name="_Toc410312197"/>
    </w:p>
    <w:p w14:paraId="4B456EF9" w14:textId="77777777" w:rsidR="009B2CA8" w:rsidRPr="009B2CA8" w:rsidRDefault="009B2CA8" w:rsidP="009B2CA8">
      <w:pPr>
        <w:rPr>
          <w:color w:val="auto"/>
          <w:sz w:val="16"/>
          <w:szCs w:val="16"/>
        </w:rPr>
      </w:pPr>
      <w:r w:rsidRPr="009B2CA8">
        <w:rPr>
          <w:noProof/>
          <w:color w:val="auto"/>
          <w:sz w:val="16"/>
          <w:szCs w:val="16"/>
          <w:lang w:eastAsia="en-NZ"/>
        </w:rPr>
        <w:drawing>
          <wp:anchor distT="0" distB="0" distL="114300" distR="114300" simplePos="0" relativeHeight="251660288" behindDoc="1" locked="0" layoutInCell="1" allowOverlap="1" wp14:anchorId="592C1C03" wp14:editId="0C3B7D81">
            <wp:simplePos x="0" y="0"/>
            <wp:positionH relativeFrom="column">
              <wp:posOffset>3175</wp:posOffset>
            </wp:positionH>
            <wp:positionV relativeFrom="paragraph">
              <wp:posOffset>60325</wp:posOffset>
            </wp:positionV>
            <wp:extent cx="682625" cy="232410"/>
            <wp:effectExtent l="0" t="0" r="3175" b="0"/>
            <wp:wrapSquare wrapText="bothSides"/>
            <wp:docPr id="11"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62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CA8">
        <w:rPr>
          <w:color w:val="auto"/>
          <w:sz w:val="16"/>
          <w:szCs w:val="16"/>
        </w:rPr>
        <w:t>Crown copyright ©. This copyright work is licensed under the Creative Commons Attribution 4.0 International licence. In essence, you are free to copy, distribute and adapt the work, as long as you attribute the work to the New Zealand Government and abide by the other licence terms. To view a copy of this licence, visit</w:t>
      </w:r>
      <w:r w:rsidRPr="009B2CA8">
        <w:rPr>
          <w:color w:val="auto"/>
        </w:rPr>
        <w:t xml:space="preserve"> </w:t>
      </w:r>
      <w:hyperlink r:id="rId12" w:history="1">
        <w:r w:rsidRPr="009B2CA8">
          <w:rPr>
            <w:rStyle w:val="Hyperlink"/>
            <w:rFonts w:cs="Arial"/>
            <w:color w:val="auto"/>
            <w:sz w:val="16"/>
            <w:szCs w:val="16"/>
          </w:rPr>
          <w:t>http://creativecommons.org/licenses/by/4.0/</w:t>
        </w:r>
      </w:hyperlink>
      <w:r w:rsidRPr="009B2CA8">
        <w:rPr>
          <w:color w:val="auto"/>
          <w:sz w:val="16"/>
          <w:szCs w:val="16"/>
        </w:rPr>
        <w:t xml:space="preserve">. Please note that neither the New Zealand Government emblem nor the New Zealand Government logo may be used in any way that infringes any provision of the </w:t>
      </w:r>
      <w:hyperlink r:id="rId13" w:anchor="dlm52216" w:history="1">
        <w:r w:rsidRPr="009B2CA8">
          <w:rPr>
            <w:rStyle w:val="Hyperlink"/>
            <w:rFonts w:cs="Arial"/>
            <w:color w:val="auto"/>
            <w:sz w:val="16"/>
            <w:szCs w:val="16"/>
          </w:rPr>
          <w:t>Flags, Emblems, and Names Protection Act 1981</w:t>
        </w:r>
      </w:hyperlink>
      <w:r w:rsidRPr="009B2CA8">
        <w:rPr>
          <w:color w:val="auto"/>
          <w:sz w:val="16"/>
          <w:szCs w:val="16"/>
        </w:rPr>
        <w:t xml:space="preserve"> or would infringe such provision if the relevant use occurred within New Zealand. Attribution to the New Zealand Government should be in written form and not by reproduction of any emblem or the New Zealand Government logo.</w:t>
      </w:r>
    </w:p>
    <w:p w14:paraId="41BF24F1" w14:textId="77777777" w:rsidR="009B2CA8" w:rsidRPr="009B2CA8" w:rsidRDefault="009B2CA8" w:rsidP="009B2CA8">
      <w:pPr>
        <w:rPr>
          <w:color w:val="auto"/>
          <w:sz w:val="16"/>
          <w:szCs w:val="16"/>
        </w:rPr>
        <w:sectPr w:rsidR="009B2CA8" w:rsidRPr="009B2CA8" w:rsidSect="00EC34E8">
          <w:pgSz w:w="11906" w:h="16838" w:code="9"/>
          <w:pgMar w:top="1361" w:right="1361" w:bottom="1361" w:left="1134" w:header="709" w:footer="709" w:gutter="0"/>
          <w:pgNumType w:fmt="lowerRoman" w:start="1"/>
          <w:cols w:space="708"/>
          <w:docGrid w:linePitch="360"/>
        </w:sectPr>
      </w:pPr>
    </w:p>
    <w:p w14:paraId="6B43A9A7" w14:textId="77777777" w:rsidR="009B2CA8" w:rsidRPr="00170D25" w:rsidRDefault="009B2CA8" w:rsidP="008E478B">
      <w:pPr>
        <w:spacing w:after="120"/>
        <w:rPr>
          <w:b/>
          <w:color w:val="A6192E"/>
          <w:sz w:val="36"/>
          <w:szCs w:val="36"/>
        </w:rPr>
      </w:pPr>
      <w:r w:rsidRPr="00170D25">
        <w:rPr>
          <w:b/>
          <w:color w:val="A6192E"/>
          <w:sz w:val="36"/>
          <w:szCs w:val="36"/>
        </w:rPr>
        <w:lastRenderedPageBreak/>
        <w:t>Table of contents</w:t>
      </w:r>
    </w:p>
    <w:bookmarkStart w:id="15" w:name="_Table_of_Contents"/>
    <w:bookmarkStart w:id="16" w:name="_Commissioner’s_Foreword"/>
    <w:bookmarkStart w:id="17" w:name="_Commissioner’s_Foreword_1"/>
    <w:bookmarkStart w:id="18" w:name="_Our_Statement_of_1"/>
    <w:bookmarkEnd w:id="15"/>
    <w:bookmarkEnd w:id="16"/>
    <w:bookmarkEnd w:id="17"/>
    <w:bookmarkEnd w:id="18"/>
    <w:p w14:paraId="3AB34FD0" w14:textId="7433371C" w:rsidR="00711B32" w:rsidRDefault="009B2CA8">
      <w:pPr>
        <w:pStyle w:val="TOC1"/>
        <w:rPr>
          <w:rFonts w:eastAsiaTheme="minorEastAsia" w:cstheme="minorBidi"/>
          <w:iCs w:val="0"/>
          <w:color w:val="auto"/>
          <w:kern w:val="2"/>
          <w:sz w:val="22"/>
          <w:szCs w:val="22"/>
          <w:lang w:eastAsia="en-NZ"/>
          <w14:ligatures w14:val="standardContextual"/>
        </w:rPr>
      </w:pPr>
      <w:r w:rsidRPr="009B2CA8">
        <w:rPr>
          <w:color w:val="auto"/>
        </w:rPr>
        <w:fldChar w:fldCharType="begin"/>
      </w:r>
      <w:r w:rsidRPr="009B2CA8">
        <w:rPr>
          <w:color w:val="auto"/>
        </w:rPr>
        <w:instrText xml:space="preserve"> TOC \o "1-2" \h \z \u </w:instrText>
      </w:r>
      <w:r w:rsidRPr="009B2CA8">
        <w:rPr>
          <w:color w:val="auto"/>
        </w:rPr>
        <w:fldChar w:fldCharType="separate"/>
      </w:r>
      <w:hyperlink w:anchor="_Toc138852550" w:history="1">
        <w:r w:rsidR="00711B32" w:rsidRPr="000E6D13">
          <w:rPr>
            <w:rStyle w:val="Hyperlink"/>
          </w:rPr>
          <w:t>Our Statement of Performance Expectations</w:t>
        </w:r>
        <w:r w:rsidR="00711B32">
          <w:rPr>
            <w:webHidden/>
          </w:rPr>
          <w:tab/>
        </w:r>
        <w:r w:rsidR="00711B32">
          <w:rPr>
            <w:webHidden/>
          </w:rPr>
          <w:fldChar w:fldCharType="begin"/>
        </w:r>
        <w:r w:rsidR="00711B32">
          <w:rPr>
            <w:webHidden/>
          </w:rPr>
          <w:instrText xml:space="preserve"> PAGEREF _Toc138852550 \h </w:instrText>
        </w:r>
        <w:r w:rsidR="00711B32">
          <w:rPr>
            <w:webHidden/>
          </w:rPr>
        </w:r>
        <w:r w:rsidR="00711B32">
          <w:rPr>
            <w:webHidden/>
          </w:rPr>
          <w:fldChar w:fldCharType="separate"/>
        </w:r>
        <w:r w:rsidR="00023DE2">
          <w:rPr>
            <w:webHidden/>
          </w:rPr>
          <w:t>1</w:t>
        </w:r>
        <w:r w:rsidR="00711B32">
          <w:rPr>
            <w:webHidden/>
          </w:rPr>
          <w:fldChar w:fldCharType="end"/>
        </w:r>
      </w:hyperlink>
    </w:p>
    <w:p w14:paraId="0C09A3A6" w14:textId="30093DCC" w:rsidR="00711B32" w:rsidRDefault="00962320">
      <w:pPr>
        <w:pStyle w:val="TOC1"/>
        <w:rPr>
          <w:rFonts w:eastAsiaTheme="minorEastAsia" w:cstheme="minorBidi"/>
          <w:iCs w:val="0"/>
          <w:color w:val="auto"/>
          <w:kern w:val="2"/>
          <w:sz w:val="22"/>
          <w:szCs w:val="22"/>
          <w:lang w:eastAsia="en-NZ"/>
          <w14:ligatures w14:val="standardContextual"/>
        </w:rPr>
      </w:pPr>
      <w:hyperlink w:anchor="_Toc138852551" w:history="1">
        <w:r w:rsidR="00711B32" w:rsidRPr="000E6D13">
          <w:rPr>
            <w:rStyle w:val="Hyperlink"/>
          </w:rPr>
          <w:t>1.0 Statement of Performance Expectations</w:t>
        </w:r>
        <w:r w:rsidR="00711B32">
          <w:rPr>
            <w:webHidden/>
          </w:rPr>
          <w:tab/>
        </w:r>
        <w:r w:rsidR="00711B32">
          <w:rPr>
            <w:webHidden/>
          </w:rPr>
          <w:fldChar w:fldCharType="begin"/>
        </w:r>
        <w:r w:rsidR="00711B32">
          <w:rPr>
            <w:webHidden/>
          </w:rPr>
          <w:instrText xml:space="preserve"> PAGEREF _Toc138852551 \h </w:instrText>
        </w:r>
        <w:r w:rsidR="00711B32">
          <w:rPr>
            <w:webHidden/>
          </w:rPr>
        </w:r>
        <w:r w:rsidR="00711B32">
          <w:rPr>
            <w:webHidden/>
          </w:rPr>
          <w:fldChar w:fldCharType="separate"/>
        </w:r>
        <w:r w:rsidR="00023DE2">
          <w:rPr>
            <w:webHidden/>
          </w:rPr>
          <w:t>2</w:t>
        </w:r>
        <w:r w:rsidR="00711B32">
          <w:rPr>
            <w:webHidden/>
          </w:rPr>
          <w:fldChar w:fldCharType="end"/>
        </w:r>
      </w:hyperlink>
    </w:p>
    <w:p w14:paraId="68D7DCE9" w14:textId="75266259"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52" w:history="1">
        <w:r w:rsidR="00711B32" w:rsidRPr="000E6D13">
          <w:rPr>
            <w:rStyle w:val="Hyperlink"/>
          </w:rPr>
          <w:t>1.1 Alignment with our Statement of Intent</w:t>
        </w:r>
        <w:r w:rsidR="00711B32">
          <w:rPr>
            <w:webHidden/>
          </w:rPr>
          <w:tab/>
        </w:r>
        <w:r w:rsidR="00711B32">
          <w:rPr>
            <w:webHidden/>
          </w:rPr>
          <w:fldChar w:fldCharType="begin"/>
        </w:r>
        <w:r w:rsidR="00711B32">
          <w:rPr>
            <w:webHidden/>
          </w:rPr>
          <w:instrText xml:space="preserve"> PAGEREF _Toc138852552 \h </w:instrText>
        </w:r>
        <w:r w:rsidR="00711B32">
          <w:rPr>
            <w:webHidden/>
          </w:rPr>
        </w:r>
        <w:r w:rsidR="00711B32">
          <w:rPr>
            <w:webHidden/>
          </w:rPr>
          <w:fldChar w:fldCharType="separate"/>
        </w:r>
        <w:r w:rsidR="00023DE2">
          <w:rPr>
            <w:webHidden/>
          </w:rPr>
          <w:t>2</w:t>
        </w:r>
        <w:r w:rsidR="00711B32">
          <w:rPr>
            <w:webHidden/>
          </w:rPr>
          <w:fldChar w:fldCharType="end"/>
        </w:r>
      </w:hyperlink>
    </w:p>
    <w:p w14:paraId="3C42CD08" w14:textId="496FA67C"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53" w:history="1">
        <w:r w:rsidR="00711B32" w:rsidRPr="000E6D13">
          <w:rPr>
            <w:rStyle w:val="Hyperlink"/>
          </w:rPr>
          <w:t>1.2</w:t>
        </w:r>
        <w:r w:rsidR="00711B32">
          <w:rPr>
            <w:rFonts w:eastAsiaTheme="minorEastAsia" w:cstheme="minorBidi"/>
            <w:bCs w:val="0"/>
            <w:iCs w:val="0"/>
            <w:color w:val="auto"/>
            <w:kern w:val="2"/>
            <w:sz w:val="22"/>
            <w:szCs w:val="22"/>
            <w:lang w:eastAsia="en-NZ"/>
            <w14:ligatures w14:val="standardContextual"/>
          </w:rPr>
          <w:tab/>
        </w:r>
        <w:r w:rsidR="00711B32" w:rsidRPr="000E6D13">
          <w:rPr>
            <w:rStyle w:val="Hyperlink"/>
          </w:rPr>
          <w:t>HDC’s strategic framework</w:t>
        </w:r>
        <w:r w:rsidR="00711B32">
          <w:rPr>
            <w:webHidden/>
          </w:rPr>
          <w:tab/>
        </w:r>
        <w:r w:rsidR="00711B32">
          <w:rPr>
            <w:webHidden/>
          </w:rPr>
          <w:fldChar w:fldCharType="begin"/>
        </w:r>
        <w:r w:rsidR="00711B32">
          <w:rPr>
            <w:webHidden/>
          </w:rPr>
          <w:instrText xml:space="preserve"> PAGEREF _Toc138852553 \h </w:instrText>
        </w:r>
        <w:r w:rsidR="00711B32">
          <w:rPr>
            <w:webHidden/>
          </w:rPr>
        </w:r>
        <w:r w:rsidR="00711B32">
          <w:rPr>
            <w:webHidden/>
          </w:rPr>
          <w:fldChar w:fldCharType="separate"/>
        </w:r>
        <w:r w:rsidR="00023DE2">
          <w:rPr>
            <w:webHidden/>
          </w:rPr>
          <w:t>3</w:t>
        </w:r>
        <w:r w:rsidR="00711B32">
          <w:rPr>
            <w:webHidden/>
          </w:rPr>
          <w:fldChar w:fldCharType="end"/>
        </w:r>
      </w:hyperlink>
    </w:p>
    <w:p w14:paraId="69C08571" w14:textId="117B32C0"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54" w:history="1">
        <w:r w:rsidR="00711B32" w:rsidRPr="000E6D13">
          <w:rPr>
            <w:rStyle w:val="Hyperlink"/>
          </w:rPr>
          <w:t xml:space="preserve">1.3 </w:t>
        </w:r>
        <w:r w:rsidR="00711B32">
          <w:rPr>
            <w:rFonts w:eastAsiaTheme="minorEastAsia" w:cstheme="minorBidi"/>
            <w:bCs w:val="0"/>
            <w:iCs w:val="0"/>
            <w:color w:val="auto"/>
            <w:kern w:val="2"/>
            <w:sz w:val="22"/>
            <w:szCs w:val="22"/>
            <w:lang w:eastAsia="en-NZ"/>
            <w14:ligatures w14:val="standardContextual"/>
          </w:rPr>
          <w:tab/>
        </w:r>
        <w:r w:rsidR="00711B32" w:rsidRPr="000E6D13">
          <w:rPr>
            <w:rStyle w:val="Hyperlink"/>
          </w:rPr>
          <w:t>Key influences on our Statement of Performance Expectations</w:t>
        </w:r>
        <w:r w:rsidR="00711B32">
          <w:rPr>
            <w:webHidden/>
          </w:rPr>
          <w:tab/>
        </w:r>
        <w:r w:rsidR="00711B32">
          <w:rPr>
            <w:webHidden/>
          </w:rPr>
          <w:fldChar w:fldCharType="begin"/>
        </w:r>
        <w:r w:rsidR="00711B32">
          <w:rPr>
            <w:webHidden/>
          </w:rPr>
          <w:instrText xml:space="preserve"> PAGEREF _Toc138852554 \h </w:instrText>
        </w:r>
        <w:r w:rsidR="00711B32">
          <w:rPr>
            <w:webHidden/>
          </w:rPr>
        </w:r>
        <w:r w:rsidR="00711B32">
          <w:rPr>
            <w:webHidden/>
          </w:rPr>
          <w:fldChar w:fldCharType="separate"/>
        </w:r>
        <w:r w:rsidR="00023DE2">
          <w:rPr>
            <w:webHidden/>
          </w:rPr>
          <w:t>4</w:t>
        </w:r>
        <w:r w:rsidR="00711B32">
          <w:rPr>
            <w:webHidden/>
          </w:rPr>
          <w:fldChar w:fldCharType="end"/>
        </w:r>
      </w:hyperlink>
    </w:p>
    <w:p w14:paraId="19CC4294" w14:textId="1DEE8C2A" w:rsidR="00711B32" w:rsidRDefault="00962320">
      <w:pPr>
        <w:pStyle w:val="TOC1"/>
        <w:rPr>
          <w:rFonts w:eastAsiaTheme="minorEastAsia" w:cstheme="minorBidi"/>
          <w:iCs w:val="0"/>
          <w:color w:val="auto"/>
          <w:kern w:val="2"/>
          <w:sz w:val="22"/>
          <w:szCs w:val="22"/>
          <w:lang w:eastAsia="en-NZ"/>
          <w14:ligatures w14:val="standardContextual"/>
        </w:rPr>
      </w:pPr>
      <w:hyperlink w:anchor="_Toc138852555" w:history="1">
        <w:r w:rsidR="00711B32" w:rsidRPr="000E6D13">
          <w:rPr>
            <w:rStyle w:val="Hyperlink"/>
          </w:rPr>
          <w:t xml:space="preserve">2.0 </w:t>
        </w:r>
        <w:r w:rsidR="00711B32">
          <w:rPr>
            <w:rFonts w:eastAsiaTheme="minorEastAsia" w:cstheme="minorBidi"/>
            <w:iCs w:val="0"/>
            <w:color w:val="auto"/>
            <w:kern w:val="2"/>
            <w:sz w:val="22"/>
            <w:szCs w:val="22"/>
            <w:lang w:eastAsia="en-NZ"/>
            <w14:ligatures w14:val="standardContextual"/>
          </w:rPr>
          <w:tab/>
        </w:r>
        <w:r w:rsidR="00711B32" w:rsidRPr="000E6D13">
          <w:rPr>
            <w:rStyle w:val="Hyperlink"/>
          </w:rPr>
          <w:t>HDC’s Output Classes</w:t>
        </w:r>
        <w:r w:rsidR="00711B32">
          <w:rPr>
            <w:webHidden/>
          </w:rPr>
          <w:tab/>
        </w:r>
        <w:r w:rsidR="00711B32">
          <w:rPr>
            <w:webHidden/>
          </w:rPr>
          <w:fldChar w:fldCharType="begin"/>
        </w:r>
        <w:r w:rsidR="00711B32">
          <w:rPr>
            <w:webHidden/>
          </w:rPr>
          <w:instrText xml:space="preserve"> PAGEREF _Toc138852555 \h </w:instrText>
        </w:r>
        <w:r w:rsidR="00711B32">
          <w:rPr>
            <w:webHidden/>
          </w:rPr>
        </w:r>
        <w:r w:rsidR="00711B32">
          <w:rPr>
            <w:webHidden/>
          </w:rPr>
          <w:fldChar w:fldCharType="separate"/>
        </w:r>
        <w:r w:rsidR="00023DE2">
          <w:rPr>
            <w:webHidden/>
          </w:rPr>
          <w:t>7</w:t>
        </w:r>
        <w:r w:rsidR="00711B32">
          <w:rPr>
            <w:webHidden/>
          </w:rPr>
          <w:fldChar w:fldCharType="end"/>
        </w:r>
      </w:hyperlink>
    </w:p>
    <w:p w14:paraId="4C22EB47" w14:textId="587EA106"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56" w:history="1">
        <w:r w:rsidR="00711B32" w:rsidRPr="000E6D13">
          <w:rPr>
            <w:rStyle w:val="Hyperlink"/>
          </w:rPr>
          <w:t>2.1</w:t>
        </w:r>
        <w:r w:rsidR="00711B32">
          <w:rPr>
            <w:rFonts w:eastAsiaTheme="minorEastAsia" w:cstheme="minorBidi"/>
            <w:bCs w:val="0"/>
            <w:iCs w:val="0"/>
            <w:color w:val="auto"/>
            <w:kern w:val="2"/>
            <w:sz w:val="22"/>
            <w:szCs w:val="22"/>
            <w:lang w:eastAsia="en-NZ"/>
            <w14:ligatures w14:val="standardContextual"/>
          </w:rPr>
          <w:tab/>
        </w:r>
        <w:r w:rsidR="00711B32" w:rsidRPr="000E6D13">
          <w:rPr>
            <w:rStyle w:val="Hyperlink"/>
          </w:rPr>
          <w:t>Complaints resolution</w:t>
        </w:r>
        <w:r w:rsidR="00711B32">
          <w:rPr>
            <w:webHidden/>
          </w:rPr>
          <w:tab/>
        </w:r>
        <w:r w:rsidR="00711B32">
          <w:rPr>
            <w:webHidden/>
          </w:rPr>
          <w:fldChar w:fldCharType="begin"/>
        </w:r>
        <w:r w:rsidR="00711B32">
          <w:rPr>
            <w:webHidden/>
          </w:rPr>
          <w:instrText xml:space="preserve"> PAGEREF _Toc138852556 \h </w:instrText>
        </w:r>
        <w:r w:rsidR="00711B32">
          <w:rPr>
            <w:webHidden/>
          </w:rPr>
        </w:r>
        <w:r w:rsidR="00711B32">
          <w:rPr>
            <w:webHidden/>
          </w:rPr>
          <w:fldChar w:fldCharType="separate"/>
        </w:r>
        <w:r w:rsidR="00023DE2">
          <w:rPr>
            <w:webHidden/>
          </w:rPr>
          <w:t>7</w:t>
        </w:r>
        <w:r w:rsidR="00711B32">
          <w:rPr>
            <w:webHidden/>
          </w:rPr>
          <w:fldChar w:fldCharType="end"/>
        </w:r>
      </w:hyperlink>
    </w:p>
    <w:p w14:paraId="72A8CF84" w14:textId="10CD1AE1"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57" w:history="1">
        <w:r w:rsidR="00711B32" w:rsidRPr="000E6D13">
          <w:rPr>
            <w:rStyle w:val="Hyperlink"/>
          </w:rPr>
          <w:t xml:space="preserve">2.2 </w:t>
        </w:r>
        <w:r w:rsidR="00711B32">
          <w:rPr>
            <w:rFonts w:eastAsiaTheme="minorEastAsia" w:cstheme="minorBidi"/>
            <w:bCs w:val="0"/>
            <w:iCs w:val="0"/>
            <w:color w:val="auto"/>
            <w:kern w:val="2"/>
            <w:sz w:val="22"/>
            <w:szCs w:val="22"/>
            <w:lang w:eastAsia="en-NZ"/>
            <w14:ligatures w14:val="standardContextual"/>
          </w:rPr>
          <w:tab/>
        </w:r>
        <w:r w:rsidR="00711B32" w:rsidRPr="000E6D13">
          <w:rPr>
            <w:rStyle w:val="Hyperlink"/>
          </w:rPr>
          <w:t>Promotion and education</w:t>
        </w:r>
        <w:r w:rsidR="00711B32">
          <w:rPr>
            <w:webHidden/>
          </w:rPr>
          <w:tab/>
        </w:r>
        <w:r w:rsidR="00711B32">
          <w:rPr>
            <w:webHidden/>
          </w:rPr>
          <w:fldChar w:fldCharType="begin"/>
        </w:r>
        <w:r w:rsidR="00711B32">
          <w:rPr>
            <w:webHidden/>
          </w:rPr>
          <w:instrText xml:space="preserve"> PAGEREF _Toc138852557 \h </w:instrText>
        </w:r>
        <w:r w:rsidR="00711B32">
          <w:rPr>
            <w:webHidden/>
          </w:rPr>
        </w:r>
        <w:r w:rsidR="00711B32">
          <w:rPr>
            <w:webHidden/>
          </w:rPr>
          <w:fldChar w:fldCharType="separate"/>
        </w:r>
        <w:r w:rsidR="00023DE2">
          <w:rPr>
            <w:webHidden/>
          </w:rPr>
          <w:t>8</w:t>
        </w:r>
        <w:r w:rsidR="00711B32">
          <w:rPr>
            <w:webHidden/>
          </w:rPr>
          <w:fldChar w:fldCharType="end"/>
        </w:r>
      </w:hyperlink>
    </w:p>
    <w:p w14:paraId="512DFB28" w14:textId="63D86416"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58" w:history="1">
        <w:r w:rsidR="00711B32" w:rsidRPr="000E6D13">
          <w:rPr>
            <w:rStyle w:val="Hyperlink"/>
          </w:rPr>
          <w:t xml:space="preserve">2.3 </w:t>
        </w:r>
        <w:r w:rsidR="00711B32">
          <w:rPr>
            <w:rFonts w:eastAsiaTheme="minorEastAsia" w:cstheme="minorBidi"/>
            <w:bCs w:val="0"/>
            <w:iCs w:val="0"/>
            <w:color w:val="auto"/>
            <w:kern w:val="2"/>
            <w:sz w:val="22"/>
            <w:szCs w:val="22"/>
            <w:lang w:eastAsia="en-NZ"/>
            <w14:ligatures w14:val="standardContextual"/>
          </w:rPr>
          <w:tab/>
        </w:r>
        <w:r w:rsidR="00711B32" w:rsidRPr="000E6D13">
          <w:rPr>
            <w:rStyle w:val="Hyperlink"/>
          </w:rPr>
          <w:t>System monitoring and impact</w:t>
        </w:r>
        <w:r w:rsidR="00711B32">
          <w:rPr>
            <w:webHidden/>
          </w:rPr>
          <w:tab/>
        </w:r>
        <w:r w:rsidR="00711B32">
          <w:rPr>
            <w:webHidden/>
          </w:rPr>
          <w:fldChar w:fldCharType="begin"/>
        </w:r>
        <w:r w:rsidR="00711B32">
          <w:rPr>
            <w:webHidden/>
          </w:rPr>
          <w:instrText xml:space="preserve"> PAGEREF _Toc138852558 \h </w:instrText>
        </w:r>
        <w:r w:rsidR="00711B32">
          <w:rPr>
            <w:webHidden/>
          </w:rPr>
        </w:r>
        <w:r w:rsidR="00711B32">
          <w:rPr>
            <w:webHidden/>
          </w:rPr>
          <w:fldChar w:fldCharType="separate"/>
        </w:r>
        <w:r w:rsidR="00023DE2">
          <w:rPr>
            <w:webHidden/>
          </w:rPr>
          <w:t>9</w:t>
        </w:r>
        <w:r w:rsidR="00711B32">
          <w:rPr>
            <w:webHidden/>
          </w:rPr>
          <w:fldChar w:fldCharType="end"/>
        </w:r>
      </w:hyperlink>
    </w:p>
    <w:p w14:paraId="6C08FF47" w14:textId="1D7B55EB"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59" w:history="1">
        <w:r w:rsidR="00711B32" w:rsidRPr="000E6D13">
          <w:rPr>
            <w:rStyle w:val="Hyperlink"/>
          </w:rPr>
          <w:t>2.4</w:t>
        </w:r>
        <w:r w:rsidR="00711B32" w:rsidRPr="000E6D13">
          <w:rPr>
            <w:rStyle w:val="Hyperlink"/>
            <w:i/>
          </w:rPr>
          <w:t xml:space="preserve"> </w:t>
        </w:r>
        <w:r w:rsidR="00711B32">
          <w:rPr>
            <w:rFonts w:eastAsiaTheme="minorEastAsia" w:cstheme="minorBidi"/>
            <w:bCs w:val="0"/>
            <w:iCs w:val="0"/>
            <w:color w:val="auto"/>
            <w:kern w:val="2"/>
            <w:sz w:val="22"/>
            <w:szCs w:val="22"/>
            <w:lang w:eastAsia="en-NZ"/>
            <w14:ligatures w14:val="standardContextual"/>
          </w:rPr>
          <w:tab/>
        </w:r>
        <w:r w:rsidR="00711B32" w:rsidRPr="000E6D13">
          <w:rPr>
            <w:rStyle w:val="Hyperlink"/>
          </w:rPr>
          <w:t>Focus populations</w:t>
        </w:r>
        <w:r w:rsidR="00711B32">
          <w:rPr>
            <w:webHidden/>
          </w:rPr>
          <w:tab/>
        </w:r>
        <w:r w:rsidR="00711B32">
          <w:rPr>
            <w:webHidden/>
          </w:rPr>
          <w:fldChar w:fldCharType="begin"/>
        </w:r>
        <w:r w:rsidR="00711B32">
          <w:rPr>
            <w:webHidden/>
          </w:rPr>
          <w:instrText xml:space="preserve"> PAGEREF _Toc138852559 \h </w:instrText>
        </w:r>
        <w:r w:rsidR="00711B32">
          <w:rPr>
            <w:webHidden/>
          </w:rPr>
        </w:r>
        <w:r w:rsidR="00711B32">
          <w:rPr>
            <w:webHidden/>
          </w:rPr>
          <w:fldChar w:fldCharType="separate"/>
        </w:r>
        <w:r w:rsidR="00023DE2">
          <w:rPr>
            <w:webHidden/>
          </w:rPr>
          <w:t>9</w:t>
        </w:r>
        <w:r w:rsidR="00711B32">
          <w:rPr>
            <w:webHidden/>
          </w:rPr>
          <w:fldChar w:fldCharType="end"/>
        </w:r>
      </w:hyperlink>
    </w:p>
    <w:p w14:paraId="30362727" w14:textId="372192EB" w:rsidR="00711B32" w:rsidRDefault="00962320">
      <w:pPr>
        <w:pStyle w:val="TOC1"/>
        <w:rPr>
          <w:rFonts w:eastAsiaTheme="minorEastAsia" w:cstheme="minorBidi"/>
          <w:iCs w:val="0"/>
          <w:color w:val="auto"/>
          <w:kern w:val="2"/>
          <w:sz w:val="22"/>
          <w:szCs w:val="22"/>
          <w:lang w:eastAsia="en-NZ"/>
          <w14:ligatures w14:val="standardContextual"/>
        </w:rPr>
      </w:pPr>
      <w:hyperlink w:anchor="_Toc138852560" w:history="1">
        <w:r w:rsidR="00711B32" w:rsidRPr="000E6D13">
          <w:rPr>
            <w:rStyle w:val="Hyperlink"/>
          </w:rPr>
          <w:t xml:space="preserve">3.0 </w:t>
        </w:r>
        <w:r w:rsidR="00711B32">
          <w:rPr>
            <w:rFonts w:eastAsiaTheme="minorEastAsia" w:cstheme="minorBidi"/>
            <w:iCs w:val="0"/>
            <w:color w:val="auto"/>
            <w:kern w:val="2"/>
            <w:sz w:val="22"/>
            <w:szCs w:val="22"/>
            <w:lang w:eastAsia="en-NZ"/>
            <w14:ligatures w14:val="standardContextual"/>
          </w:rPr>
          <w:tab/>
        </w:r>
        <w:r w:rsidR="00711B32" w:rsidRPr="000E6D13">
          <w:rPr>
            <w:rStyle w:val="Hyperlink"/>
          </w:rPr>
          <w:t>Annual Information</w:t>
        </w:r>
        <w:r w:rsidR="00711B32">
          <w:rPr>
            <w:webHidden/>
          </w:rPr>
          <w:tab/>
        </w:r>
        <w:r w:rsidR="00711B32">
          <w:rPr>
            <w:webHidden/>
          </w:rPr>
          <w:fldChar w:fldCharType="begin"/>
        </w:r>
        <w:r w:rsidR="00711B32">
          <w:rPr>
            <w:webHidden/>
          </w:rPr>
          <w:instrText xml:space="preserve"> PAGEREF _Toc138852560 \h </w:instrText>
        </w:r>
        <w:r w:rsidR="00711B32">
          <w:rPr>
            <w:webHidden/>
          </w:rPr>
        </w:r>
        <w:r w:rsidR="00711B32">
          <w:rPr>
            <w:webHidden/>
          </w:rPr>
          <w:fldChar w:fldCharType="separate"/>
        </w:r>
        <w:r w:rsidR="00023DE2">
          <w:rPr>
            <w:webHidden/>
          </w:rPr>
          <w:t>11</w:t>
        </w:r>
        <w:r w:rsidR="00711B32">
          <w:rPr>
            <w:webHidden/>
          </w:rPr>
          <w:fldChar w:fldCharType="end"/>
        </w:r>
      </w:hyperlink>
    </w:p>
    <w:p w14:paraId="2888CD6C" w14:textId="1D4B02E5"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61" w:history="1">
        <w:r w:rsidR="00711B32" w:rsidRPr="000E6D13">
          <w:rPr>
            <w:rStyle w:val="Hyperlink"/>
          </w:rPr>
          <w:t xml:space="preserve">3.1 </w:t>
        </w:r>
        <w:r w:rsidR="00711B32">
          <w:rPr>
            <w:rFonts w:eastAsiaTheme="minorEastAsia" w:cstheme="minorBidi"/>
            <w:bCs w:val="0"/>
            <w:iCs w:val="0"/>
            <w:color w:val="auto"/>
            <w:kern w:val="2"/>
            <w:sz w:val="22"/>
            <w:szCs w:val="22"/>
            <w:lang w:eastAsia="en-NZ"/>
            <w14:ligatures w14:val="standardContextual"/>
          </w:rPr>
          <w:tab/>
        </w:r>
        <w:r w:rsidR="00711B32" w:rsidRPr="000E6D13">
          <w:rPr>
            <w:rStyle w:val="Hyperlink"/>
          </w:rPr>
          <w:t>Statement of Forecast Service Performance</w:t>
        </w:r>
        <w:r w:rsidR="00711B32">
          <w:rPr>
            <w:webHidden/>
          </w:rPr>
          <w:tab/>
        </w:r>
        <w:r w:rsidR="00711B32">
          <w:rPr>
            <w:webHidden/>
          </w:rPr>
          <w:fldChar w:fldCharType="begin"/>
        </w:r>
        <w:r w:rsidR="00711B32">
          <w:rPr>
            <w:webHidden/>
          </w:rPr>
          <w:instrText xml:space="preserve"> PAGEREF _Toc138852561 \h </w:instrText>
        </w:r>
        <w:r w:rsidR="00711B32">
          <w:rPr>
            <w:webHidden/>
          </w:rPr>
        </w:r>
        <w:r w:rsidR="00711B32">
          <w:rPr>
            <w:webHidden/>
          </w:rPr>
          <w:fldChar w:fldCharType="separate"/>
        </w:r>
        <w:r w:rsidR="00023DE2">
          <w:rPr>
            <w:webHidden/>
          </w:rPr>
          <w:t>11</w:t>
        </w:r>
        <w:r w:rsidR="00711B32">
          <w:rPr>
            <w:webHidden/>
          </w:rPr>
          <w:fldChar w:fldCharType="end"/>
        </w:r>
      </w:hyperlink>
    </w:p>
    <w:p w14:paraId="233D824D" w14:textId="58C64307"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62" w:history="1">
        <w:r w:rsidR="00711B32" w:rsidRPr="000E6D13">
          <w:rPr>
            <w:rStyle w:val="Hyperlink"/>
          </w:rPr>
          <w:t>Output Class 1 — Complaints resolution</w:t>
        </w:r>
        <w:r w:rsidR="00711B32">
          <w:rPr>
            <w:webHidden/>
          </w:rPr>
          <w:tab/>
        </w:r>
        <w:r w:rsidR="00711B32">
          <w:rPr>
            <w:webHidden/>
          </w:rPr>
          <w:fldChar w:fldCharType="begin"/>
        </w:r>
        <w:r w:rsidR="00711B32">
          <w:rPr>
            <w:webHidden/>
          </w:rPr>
          <w:instrText xml:space="preserve"> PAGEREF _Toc138852562 \h </w:instrText>
        </w:r>
        <w:r w:rsidR="00711B32">
          <w:rPr>
            <w:webHidden/>
          </w:rPr>
        </w:r>
        <w:r w:rsidR="00711B32">
          <w:rPr>
            <w:webHidden/>
          </w:rPr>
          <w:fldChar w:fldCharType="separate"/>
        </w:r>
        <w:r w:rsidR="00023DE2">
          <w:rPr>
            <w:webHidden/>
          </w:rPr>
          <w:t>12</w:t>
        </w:r>
        <w:r w:rsidR="00711B32">
          <w:rPr>
            <w:webHidden/>
          </w:rPr>
          <w:fldChar w:fldCharType="end"/>
        </w:r>
      </w:hyperlink>
    </w:p>
    <w:p w14:paraId="09BC8431" w14:textId="10595FAC"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63" w:history="1">
        <w:r w:rsidR="00711B32" w:rsidRPr="000E6D13">
          <w:rPr>
            <w:rStyle w:val="Hyperlink"/>
          </w:rPr>
          <w:t>Output Class 2 — Promotion and education</w:t>
        </w:r>
        <w:r w:rsidR="00711B32">
          <w:rPr>
            <w:webHidden/>
          </w:rPr>
          <w:tab/>
        </w:r>
        <w:r w:rsidR="00711B32">
          <w:rPr>
            <w:webHidden/>
          </w:rPr>
          <w:fldChar w:fldCharType="begin"/>
        </w:r>
        <w:r w:rsidR="00711B32">
          <w:rPr>
            <w:webHidden/>
          </w:rPr>
          <w:instrText xml:space="preserve"> PAGEREF _Toc138852563 \h </w:instrText>
        </w:r>
        <w:r w:rsidR="00711B32">
          <w:rPr>
            <w:webHidden/>
          </w:rPr>
        </w:r>
        <w:r w:rsidR="00711B32">
          <w:rPr>
            <w:webHidden/>
          </w:rPr>
          <w:fldChar w:fldCharType="separate"/>
        </w:r>
        <w:r w:rsidR="00023DE2">
          <w:rPr>
            <w:webHidden/>
          </w:rPr>
          <w:t>16</w:t>
        </w:r>
        <w:r w:rsidR="00711B32">
          <w:rPr>
            <w:webHidden/>
          </w:rPr>
          <w:fldChar w:fldCharType="end"/>
        </w:r>
      </w:hyperlink>
    </w:p>
    <w:p w14:paraId="2027F277" w14:textId="6178AF24"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64" w:history="1">
        <w:r w:rsidR="00711B32" w:rsidRPr="000E6D13">
          <w:rPr>
            <w:rStyle w:val="Hyperlink"/>
          </w:rPr>
          <w:t>Output Class 3 — System monitoring and impact</w:t>
        </w:r>
        <w:r w:rsidR="00711B32">
          <w:rPr>
            <w:webHidden/>
          </w:rPr>
          <w:tab/>
        </w:r>
        <w:r w:rsidR="00711B32">
          <w:rPr>
            <w:webHidden/>
          </w:rPr>
          <w:fldChar w:fldCharType="begin"/>
        </w:r>
        <w:r w:rsidR="00711B32">
          <w:rPr>
            <w:webHidden/>
          </w:rPr>
          <w:instrText xml:space="preserve"> PAGEREF _Toc138852564 \h </w:instrText>
        </w:r>
        <w:r w:rsidR="00711B32">
          <w:rPr>
            <w:webHidden/>
          </w:rPr>
        </w:r>
        <w:r w:rsidR="00711B32">
          <w:rPr>
            <w:webHidden/>
          </w:rPr>
          <w:fldChar w:fldCharType="separate"/>
        </w:r>
        <w:r w:rsidR="00023DE2">
          <w:rPr>
            <w:webHidden/>
          </w:rPr>
          <w:t>19</w:t>
        </w:r>
        <w:r w:rsidR="00711B32">
          <w:rPr>
            <w:webHidden/>
          </w:rPr>
          <w:fldChar w:fldCharType="end"/>
        </w:r>
      </w:hyperlink>
    </w:p>
    <w:p w14:paraId="378D8E95" w14:textId="58942F0F"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65" w:history="1">
        <w:r w:rsidR="00711B32" w:rsidRPr="000E6D13">
          <w:rPr>
            <w:rStyle w:val="Hyperlink"/>
          </w:rPr>
          <w:t>Output Class 4 — Focus populations</w:t>
        </w:r>
        <w:r w:rsidR="00711B32">
          <w:rPr>
            <w:webHidden/>
          </w:rPr>
          <w:tab/>
        </w:r>
        <w:r w:rsidR="00711B32">
          <w:rPr>
            <w:webHidden/>
          </w:rPr>
          <w:fldChar w:fldCharType="begin"/>
        </w:r>
        <w:r w:rsidR="00711B32">
          <w:rPr>
            <w:webHidden/>
          </w:rPr>
          <w:instrText xml:space="preserve"> PAGEREF _Toc138852565 \h </w:instrText>
        </w:r>
        <w:r w:rsidR="00711B32">
          <w:rPr>
            <w:webHidden/>
          </w:rPr>
        </w:r>
        <w:r w:rsidR="00711B32">
          <w:rPr>
            <w:webHidden/>
          </w:rPr>
          <w:fldChar w:fldCharType="separate"/>
        </w:r>
        <w:r w:rsidR="00023DE2">
          <w:rPr>
            <w:webHidden/>
          </w:rPr>
          <w:t>22</w:t>
        </w:r>
        <w:r w:rsidR="00711B32">
          <w:rPr>
            <w:webHidden/>
          </w:rPr>
          <w:fldChar w:fldCharType="end"/>
        </w:r>
      </w:hyperlink>
    </w:p>
    <w:p w14:paraId="4CA3AB51" w14:textId="3269D824"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66" w:history="1">
        <w:r w:rsidR="00711B32" w:rsidRPr="000E6D13">
          <w:rPr>
            <w:rStyle w:val="Hyperlink"/>
          </w:rPr>
          <w:t xml:space="preserve">3.2 </w:t>
        </w:r>
        <w:r w:rsidR="00711B32">
          <w:rPr>
            <w:rFonts w:eastAsiaTheme="minorEastAsia" w:cstheme="minorBidi"/>
            <w:bCs w:val="0"/>
            <w:iCs w:val="0"/>
            <w:color w:val="auto"/>
            <w:kern w:val="2"/>
            <w:sz w:val="22"/>
            <w:szCs w:val="22"/>
            <w:lang w:eastAsia="en-NZ"/>
            <w14:ligatures w14:val="standardContextual"/>
          </w:rPr>
          <w:tab/>
        </w:r>
        <w:r w:rsidR="00711B32" w:rsidRPr="000E6D13">
          <w:rPr>
            <w:rStyle w:val="Hyperlink"/>
          </w:rPr>
          <w:t>Reporting</w:t>
        </w:r>
        <w:r w:rsidR="00711B32">
          <w:rPr>
            <w:webHidden/>
          </w:rPr>
          <w:tab/>
        </w:r>
        <w:r w:rsidR="00711B32">
          <w:rPr>
            <w:webHidden/>
          </w:rPr>
          <w:fldChar w:fldCharType="begin"/>
        </w:r>
        <w:r w:rsidR="00711B32">
          <w:rPr>
            <w:webHidden/>
          </w:rPr>
          <w:instrText xml:space="preserve"> PAGEREF _Toc138852566 \h </w:instrText>
        </w:r>
        <w:r w:rsidR="00711B32">
          <w:rPr>
            <w:webHidden/>
          </w:rPr>
        </w:r>
        <w:r w:rsidR="00711B32">
          <w:rPr>
            <w:webHidden/>
          </w:rPr>
          <w:fldChar w:fldCharType="separate"/>
        </w:r>
        <w:r w:rsidR="00023DE2">
          <w:rPr>
            <w:webHidden/>
          </w:rPr>
          <w:t>26</w:t>
        </w:r>
        <w:r w:rsidR="00711B32">
          <w:rPr>
            <w:webHidden/>
          </w:rPr>
          <w:fldChar w:fldCharType="end"/>
        </w:r>
      </w:hyperlink>
    </w:p>
    <w:p w14:paraId="3DF01D50" w14:textId="05B9FC84" w:rsidR="00711B32" w:rsidRDefault="00962320">
      <w:pPr>
        <w:pStyle w:val="TOC2"/>
        <w:rPr>
          <w:rFonts w:eastAsiaTheme="minorEastAsia" w:cstheme="minorBidi"/>
          <w:bCs w:val="0"/>
          <w:iCs w:val="0"/>
          <w:color w:val="auto"/>
          <w:kern w:val="2"/>
          <w:sz w:val="22"/>
          <w:szCs w:val="22"/>
          <w:lang w:eastAsia="en-NZ"/>
          <w14:ligatures w14:val="standardContextual"/>
        </w:rPr>
      </w:pPr>
      <w:hyperlink w:anchor="_Toc138852567" w:history="1">
        <w:r w:rsidR="00711B32" w:rsidRPr="000E6D13">
          <w:rPr>
            <w:rStyle w:val="Hyperlink"/>
          </w:rPr>
          <w:t>3.3</w:t>
        </w:r>
        <w:r w:rsidR="00711B32">
          <w:rPr>
            <w:rFonts w:eastAsiaTheme="minorEastAsia" w:cstheme="minorBidi"/>
            <w:bCs w:val="0"/>
            <w:iCs w:val="0"/>
            <w:color w:val="auto"/>
            <w:kern w:val="2"/>
            <w:sz w:val="22"/>
            <w:szCs w:val="22"/>
            <w:lang w:eastAsia="en-NZ"/>
            <w14:ligatures w14:val="standardContextual"/>
          </w:rPr>
          <w:tab/>
        </w:r>
        <w:r w:rsidR="00711B32" w:rsidRPr="000E6D13">
          <w:rPr>
            <w:rStyle w:val="Hyperlink"/>
          </w:rPr>
          <w:t>Prospective Financial Statements 2023/24</w:t>
        </w:r>
        <w:r w:rsidR="00711B32">
          <w:rPr>
            <w:webHidden/>
          </w:rPr>
          <w:tab/>
        </w:r>
        <w:r w:rsidR="00711B32">
          <w:rPr>
            <w:webHidden/>
          </w:rPr>
          <w:fldChar w:fldCharType="begin"/>
        </w:r>
        <w:r w:rsidR="00711B32">
          <w:rPr>
            <w:webHidden/>
          </w:rPr>
          <w:instrText xml:space="preserve"> PAGEREF _Toc138852567 \h </w:instrText>
        </w:r>
        <w:r w:rsidR="00711B32">
          <w:rPr>
            <w:webHidden/>
          </w:rPr>
        </w:r>
        <w:r w:rsidR="00711B32">
          <w:rPr>
            <w:webHidden/>
          </w:rPr>
          <w:fldChar w:fldCharType="separate"/>
        </w:r>
        <w:r w:rsidR="00023DE2">
          <w:rPr>
            <w:webHidden/>
          </w:rPr>
          <w:t>27</w:t>
        </w:r>
        <w:r w:rsidR="00711B32">
          <w:rPr>
            <w:webHidden/>
          </w:rPr>
          <w:fldChar w:fldCharType="end"/>
        </w:r>
      </w:hyperlink>
    </w:p>
    <w:p w14:paraId="7539C8F9" w14:textId="32FD335A" w:rsidR="009B2CA8" w:rsidRPr="009B2CA8" w:rsidRDefault="009B2CA8" w:rsidP="009B2CA8">
      <w:pPr>
        <w:rPr>
          <w:noProof/>
          <w:color w:val="auto"/>
        </w:rPr>
        <w:sectPr w:rsidR="009B2CA8" w:rsidRPr="009B2CA8" w:rsidSect="005452F0">
          <w:headerReference w:type="even" r:id="rId14"/>
          <w:headerReference w:type="default" r:id="rId15"/>
          <w:footerReference w:type="even" r:id="rId16"/>
          <w:footerReference w:type="default" r:id="rId17"/>
          <w:headerReference w:type="first" r:id="rId18"/>
          <w:footerReference w:type="first" r:id="rId19"/>
          <w:pgSz w:w="11906" w:h="16838" w:code="9"/>
          <w:pgMar w:top="1276" w:right="1276" w:bottom="1276" w:left="1276" w:header="720" w:footer="720" w:gutter="0"/>
          <w:pgNumType w:start="1"/>
          <w:cols w:space="720"/>
          <w:docGrid w:linePitch="272"/>
        </w:sectPr>
      </w:pPr>
      <w:r w:rsidRPr="009B2CA8">
        <w:rPr>
          <w:color w:val="auto"/>
        </w:rPr>
        <w:fldChar w:fldCharType="end"/>
      </w:r>
    </w:p>
    <w:p w14:paraId="0F5961F0" w14:textId="77777777" w:rsidR="009B2CA8" w:rsidRPr="009B2CA8" w:rsidRDefault="009B2CA8" w:rsidP="00B957BE">
      <w:pPr>
        <w:pStyle w:val="Heading1"/>
      </w:pPr>
      <w:bookmarkStart w:id="19" w:name="_Toc138852550"/>
      <w:r w:rsidRPr="009B2CA8">
        <w:lastRenderedPageBreak/>
        <w:t xml:space="preserve">Our Statement </w:t>
      </w:r>
      <w:bookmarkEnd w:id="13"/>
      <w:bookmarkEnd w:id="14"/>
      <w:r w:rsidRPr="009B2CA8">
        <w:t>of Performance Expectations</w:t>
      </w:r>
      <w:bookmarkEnd w:id="19"/>
    </w:p>
    <w:p w14:paraId="730EF1A1" w14:textId="77777777" w:rsidR="009B2CA8" w:rsidRPr="009B2CA8" w:rsidRDefault="009B2CA8" w:rsidP="009B2CA8">
      <w:pPr>
        <w:rPr>
          <w:color w:val="auto"/>
        </w:rPr>
      </w:pPr>
      <w:r w:rsidRPr="009B2CA8">
        <w:rPr>
          <w:color w:val="auto"/>
        </w:rPr>
        <w:t>In signing this statement, I acknowledge that I am responsible for the information contained in the Statement of Performance Expectations (SPE) for the Health and Disability Commissioner.</w:t>
      </w:r>
    </w:p>
    <w:p w14:paraId="1F5890BC" w14:textId="77777777" w:rsidR="009B2CA8" w:rsidRPr="009B2CA8" w:rsidRDefault="009B2CA8" w:rsidP="009B2CA8">
      <w:pPr>
        <w:rPr>
          <w:color w:val="auto"/>
        </w:rPr>
      </w:pPr>
      <w:r w:rsidRPr="009B2CA8">
        <w:rPr>
          <w:color w:val="auto"/>
        </w:rPr>
        <w:t>This SPE contains the annual financial and non-financial measures by which the Office of the Health and Disability Commissioner (HDC) will be assessed.</w:t>
      </w:r>
    </w:p>
    <w:p w14:paraId="23B53312" w14:textId="77777777" w:rsidR="009B2CA8" w:rsidRPr="009B2CA8" w:rsidRDefault="009B2CA8" w:rsidP="009B2CA8">
      <w:pPr>
        <w:rPr>
          <w:color w:val="auto"/>
        </w:rPr>
      </w:pPr>
      <w:r w:rsidRPr="009B2CA8">
        <w:rPr>
          <w:color w:val="auto"/>
        </w:rPr>
        <w:t>This SPE has been prepared in accordance with, and is submitted in compliance with, the Crown Entities Act 2004.</w:t>
      </w:r>
    </w:p>
    <w:p w14:paraId="79750AE8" w14:textId="77777777" w:rsidR="009B2CA8" w:rsidRPr="009B2CA8" w:rsidRDefault="009B2CA8" w:rsidP="009B2CA8">
      <w:pPr>
        <w:rPr>
          <w:color w:val="auto"/>
        </w:rPr>
      </w:pPr>
    </w:p>
    <w:p w14:paraId="1A307087" w14:textId="77777777" w:rsidR="009B2CA8" w:rsidRPr="009B2CA8" w:rsidRDefault="009B2CA8" w:rsidP="009B2CA8">
      <w:pPr>
        <w:rPr>
          <w:color w:val="auto"/>
        </w:rPr>
      </w:pPr>
    </w:p>
    <w:p w14:paraId="4F59A377" w14:textId="77777777" w:rsidR="009B2CA8" w:rsidRPr="009B2CA8" w:rsidRDefault="009B2CA8" w:rsidP="009B2CA8">
      <w:pPr>
        <w:rPr>
          <w:color w:val="auto"/>
        </w:rPr>
      </w:pPr>
    </w:p>
    <w:p w14:paraId="3CE0DD74" w14:textId="77777777" w:rsidR="009B2CA8" w:rsidRPr="009B2CA8" w:rsidRDefault="009B2CA8" w:rsidP="009B2CA8">
      <w:pPr>
        <w:rPr>
          <w:color w:val="auto"/>
        </w:rPr>
      </w:pPr>
    </w:p>
    <w:p w14:paraId="199C8116" w14:textId="77777777" w:rsidR="009B2CA8" w:rsidRPr="009B2CA8" w:rsidRDefault="009B2CA8" w:rsidP="009B2CA8">
      <w:pPr>
        <w:spacing w:after="0"/>
        <w:rPr>
          <w:color w:val="auto"/>
        </w:rPr>
      </w:pPr>
      <w:r w:rsidRPr="009B2CA8">
        <w:rPr>
          <w:color w:val="auto"/>
        </w:rPr>
        <w:t>Morag McDowell</w:t>
      </w:r>
    </w:p>
    <w:p w14:paraId="2410E995" w14:textId="77777777" w:rsidR="009B2CA8" w:rsidRPr="009B2CA8" w:rsidRDefault="009B2CA8" w:rsidP="009B2CA8">
      <w:pPr>
        <w:rPr>
          <w:b/>
          <w:iCs/>
          <w:color w:val="auto"/>
        </w:rPr>
      </w:pPr>
      <w:r w:rsidRPr="009B2CA8">
        <w:rPr>
          <w:b/>
          <w:color w:val="auto"/>
        </w:rPr>
        <w:t>Health and Disability Commissioner</w:t>
      </w:r>
      <w:r w:rsidRPr="009B2CA8">
        <w:rPr>
          <w:b/>
          <w:i/>
          <w:iCs/>
          <w:color w:val="auto"/>
        </w:rPr>
        <w:tab/>
      </w:r>
    </w:p>
    <w:p w14:paraId="37DDC2A2" w14:textId="77777777" w:rsidR="009B2CA8" w:rsidRPr="009B2CA8" w:rsidRDefault="009B2CA8" w:rsidP="009B2CA8">
      <w:pPr>
        <w:rPr>
          <w:color w:val="auto"/>
        </w:rPr>
      </w:pPr>
      <w:r w:rsidRPr="009B2CA8">
        <w:rPr>
          <w:color w:val="auto"/>
        </w:rPr>
        <w:t>30 June 2023</w:t>
      </w:r>
      <w:r w:rsidRPr="009B2CA8">
        <w:rPr>
          <w:color w:val="auto"/>
        </w:rPr>
        <w:br w:type="page"/>
      </w:r>
    </w:p>
    <w:p w14:paraId="5180A1F5" w14:textId="77777777" w:rsidR="009B2CA8" w:rsidRPr="009B2CA8" w:rsidRDefault="009B2CA8" w:rsidP="00B957BE">
      <w:pPr>
        <w:pStyle w:val="Heading1"/>
      </w:pPr>
      <w:bookmarkStart w:id="20" w:name="_Toc138852551"/>
      <w:r w:rsidRPr="009B2CA8">
        <w:lastRenderedPageBreak/>
        <w:t>1.0 Statement of Performance Expectations</w:t>
      </w:r>
      <w:bookmarkEnd w:id="20"/>
      <w:r w:rsidRPr="009B2CA8">
        <w:t xml:space="preserve"> </w:t>
      </w:r>
    </w:p>
    <w:p w14:paraId="4ED21D6D" w14:textId="77777777" w:rsidR="009B2CA8" w:rsidRPr="009B2CA8" w:rsidRDefault="009B2CA8" w:rsidP="009B2CA8">
      <w:r w:rsidRPr="009B2CA8">
        <w:t>The Health and Disability Commissioner (HDC) promotes and protects the rights of people who use health and disability services, as set out in the Code of Health and Disability Services Consumers’ Rights (the Code). HDC protects people’s rights under the Code primarily through the resolution of complaints about infringements of those rights. HDC is an independent Crown entity, established by the Health and Disability Commissioner Act 1994. HDC’s independence enables the Office to be an effective and impartial guardian of consumers’ rights in the health and disability system.</w:t>
      </w:r>
    </w:p>
    <w:p w14:paraId="6DBFCE3D" w14:textId="77777777" w:rsidR="009B2CA8" w:rsidRPr="009B2CA8" w:rsidRDefault="009B2CA8" w:rsidP="009B2CA8">
      <w:r w:rsidRPr="009B2CA8">
        <w:t>HDC assists to mitigate the inherent power imbalance between consumers and providers by funding an independent Nationwide Health &amp; Disability Advocacy Service (the Advocacy Service). The Advocacy Service supports people to resolve their concerns directly with their provider. Promoting awareness of the rights of consumers is also a central part of an advocate’s role.</w:t>
      </w:r>
    </w:p>
    <w:p w14:paraId="7257ECB9" w14:textId="20A216C5" w:rsidR="009B2CA8" w:rsidRPr="009B2CA8" w:rsidRDefault="009B2CA8" w:rsidP="009B2CA8">
      <w:pPr>
        <w:spacing w:after="0"/>
        <w:rPr>
          <w:color w:val="auto"/>
        </w:rPr>
      </w:pPr>
      <w:r w:rsidRPr="009B2CA8">
        <w:rPr>
          <w:color w:val="auto"/>
        </w:rPr>
        <w:t xml:space="preserve">This Statement of Performance Expectations outlines what HDC will achieve in 2023/24, how this will be assessed, and the associated revenues and expenses by reportable output class. </w:t>
      </w:r>
      <w:bookmarkStart w:id="21" w:name="_Toc474949981"/>
      <w:bookmarkStart w:id="22" w:name="_Toc475018702"/>
      <w:r w:rsidRPr="009B2CA8">
        <w:rPr>
          <w:color w:val="auto"/>
        </w:rPr>
        <w:t>It takes into account the Minister of Health’s Letter of Expectations of 1</w:t>
      </w:r>
      <w:r w:rsidR="006F36B3">
        <w:rPr>
          <w:color w:val="auto"/>
        </w:rPr>
        <w:t>9</w:t>
      </w:r>
      <w:r w:rsidRPr="009B2CA8">
        <w:rPr>
          <w:color w:val="auto"/>
        </w:rPr>
        <w:t xml:space="preserve"> Ma</w:t>
      </w:r>
      <w:r w:rsidR="006F36B3">
        <w:rPr>
          <w:color w:val="auto"/>
        </w:rPr>
        <w:t>y</w:t>
      </w:r>
      <w:r w:rsidRPr="009B2CA8">
        <w:rPr>
          <w:color w:val="auto"/>
        </w:rPr>
        <w:t xml:space="preserve"> 2023 for the 2023/24 financial year. </w:t>
      </w:r>
    </w:p>
    <w:p w14:paraId="32216B12" w14:textId="77777777" w:rsidR="009B2CA8" w:rsidRPr="009B2CA8" w:rsidRDefault="009B2CA8" w:rsidP="009B2CA8">
      <w:pPr>
        <w:spacing w:after="0"/>
        <w:rPr>
          <w:color w:val="auto"/>
        </w:rPr>
      </w:pPr>
    </w:p>
    <w:p w14:paraId="471560BD" w14:textId="77777777" w:rsidR="009B2CA8" w:rsidRPr="009B2CA8" w:rsidRDefault="009B2CA8" w:rsidP="00942238">
      <w:pPr>
        <w:pStyle w:val="Heading2"/>
      </w:pPr>
      <w:bookmarkStart w:id="23" w:name="_Toc138852552"/>
      <w:r w:rsidRPr="009B2CA8">
        <w:t>1.1 Alignment with our Statement of Intent</w:t>
      </w:r>
      <w:bookmarkEnd w:id="23"/>
    </w:p>
    <w:p w14:paraId="1A2D0C47" w14:textId="77777777" w:rsidR="009B2CA8" w:rsidRPr="009B2CA8" w:rsidRDefault="009B2CA8" w:rsidP="009B2CA8">
      <w:pPr>
        <w:rPr>
          <w:color w:val="auto"/>
        </w:rPr>
      </w:pPr>
      <w:r w:rsidRPr="009B2CA8">
        <w:rPr>
          <w:color w:val="auto"/>
        </w:rPr>
        <w:t>This Statement of Performance Expectations is provided under the Crown Entities Act 2004. The Statement of Performance Expectations aligns with HDC’s strategy as provided in the Statement of Intent.</w:t>
      </w:r>
    </w:p>
    <w:p w14:paraId="4D3CBC8F" w14:textId="350215CF" w:rsidR="009B2CA8" w:rsidRPr="009B2CA8" w:rsidRDefault="009B2CA8" w:rsidP="009B2CA8">
      <w:pPr>
        <w:rPr>
          <w:bCs w:val="0"/>
        </w:rPr>
      </w:pPr>
      <w:r w:rsidRPr="009B2CA8">
        <w:t>HDC’s vision is for the rights of people using health and disability services to be understood, upheld</w:t>
      </w:r>
      <w:r w:rsidR="00B65986">
        <w:t>,</w:t>
      </w:r>
      <w:r w:rsidRPr="009B2CA8">
        <w:t xml:space="preserve"> and protected.</w:t>
      </w:r>
      <w:r w:rsidRPr="009B2CA8">
        <w:rPr>
          <w:bCs w:val="0"/>
        </w:rPr>
        <w:t xml:space="preserve"> </w:t>
      </w:r>
    </w:p>
    <w:p w14:paraId="2E1A9FB4" w14:textId="77777777" w:rsidR="009B2CA8" w:rsidRPr="009B2CA8" w:rsidRDefault="009B2CA8" w:rsidP="009B2CA8">
      <w:pPr>
        <w:rPr>
          <w:bCs w:val="0"/>
        </w:rPr>
      </w:pPr>
      <w:r w:rsidRPr="009B2CA8">
        <w:t>HDC has been working to ensure that honouring our responsibilities under Te Tiriti o Waitangi is central to everything we do.</w:t>
      </w:r>
    </w:p>
    <w:p w14:paraId="4E6D897E" w14:textId="248EC8B0" w:rsidR="009B2CA8" w:rsidRPr="009B2CA8" w:rsidRDefault="009B2CA8" w:rsidP="00AC10F4">
      <w:pPr>
        <w:spacing w:after="120"/>
        <w:rPr>
          <w:color w:val="auto"/>
        </w:rPr>
      </w:pPr>
      <w:r w:rsidRPr="009B2CA8">
        <w:rPr>
          <w:color w:val="auto"/>
        </w:rPr>
        <w:t xml:space="preserve">HDC has three </w:t>
      </w:r>
      <w:r w:rsidRPr="009B2CA8">
        <w:rPr>
          <w:b/>
          <w:color w:val="auto"/>
        </w:rPr>
        <w:t>outcomes</w:t>
      </w:r>
      <w:r w:rsidRPr="009B2CA8">
        <w:rPr>
          <w:color w:val="auto"/>
        </w:rPr>
        <w:t>, which outline the impact we seek to make over the long</w:t>
      </w:r>
      <w:r w:rsidR="004C40C4">
        <w:rPr>
          <w:color w:val="auto"/>
        </w:rPr>
        <w:t xml:space="preserve"> </w:t>
      </w:r>
      <w:r w:rsidRPr="009B2CA8">
        <w:rPr>
          <w:color w:val="auto"/>
        </w:rPr>
        <w:t xml:space="preserve">term to support the wellbeing of New Zealanders: </w:t>
      </w:r>
    </w:p>
    <w:p w14:paraId="5B407D17" w14:textId="77777777" w:rsidR="009B2CA8" w:rsidRPr="009B2CA8" w:rsidRDefault="009B2CA8" w:rsidP="00170D25">
      <w:pPr>
        <w:pStyle w:val="ListParagraph"/>
        <w:numPr>
          <w:ilvl w:val="0"/>
          <w:numId w:val="11"/>
        </w:numPr>
        <w:autoSpaceDE/>
        <w:autoSpaceDN/>
        <w:adjustRightInd/>
        <w:spacing w:after="40"/>
        <w:ind w:left="284" w:hanging="284"/>
        <w:contextualSpacing w:val="0"/>
      </w:pPr>
      <w:r w:rsidRPr="009B2CA8">
        <w:t>People understand their rights and are empowered to exercise them, and providers understand and comply with their obligations.</w:t>
      </w:r>
    </w:p>
    <w:p w14:paraId="540BBEC9" w14:textId="77777777" w:rsidR="009B2CA8" w:rsidRPr="009B2CA8" w:rsidRDefault="009B2CA8" w:rsidP="00170D25">
      <w:pPr>
        <w:pStyle w:val="ListParagraph"/>
        <w:numPr>
          <w:ilvl w:val="0"/>
          <w:numId w:val="11"/>
        </w:numPr>
        <w:autoSpaceDE/>
        <w:autoSpaceDN/>
        <w:adjustRightInd/>
        <w:spacing w:after="40"/>
        <w:ind w:left="284" w:hanging="284"/>
        <w:contextualSpacing w:val="0"/>
        <w:rPr>
          <w:b/>
        </w:rPr>
      </w:pPr>
      <w:r w:rsidRPr="009B2CA8">
        <w:t>People are assisted to resolve their concerns and have their resolution needs met wherever possible, and providers are held to account where appropriate.</w:t>
      </w:r>
    </w:p>
    <w:p w14:paraId="61A30048" w14:textId="77777777" w:rsidR="009B2CA8" w:rsidRPr="009B2CA8" w:rsidRDefault="009B2CA8" w:rsidP="00170D25">
      <w:pPr>
        <w:pStyle w:val="ListParagraph"/>
        <w:numPr>
          <w:ilvl w:val="0"/>
          <w:numId w:val="11"/>
        </w:numPr>
        <w:autoSpaceDE/>
        <w:autoSpaceDN/>
        <w:adjustRightInd/>
        <w:spacing w:after="240"/>
        <w:ind w:left="284" w:hanging="284"/>
        <w:contextualSpacing w:val="0"/>
        <w:rPr>
          <w:b/>
        </w:rPr>
      </w:pPr>
      <w:r w:rsidRPr="009B2CA8">
        <w:t>Systems, organisations and individuals learn from complaints, and quality, safety and consumer experience is improved.</w:t>
      </w:r>
    </w:p>
    <w:p w14:paraId="454EAD23" w14:textId="77777777" w:rsidR="009B2CA8" w:rsidRPr="009B2CA8" w:rsidRDefault="009B2CA8" w:rsidP="00170D25">
      <w:pPr>
        <w:spacing w:after="120"/>
        <w:rPr>
          <w:color w:val="auto"/>
        </w:rPr>
      </w:pPr>
      <w:r w:rsidRPr="009B2CA8">
        <w:rPr>
          <w:color w:val="auto"/>
        </w:rPr>
        <w:t xml:space="preserve">Our strategic </w:t>
      </w:r>
      <w:r w:rsidRPr="009B2CA8">
        <w:rPr>
          <w:b/>
          <w:color w:val="auto"/>
        </w:rPr>
        <w:t>priorities</w:t>
      </w:r>
      <w:r w:rsidRPr="009B2CA8">
        <w:rPr>
          <w:color w:val="auto"/>
        </w:rPr>
        <w:t xml:space="preserve"> for 2024–2027 </w:t>
      </w:r>
      <w:r w:rsidRPr="009B2CA8">
        <w:rPr>
          <w:bCs w:val="0"/>
          <w:color w:val="auto"/>
        </w:rPr>
        <w:t>bring focus to how we deliver our core business and respond to government expectations. HDC’s strategic priorities</w:t>
      </w:r>
      <w:r w:rsidRPr="009B2CA8">
        <w:rPr>
          <w:color w:val="auto"/>
        </w:rPr>
        <w:t xml:space="preserve"> are:</w:t>
      </w:r>
    </w:p>
    <w:p w14:paraId="7654EF87" w14:textId="77777777" w:rsidR="009B2CA8" w:rsidRPr="009B2CA8" w:rsidRDefault="009B2CA8" w:rsidP="00170D25">
      <w:pPr>
        <w:pStyle w:val="ListParagraph"/>
        <w:numPr>
          <w:ilvl w:val="0"/>
          <w:numId w:val="7"/>
        </w:numPr>
        <w:autoSpaceDE/>
        <w:autoSpaceDN/>
        <w:adjustRightInd/>
        <w:spacing w:after="40"/>
        <w:ind w:left="284" w:hanging="284"/>
        <w:contextualSpacing w:val="0"/>
      </w:pPr>
      <w:r w:rsidRPr="009B2CA8">
        <w:t xml:space="preserve">Being a culturally safe organisation; </w:t>
      </w:r>
    </w:p>
    <w:p w14:paraId="337609C0" w14:textId="77777777" w:rsidR="009B2CA8" w:rsidRPr="009B2CA8" w:rsidRDefault="009B2CA8" w:rsidP="00170D25">
      <w:pPr>
        <w:pStyle w:val="ListParagraph"/>
        <w:numPr>
          <w:ilvl w:val="0"/>
          <w:numId w:val="7"/>
        </w:numPr>
        <w:autoSpaceDE/>
        <w:autoSpaceDN/>
        <w:adjustRightInd/>
        <w:spacing w:after="40"/>
        <w:ind w:left="284" w:hanging="284"/>
        <w:contextualSpacing w:val="0"/>
        <w:rPr>
          <w:b/>
        </w:rPr>
      </w:pPr>
      <w:r w:rsidRPr="009B2CA8">
        <w:t>Having a timely, people-centred complaints process;</w:t>
      </w:r>
    </w:p>
    <w:p w14:paraId="5260E064" w14:textId="77777777" w:rsidR="009B2CA8" w:rsidRPr="009B2CA8" w:rsidRDefault="009B2CA8" w:rsidP="00170D25">
      <w:pPr>
        <w:pStyle w:val="ListParagraph"/>
        <w:numPr>
          <w:ilvl w:val="0"/>
          <w:numId w:val="7"/>
        </w:numPr>
        <w:autoSpaceDE/>
        <w:autoSpaceDN/>
        <w:adjustRightInd/>
        <w:spacing w:after="40"/>
        <w:ind w:left="284" w:hanging="284"/>
        <w:contextualSpacing w:val="0"/>
        <w:rPr>
          <w:b/>
        </w:rPr>
      </w:pPr>
      <w:r w:rsidRPr="009B2CA8">
        <w:t xml:space="preserve">Focusing on rights promotion; </w:t>
      </w:r>
    </w:p>
    <w:p w14:paraId="698D4DC4" w14:textId="77777777" w:rsidR="009B2CA8" w:rsidRPr="009B2CA8" w:rsidRDefault="009B2CA8" w:rsidP="00170D25">
      <w:pPr>
        <w:pStyle w:val="ListParagraph"/>
        <w:numPr>
          <w:ilvl w:val="0"/>
          <w:numId w:val="7"/>
        </w:numPr>
        <w:autoSpaceDE/>
        <w:autoSpaceDN/>
        <w:adjustRightInd/>
        <w:spacing w:after="40"/>
        <w:ind w:left="284" w:hanging="284"/>
        <w:contextualSpacing w:val="0"/>
        <w:rPr>
          <w:b/>
        </w:rPr>
      </w:pPr>
      <w:r w:rsidRPr="009B2CA8">
        <w:t xml:space="preserve">Demonstrating tangible system impact; and </w:t>
      </w:r>
    </w:p>
    <w:p w14:paraId="4B1A05EF" w14:textId="77777777" w:rsidR="006B3D7D" w:rsidRDefault="009B2CA8" w:rsidP="00170D25">
      <w:pPr>
        <w:pStyle w:val="ListParagraph"/>
        <w:numPr>
          <w:ilvl w:val="0"/>
          <w:numId w:val="7"/>
        </w:numPr>
        <w:autoSpaceDE/>
        <w:autoSpaceDN/>
        <w:adjustRightInd/>
        <w:ind w:left="284" w:hanging="284"/>
        <w:contextualSpacing w:val="0"/>
        <w:sectPr w:rsidR="006B3D7D" w:rsidSect="003264F8">
          <w:headerReference w:type="even" r:id="rId20"/>
          <w:headerReference w:type="default" r:id="rId21"/>
          <w:footerReference w:type="even" r:id="rId22"/>
          <w:footerReference w:type="default" r:id="rId23"/>
          <w:type w:val="oddPage"/>
          <w:pgSz w:w="11906" w:h="16838" w:code="9"/>
          <w:pgMar w:top="1276" w:right="1276" w:bottom="1276" w:left="1276" w:header="720" w:footer="454" w:gutter="0"/>
          <w:pgNumType w:start="1"/>
          <w:cols w:space="720"/>
          <w:docGrid w:linePitch="326"/>
        </w:sectPr>
      </w:pPr>
      <w:r w:rsidRPr="009B2CA8">
        <w:t xml:space="preserve">Responding sustainably to growing demand. </w:t>
      </w:r>
    </w:p>
    <w:p w14:paraId="686B1F31" w14:textId="406E64E0" w:rsidR="009B2CA8" w:rsidRPr="00F30BCF" w:rsidRDefault="00891F41" w:rsidP="00942238">
      <w:pPr>
        <w:pStyle w:val="Heading2"/>
      </w:pPr>
      <w:bookmarkStart w:id="24" w:name="_Toc133500220"/>
      <w:bookmarkStart w:id="25" w:name="_Toc138852553"/>
      <w:r>
        <w:lastRenderedPageBreak/>
        <w:t>1.2</w:t>
      </w:r>
      <w:r>
        <w:tab/>
      </w:r>
      <w:r w:rsidR="00A404FB" w:rsidRPr="00F30BCF">
        <w:t>HDC</w:t>
      </w:r>
      <w:r>
        <w:t>’s</w:t>
      </w:r>
      <w:r w:rsidR="00A404FB" w:rsidRPr="00F30BCF">
        <w:t xml:space="preserve"> s</w:t>
      </w:r>
      <w:r w:rsidR="009B2CA8" w:rsidRPr="00F30BCF">
        <w:t>trategic framework</w:t>
      </w:r>
      <w:bookmarkEnd w:id="24"/>
      <w:bookmarkEnd w:id="25"/>
    </w:p>
    <w:p w14:paraId="5502587F" w14:textId="716972A8" w:rsidR="00A404FB" w:rsidRDefault="00CA499F" w:rsidP="005F2418">
      <w:pPr>
        <w:autoSpaceDE/>
        <w:autoSpaceDN/>
        <w:adjustRightInd/>
        <w:spacing w:after="200" w:line="276" w:lineRule="auto"/>
        <w:jc w:val="center"/>
        <w:rPr>
          <w:noProof/>
        </w:rPr>
      </w:pPr>
      <w:r>
        <w:rPr>
          <w:noProof/>
        </w:rPr>
        <w:drawing>
          <wp:inline distT="0" distB="0" distL="0" distR="0" wp14:anchorId="7560913D" wp14:editId="56766A3C">
            <wp:extent cx="6801882" cy="5040000"/>
            <wp:effectExtent l="0" t="0" r="0" b="8255"/>
            <wp:docPr id="573279159" name="Picture 1" descr="A picture containing text, fon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79159" name="Picture 1" descr="A picture containing text, font, screenshot, design&#10;&#10;Description automatically generated"/>
                    <pic:cNvPicPr/>
                  </pic:nvPicPr>
                  <pic:blipFill>
                    <a:blip r:embed="rId24"/>
                    <a:stretch>
                      <a:fillRect/>
                    </a:stretch>
                  </pic:blipFill>
                  <pic:spPr>
                    <a:xfrm>
                      <a:off x="0" y="0"/>
                      <a:ext cx="6801882" cy="5040000"/>
                    </a:xfrm>
                    <a:prstGeom prst="rect">
                      <a:avLst/>
                    </a:prstGeom>
                  </pic:spPr>
                </pic:pic>
              </a:graphicData>
            </a:graphic>
          </wp:inline>
        </w:drawing>
      </w:r>
    </w:p>
    <w:p w14:paraId="449AF41E" w14:textId="54566A27" w:rsidR="00CA499F" w:rsidRDefault="00CA499F" w:rsidP="005F2418">
      <w:pPr>
        <w:autoSpaceDE/>
        <w:autoSpaceDN/>
        <w:adjustRightInd/>
        <w:spacing w:after="200" w:line="276" w:lineRule="auto"/>
        <w:jc w:val="center"/>
        <w:sectPr w:rsidR="00CA499F" w:rsidSect="007A35EE">
          <w:pgSz w:w="16838" w:h="11906" w:orient="landscape" w:code="9"/>
          <w:pgMar w:top="1276" w:right="1276" w:bottom="1276" w:left="1276" w:header="720" w:footer="720" w:gutter="0"/>
          <w:cols w:space="720"/>
          <w:docGrid w:linePitch="326"/>
        </w:sectPr>
      </w:pPr>
    </w:p>
    <w:p w14:paraId="65903181" w14:textId="5B66C867" w:rsidR="009B2CA8" w:rsidRPr="009B2CA8" w:rsidRDefault="009B2CA8" w:rsidP="00942238">
      <w:pPr>
        <w:pStyle w:val="Heading2"/>
      </w:pPr>
      <w:bookmarkStart w:id="26" w:name="_Toc138852554"/>
      <w:r w:rsidRPr="009B2CA8">
        <w:lastRenderedPageBreak/>
        <w:t xml:space="preserve">1.3 </w:t>
      </w:r>
      <w:r w:rsidRPr="009B2CA8">
        <w:tab/>
        <w:t xml:space="preserve">Key </w:t>
      </w:r>
      <w:r w:rsidR="00891F41">
        <w:t>i</w:t>
      </w:r>
      <w:r w:rsidR="00891F41" w:rsidRPr="009B2CA8">
        <w:t xml:space="preserve">nfluences </w:t>
      </w:r>
      <w:r w:rsidRPr="009B2CA8">
        <w:t>on our Statement of Performance Expectations</w:t>
      </w:r>
      <w:bookmarkEnd w:id="26"/>
      <w:r w:rsidRPr="009B2CA8">
        <w:t xml:space="preserve"> </w:t>
      </w:r>
    </w:p>
    <w:p w14:paraId="67C804D7" w14:textId="058B1FBC" w:rsidR="009B2CA8" w:rsidRPr="009B2CA8" w:rsidRDefault="009B2CA8" w:rsidP="009B2CA8">
      <w:pPr>
        <w:rPr>
          <w:color w:val="auto"/>
        </w:rPr>
      </w:pPr>
      <w:r w:rsidRPr="009B2CA8">
        <w:rPr>
          <w:color w:val="auto"/>
        </w:rPr>
        <w:t>Our Statement of Intent 2024–2027 provides the strategic direction that leads our SPE and is the central influence in our planning and in the development of our deliverables. Our priorities are also shaped by the broader context</w:t>
      </w:r>
      <w:r w:rsidR="004C40C4">
        <w:rPr>
          <w:color w:val="auto"/>
        </w:rPr>
        <w:t xml:space="preserve"> in which</w:t>
      </w:r>
      <w:r w:rsidRPr="009B2CA8">
        <w:rPr>
          <w:color w:val="auto"/>
        </w:rPr>
        <w:t xml:space="preserve"> we operate, including Government policy and expectations and the needs of consumers and providers. Other influences include health sector reform, a significant increase in demand for our services</w:t>
      </w:r>
      <w:r w:rsidR="004C40C4">
        <w:rPr>
          <w:color w:val="auto"/>
        </w:rPr>
        <w:t>,</w:t>
      </w:r>
      <w:r w:rsidRPr="009B2CA8">
        <w:rPr>
          <w:color w:val="auto"/>
        </w:rPr>
        <w:t xml:space="preserve"> and our current funding levels.</w:t>
      </w:r>
    </w:p>
    <w:p w14:paraId="7F6EAA48" w14:textId="77777777" w:rsidR="009B2CA8" w:rsidRPr="009B2CA8" w:rsidRDefault="009B2CA8" w:rsidP="00AC10F4">
      <w:pPr>
        <w:pStyle w:val="Heading3"/>
      </w:pPr>
      <w:r w:rsidRPr="009B2CA8">
        <w:t>1.3.1 Pae Ora (Healthy Futures) Act 2022</w:t>
      </w:r>
    </w:p>
    <w:p w14:paraId="538787DD" w14:textId="77777777" w:rsidR="009B2CA8" w:rsidRPr="009B2CA8" w:rsidRDefault="009B2CA8" w:rsidP="009B2CA8">
      <w:r w:rsidRPr="009B2CA8">
        <w:t>The Health and Disability Commissioner Act 1994 requires the Commissioner to take account of the Government Policy Statement on Health and any health strategy issues under the Pae Ora (Healthy Futures) Act 2022, so far as those strategies are applicable. The work of HDC contributes to the interim Government Policy Statement (</w:t>
      </w:r>
      <w:proofErr w:type="spellStart"/>
      <w:r w:rsidRPr="009B2CA8">
        <w:t>iGPS</w:t>
      </w:r>
      <w:proofErr w:type="spellEnd"/>
      <w:r w:rsidRPr="009B2CA8">
        <w:t xml:space="preserve">) in the following ways: </w:t>
      </w:r>
    </w:p>
    <w:tbl>
      <w:tblPr>
        <w:tblStyle w:val="TableGrid"/>
        <w:tblW w:w="9864" w:type="dxa"/>
        <w:tblInd w:w="54" w:type="dxa"/>
        <w:tblLook w:val="04A0" w:firstRow="1" w:lastRow="0" w:firstColumn="1" w:lastColumn="0" w:noHBand="0" w:noVBand="1"/>
      </w:tblPr>
      <w:tblGrid>
        <w:gridCol w:w="1926"/>
        <w:gridCol w:w="7938"/>
      </w:tblGrid>
      <w:tr w:rsidR="009B2CA8" w:rsidRPr="009B2CA8" w14:paraId="05B27720" w14:textId="77777777" w:rsidTr="009B2CA8">
        <w:tc>
          <w:tcPr>
            <w:tcW w:w="1926" w:type="dxa"/>
          </w:tcPr>
          <w:p w14:paraId="1173FEEE" w14:textId="4CA4E58C" w:rsidR="009B2CA8" w:rsidRPr="009B2CA8" w:rsidRDefault="009B2CA8" w:rsidP="004C40C4">
            <w:pPr>
              <w:spacing w:before="120" w:after="120"/>
              <w:rPr>
                <w:b/>
                <w:sz w:val="20"/>
                <w:szCs w:val="20"/>
              </w:rPr>
            </w:pPr>
            <w:proofErr w:type="spellStart"/>
            <w:r w:rsidRPr="009B2CA8">
              <w:rPr>
                <w:b/>
                <w:sz w:val="20"/>
                <w:szCs w:val="20"/>
              </w:rPr>
              <w:t>iGPS</w:t>
            </w:r>
            <w:proofErr w:type="spellEnd"/>
            <w:r w:rsidRPr="009B2CA8">
              <w:rPr>
                <w:b/>
                <w:sz w:val="20"/>
                <w:szCs w:val="20"/>
              </w:rPr>
              <w:t xml:space="preserve"> </w:t>
            </w:r>
            <w:r w:rsidR="004C40C4">
              <w:rPr>
                <w:b/>
                <w:sz w:val="20"/>
                <w:szCs w:val="20"/>
              </w:rPr>
              <w:t>p</w:t>
            </w:r>
            <w:r w:rsidR="004C40C4" w:rsidRPr="009B2CA8">
              <w:rPr>
                <w:b/>
                <w:sz w:val="20"/>
                <w:szCs w:val="20"/>
              </w:rPr>
              <w:t xml:space="preserve">riority </w:t>
            </w:r>
          </w:p>
        </w:tc>
        <w:tc>
          <w:tcPr>
            <w:tcW w:w="7938" w:type="dxa"/>
          </w:tcPr>
          <w:p w14:paraId="2A07BB8A" w14:textId="77777777" w:rsidR="009B2CA8" w:rsidRPr="009B2CA8" w:rsidRDefault="009B2CA8" w:rsidP="009B2CA8">
            <w:pPr>
              <w:spacing w:before="120" w:after="120"/>
              <w:rPr>
                <w:b/>
                <w:sz w:val="20"/>
                <w:szCs w:val="20"/>
              </w:rPr>
            </w:pPr>
            <w:r w:rsidRPr="009B2CA8">
              <w:rPr>
                <w:b/>
                <w:sz w:val="20"/>
                <w:szCs w:val="20"/>
              </w:rPr>
              <w:t>HDC contribution</w:t>
            </w:r>
          </w:p>
        </w:tc>
      </w:tr>
      <w:tr w:rsidR="009B2CA8" w:rsidRPr="009B2CA8" w14:paraId="216FB6DF" w14:textId="77777777" w:rsidTr="009B2CA8">
        <w:tc>
          <w:tcPr>
            <w:tcW w:w="1926" w:type="dxa"/>
          </w:tcPr>
          <w:p w14:paraId="2A90BFDF" w14:textId="77777777" w:rsidR="009B2CA8" w:rsidRPr="009B2CA8" w:rsidRDefault="009B2CA8" w:rsidP="009B2CA8">
            <w:pPr>
              <w:spacing w:before="120"/>
              <w:jc w:val="left"/>
              <w:rPr>
                <w:sz w:val="20"/>
                <w:szCs w:val="20"/>
              </w:rPr>
            </w:pPr>
            <w:r w:rsidRPr="009B2CA8">
              <w:rPr>
                <w:sz w:val="20"/>
                <w:szCs w:val="20"/>
              </w:rPr>
              <w:t>Achieving equity in health outcomes</w:t>
            </w:r>
          </w:p>
        </w:tc>
        <w:tc>
          <w:tcPr>
            <w:tcW w:w="7938" w:type="dxa"/>
          </w:tcPr>
          <w:p w14:paraId="0E1D9F2A" w14:textId="582A1E75" w:rsidR="009B2CA8" w:rsidRPr="009B2CA8" w:rsidRDefault="009B2CA8" w:rsidP="009B2CA8">
            <w:pPr>
              <w:spacing w:before="120" w:after="120"/>
              <w:rPr>
                <w:sz w:val="20"/>
                <w:szCs w:val="20"/>
              </w:rPr>
            </w:pPr>
            <w:r w:rsidRPr="009B2CA8">
              <w:rPr>
                <w:sz w:val="20"/>
                <w:szCs w:val="20"/>
              </w:rPr>
              <w:t xml:space="preserve">HDC was established to address the </w:t>
            </w:r>
            <w:r w:rsidR="00FA1C49" w:rsidRPr="0060083E">
              <w:rPr>
                <w:sz w:val="20"/>
                <w:szCs w:val="20"/>
              </w:rPr>
              <w:t>inherent</w:t>
            </w:r>
            <w:r w:rsidR="00FA1C49" w:rsidRPr="004B6331">
              <w:rPr>
                <w:sz w:val="20"/>
                <w:szCs w:val="20"/>
              </w:rPr>
              <w:t xml:space="preserve"> </w:t>
            </w:r>
            <w:r w:rsidRPr="009B2CA8">
              <w:rPr>
                <w:sz w:val="20"/>
                <w:szCs w:val="20"/>
              </w:rPr>
              <w:t xml:space="preserve">power imbalance that exists between consumers and providers by ensuring that people have a voice and an independent avenue for them to raise concerns about the health and disability service they received. We provide an important platform for equity issues to be raised and addressed — both locally and system-wide. Our complaints data provides important information about people’s experience of the system. The Advocacy Service has a particular focus on raising awareness of the Code among populations who experience poor health outcomes and are particularly reliant on the care provided.  Ensuring our ability to contribute to equitable health outcomes will be a focus of the upcoming review of the HDC Act and Code. </w:t>
            </w:r>
          </w:p>
        </w:tc>
      </w:tr>
      <w:tr w:rsidR="009B2CA8" w:rsidRPr="009B2CA8" w14:paraId="6C7176DE" w14:textId="77777777" w:rsidTr="009B2CA8">
        <w:tc>
          <w:tcPr>
            <w:tcW w:w="1926" w:type="dxa"/>
          </w:tcPr>
          <w:p w14:paraId="55C74DB8" w14:textId="77777777" w:rsidR="009B2CA8" w:rsidRPr="009B2CA8" w:rsidRDefault="009B2CA8" w:rsidP="009B2CA8">
            <w:pPr>
              <w:spacing w:before="120"/>
              <w:jc w:val="left"/>
              <w:rPr>
                <w:sz w:val="20"/>
                <w:szCs w:val="20"/>
              </w:rPr>
            </w:pPr>
            <w:r w:rsidRPr="009B2CA8">
              <w:rPr>
                <w:sz w:val="20"/>
                <w:szCs w:val="20"/>
              </w:rPr>
              <w:t>Embedding Te Tiriti o Waitangi across the health sector</w:t>
            </w:r>
          </w:p>
        </w:tc>
        <w:tc>
          <w:tcPr>
            <w:tcW w:w="7938" w:type="dxa"/>
          </w:tcPr>
          <w:p w14:paraId="59FD7B56" w14:textId="77777777" w:rsidR="009B2CA8" w:rsidRPr="009B2CA8" w:rsidRDefault="009B2CA8" w:rsidP="009B2CA8">
            <w:pPr>
              <w:spacing w:before="120" w:after="120"/>
              <w:rPr>
                <w:sz w:val="20"/>
                <w:szCs w:val="20"/>
              </w:rPr>
            </w:pPr>
            <w:r w:rsidRPr="009B2CA8">
              <w:rPr>
                <w:sz w:val="20"/>
                <w:szCs w:val="20"/>
              </w:rPr>
              <w:t>HDC is committed to honouring our responsibilities under Te Tiriti o Waitangi, and we have an important role to play in supporting the Crown to meet their responsibilities in the health and disability system. HDC has been focused on increasing our internal cultural knowledge and competence and strengthening our ability to recognise and respond effectively to Māori complainants. We have also strengthened our data collection and reporting in relation to Māori experience of care.</w:t>
            </w:r>
          </w:p>
        </w:tc>
      </w:tr>
      <w:tr w:rsidR="009B2CA8" w:rsidRPr="009B2CA8" w14:paraId="7D169CF2" w14:textId="77777777" w:rsidTr="009B2CA8">
        <w:tc>
          <w:tcPr>
            <w:tcW w:w="1926" w:type="dxa"/>
          </w:tcPr>
          <w:p w14:paraId="57EA20AD" w14:textId="77777777" w:rsidR="009B2CA8" w:rsidRPr="009B2CA8" w:rsidRDefault="009B2CA8" w:rsidP="009B2CA8">
            <w:pPr>
              <w:spacing w:before="120"/>
              <w:jc w:val="left"/>
              <w:rPr>
                <w:sz w:val="20"/>
                <w:szCs w:val="20"/>
              </w:rPr>
            </w:pPr>
            <w:r w:rsidRPr="009B2CA8">
              <w:rPr>
                <w:sz w:val="20"/>
                <w:szCs w:val="20"/>
              </w:rPr>
              <w:t>Keeping people well in their communities</w:t>
            </w:r>
          </w:p>
        </w:tc>
        <w:tc>
          <w:tcPr>
            <w:tcW w:w="7938" w:type="dxa"/>
          </w:tcPr>
          <w:p w14:paraId="4BF47AC4" w14:textId="77777777" w:rsidR="009B2CA8" w:rsidRPr="009B2CA8" w:rsidRDefault="009B2CA8" w:rsidP="009B2CA8">
            <w:pPr>
              <w:spacing w:before="120" w:after="120"/>
              <w:rPr>
                <w:sz w:val="20"/>
                <w:szCs w:val="20"/>
              </w:rPr>
            </w:pPr>
            <w:r w:rsidRPr="009B2CA8">
              <w:rPr>
                <w:sz w:val="20"/>
                <w:szCs w:val="20"/>
              </w:rPr>
              <w:t xml:space="preserve">HDC funds a Nationwide Advocacy Service. Advocates are embedded in their communities, supporting people to resolve their concerns directly with their local providers. Advocates also provide community-level promotion and education, raising community awareness of people’s rights under the Code and avenues for complaints. </w:t>
            </w:r>
          </w:p>
        </w:tc>
      </w:tr>
      <w:tr w:rsidR="009B2CA8" w:rsidRPr="009B2CA8" w14:paraId="16914B26" w14:textId="77777777" w:rsidTr="009B2CA8">
        <w:tc>
          <w:tcPr>
            <w:tcW w:w="1926" w:type="dxa"/>
          </w:tcPr>
          <w:p w14:paraId="678FF7C2" w14:textId="77777777" w:rsidR="009B2CA8" w:rsidRPr="009B2CA8" w:rsidRDefault="009B2CA8" w:rsidP="009B2CA8">
            <w:pPr>
              <w:spacing w:before="120"/>
              <w:jc w:val="left"/>
              <w:rPr>
                <w:sz w:val="20"/>
                <w:szCs w:val="20"/>
              </w:rPr>
            </w:pPr>
            <w:r w:rsidRPr="009B2CA8">
              <w:rPr>
                <w:sz w:val="20"/>
                <w:szCs w:val="20"/>
              </w:rPr>
              <w:t>Developing the health workforce of the future</w:t>
            </w:r>
          </w:p>
        </w:tc>
        <w:tc>
          <w:tcPr>
            <w:tcW w:w="7938" w:type="dxa"/>
          </w:tcPr>
          <w:p w14:paraId="1920B375" w14:textId="77777777" w:rsidR="009B2CA8" w:rsidRPr="009B2CA8" w:rsidRDefault="009B2CA8" w:rsidP="009B2CA8">
            <w:pPr>
              <w:spacing w:before="120" w:after="120"/>
              <w:rPr>
                <w:sz w:val="20"/>
                <w:szCs w:val="20"/>
              </w:rPr>
            </w:pPr>
            <w:r w:rsidRPr="009B2CA8">
              <w:rPr>
                <w:sz w:val="20"/>
                <w:szCs w:val="20"/>
              </w:rPr>
              <w:t xml:space="preserve">HDC undertakes a number of educational initiatives to support providers’ understanding of their obligations under the Code and how this can be embedded in their day-to-day practice. Staffing capacity and capability are a common issue identified by HDC in the assessment of complaints, and we work to bring these issues to the attention of relevant agencies. </w:t>
            </w:r>
          </w:p>
        </w:tc>
      </w:tr>
      <w:tr w:rsidR="009B2CA8" w:rsidRPr="009B2CA8" w14:paraId="23B6C89B" w14:textId="77777777" w:rsidTr="009B2CA8">
        <w:trPr>
          <w:trHeight w:val="866"/>
        </w:trPr>
        <w:tc>
          <w:tcPr>
            <w:tcW w:w="1926" w:type="dxa"/>
          </w:tcPr>
          <w:p w14:paraId="5EFCBAC2" w14:textId="77777777" w:rsidR="009B2CA8" w:rsidRPr="009B2CA8" w:rsidRDefault="009B2CA8" w:rsidP="009B2CA8">
            <w:pPr>
              <w:spacing w:before="120" w:after="120"/>
              <w:jc w:val="left"/>
              <w:rPr>
                <w:sz w:val="20"/>
                <w:szCs w:val="20"/>
              </w:rPr>
            </w:pPr>
            <w:r w:rsidRPr="009B2CA8">
              <w:rPr>
                <w:sz w:val="20"/>
                <w:szCs w:val="20"/>
              </w:rPr>
              <w:t>Ensuring a financially sustainable health sector</w:t>
            </w:r>
          </w:p>
        </w:tc>
        <w:tc>
          <w:tcPr>
            <w:tcW w:w="7938" w:type="dxa"/>
          </w:tcPr>
          <w:p w14:paraId="20958908" w14:textId="77777777" w:rsidR="009B2CA8" w:rsidRPr="009B2CA8" w:rsidRDefault="009B2CA8" w:rsidP="009B2CA8">
            <w:pPr>
              <w:spacing w:before="120" w:after="120"/>
              <w:jc w:val="left"/>
              <w:rPr>
                <w:sz w:val="20"/>
                <w:szCs w:val="20"/>
              </w:rPr>
            </w:pPr>
            <w:r w:rsidRPr="009B2CA8">
              <w:rPr>
                <w:sz w:val="20"/>
                <w:szCs w:val="20"/>
              </w:rPr>
              <w:t>HDC continues to focus on sustainability and managing its resources in an efficient and cost-effective way to respond to growing demand for our service.</w:t>
            </w:r>
          </w:p>
        </w:tc>
      </w:tr>
      <w:tr w:rsidR="009B2CA8" w:rsidRPr="009B2CA8" w14:paraId="1EAB5398" w14:textId="77777777" w:rsidTr="009B2CA8">
        <w:tc>
          <w:tcPr>
            <w:tcW w:w="1926" w:type="dxa"/>
          </w:tcPr>
          <w:p w14:paraId="363AADD6" w14:textId="77777777" w:rsidR="009B2CA8" w:rsidRPr="009B2CA8" w:rsidRDefault="009B2CA8" w:rsidP="009B2CA8">
            <w:pPr>
              <w:spacing w:before="120"/>
              <w:jc w:val="left"/>
              <w:rPr>
                <w:sz w:val="20"/>
                <w:szCs w:val="20"/>
              </w:rPr>
            </w:pPr>
            <w:r w:rsidRPr="009B2CA8">
              <w:rPr>
                <w:sz w:val="20"/>
                <w:szCs w:val="20"/>
              </w:rPr>
              <w:t>Laying the foundations for the ongoing success of the health sector</w:t>
            </w:r>
          </w:p>
        </w:tc>
        <w:tc>
          <w:tcPr>
            <w:tcW w:w="7938" w:type="dxa"/>
          </w:tcPr>
          <w:p w14:paraId="042BC82F" w14:textId="4557A8E5" w:rsidR="009B2CA8" w:rsidRPr="009B2CA8" w:rsidRDefault="009B2CA8" w:rsidP="009B2CA8">
            <w:pPr>
              <w:rPr>
                <w:sz w:val="20"/>
                <w:szCs w:val="20"/>
              </w:rPr>
            </w:pPr>
            <w:r w:rsidRPr="009B2CA8">
              <w:rPr>
                <w:sz w:val="20"/>
                <w:szCs w:val="20"/>
              </w:rPr>
              <w:t>The Code sets the benchmark for consumer-centred care, and HDC’s focus is on ensuring that the Code is embedded into the foundations of the system as it reforms. By resolving complaints and holding providers to account where appropriate, HDC assists consumers to have a voice, improves quality and safety, strengthens trust in the system</w:t>
            </w:r>
            <w:r w:rsidR="00514358">
              <w:rPr>
                <w:sz w:val="20"/>
                <w:szCs w:val="20"/>
              </w:rPr>
              <w:t>,</w:t>
            </w:r>
            <w:r w:rsidRPr="009B2CA8">
              <w:rPr>
                <w:sz w:val="20"/>
                <w:szCs w:val="20"/>
              </w:rPr>
              <w:t xml:space="preserve"> and ensures </w:t>
            </w:r>
            <w:r w:rsidR="00514358">
              <w:rPr>
                <w:sz w:val="20"/>
                <w:szCs w:val="20"/>
              </w:rPr>
              <w:t xml:space="preserve">that </w:t>
            </w:r>
            <w:r w:rsidRPr="009B2CA8">
              <w:rPr>
                <w:sz w:val="20"/>
                <w:szCs w:val="20"/>
              </w:rPr>
              <w:t xml:space="preserve">public safety issues are addressed. HDC’s complaint data is grounded in the consumer experience, and we are well placed to monitor and escalate the impacts of the current reforms on people and their whānau. HDC’s review of the Act and Code will also ensure that these legislative instruments are fit for purpose in </w:t>
            </w:r>
            <w:r w:rsidR="00FA1C49">
              <w:rPr>
                <w:sz w:val="20"/>
                <w:szCs w:val="20"/>
              </w:rPr>
              <w:t xml:space="preserve">the context of </w:t>
            </w:r>
            <w:r w:rsidRPr="009B2CA8">
              <w:rPr>
                <w:sz w:val="20"/>
                <w:szCs w:val="20"/>
              </w:rPr>
              <w:t>the new system.</w:t>
            </w:r>
          </w:p>
        </w:tc>
      </w:tr>
    </w:tbl>
    <w:p w14:paraId="3DBA843E" w14:textId="6C82BAD2" w:rsidR="009B2CA8" w:rsidRPr="009B2CA8" w:rsidRDefault="00891F41" w:rsidP="00AC10F4">
      <w:pPr>
        <w:pStyle w:val="Heading3"/>
        <w:ind w:left="567" w:hanging="567"/>
        <w:rPr>
          <w:lang w:val="mi-NZ"/>
        </w:rPr>
      </w:pPr>
      <w:r>
        <w:lastRenderedPageBreak/>
        <w:t>1.3.2</w:t>
      </w:r>
      <w:r>
        <w:tab/>
      </w:r>
      <w:r w:rsidR="009B2CA8" w:rsidRPr="009B2CA8">
        <w:t>Code of expectations for health entities</w:t>
      </w:r>
      <w:r w:rsidR="00514358">
        <w:t>’</w:t>
      </w:r>
      <w:r w:rsidR="009B2CA8" w:rsidRPr="009B2CA8">
        <w:t xml:space="preserve"> engagement with consumers and </w:t>
      </w:r>
      <w:proofErr w:type="spellStart"/>
      <w:r w:rsidR="009B2CA8" w:rsidRPr="009B2CA8">
        <w:t>wh</w:t>
      </w:r>
      <w:proofErr w:type="spellEnd"/>
      <w:r w:rsidR="009B2CA8" w:rsidRPr="009B2CA8">
        <w:rPr>
          <w:lang w:val="mi-NZ"/>
        </w:rPr>
        <w:t>ānau (code of expectations)</w:t>
      </w:r>
    </w:p>
    <w:p w14:paraId="3770210E" w14:textId="77777777" w:rsidR="009B2CA8" w:rsidRPr="009B2CA8" w:rsidRDefault="009B2CA8" w:rsidP="009B2CA8">
      <w:r w:rsidRPr="009B2CA8">
        <w:t xml:space="preserve">While the Pae Ora (Healthy Futures) Act 2022 does not require HDC to act in accordance with the code of expectations, HDC will continue to ensure that the principles and intent of the code are built into our work. Some of the ways in which we are doing this currently includes: </w:t>
      </w:r>
    </w:p>
    <w:p w14:paraId="63B0EA74" w14:textId="77777777" w:rsidR="009B2CA8" w:rsidRPr="009B2CA8" w:rsidRDefault="009B2CA8" w:rsidP="00170D25">
      <w:pPr>
        <w:pStyle w:val="ListParagraph"/>
        <w:numPr>
          <w:ilvl w:val="0"/>
          <w:numId w:val="13"/>
        </w:numPr>
        <w:autoSpaceDE/>
        <w:autoSpaceDN/>
        <w:adjustRightInd/>
        <w:spacing w:after="60"/>
        <w:ind w:left="284" w:hanging="284"/>
        <w:contextualSpacing w:val="0"/>
      </w:pPr>
      <w:r w:rsidRPr="00B52358">
        <w:t>The use of our complaints</w:t>
      </w:r>
      <w:r w:rsidRPr="009B2CA8">
        <w:t xml:space="preserve"> data to highlight the consumer and whānau voice in quality and safety; </w:t>
      </w:r>
    </w:p>
    <w:p w14:paraId="151F5237" w14:textId="77777777" w:rsidR="009B2CA8" w:rsidRPr="009B2CA8" w:rsidRDefault="009B2CA8" w:rsidP="00170D25">
      <w:pPr>
        <w:pStyle w:val="ListParagraph"/>
        <w:numPr>
          <w:ilvl w:val="0"/>
          <w:numId w:val="13"/>
        </w:numPr>
        <w:autoSpaceDE/>
        <w:autoSpaceDN/>
        <w:adjustRightInd/>
        <w:spacing w:after="60"/>
        <w:ind w:left="284" w:hanging="284"/>
        <w:contextualSpacing w:val="0"/>
      </w:pPr>
      <w:r w:rsidRPr="009B2CA8">
        <w:t>Engaging with our Consumer Advisory Group to assist in identifying organisational priorities and issues of strategic importance in the health and disability system;</w:t>
      </w:r>
    </w:p>
    <w:p w14:paraId="6DA1B4EF" w14:textId="77777777" w:rsidR="009B2CA8" w:rsidRPr="009B2CA8" w:rsidRDefault="009B2CA8" w:rsidP="00170D25">
      <w:pPr>
        <w:pStyle w:val="ListParagraph"/>
        <w:numPr>
          <w:ilvl w:val="0"/>
          <w:numId w:val="13"/>
        </w:numPr>
        <w:autoSpaceDE/>
        <w:autoSpaceDN/>
        <w:adjustRightInd/>
        <w:spacing w:after="60"/>
        <w:ind w:left="284" w:hanging="284"/>
        <w:contextualSpacing w:val="0"/>
      </w:pPr>
      <w:r w:rsidRPr="009B2CA8">
        <w:t xml:space="preserve">The development of an equitable engagement strategy that prioritises Māori during our review of the Act and Code; </w:t>
      </w:r>
    </w:p>
    <w:p w14:paraId="6FA7346D" w14:textId="77777777" w:rsidR="009B2CA8" w:rsidRPr="009B2CA8" w:rsidRDefault="009B2CA8" w:rsidP="00170D25">
      <w:pPr>
        <w:pStyle w:val="ListParagraph"/>
        <w:numPr>
          <w:ilvl w:val="0"/>
          <w:numId w:val="13"/>
        </w:numPr>
        <w:autoSpaceDE/>
        <w:autoSpaceDN/>
        <w:adjustRightInd/>
        <w:spacing w:after="60"/>
        <w:ind w:left="284" w:hanging="284"/>
        <w:contextualSpacing w:val="0"/>
      </w:pPr>
      <w:r w:rsidRPr="009B2CA8">
        <w:t>Monitoring consumer and whānau experience of our complaints process and using this information to inform quality improvement in those processes;</w:t>
      </w:r>
    </w:p>
    <w:p w14:paraId="7C932052" w14:textId="77777777" w:rsidR="009B2CA8" w:rsidRPr="009B2CA8" w:rsidRDefault="009B2CA8" w:rsidP="00170D25">
      <w:pPr>
        <w:pStyle w:val="ListParagraph"/>
        <w:numPr>
          <w:ilvl w:val="0"/>
          <w:numId w:val="13"/>
        </w:numPr>
        <w:autoSpaceDE/>
        <w:autoSpaceDN/>
        <w:adjustRightInd/>
        <w:spacing w:after="60"/>
        <w:ind w:left="284" w:hanging="284"/>
        <w:contextualSpacing w:val="0"/>
      </w:pPr>
      <w:r w:rsidRPr="009B2CA8">
        <w:t>Providing accessible information and educational resources about the Code and avenues for complaint;</w:t>
      </w:r>
    </w:p>
    <w:p w14:paraId="334BEB31" w14:textId="77777777" w:rsidR="009B2CA8" w:rsidRPr="009B2CA8" w:rsidRDefault="009B2CA8" w:rsidP="00170D25">
      <w:pPr>
        <w:pStyle w:val="ListParagraph"/>
        <w:numPr>
          <w:ilvl w:val="0"/>
          <w:numId w:val="13"/>
        </w:numPr>
        <w:autoSpaceDE/>
        <w:autoSpaceDN/>
        <w:adjustRightInd/>
        <w:spacing w:after="60"/>
        <w:ind w:left="284" w:hanging="284"/>
        <w:contextualSpacing w:val="0"/>
      </w:pPr>
      <w:r w:rsidRPr="009B2CA8">
        <w:t xml:space="preserve">Working with our </w:t>
      </w:r>
      <w:proofErr w:type="spellStart"/>
      <w:r w:rsidRPr="009B2CA8">
        <w:t>Kaitohu</w:t>
      </w:r>
      <w:proofErr w:type="spellEnd"/>
      <w:r w:rsidRPr="009B2CA8">
        <w:t xml:space="preserve"> </w:t>
      </w:r>
      <w:proofErr w:type="spellStart"/>
      <w:r w:rsidRPr="009B2CA8">
        <w:t>Mātāmua</w:t>
      </w:r>
      <w:proofErr w:type="spellEnd"/>
      <w:r w:rsidRPr="009B2CA8">
        <w:t xml:space="preserve"> Māori to improve the responsiveness of our complaints process to Māori; </w:t>
      </w:r>
    </w:p>
    <w:p w14:paraId="028A84F4" w14:textId="77777777" w:rsidR="009B2CA8" w:rsidRPr="009B2CA8" w:rsidRDefault="009B2CA8" w:rsidP="00170D25">
      <w:pPr>
        <w:pStyle w:val="ListParagraph"/>
        <w:numPr>
          <w:ilvl w:val="0"/>
          <w:numId w:val="13"/>
        </w:numPr>
        <w:autoSpaceDE/>
        <w:autoSpaceDN/>
        <w:adjustRightInd/>
        <w:spacing w:after="60"/>
        <w:ind w:left="284" w:hanging="284"/>
        <w:contextualSpacing w:val="0"/>
      </w:pPr>
      <w:r w:rsidRPr="009B2CA8">
        <w:t>Using HDC’s levers to promote equitable health outcomes, and collaborating with other agencies to share information and take action in regard to equity; and</w:t>
      </w:r>
    </w:p>
    <w:p w14:paraId="171B496D" w14:textId="77777777" w:rsidR="009B2CA8" w:rsidRPr="009B2CA8" w:rsidRDefault="009B2CA8" w:rsidP="00170D25">
      <w:pPr>
        <w:pStyle w:val="ListParagraph"/>
        <w:numPr>
          <w:ilvl w:val="0"/>
          <w:numId w:val="13"/>
        </w:numPr>
        <w:autoSpaceDE/>
        <w:autoSpaceDN/>
        <w:adjustRightInd/>
        <w:spacing w:after="200"/>
        <w:ind w:left="284" w:hanging="284"/>
        <w:contextualSpacing w:val="0"/>
      </w:pPr>
      <w:r w:rsidRPr="009B2CA8">
        <w:t>The Aged Care Commissioner’s focus on meaningful engagement with older people and their whānau to inform her monitoring report, with a particular focus on Māori and promoting the principles of Te Tiriti.</w:t>
      </w:r>
    </w:p>
    <w:p w14:paraId="0CDCAAB4" w14:textId="0408DFBC" w:rsidR="009B2CA8" w:rsidRPr="009B2CA8" w:rsidRDefault="009B2CA8" w:rsidP="00AC10F4">
      <w:pPr>
        <w:pStyle w:val="Heading3"/>
        <w:tabs>
          <w:tab w:val="left" w:pos="567"/>
        </w:tabs>
      </w:pPr>
      <w:r w:rsidRPr="009B2CA8">
        <w:t>1.3.</w:t>
      </w:r>
      <w:r w:rsidR="00891F41">
        <w:t>3</w:t>
      </w:r>
      <w:r w:rsidR="00891F41" w:rsidRPr="009B2CA8">
        <w:t xml:space="preserve"> </w:t>
      </w:r>
      <w:r w:rsidR="00514358">
        <w:tab/>
      </w:r>
      <w:r w:rsidRPr="009B2CA8">
        <w:t>Minister’s expectations 2023/24</w:t>
      </w:r>
    </w:p>
    <w:p w14:paraId="088D662E" w14:textId="77777777" w:rsidR="009B2CA8" w:rsidRPr="009B2CA8" w:rsidRDefault="009B2CA8" w:rsidP="009B2CA8">
      <w:r w:rsidRPr="009B2CA8">
        <w:t>The Minister’s key priorities for the Health and Disability Commissioner in 2023/24 include:</w:t>
      </w:r>
    </w:p>
    <w:p w14:paraId="33959B53" w14:textId="77777777" w:rsidR="009B2CA8" w:rsidRPr="009B2CA8" w:rsidRDefault="009B2CA8" w:rsidP="00170D25">
      <w:pPr>
        <w:pStyle w:val="ListParagraph"/>
        <w:numPr>
          <w:ilvl w:val="0"/>
          <w:numId w:val="5"/>
        </w:numPr>
        <w:autoSpaceDE/>
        <w:autoSpaceDN/>
        <w:adjustRightInd/>
        <w:ind w:left="284" w:hanging="284"/>
        <w:contextualSpacing w:val="0"/>
      </w:pPr>
      <w:r w:rsidRPr="009B2CA8">
        <w:t>Identifying and pursuing opportunities to work collaboratively and collectively with other entities where this will result in health gains;</w:t>
      </w:r>
    </w:p>
    <w:p w14:paraId="0D7483DD" w14:textId="21F5D16F" w:rsidR="009B2CA8" w:rsidRPr="009B2CA8" w:rsidRDefault="009B2CA8" w:rsidP="00170D25">
      <w:pPr>
        <w:pStyle w:val="ListParagraph"/>
        <w:numPr>
          <w:ilvl w:val="0"/>
          <w:numId w:val="5"/>
        </w:numPr>
        <w:autoSpaceDE/>
        <w:autoSpaceDN/>
        <w:adjustRightInd/>
        <w:ind w:left="284" w:hanging="284"/>
        <w:contextualSpacing w:val="0"/>
      </w:pPr>
      <w:r w:rsidRPr="009B2CA8">
        <w:t>Continu</w:t>
      </w:r>
      <w:r w:rsidR="00514358">
        <w:t>ing to</w:t>
      </w:r>
      <w:r w:rsidRPr="009B2CA8">
        <w:t xml:space="preserve"> </w:t>
      </w:r>
      <w:r w:rsidR="00514358" w:rsidRPr="009B2CA8">
        <w:t>shar</w:t>
      </w:r>
      <w:r w:rsidR="00514358">
        <w:t>e</w:t>
      </w:r>
      <w:r w:rsidR="00514358" w:rsidRPr="009B2CA8">
        <w:t xml:space="preserve"> </w:t>
      </w:r>
      <w:r w:rsidRPr="009B2CA8">
        <w:t xml:space="preserve">information with Manatū Hauora in regard to </w:t>
      </w:r>
      <w:r w:rsidR="00514358">
        <w:t>its</w:t>
      </w:r>
      <w:r w:rsidR="00514358" w:rsidRPr="009B2CA8">
        <w:t xml:space="preserve"> </w:t>
      </w:r>
      <w:r w:rsidRPr="009B2CA8">
        <w:t>system monitoring role, including early notification of system issues; and</w:t>
      </w:r>
    </w:p>
    <w:p w14:paraId="49F37E6A" w14:textId="3BF8F71F" w:rsidR="009B2CA8" w:rsidRPr="009B2CA8" w:rsidRDefault="00514358" w:rsidP="00170D25">
      <w:pPr>
        <w:pStyle w:val="ListParagraph"/>
        <w:numPr>
          <w:ilvl w:val="0"/>
          <w:numId w:val="5"/>
        </w:numPr>
        <w:autoSpaceDE/>
        <w:autoSpaceDN/>
        <w:adjustRightInd/>
        <w:spacing w:after="240"/>
        <w:ind w:left="284" w:hanging="284"/>
        <w:contextualSpacing w:val="0"/>
      </w:pPr>
      <w:r w:rsidRPr="009B2CA8">
        <w:t>Ensur</w:t>
      </w:r>
      <w:r>
        <w:t>ing</w:t>
      </w:r>
      <w:r w:rsidRPr="009B2CA8">
        <w:t xml:space="preserve"> </w:t>
      </w:r>
      <w:r w:rsidR="009B2CA8" w:rsidRPr="009B2CA8">
        <w:t>that all voices are being captured in the upcoming review of the Act and Code, with a focus on Māori voice as treaty partners.</w:t>
      </w:r>
    </w:p>
    <w:p w14:paraId="1D458D24" w14:textId="11E7318D" w:rsidR="009B2CA8" w:rsidRPr="009B2CA8" w:rsidRDefault="009B2CA8" w:rsidP="00AC10F4">
      <w:pPr>
        <w:pStyle w:val="Heading3"/>
      </w:pPr>
      <w:r w:rsidRPr="009B2CA8">
        <w:t>1.3.</w:t>
      </w:r>
      <w:r w:rsidR="00891F41">
        <w:t>4</w:t>
      </w:r>
      <w:r w:rsidR="00891F41" w:rsidRPr="009B2CA8">
        <w:t xml:space="preserve"> </w:t>
      </w:r>
      <w:r w:rsidRPr="009B2CA8">
        <w:t xml:space="preserve">Health reforms </w:t>
      </w:r>
    </w:p>
    <w:p w14:paraId="10444F62" w14:textId="4E88C6E9" w:rsidR="009B2CA8" w:rsidRPr="009B2CA8" w:rsidRDefault="009B2CA8" w:rsidP="009B2CA8">
      <w:r w:rsidRPr="009B2CA8">
        <w:t xml:space="preserve">HDC has been focused on establishing relationships with the new entities in the health system, including </w:t>
      </w:r>
      <w:proofErr w:type="spellStart"/>
      <w:r w:rsidRPr="009B2CA8">
        <w:t>Whaikaha</w:t>
      </w:r>
      <w:proofErr w:type="spellEnd"/>
      <w:r w:rsidRPr="009B2CA8">
        <w:t xml:space="preserve">, Te </w:t>
      </w:r>
      <w:proofErr w:type="spellStart"/>
      <w:r w:rsidRPr="009B2CA8">
        <w:t>Whatu</w:t>
      </w:r>
      <w:proofErr w:type="spellEnd"/>
      <w:r w:rsidRPr="009B2CA8">
        <w:t xml:space="preserve"> Ora and Te Aka </w:t>
      </w:r>
      <w:proofErr w:type="spellStart"/>
      <w:r w:rsidRPr="009B2CA8">
        <w:t>Whai</w:t>
      </w:r>
      <w:proofErr w:type="spellEnd"/>
      <w:r w:rsidRPr="009B2CA8">
        <w:t xml:space="preserve"> Ora to ensure </w:t>
      </w:r>
      <w:r w:rsidR="00514358">
        <w:t xml:space="preserve">that </w:t>
      </w:r>
      <w:r w:rsidRPr="009B2CA8">
        <w:t xml:space="preserve">we are escalating any issues of concern in a timely and effective way. HDC </w:t>
      </w:r>
      <w:r w:rsidR="00514358">
        <w:t>is</w:t>
      </w:r>
      <w:r w:rsidR="00514358" w:rsidRPr="009B2CA8">
        <w:t xml:space="preserve"> </w:t>
      </w:r>
      <w:r w:rsidRPr="009B2CA8">
        <w:t>well placed to monitor and escalate information and insights relating to the impacts of the current reforms on people and their whānau.</w:t>
      </w:r>
    </w:p>
    <w:p w14:paraId="27A62A03" w14:textId="77777777" w:rsidR="009B2CA8" w:rsidRPr="009B2CA8" w:rsidRDefault="009B2CA8" w:rsidP="009B2CA8">
      <w:r w:rsidRPr="009B2CA8">
        <w:t xml:space="preserve">HDC has regard to Te Pae Tata (the interim New Zealand Health Plan) in our work, which identified HDC as a partner in quality and safety of service delivery. We are committed to working collaboratively, where appropriate, with the sector to improve the system and ensure the consumer voice is heard. </w:t>
      </w:r>
    </w:p>
    <w:bookmarkEnd w:id="21"/>
    <w:bookmarkEnd w:id="22"/>
    <w:p w14:paraId="079EAD7F" w14:textId="7B7F47F7" w:rsidR="009B2CA8" w:rsidRPr="009B2CA8" w:rsidRDefault="009B2CA8" w:rsidP="00AC10F4">
      <w:pPr>
        <w:pStyle w:val="Heading3"/>
      </w:pPr>
      <w:r w:rsidRPr="009B2CA8">
        <w:lastRenderedPageBreak/>
        <w:t>1.3.</w:t>
      </w:r>
      <w:r w:rsidR="00891F41">
        <w:t>5</w:t>
      </w:r>
      <w:r w:rsidRPr="009B2CA8">
        <w:t xml:space="preserve"> Growing demand</w:t>
      </w:r>
    </w:p>
    <w:p w14:paraId="6D729FED" w14:textId="7ABDEA63" w:rsidR="009B2CA8" w:rsidRPr="009B2CA8" w:rsidRDefault="009B2CA8" w:rsidP="009B2CA8">
      <w:pPr>
        <w:spacing w:after="0"/>
      </w:pPr>
      <w:r w:rsidRPr="009B2CA8">
        <w:t>Complaints to HDC are increasing, and in 2021/22 HDC experienced an unprecedented and unexpected 25% increase in complaint volume. Much of this increase was due to the impacts of the COVID-19 pandemic. While complaint numbers have decreased slightly in the current year to date, they are still significantly higher than pre-COVID-19 numbers. HDC is currently receiving around 280 complaints a month.</w:t>
      </w:r>
      <w:r w:rsidR="00570862">
        <w:t xml:space="preserve"> The annual complaint receipts are anticipated to be over </w:t>
      </w:r>
      <w:r w:rsidR="00A37A89">
        <w:t>35</w:t>
      </w:r>
      <w:r w:rsidR="00570862">
        <w:t>% above the pre-COVID-19 volumes.</w:t>
      </w:r>
    </w:p>
    <w:p w14:paraId="616E292D" w14:textId="77777777" w:rsidR="009B2CA8" w:rsidRPr="009B2CA8" w:rsidRDefault="009B2CA8" w:rsidP="009B2CA8">
      <w:pPr>
        <w:spacing w:after="0"/>
      </w:pPr>
    </w:p>
    <w:p w14:paraId="5A2E9AB5" w14:textId="6F07BB6F" w:rsidR="009B2CA8" w:rsidRPr="009B2CA8" w:rsidRDefault="009B2CA8" w:rsidP="009B2CA8">
      <w:pPr>
        <w:spacing w:after="0"/>
      </w:pPr>
      <w:r w:rsidRPr="009B2CA8">
        <w:t xml:space="preserve">These rising complaint volumes have placed significant pressure on the time it takes HDC to assess and resolve complaints, and there is a concerning growth of cases on hand. </w:t>
      </w:r>
      <w:r w:rsidRPr="009B2CA8">
        <w:rPr>
          <w:rFonts w:eastAsia="SourceSansVariable-Roman" w:cs="SourceSansVariable-Roman"/>
        </w:rPr>
        <w:t>We are investing in developing innovative, efficient and people-centred initiatives to help address delay in our process. While these initiatives have had a positive impact, it is difficult to undertake process change in the context of growing volumes and complexity.</w:t>
      </w:r>
    </w:p>
    <w:p w14:paraId="48F1F928" w14:textId="77777777" w:rsidR="009B2CA8" w:rsidRPr="009B2CA8" w:rsidRDefault="009B2CA8" w:rsidP="009B2CA8">
      <w:pPr>
        <w:spacing w:after="0"/>
      </w:pPr>
      <w:r w:rsidRPr="009B2CA8">
        <w:t xml:space="preserve"> </w:t>
      </w:r>
    </w:p>
    <w:p w14:paraId="6CE69D6D" w14:textId="77777777" w:rsidR="009B2CA8" w:rsidRPr="009B2CA8" w:rsidRDefault="009B2CA8" w:rsidP="009B2CA8">
      <w:pPr>
        <w:rPr>
          <w:lang w:val="en-GB"/>
        </w:rPr>
      </w:pPr>
    </w:p>
    <w:p w14:paraId="66324A45" w14:textId="77777777" w:rsidR="009B2CA8" w:rsidRPr="009B2CA8" w:rsidRDefault="009B2CA8" w:rsidP="00942238">
      <w:pPr>
        <w:pStyle w:val="Heading2"/>
        <w:sectPr w:rsidR="009B2CA8" w:rsidRPr="009B2CA8" w:rsidSect="007A35EE">
          <w:pgSz w:w="11906" w:h="16838" w:code="9"/>
          <w:pgMar w:top="1276" w:right="1276" w:bottom="1276" w:left="1276" w:header="720" w:footer="454" w:gutter="0"/>
          <w:cols w:space="720"/>
          <w:docGrid w:linePitch="326"/>
        </w:sectPr>
      </w:pPr>
    </w:p>
    <w:p w14:paraId="325813A8" w14:textId="77777777" w:rsidR="009B2CA8" w:rsidRPr="009B2CA8" w:rsidRDefault="009B2CA8" w:rsidP="00B957BE">
      <w:pPr>
        <w:pStyle w:val="Heading1"/>
      </w:pPr>
      <w:bookmarkStart w:id="27" w:name="_Toc138852555"/>
      <w:bookmarkStart w:id="28" w:name="_Hlk136416468"/>
      <w:r w:rsidRPr="009B2CA8">
        <w:lastRenderedPageBreak/>
        <w:t xml:space="preserve">2.0 </w:t>
      </w:r>
      <w:r w:rsidRPr="009B2CA8">
        <w:tab/>
        <w:t>HDC’s Output Classes</w:t>
      </w:r>
      <w:bookmarkEnd w:id="27"/>
      <w:r w:rsidRPr="009B2CA8">
        <w:t xml:space="preserve"> </w:t>
      </w:r>
    </w:p>
    <w:p w14:paraId="77F6DEA8" w14:textId="77777777" w:rsidR="009B2CA8" w:rsidRPr="009B2CA8" w:rsidRDefault="009B2CA8" w:rsidP="009B2CA8">
      <w:pPr>
        <w:jc w:val="left"/>
        <w:rPr>
          <w:color w:val="auto"/>
        </w:rPr>
      </w:pPr>
      <w:r w:rsidRPr="009B2CA8">
        <w:rPr>
          <w:color w:val="auto"/>
        </w:rPr>
        <w:t xml:space="preserve">HDC achieves its purpose and strategic priorities through four </w:t>
      </w:r>
      <w:r w:rsidRPr="009B2CA8">
        <w:rPr>
          <w:b/>
          <w:color w:val="auto"/>
        </w:rPr>
        <w:t>output classes</w:t>
      </w:r>
      <w:r w:rsidRPr="009B2CA8">
        <w:rPr>
          <w:color w:val="auto"/>
        </w:rPr>
        <w:t xml:space="preserve">. These are: </w:t>
      </w:r>
    </w:p>
    <w:p w14:paraId="54C8CFF0" w14:textId="77777777" w:rsidR="009B2CA8" w:rsidRPr="003C41A9" w:rsidRDefault="009B2CA8" w:rsidP="003C41A9">
      <w:pPr>
        <w:pStyle w:val="ListParagraph"/>
        <w:numPr>
          <w:ilvl w:val="0"/>
          <w:numId w:val="16"/>
        </w:numPr>
        <w:tabs>
          <w:tab w:val="left" w:pos="426"/>
        </w:tabs>
        <w:autoSpaceDE/>
        <w:autoSpaceDN/>
        <w:adjustRightInd/>
        <w:spacing w:after="200" w:line="276" w:lineRule="auto"/>
        <w:ind w:left="426" w:hanging="426"/>
      </w:pPr>
      <w:bookmarkStart w:id="29" w:name="_Toc101344196"/>
      <w:r w:rsidRPr="003C41A9">
        <w:t>Complaints resolution</w:t>
      </w:r>
    </w:p>
    <w:p w14:paraId="36DDFC3C" w14:textId="77777777" w:rsidR="009B2CA8" w:rsidRPr="003C41A9" w:rsidRDefault="009B2CA8" w:rsidP="003C41A9">
      <w:pPr>
        <w:pStyle w:val="ListParagraph"/>
        <w:numPr>
          <w:ilvl w:val="0"/>
          <w:numId w:val="12"/>
        </w:numPr>
        <w:autoSpaceDE/>
        <w:autoSpaceDN/>
        <w:adjustRightInd/>
        <w:spacing w:after="200" w:line="276" w:lineRule="auto"/>
        <w:ind w:left="567" w:hanging="141"/>
      </w:pPr>
      <w:r w:rsidRPr="009B2CA8">
        <w:t>Supporting timely and appropriate resolution pathways</w:t>
      </w:r>
    </w:p>
    <w:p w14:paraId="7D225FA9" w14:textId="77777777" w:rsidR="009B2CA8" w:rsidRPr="003C41A9" w:rsidRDefault="009B2CA8" w:rsidP="003C41A9">
      <w:pPr>
        <w:pStyle w:val="ListParagraph"/>
        <w:numPr>
          <w:ilvl w:val="0"/>
          <w:numId w:val="12"/>
        </w:numPr>
        <w:autoSpaceDE/>
        <w:autoSpaceDN/>
        <w:adjustRightInd/>
        <w:spacing w:after="200" w:line="276" w:lineRule="auto"/>
        <w:ind w:left="567" w:hanging="141"/>
      </w:pPr>
      <w:r w:rsidRPr="009B2CA8">
        <w:t xml:space="preserve">Provider accountability </w:t>
      </w:r>
    </w:p>
    <w:p w14:paraId="2ABCDCBE" w14:textId="77777777" w:rsidR="009B2CA8" w:rsidRPr="009B2CA8" w:rsidRDefault="009B2CA8" w:rsidP="003C41A9">
      <w:pPr>
        <w:pStyle w:val="ListParagraph"/>
        <w:numPr>
          <w:ilvl w:val="0"/>
          <w:numId w:val="16"/>
        </w:numPr>
        <w:autoSpaceDE/>
        <w:autoSpaceDN/>
        <w:adjustRightInd/>
        <w:spacing w:after="200" w:line="276" w:lineRule="auto"/>
        <w:ind w:left="426" w:hanging="426"/>
      </w:pPr>
      <w:r w:rsidRPr="009B2CA8">
        <w:t xml:space="preserve">Promotion and education </w:t>
      </w:r>
    </w:p>
    <w:p w14:paraId="2A6D32BA" w14:textId="77777777" w:rsidR="009B2CA8" w:rsidRPr="009B2CA8" w:rsidRDefault="009B2CA8" w:rsidP="003C41A9">
      <w:pPr>
        <w:pStyle w:val="ListParagraph"/>
        <w:numPr>
          <w:ilvl w:val="0"/>
          <w:numId w:val="16"/>
        </w:numPr>
        <w:autoSpaceDE/>
        <w:autoSpaceDN/>
        <w:adjustRightInd/>
        <w:spacing w:after="200" w:line="276" w:lineRule="auto"/>
        <w:ind w:left="426" w:hanging="426"/>
      </w:pPr>
      <w:r w:rsidRPr="009B2CA8">
        <w:t>System monitoring and impact</w:t>
      </w:r>
    </w:p>
    <w:p w14:paraId="3A3FCAE9" w14:textId="77777777" w:rsidR="009B2CA8" w:rsidRPr="009B2CA8" w:rsidRDefault="009B2CA8" w:rsidP="003C41A9">
      <w:pPr>
        <w:pStyle w:val="ListParagraph"/>
        <w:numPr>
          <w:ilvl w:val="0"/>
          <w:numId w:val="16"/>
        </w:numPr>
        <w:autoSpaceDE/>
        <w:autoSpaceDN/>
        <w:adjustRightInd/>
        <w:spacing w:after="200" w:line="276" w:lineRule="auto"/>
        <w:ind w:left="426" w:hanging="426"/>
      </w:pPr>
      <w:r w:rsidRPr="009B2CA8">
        <w:t>Focus populations</w:t>
      </w:r>
    </w:p>
    <w:p w14:paraId="3C580F1B" w14:textId="77777777" w:rsidR="009B2CA8" w:rsidRPr="009B2CA8" w:rsidRDefault="009B2CA8" w:rsidP="003C41A9">
      <w:pPr>
        <w:pStyle w:val="ListParagraph"/>
        <w:numPr>
          <w:ilvl w:val="0"/>
          <w:numId w:val="12"/>
        </w:numPr>
        <w:autoSpaceDE/>
        <w:autoSpaceDN/>
        <w:adjustRightInd/>
        <w:spacing w:after="200" w:line="276" w:lineRule="auto"/>
        <w:ind w:left="567" w:hanging="141"/>
      </w:pPr>
      <w:r w:rsidRPr="009B2CA8">
        <w:t>Older people</w:t>
      </w:r>
    </w:p>
    <w:p w14:paraId="19485D12" w14:textId="77777777" w:rsidR="009B2CA8" w:rsidRPr="009B2CA8" w:rsidRDefault="009B2CA8" w:rsidP="003C41A9">
      <w:pPr>
        <w:pStyle w:val="ListParagraph"/>
        <w:numPr>
          <w:ilvl w:val="0"/>
          <w:numId w:val="12"/>
        </w:numPr>
        <w:autoSpaceDE/>
        <w:autoSpaceDN/>
        <w:adjustRightInd/>
        <w:spacing w:after="200" w:line="276" w:lineRule="auto"/>
        <w:ind w:left="567" w:hanging="141"/>
      </w:pPr>
      <w:r w:rsidRPr="009B2CA8">
        <w:t xml:space="preserve">Tāngata </w:t>
      </w:r>
      <w:proofErr w:type="spellStart"/>
      <w:r w:rsidRPr="009B2CA8">
        <w:t>whaikaha</w:t>
      </w:r>
      <w:proofErr w:type="spellEnd"/>
      <w:r w:rsidRPr="009B2CA8">
        <w:t xml:space="preserve"> (disabled people)</w:t>
      </w:r>
    </w:p>
    <w:p w14:paraId="0827425A" w14:textId="77777777" w:rsidR="009B2CA8" w:rsidRPr="009B2CA8" w:rsidRDefault="009B2CA8" w:rsidP="003C41A9">
      <w:pPr>
        <w:pStyle w:val="ListParagraph"/>
        <w:numPr>
          <w:ilvl w:val="0"/>
          <w:numId w:val="12"/>
        </w:numPr>
        <w:autoSpaceDE/>
        <w:autoSpaceDN/>
        <w:adjustRightInd/>
        <w:spacing w:after="200" w:line="276" w:lineRule="auto"/>
        <w:ind w:left="567" w:hanging="141"/>
      </w:pPr>
      <w:r w:rsidRPr="009B2CA8">
        <w:t xml:space="preserve">Māori </w:t>
      </w:r>
    </w:p>
    <w:p w14:paraId="65291CC2" w14:textId="77777777" w:rsidR="009B2CA8" w:rsidRPr="009B2CA8" w:rsidRDefault="009B2CA8" w:rsidP="00942238">
      <w:pPr>
        <w:pStyle w:val="Heading2"/>
      </w:pPr>
      <w:bookmarkStart w:id="30" w:name="_Toc138852556"/>
      <w:bookmarkEnd w:id="28"/>
      <w:r w:rsidRPr="009B2CA8">
        <w:t>2.1</w:t>
      </w:r>
      <w:r w:rsidRPr="009B2CA8">
        <w:tab/>
        <w:t>Complaints resolution</w:t>
      </w:r>
      <w:bookmarkEnd w:id="29"/>
      <w:bookmarkEnd w:id="30"/>
      <w:r w:rsidRPr="009B2CA8">
        <w:t xml:space="preserve"> </w:t>
      </w:r>
    </w:p>
    <w:p w14:paraId="754122CD" w14:textId="3166B1B0" w:rsidR="009B2CA8" w:rsidRPr="009B2CA8" w:rsidRDefault="009B2CA8" w:rsidP="009B2CA8">
      <w:pPr>
        <w:rPr>
          <w:color w:val="auto"/>
        </w:rPr>
      </w:pPr>
      <w:r w:rsidRPr="009B2CA8">
        <w:rPr>
          <w:color w:val="auto"/>
        </w:rPr>
        <w:t xml:space="preserve">HDC is tasked with the fair, simple, speedy, and efficient resolution of complaints about health and disability services providers. HDC is focused on resolution at the lowest appropriate level, and has a number of options for resolution, including referring the complaint for direct and early resolution between the parties; making recommendations for systemic change; referring complaints to other agencies; and undertaking a formal investigation, which may result in a provider being found in breach of the Code. </w:t>
      </w:r>
    </w:p>
    <w:p w14:paraId="5EE11AFE" w14:textId="09F47958" w:rsidR="009B2CA8" w:rsidRPr="009B2CA8" w:rsidRDefault="009B2CA8" w:rsidP="009B2CA8">
      <w:pPr>
        <w:rPr>
          <w:color w:val="auto"/>
        </w:rPr>
      </w:pPr>
      <w:r w:rsidRPr="009B2CA8">
        <w:t>The volume of complaints has increased significantly in recent years</w:t>
      </w:r>
      <w:r w:rsidR="00E53E2B">
        <w:t>,</w:t>
      </w:r>
      <w:r w:rsidRPr="009B2CA8">
        <w:t xml:space="preserve"> primarily due to the impacts of COVID-19. HDC is projecting to receive </w:t>
      </w:r>
      <w:r w:rsidR="00F17E48">
        <w:t xml:space="preserve">over </w:t>
      </w:r>
      <w:r w:rsidRPr="009B2CA8">
        <w:t>3,</w:t>
      </w:r>
      <w:r w:rsidR="00F17E48">
        <w:t>3</w:t>
      </w:r>
      <w:r w:rsidRPr="009B2CA8">
        <w:t xml:space="preserve">00 complaints in 2023/24, representing an increase of </w:t>
      </w:r>
      <w:r w:rsidR="00F17E48">
        <w:t>over 3</w:t>
      </w:r>
      <w:r w:rsidRPr="009B2CA8">
        <w:t xml:space="preserve">5% </w:t>
      </w:r>
      <w:r w:rsidR="00AC10F4">
        <w:t>compared to the pre-COVID year.</w:t>
      </w:r>
    </w:p>
    <w:p w14:paraId="7CD55A50" w14:textId="148FD9AD" w:rsidR="009B2CA8" w:rsidRPr="009B2CA8" w:rsidRDefault="009B2CA8" w:rsidP="009B2CA8">
      <w:pPr>
        <w:rPr>
          <w:rFonts w:eastAsia="SourceSansVariable-Roman" w:cs="SourceSansVariable-Roman"/>
        </w:rPr>
      </w:pPr>
      <w:r w:rsidRPr="009B2CA8">
        <w:rPr>
          <w:color w:val="auto"/>
        </w:rPr>
        <w:t xml:space="preserve">Growth in complaint volumes and complexity </w:t>
      </w:r>
      <w:r w:rsidRPr="009B2CA8">
        <w:t>continues to put pressure on the time it takes to assess, investigate, and resolve complaints.</w:t>
      </w:r>
      <w:r w:rsidRPr="009B2CA8">
        <w:rPr>
          <w:lang w:val="en-US"/>
        </w:rPr>
        <w:t xml:space="preserve"> This has reinforced the need to do things differently, and currently </w:t>
      </w:r>
      <w:r w:rsidR="00E53E2B" w:rsidRPr="009B2CA8">
        <w:rPr>
          <w:lang w:val="en-US"/>
        </w:rPr>
        <w:t xml:space="preserve">we are </w:t>
      </w:r>
      <w:proofErr w:type="spellStart"/>
      <w:r w:rsidRPr="009B2CA8">
        <w:rPr>
          <w:lang w:val="en-US"/>
        </w:rPr>
        <w:t>trial</w:t>
      </w:r>
      <w:r w:rsidR="00E53E2B">
        <w:rPr>
          <w:lang w:val="en-US"/>
        </w:rPr>
        <w:t>l</w:t>
      </w:r>
      <w:r w:rsidRPr="009B2CA8">
        <w:rPr>
          <w:lang w:val="en-US"/>
        </w:rPr>
        <w:t>ing</w:t>
      </w:r>
      <w:proofErr w:type="spellEnd"/>
      <w:r w:rsidRPr="009B2CA8">
        <w:rPr>
          <w:lang w:val="en-US"/>
        </w:rPr>
        <w:t xml:space="preserve"> and implementing a number of process redesign initiatives to streamline our process</w:t>
      </w:r>
      <w:r w:rsidR="00E53E2B">
        <w:rPr>
          <w:lang w:val="en-US"/>
        </w:rPr>
        <w:t>es</w:t>
      </w:r>
      <w:r w:rsidRPr="009B2CA8">
        <w:rPr>
          <w:lang w:val="en-US"/>
        </w:rPr>
        <w:t xml:space="preserve"> and make them more people-</w:t>
      </w:r>
      <w:proofErr w:type="spellStart"/>
      <w:r w:rsidRPr="009B2CA8">
        <w:rPr>
          <w:lang w:val="en-US"/>
        </w:rPr>
        <w:t>centred</w:t>
      </w:r>
      <w:proofErr w:type="spellEnd"/>
      <w:r w:rsidRPr="009B2CA8">
        <w:rPr>
          <w:lang w:val="en-US"/>
        </w:rPr>
        <w:t xml:space="preserve"> and culturally appropriate. This includes placing a stronger focus on early, local resolution. </w:t>
      </w:r>
      <w:r w:rsidRPr="009B2CA8">
        <w:rPr>
          <w:rFonts w:eastAsia="SourceSansVariable-Roman" w:cs="SourceSansVariable-Roman"/>
        </w:rPr>
        <w:t>However, there is no quick solution to the challenges we face, particularly in the context of a significant and sustained increase in complaint volume and complexity, a growing volume of open complaints, and outdated digital complaints management systems. It is important that we remain realistic and transparent about the impact of these challenges, especially within the resource-constrained environment in which we operate.</w:t>
      </w:r>
    </w:p>
    <w:p w14:paraId="1FF69950" w14:textId="77777777" w:rsidR="009B2CA8" w:rsidRPr="009B2CA8" w:rsidRDefault="009B2CA8" w:rsidP="00AC10F4">
      <w:pPr>
        <w:pStyle w:val="Heading3"/>
      </w:pPr>
      <w:r w:rsidRPr="009B2CA8">
        <w:t xml:space="preserve">Supporting appropriate and timely resolution </w:t>
      </w:r>
    </w:p>
    <w:p w14:paraId="52645B6B" w14:textId="3D075F62" w:rsidR="009B2CA8" w:rsidRPr="009B2CA8" w:rsidRDefault="009B2CA8" w:rsidP="009B2CA8">
      <w:r w:rsidRPr="009B2CA8">
        <w:t>Where appropriate</w:t>
      </w:r>
      <w:r w:rsidR="00724AD6">
        <w:t>,</w:t>
      </w:r>
      <w:r w:rsidRPr="009B2CA8">
        <w:t xml:space="preserve"> HDC is focused on facilitating early resolution. In this respect, the work of the Advocacy Service is greatly aligned with the work of HDC.</w:t>
      </w:r>
    </w:p>
    <w:p w14:paraId="6F13EB0A" w14:textId="77777777" w:rsidR="009B2CA8" w:rsidRPr="009B2CA8" w:rsidRDefault="009B2CA8" w:rsidP="009B2CA8">
      <w:r w:rsidRPr="009B2CA8">
        <w:t>The Advocacy Service assists people to resolve complaints directly with providers, and receives around 3,000 complaints a year. All complaints to the Advocacy Service are closed within nine months. Advocates are located throughout Aotearoa New Zealand. They guide and support people to clarify their concerns and the outcomes they seek, and this clarity in turn enables providers to respond effectively and directly. The process often helps people to rebuild relationships.</w:t>
      </w:r>
    </w:p>
    <w:p w14:paraId="31E421FB" w14:textId="561DECCA" w:rsidR="009B2CA8" w:rsidRPr="009B2CA8" w:rsidRDefault="009B2CA8" w:rsidP="00724AD6">
      <w:r w:rsidRPr="009B2CA8">
        <w:lastRenderedPageBreak/>
        <w:t xml:space="preserve">HDC has been trialling and implementing a number of process re-design changes to assist in ensuring </w:t>
      </w:r>
      <w:r w:rsidR="00724AD6">
        <w:t xml:space="preserve">that </w:t>
      </w:r>
      <w:r w:rsidRPr="009B2CA8">
        <w:t>our processes are culturally safe and support appropriate and timely resolution. This will continue to be a focus for HDC in 2023/24. Recent initiatives include</w:t>
      </w:r>
      <w:r w:rsidR="00724AD6">
        <w:t xml:space="preserve">: </w:t>
      </w:r>
    </w:p>
    <w:p w14:paraId="17F86856" w14:textId="12648D65" w:rsidR="009B2CA8" w:rsidRPr="009B2CA8" w:rsidRDefault="0019684E" w:rsidP="003C41A9">
      <w:pPr>
        <w:pStyle w:val="ListParagraph"/>
        <w:numPr>
          <w:ilvl w:val="0"/>
          <w:numId w:val="15"/>
        </w:numPr>
        <w:ind w:left="284" w:hanging="284"/>
        <w:contextualSpacing w:val="0"/>
      </w:pPr>
      <w:r>
        <w:t>I</w:t>
      </w:r>
      <w:r w:rsidRPr="009B2CA8">
        <w:t xml:space="preserve">ntroducing </w:t>
      </w:r>
      <w:r w:rsidR="009B2CA8" w:rsidRPr="009B2CA8">
        <w:t xml:space="preserve">initiatives to fast-track some complaints where appropriate; </w:t>
      </w:r>
    </w:p>
    <w:p w14:paraId="2FC77007" w14:textId="6A746997" w:rsidR="009B2CA8" w:rsidRPr="009B2CA8" w:rsidRDefault="0019684E" w:rsidP="003C41A9">
      <w:pPr>
        <w:pStyle w:val="ListParagraph"/>
        <w:numPr>
          <w:ilvl w:val="0"/>
          <w:numId w:val="15"/>
        </w:numPr>
        <w:ind w:left="284" w:hanging="284"/>
        <w:contextualSpacing w:val="0"/>
      </w:pPr>
      <w:r>
        <w:t>M</w:t>
      </w:r>
      <w:r w:rsidRPr="009B2CA8">
        <w:t xml:space="preserve">odifying </w:t>
      </w:r>
      <w:r w:rsidR="009B2CA8" w:rsidRPr="009B2CA8">
        <w:t xml:space="preserve">our ‘front door’ triage process to focus on equity and support early resolution where possible; </w:t>
      </w:r>
    </w:p>
    <w:p w14:paraId="11218CA5" w14:textId="7076E6C2" w:rsidR="009B2CA8" w:rsidRPr="009B2CA8" w:rsidRDefault="0019684E" w:rsidP="003C41A9">
      <w:pPr>
        <w:pStyle w:val="ListParagraph"/>
        <w:numPr>
          <w:ilvl w:val="0"/>
          <w:numId w:val="15"/>
        </w:numPr>
        <w:ind w:left="284" w:hanging="284"/>
        <w:contextualSpacing w:val="0"/>
      </w:pPr>
      <w:r>
        <w:t>I</w:t>
      </w:r>
      <w:r w:rsidRPr="009B2CA8">
        <w:t xml:space="preserve">ntroducing </w:t>
      </w:r>
      <w:r w:rsidR="009B2CA8" w:rsidRPr="009B2CA8">
        <w:t xml:space="preserve">clinical navigator roles to guide people through the complaints process and support early resolution; </w:t>
      </w:r>
    </w:p>
    <w:p w14:paraId="05C25810" w14:textId="2DB091EC" w:rsidR="00FF46B5" w:rsidRDefault="0019684E" w:rsidP="003C41A9">
      <w:pPr>
        <w:pStyle w:val="ListParagraph"/>
        <w:numPr>
          <w:ilvl w:val="0"/>
          <w:numId w:val="15"/>
        </w:numPr>
        <w:ind w:left="284" w:hanging="284"/>
        <w:contextualSpacing w:val="0"/>
      </w:pPr>
      <w:r>
        <w:t>I</w:t>
      </w:r>
      <w:r w:rsidRPr="009B2CA8">
        <w:t xml:space="preserve">ntroducing </w:t>
      </w:r>
      <w:r w:rsidR="009B2CA8" w:rsidRPr="009B2CA8">
        <w:t xml:space="preserve">hui-a-whānau; and </w:t>
      </w:r>
    </w:p>
    <w:p w14:paraId="4F1D5016" w14:textId="52A2E070" w:rsidR="009B2CA8" w:rsidRPr="009B2CA8" w:rsidRDefault="00FF46B5" w:rsidP="003C41A9">
      <w:pPr>
        <w:pStyle w:val="ListParagraph"/>
        <w:numPr>
          <w:ilvl w:val="0"/>
          <w:numId w:val="15"/>
        </w:numPr>
        <w:ind w:left="284" w:hanging="284"/>
      </w:pPr>
      <w:r>
        <w:rPr>
          <w:rFonts w:eastAsia="SourceSansVariable-Roman" w:cs="SourceSansVariable-Roman"/>
        </w:rPr>
        <w:t>M</w:t>
      </w:r>
      <w:r w:rsidRPr="009B2CA8">
        <w:rPr>
          <w:rFonts w:eastAsia="SourceSansVariable-Roman" w:cs="SourceSansVariable-Roman"/>
        </w:rPr>
        <w:t xml:space="preserve">ore </w:t>
      </w:r>
      <w:r w:rsidR="009B2CA8" w:rsidRPr="009B2CA8">
        <w:rPr>
          <w:rFonts w:eastAsia="SourceSansVariable-Roman" w:cs="SourceSansVariable-Roman"/>
        </w:rPr>
        <w:t xml:space="preserve">proactive work with complainants and providers to achieve earlier resolution of more complex complaints.  </w:t>
      </w:r>
    </w:p>
    <w:p w14:paraId="32963409" w14:textId="1B57F384" w:rsidR="009B2CA8" w:rsidRPr="009B2CA8" w:rsidRDefault="002B4A1F" w:rsidP="00AC10F4">
      <w:pPr>
        <w:pStyle w:val="Heading3"/>
      </w:pPr>
      <w:r>
        <w:t xml:space="preserve">Provider </w:t>
      </w:r>
      <w:r w:rsidR="00FF46B5">
        <w:t>a</w:t>
      </w:r>
      <w:r w:rsidR="00FF46B5" w:rsidRPr="009B2CA8">
        <w:t>ccountability</w:t>
      </w:r>
    </w:p>
    <w:p w14:paraId="47570128" w14:textId="124204C0" w:rsidR="009B2CA8" w:rsidRPr="009B2CA8" w:rsidRDefault="009B2CA8" w:rsidP="009B2CA8">
      <w:r w:rsidRPr="009B2CA8">
        <w:t>HDC provides an important mechanism for providers to be held to account for failing to uphold consumers’ rights. HDC may formally investigate a complaint where a provider’s actions appear to be in breach of the Code. Investigations tend to focus on more serious departures from acceptable standards or professional boundaries, public safety concerns</w:t>
      </w:r>
      <w:r w:rsidR="00467D13">
        <w:t>,</w:t>
      </w:r>
      <w:r w:rsidRPr="009B2CA8">
        <w:t xml:space="preserve"> and significant systems or equity issues. </w:t>
      </w:r>
    </w:p>
    <w:p w14:paraId="6FD424BC" w14:textId="77777777" w:rsidR="009B2CA8" w:rsidRPr="009B2CA8" w:rsidRDefault="009B2CA8" w:rsidP="009B2CA8">
      <w:r w:rsidRPr="009B2CA8">
        <w:t>In very serious cases, HDC can refer a provider found in breach of the Code to the Director of Proceedings (an independent statutory role), who will decide whether or not to take legal proceedings against that provider. The Director can lay a disciplinary charge before the Health Practitioners Disciplinary Tribunal or issue proceedings before the Human Rights Review Tribunal, or both.</w:t>
      </w:r>
    </w:p>
    <w:p w14:paraId="38922BE5" w14:textId="39321D42" w:rsidR="009B2CA8" w:rsidRPr="009B2CA8" w:rsidRDefault="009B2CA8" w:rsidP="009B2CA8">
      <w:r w:rsidRPr="009B2CA8">
        <w:t xml:space="preserve">HDC’s accountability functions assist to </w:t>
      </w:r>
      <w:r w:rsidRPr="009B2CA8">
        <w:rPr>
          <w:rFonts w:cs="Calibri"/>
          <w:color w:val="000000"/>
          <w:lang w:eastAsia="en-NZ"/>
        </w:rPr>
        <w:t xml:space="preserve">ensure </w:t>
      </w:r>
      <w:r w:rsidR="00467D13">
        <w:rPr>
          <w:rFonts w:cs="Calibri"/>
          <w:color w:val="000000"/>
          <w:lang w:eastAsia="en-NZ"/>
        </w:rPr>
        <w:t xml:space="preserve">that </w:t>
      </w:r>
      <w:r w:rsidRPr="009B2CA8">
        <w:rPr>
          <w:rFonts w:cs="Calibri"/>
          <w:color w:val="000000"/>
          <w:lang w:eastAsia="en-NZ"/>
        </w:rPr>
        <w:t xml:space="preserve">providers and organisations are held to account where needed, public safety is protected, recurrent behaviour and systemic issues </w:t>
      </w:r>
      <w:r w:rsidR="008522AD">
        <w:rPr>
          <w:rFonts w:cs="Calibri"/>
          <w:color w:val="000000"/>
          <w:lang w:eastAsia="en-NZ"/>
        </w:rPr>
        <w:t xml:space="preserve">are </w:t>
      </w:r>
      <w:r w:rsidRPr="009B2CA8">
        <w:rPr>
          <w:rFonts w:cs="Calibri"/>
          <w:color w:val="000000"/>
          <w:lang w:eastAsia="en-NZ"/>
        </w:rPr>
        <w:t>addressed</w:t>
      </w:r>
      <w:r w:rsidR="00467D13">
        <w:rPr>
          <w:rFonts w:cs="Calibri"/>
          <w:color w:val="000000"/>
          <w:lang w:eastAsia="en-NZ"/>
        </w:rPr>
        <w:t>,</w:t>
      </w:r>
      <w:r w:rsidRPr="009B2CA8">
        <w:rPr>
          <w:rFonts w:cs="Calibri"/>
          <w:color w:val="000000"/>
          <w:lang w:eastAsia="en-NZ"/>
        </w:rPr>
        <w:t xml:space="preserve"> and preventative action is taken</w:t>
      </w:r>
      <w:r w:rsidRPr="009B2CA8">
        <w:t xml:space="preserve"> and public trust strengthened.</w:t>
      </w:r>
    </w:p>
    <w:p w14:paraId="5AAAC3BC" w14:textId="77777777" w:rsidR="009B2CA8" w:rsidRPr="009B2CA8" w:rsidRDefault="009B2CA8" w:rsidP="00942238">
      <w:pPr>
        <w:pStyle w:val="Heading2"/>
        <w:rPr>
          <w:i/>
        </w:rPr>
      </w:pPr>
      <w:bookmarkStart w:id="31" w:name="_Toc101344199"/>
      <w:bookmarkStart w:id="32" w:name="_Toc138852557"/>
      <w:r w:rsidRPr="009B2CA8">
        <w:t xml:space="preserve">2.2 </w:t>
      </w:r>
      <w:r w:rsidRPr="009B2CA8">
        <w:tab/>
      </w:r>
      <w:bookmarkEnd w:id="31"/>
      <w:r w:rsidRPr="009B2CA8">
        <w:t>Promotion and education</w:t>
      </w:r>
      <w:bookmarkEnd w:id="32"/>
      <w:r w:rsidRPr="009B2CA8">
        <w:t xml:space="preserve"> </w:t>
      </w:r>
    </w:p>
    <w:p w14:paraId="6423F171" w14:textId="1DE93525" w:rsidR="009B2CA8" w:rsidRPr="009B2CA8" w:rsidRDefault="009B2CA8" w:rsidP="009B2CA8">
      <w:pPr>
        <w:keepNext/>
      </w:pPr>
      <w:bookmarkStart w:id="33" w:name="_Toc101344200"/>
      <w:r w:rsidRPr="009B2CA8">
        <w:t>HDC’s promotion</w:t>
      </w:r>
      <w:r w:rsidR="00467D13">
        <w:t>al</w:t>
      </w:r>
      <w:r w:rsidRPr="009B2CA8">
        <w:t xml:space="preserve"> and education</w:t>
      </w:r>
      <w:r w:rsidR="00467D13">
        <w:t>al</w:t>
      </w:r>
      <w:r w:rsidRPr="009B2CA8">
        <w:t xml:space="preserve"> initiatives help </w:t>
      </w:r>
      <w:r w:rsidR="00467D13">
        <w:t xml:space="preserve">to </w:t>
      </w:r>
      <w:r w:rsidRPr="009B2CA8">
        <w:t xml:space="preserve">promote and build an understanding of people’s rights and providers’ obligations under the Code. </w:t>
      </w:r>
    </w:p>
    <w:p w14:paraId="51F25657" w14:textId="568F6FB1" w:rsidR="009B2CA8" w:rsidRPr="009B2CA8" w:rsidRDefault="009B2CA8" w:rsidP="009B2CA8">
      <w:r w:rsidRPr="009B2CA8">
        <w:t>We aim to focus our promotion</w:t>
      </w:r>
      <w:r w:rsidR="00467D13">
        <w:t>al</w:t>
      </w:r>
      <w:r w:rsidRPr="009B2CA8">
        <w:t xml:space="preserve"> and education</w:t>
      </w:r>
      <w:r w:rsidR="00467D13">
        <w:t>al</w:t>
      </w:r>
      <w:r w:rsidRPr="009B2CA8">
        <w:t xml:space="preserve"> activities on those communities who experience poor outcomes in the health and disability system, with a particular focus on Māori and tāngata </w:t>
      </w:r>
      <w:proofErr w:type="spellStart"/>
      <w:r w:rsidRPr="009B2CA8">
        <w:t>whaikaha</w:t>
      </w:r>
      <w:proofErr w:type="spellEnd"/>
      <w:r w:rsidRPr="009B2CA8">
        <w:t xml:space="preserve">. </w:t>
      </w:r>
      <w:r w:rsidR="00467D13">
        <w:t>C</w:t>
      </w:r>
      <w:r w:rsidR="00467D13" w:rsidRPr="009B2CA8">
        <w:t xml:space="preserve">urrently </w:t>
      </w:r>
      <w:r w:rsidR="00467D13">
        <w:t>w</w:t>
      </w:r>
      <w:r w:rsidR="00467D13" w:rsidRPr="009B2CA8">
        <w:t xml:space="preserve">e </w:t>
      </w:r>
      <w:r w:rsidRPr="009B2CA8">
        <w:t xml:space="preserve">are working on refreshing our promotional material to ensure </w:t>
      </w:r>
      <w:r w:rsidR="00467D13">
        <w:t>that it is</w:t>
      </w:r>
      <w:r w:rsidRPr="009B2CA8">
        <w:t xml:space="preserve"> fit</w:t>
      </w:r>
      <w:r w:rsidR="00467D13">
        <w:t xml:space="preserve"> </w:t>
      </w:r>
      <w:r w:rsidRPr="009B2CA8">
        <w:t>for</w:t>
      </w:r>
      <w:r w:rsidR="00467D13">
        <w:t xml:space="preserve"> </w:t>
      </w:r>
      <w:r w:rsidRPr="009B2CA8">
        <w:t>purpose, culturally appropriate</w:t>
      </w:r>
      <w:r w:rsidR="00467D13">
        <w:t>,</w:t>
      </w:r>
      <w:r w:rsidRPr="009B2CA8">
        <w:t xml:space="preserve"> and accessible. We are also developing an online education resource for consumers to raise awareness of rights and how to exercise them. This resource is being developed in consultation with consumers.</w:t>
      </w:r>
    </w:p>
    <w:p w14:paraId="58E71CB9" w14:textId="783C4FCC" w:rsidR="009B2CA8" w:rsidRPr="009B2CA8" w:rsidRDefault="009B2CA8" w:rsidP="009B2CA8">
      <w:pPr>
        <w:keepNext/>
      </w:pPr>
      <w:r w:rsidRPr="009B2CA8">
        <w:t>HDC is also focused on raising providers’ awareness of their obligations under the Code and how to apply the Code in their day-to-day practice. In addition, we aim to increase providers’ capability to resolve complaints directly with the complainant in order to facilitate local and early resolution. Our online education modules for providers on the Code, informed consent</w:t>
      </w:r>
      <w:r w:rsidR="00467D13">
        <w:t>,</w:t>
      </w:r>
      <w:r w:rsidRPr="009B2CA8">
        <w:t xml:space="preserve"> and </w:t>
      </w:r>
      <w:r w:rsidRPr="009B2CA8">
        <w:lastRenderedPageBreak/>
        <w:t xml:space="preserve">managing complaints, which were introduced in November 2022, have currently been accessed by </w:t>
      </w:r>
      <w:r w:rsidRPr="002B144F">
        <w:t xml:space="preserve">over </w:t>
      </w:r>
      <w:r w:rsidR="002B144F" w:rsidRPr="002B144F">
        <w:t>3,400</w:t>
      </w:r>
      <w:r w:rsidRPr="009B2CA8">
        <w:t xml:space="preserve"> providers. </w:t>
      </w:r>
    </w:p>
    <w:p w14:paraId="3545CC3C" w14:textId="06D53A33" w:rsidR="009B2CA8" w:rsidRPr="009B2CA8" w:rsidRDefault="009B2CA8" w:rsidP="009B2CA8">
      <w:r w:rsidRPr="009B2CA8">
        <w:t>HDC also funds the Advocacy Service to promote the Code through community</w:t>
      </w:r>
      <w:r w:rsidR="00467D13">
        <w:t>-</w:t>
      </w:r>
      <w:r w:rsidRPr="009B2CA8">
        <w:t>level education</w:t>
      </w:r>
      <w:r w:rsidR="00467D13">
        <w:t>al</w:t>
      </w:r>
      <w:r w:rsidRPr="009B2CA8">
        <w:t xml:space="preserve"> initiatives. Advocates focus on the most marginalised communities, and services that support people who may be least able to self-advocate and whose welfare may be most at risk, such as those residing in aged care and disability residential facilities. </w:t>
      </w:r>
    </w:p>
    <w:p w14:paraId="51B8EA45" w14:textId="77777777" w:rsidR="009B2CA8" w:rsidRPr="009B2CA8" w:rsidRDefault="009B2CA8" w:rsidP="00942238">
      <w:pPr>
        <w:pStyle w:val="Heading2"/>
        <w:rPr>
          <w:i/>
        </w:rPr>
      </w:pPr>
      <w:bookmarkStart w:id="34" w:name="_Toc138852558"/>
      <w:r w:rsidRPr="009B2CA8">
        <w:t xml:space="preserve">2.3 </w:t>
      </w:r>
      <w:r w:rsidRPr="009B2CA8">
        <w:tab/>
        <w:t>System monitoring and impact</w:t>
      </w:r>
      <w:bookmarkEnd w:id="34"/>
      <w:r w:rsidRPr="009B2CA8">
        <w:t xml:space="preserve"> </w:t>
      </w:r>
    </w:p>
    <w:p w14:paraId="3E00360E" w14:textId="58F58836" w:rsidR="009B2CA8" w:rsidRPr="009B2CA8" w:rsidRDefault="009B2CA8" w:rsidP="009B2CA8">
      <w:r w:rsidRPr="005646E8">
        <w:t>HDC closely monitors</w:t>
      </w:r>
      <w:r w:rsidRPr="009B2CA8">
        <w:t xml:space="preserve"> the trends that emerge across complaints and aims to take a timely, collaborative approach to raising issues of systemic concern. HDC works closely with sector leaders and other agencies who have an interest in quality and safety</w:t>
      </w:r>
      <w:r w:rsidR="00467D13">
        <w:t>,</w:t>
      </w:r>
      <w:r w:rsidRPr="009B2CA8">
        <w:t xml:space="preserve"> to share intelligence, amplify the consumer voice</w:t>
      </w:r>
      <w:r w:rsidR="00467D13">
        <w:t>,</w:t>
      </w:r>
      <w:r w:rsidRPr="009B2CA8">
        <w:t xml:space="preserve"> and ensure </w:t>
      </w:r>
      <w:r w:rsidR="00467D13">
        <w:t xml:space="preserve">that </w:t>
      </w:r>
      <w:r w:rsidRPr="009B2CA8">
        <w:t xml:space="preserve">timely action is taken on public safety concerns and, where appropriate, take a multi-agency approach to areas of shared concern. HDC also uses the insights gained from complaints to influence legislation, policies and practice, including through submissions and strategic engagement. Our public statements and published decisions serve to highlight areas of concern and share learnings from complaints. </w:t>
      </w:r>
    </w:p>
    <w:p w14:paraId="29267A86" w14:textId="77777777" w:rsidR="009B2CA8" w:rsidRPr="009B2CA8" w:rsidRDefault="009B2CA8" w:rsidP="00170D25">
      <w:r w:rsidRPr="009B2CA8">
        <w:t xml:space="preserve">HDC has made a number of improvements to our data collection methods, allowing us to report on equity issues more comprehensively, including Māori experience of care and the experience of tāngata </w:t>
      </w:r>
      <w:proofErr w:type="spellStart"/>
      <w:r w:rsidRPr="009B2CA8">
        <w:t>whaikaha</w:t>
      </w:r>
      <w:proofErr w:type="spellEnd"/>
      <w:r w:rsidRPr="009B2CA8">
        <w:t xml:space="preserve"> in the health and disability system.</w:t>
      </w:r>
    </w:p>
    <w:p w14:paraId="44372C70" w14:textId="77777777" w:rsidR="009B2CA8" w:rsidRPr="009B2CA8" w:rsidRDefault="009B2CA8" w:rsidP="009B2CA8">
      <w:r w:rsidRPr="009B2CA8">
        <w:t>HDC also makes around 400 quality improvement recommendations in relation to individual complaints each year. HDC’s recommendations have a high compliance rate, with around 98% complied with. HDC has been focused on further improving our recommendations to ensure that they remain effective for improving quality and safety.</w:t>
      </w:r>
    </w:p>
    <w:p w14:paraId="13B0A2A7" w14:textId="77777777" w:rsidR="009B2CA8" w:rsidRPr="009B2CA8" w:rsidRDefault="009B2CA8" w:rsidP="00170D25">
      <w:pPr>
        <w:keepNext/>
        <w:tabs>
          <w:tab w:val="left" w:pos="-720"/>
          <w:tab w:val="left" w:pos="0"/>
          <w:tab w:val="left" w:pos="720"/>
          <w:tab w:val="left" w:pos="1440"/>
          <w:tab w:val="left" w:pos="2160"/>
          <w:tab w:val="left" w:pos="2880"/>
          <w:tab w:val="left" w:pos="3600"/>
          <w:tab w:val="left" w:pos="4320"/>
        </w:tabs>
        <w:rPr>
          <w:rFonts w:cs="Helv"/>
          <w:color w:val="000000"/>
        </w:rPr>
      </w:pPr>
      <w:r w:rsidRPr="009B2CA8">
        <w:rPr>
          <w:rFonts w:cs="Helv"/>
          <w:color w:val="000000"/>
        </w:rPr>
        <w:t>Currently we are scoping a review of the Act and Code, with a view to consulting publicly at the end of this year and making recommendations to the Minister of Health at the end of 2024. This will be an opportunity to ensure that the Act and Code remain fit for purpose in the new health and disability landscape, and continue to be effective mechanisms for the promotion and protection of the rights of all people using health and disability services.</w:t>
      </w:r>
    </w:p>
    <w:p w14:paraId="4B646FDB" w14:textId="77777777" w:rsidR="009B2CA8" w:rsidRPr="009B2CA8" w:rsidRDefault="009B2CA8" w:rsidP="00942238">
      <w:pPr>
        <w:pStyle w:val="Heading2"/>
        <w:rPr>
          <w:i/>
        </w:rPr>
      </w:pPr>
      <w:bookmarkStart w:id="35" w:name="_Toc138852559"/>
      <w:r w:rsidRPr="009B2CA8">
        <w:t>2.4</w:t>
      </w:r>
      <w:r w:rsidRPr="009B2CA8">
        <w:rPr>
          <w:i/>
        </w:rPr>
        <w:t xml:space="preserve"> </w:t>
      </w:r>
      <w:r w:rsidRPr="009B2CA8">
        <w:rPr>
          <w:i/>
        </w:rPr>
        <w:tab/>
      </w:r>
      <w:bookmarkEnd w:id="33"/>
      <w:r w:rsidRPr="009B2CA8">
        <w:t>Focus populations</w:t>
      </w:r>
      <w:bookmarkEnd w:id="35"/>
    </w:p>
    <w:p w14:paraId="67240763" w14:textId="77777777" w:rsidR="009B2CA8" w:rsidRPr="009B2CA8" w:rsidRDefault="009B2CA8" w:rsidP="009B2CA8">
      <w:r w:rsidRPr="009B2CA8">
        <w:t xml:space="preserve">HDC has a focus on those populations who experience poor health outcomes and who are particularly reliant on the care they are receiving. Noting our commitment to our responsibilities under Te Tiriti, our focus on equity, as well as our statutory obligations, we have placed particular focus on Māori, tāngata </w:t>
      </w:r>
      <w:proofErr w:type="spellStart"/>
      <w:r w:rsidRPr="009B2CA8">
        <w:t>whaikaha</w:t>
      </w:r>
      <w:proofErr w:type="spellEnd"/>
      <w:r w:rsidRPr="009B2CA8">
        <w:t xml:space="preserve"> (disabled people) and older people. </w:t>
      </w:r>
    </w:p>
    <w:p w14:paraId="6C3C5134" w14:textId="77777777" w:rsidR="009B2CA8" w:rsidRPr="009B2CA8" w:rsidRDefault="009B2CA8" w:rsidP="00AC10F4">
      <w:pPr>
        <w:pStyle w:val="Heading3"/>
        <w:rPr>
          <w:lang w:val="mi-NZ"/>
        </w:rPr>
      </w:pPr>
      <w:r w:rsidRPr="009B2CA8">
        <w:t>M</w:t>
      </w:r>
      <w:r w:rsidRPr="009B2CA8">
        <w:rPr>
          <w:lang w:val="mi-NZ"/>
        </w:rPr>
        <w:t xml:space="preserve">āori </w:t>
      </w:r>
    </w:p>
    <w:p w14:paraId="61043BD6" w14:textId="77777777" w:rsidR="009B2CA8" w:rsidRPr="009B2CA8" w:rsidRDefault="009B2CA8" w:rsidP="009B2CA8">
      <w:r w:rsidRPr="009B2CA8">
        <w:t xml:space="preserve">HDC has employed dedicated resource to assist us in meeting our responsibilities under Te Tiriti. Our </w:t>
      </w:r>
      <w:proofErr w:type="spellStart"/>
      <w:r w:rsidRPr="009B2CA8">
        <w:t>Kaitohu</w:t>
      </w:r>
      <w:proofErr w:type="spellEnd"/>
      <w:r w:rsidRPr="009B2CA8">
        <w:t xml:space="preserve"> </w:t>
      </w:r>
      <w:proofErr w:type="spellStart"/>
      <w:r w:rsidRPr="009B2CA8">
        <w:t>Mātāmua</w:t>
      </w:r>
      <w:proofErr w:type="spellEnd"/>
      <w:r w:rsidRPr="009B2CA8">
        <w:t xml:space="preserve"> Māori sits on HDC’s leadership team and, together with a cultural team, has been focused on improving our internal capability and strengthening our ability to recognise and respond effectively to Māori complainants and complaints with a cultural dimension. HDC’s cultural team supports effective engagement with Māori communities, including partnering with communities to increase their understanding of the Code and avenues for complaint. </w:t>
      </w:r>
    </w:p>
    <w:p w14:paraId="7A787BFF" w14:textId="0C830808" w:rsidR="009B2CA8" w:rsidRPr="009B2CA8" w:rsidRDefault="009B2CA8" w:rsidP="009B2CA8">
      <w:r w:rsidRPr="009B2CA8">
        <w:lastRenderedPageBreak/>
        <w:t xml:space="preserve">Supported by our </w:t>
      </w:r>
      <w:proofErr w:type="spellStart"/>
      <w:r w:rsidRPr="009B2CA8">
        <w:t>Kaitohu</w:t>
      </w:r>
      <w:proofErr w:type="spellEnd"/>
      <w:r w:rsidRPr="009B2CA8">
        <w:t xml:space="preserve"> </w:t>
      </w:r>
      <w:proofErr w:type="spellStart"/>
      <w:r w:rsidRPr="009B2CA8">
        <w:t>M</w:t>
      </w:r>
      <w:r w:rsidR="00BA151C">
        <w:t>ā</w:t>
      </w:r>
      <w:r w:rsidRPr="009B2CA8">
        <w:t>t</w:t>
      </w:r>
      <w:r w:rsidR="00BA151C">
        <w:t>ā</w:t>
      </w:r>
      <w:r w:rsidRPr="009B2CA8">
        <w:t>mua</w:t>
      </w:r>
      <w:proofErr w:type="spellEnd"/>
      <w:r w:rsidRPr="009B2CA8">
        <w:t xml:space="preserve"> Māori, HDC has introduced a number of initiatives to improve the cultural responsiveness of our process, including:</w:t>
      </w:r>
    </w:p>
    <w:p w14:paraId="7B39DE1E" w14:textId="2692FD1E" w:rsidR="009B2CA8" w:rsidRPr="009B2CA8" w:rsidRDefault="009B2CA8" w:rsidP="003C41A9">
      <w:pPr>
        <w:pStyle w:val="ListParagraph"/>
        <w:numPr>
          <w:ilvl w:val="0"/>
          <w:numId w:val="14"/>
        </w:numPr>
        <w:autoSpaceDE/>
        <w:autoSpaceDN/>
        <w:adjustRightInd/>
        <w:spacing w:after="0"/>
        <w:ind w:left="284" w:hanging="284"/>
      </w:pPr>
      <w:r w:rsidRPr="009B2CA8">
        <w:t>Inclusion of cultural advice as a routine part of our triaging of complaints</w:t>
      </w:r>
      <w:r w:rsidR="00BA151C">
        <w:t>;</w:t>
      </w:r>
    </w:p>
    <w:p w14:paraId="760B2818" w14:textId="1425A3E7" w:rsidR="009B2CA8" w:rsidRPr="009B2CA8" w:rsidRDefault="009B2CA8" w:rsidP="003C41A9">
      <w:pPr>
        <w:pStyle w:val="Default"/>
        <w:numPr>
          <w:ilvl w:val="0"/>
          <w:numId w:val="14"/>
        </w:numPr>
        <w:ind w:left="284" w:hanging="284"/>
        <w:rPr>
          <w:rFonts w:asciiTheme="minorHAnsi" w:hAnsiTheme="minorHAnsi"/>
        </w:rPr>
      </w:pPr>
      <w:r w:rsidRPr="009B2CA8">
        <w:rPr>
          <w:rFonts w:asciiTheme="minorHAnsi" w:hAnsiTheme="minorHAnsi"/>
        </w:rPr>
        <w:t>Refreshing our triage process to have an enhanced focus on equity when considering complaint pathways or resolution options</w:t>
      </w:r>
      <w:r w:rsidR="00BA151C">
        <w:rPr>
          <w:rFonts w:asciiTheme="minorHAnsi" w:hAnsiTheme="minorHAnsi"/>
        </w:rPr>
        <w:t>;</w:t>
      </w:r>
    </w:p>
    <w:p w14:paraId="250E2305" w14:textId="0E05D5E5" w:rsidR="009B2CA8" w:rsidRPr="009B2CA8" w:rsidRDefault="009B2CA8" w:rsidP="003C41A9">
      <w:pPr>
        <w:pStyle w:val="ListParagraph"/>
        <w:numPr>
          <w:ilvl w:val="0"/>
          <w:numId w:val="14"/>
        </w:numPr>
        <w:autoSpaceDE/>
        <w:autoSpaceDN/>
        <w:adjustRightInd/>
        <w:spacing w:after="200"/>
        <w:ind w:left="284" w:hanging="284"/>
      </w:pPr>
      <w:r w:rsidRPr="009B2CA8">
        <w:t>Introduction of an option for people who would like cultural support with their complaint</w:t>
      </w:r>
      <w:r w:rsidR="00BA151C">
        <w:t>; and</w:t>
      </w:r>
    </w:p>
    <w:p w14:paraId="2A624BDD" w14:textId="1D131F81" w:rsidR="009B2CA8" w:rsidRPr="009B2CA8" w:rsidRDefault="009B2CA8" w:rsidP="003C41A9">
      <w:pPr>
        <w:pStyle w:val="ListParagraph"/>
        <w:numPr>
          <w:ilvl w:val="0"/>
          <w:numId w:val="14"/>
        </w:numPr>
        <w:autoSpaceDE/>
        <w:autoSpaceDN/>
        <w:adjustRightInd/>
        <w:spacing w:after="200"/>
        <w:ind w:left="284" w:hanging="284"/>
      </w:pPr>
      <w:r w:rsidRPr="009B2CA8">
        <w:t xml:space="preserve">Introduction of </w:t>
      </w:r>
      <w:r w:rsidR="00BA151C">
        <w:t xml:space="preserve">a </w:t>
      </w:r>
      <w:r w:rsidRPr="009B2CA8">
        <w:t xml:space="preserve">hui-a-whānau option for Māori consumers and their </w:t>
      </w:r>
      <w:proofErr w:type="spellStart"/>
      <w:r w:rsidRPr="009B2CA8">
        <w:t>wh</w:t>
      </w:r>
      <w:proofErr w:type="spellEnd"/>
      <w:r w:rsidRPr="009B2CA8">
        <w:rPr>
          <w:lang w:val="mi-NZ"/>
        </w:rPr>
        <w:t>ā</w:t>
      </w:r>
      <w:proofErr w:type="spellStart"/>
      <w:r w:rsidRPr="009B2CA8">
        <w:t>nau</w:t>
      </w:r>
      <w:proofErr w:type="spellEnd"/>
      <w:r w:rsidR="00BA151C">
        <w:t>.</w:t>
      </w:r>
    </w:p>
    <w:p w14:paraId="180516FC" w14:textId="77777777" w:rsidR="009B2CA8" w:rsidRPr="009B2CA8" w:rsidRDefault="009B2CA8" w:rsidP="00AC10F4">
      <w:pPr>
        <w:pStyle w:val="Heading3"/>
      </w:pPr>
      <w:r w:rsidRPr="009B2CA8">
        <w:t xml:space="preserve">Tāngata </w:t>
      </w:r>
      <w:proofErr w:type="spellStart"/>
      <w:r w:rsidRPr="009B2CA8">
        <w:t>whaikaha</w:t>
      </w:r>
      <w:proofErr w:type="spellEnd"/>
      <w:r w:rsidRPr="009B2CA8">
        <w:t xml:space="preserve"> (disabled people)</w:t>
      </w:r>
    </w:p>
    <w:p w14:paraId="164F6FC8" w14:textId="166FB93E" w:rsidR="009B2CA8" w:rsidRPr="009B2CA8" w:rsidRDefault="009B2CA8" w:rsidP="009B2CA8">
      <w:r w:rsidRPr="005646E8">
        <w:t>HDC has a key role</w:t>
      </w:r>
      <w:r w:rsidRPr="009B2CA8">
        <w:t xml:space="preserve"> to play in protecting the rights of tāngata </w:t>
      </w:r>
      <w:proofErr w:type="spellStart"/>
      <w:r w:rsidRPr="009B2CA8">
        <w:t>whaikaha</w:t>
      </w:r>
      <w:proofErr w:type="spellEnd"/>
      <w:r w:rsidRPr="009B2CA8">
        <w:t xml:space="preserve">. The Deputy Commissioner, Disability has a particular focus on the rights of tāngata </w:t>
      </w:r>
      <w:proofErr w:type="spellStart"/>
      <w:r w:rsidRPr="009B2CA8">
        <w:t>whaikaha</w:t>
      </w:r>
      <w:proofErr w:type="spellEnd"/>
      <w:r w:rsidRPr="009B2CA8">
        <w:t xml:space="preserve"> when using health and disability services. The goal is to ensure that the health and disability system is improved to better meet the needs of tāngata </w:t>
      </w:r>
      <w:proofErr w:type="spellStart"/>
      <w:r w:rsidRPr="009B2CA8">
        <w:t>whaikaha</w:t>
      </w:r>
      <w:proofErr w:type="spellEnd"/>
      <w:r w:rsidRPr="009B2CA8">
        <w:t>, now and into the future</w:t>
      </w:r>
      <w:r w:rsidR="00BA151C">
        <w:t>,</w:t>
      </w:r>
      <w:r w:rsidRPr="009B2CA8">
        <w:t xml:space="preserve"> with a strong focus on equity and a ‘nothing about us without us’ approach.</w:t>
      </w:r>
    </w:p>
    <w:p w14:paraId="008001E9" w14:textId="36552F70" w:rsidR="009B2CA8" w:rsidRPr="009B2CA8" w:rsidRDefault="009B2CA8" w:rsidP="009B2CA8">
      <w:r w:rsidRPr="009B2CA8">
        <w:t xml:space="preserve">HDC will focus on working with tāngata </w:t>
      </w:r>
      <w:proofErr w:type="spellStart"/>
      <w:r w:rsidRPr="009B2CA8">
        <w:t>whaikaha</w:t>
      </w:r>
      <w:proofErr w:type="spellEnd"/>
      <w:r w:rsidRPr="009B2CA8">
        <w:t xml:space="preserve"> to improve HDC processes, so that tāngata </w:t>
      </w:r>
      <w:proofErr w:type="spellStart"/>
      <w:r w:rsidRPr="009B2CA8">
        <w:t>whaikaha</w:t>
      </w:r>
      <w:proofErr w:type="spellEnd"/>
      <w:r w:rsidRPr="009B2CA8">
        <w:t xml:space="preserve"> are knowledgeable about their rights and are empowered to raise their voices</w:t>
      </w:r>
      <w:r w:rsidR="00BA151C">
        <w:t>,</w:t>
      </w:r>
      <w:r w:rsidRPr="009B2CA8">
        <w:t xml:space="preserve"> and barriers for engagement with HDC are reduced.</w:t>
      </w:r>
    </w:p>
    <w:p w14:paraId="49D5E83D" w14:textId="22BB50BF" w:rsidR="009B2CA8" w:rsidRPr="009B2CA8" w:rsidRDefault="009B2CA8" w:rsidP="0088604E">
      <w:r w:rsidRPr="009B2CA8">
        <w:t xml:space="preserve">HDC has been working on improving our data collection to allow us to better analyse and report on the experience of tāngata </w:t>
      </w:r>
      <w:proofErr w:type="spellStart"/>
      <w:r w:rsidRPr="009B2CA8">
        <w:t>whaikaha</w:t>
      </w:r>
      <w:proofErr w:type="spellEnd"/>
      <w:r w:rsidRPr="009B2CA8">
        <w:t xml:space="preserve"> in the health and disability system. </w:t>
      </w:r>
      <w:r w:rsidR="00BA151C">
        <w:t>C</w:t>
      </w:r>
      <w:r w:rsidR="00BA151C" w:rsidRPr="009B2CA8">
        <w:t xml:space="preserve">urrently HDC is </w:t>
      </w:r>
      <w:r w:rsidRPr="009B2CA8">
        <w:t xml:space="preserve">developing a monitoring framework to assess the performance of the health and disability sector in regard to upholding the rights of tāngata </w:t>
      </w:r>
      <w:proofErr w:type="spellStart"/>
      <w:r w:rsidRPr="009B2CA8">
        <w:t>whaikaha</w:t>
      </w:r>
      <w:proofErr w:type="spellEnd"/>
      <w:r w:rsidR="00BA151C">
        <w:t>.</w:t>
      </w:r>
    </w:p>
    <w:p w14:paraId="2E3B4687" w14:textId="1467CBD4" w:rsidR="009B2CA8" w:rsidRPr="009B2CA8" w:rsidRDefault="009B2CA8" w:rsidP="009B2CA8">
      <w:r w:rsidRPr="009B2CA8">
        <w:t xml:space="preserve">The Deputy Commissioner, Disability also liaises closely with </w:t>
      </w:r>
      <w:proofErr w:type="spellStart"/>
      <w:r w:rsidRPr="009B2CA8">
        <w:t>Whaikaha</w:t>
      </w:r>
      <w:proofErr w:type="spellEnd"/>
      <w:r w:rsidRPr="009B2CA8">
        <w:t xml:space="preserve"> (Ministry of Disabled People) to share information in circumstances where there is a risk to the immediate safety and wellbeing of disabled people</w:t>
      </w:r>
      <w:r w:rsidR="00BA151C">
        <w:t>,</w:t>
      </w:r>
      <w:r w:rsidRPr="009B2CA8">
        <w:t xml:space="preserve"> and where there is an opportunity to take a timely, collaborative approach to systemic concerns within the disability sector. </w:t>
      </w:r>
    </w:p>
    <w:p w14:paraId="330D6A3B" w14:textId="77777777" w:rsidR="009B2CA8" w:rsidRPr="009B2CA8" w:rsidRDefault="009B2CA8" w:rsidP="00AC10F4">
      <w:pPr>
        <w:pStyle w:val="Heading3"/>
      </w:pPr>
      <w:r w:rsidRPr="009B2CA8">
        <w:t>Older people</w:t>
      </w:r>
    </w:p>
    <w:p w14:paraId="24B13453" w14:textId="5EF18148" w:rsidR="009B2CA8" w:rsidRPr="009B2CA8" w:rsidRDefault="009B2CA8" w:rsidP="009B2CA8">
      <w:pPr>
        <w:rPr>
          <w:rFonts w:eastAsiaTheme="minorHAnsi" w:cs="Helv"/>
          <w:bCs w:val="0"/>
          <w:u w:val="single"/>
          <w:lang w:val="mi-NZ"/>
        </w:rPr>
      </w:pPr>
      <w:r w:rsidRPr="009B2CA8">
        <w:t xml:space="preserve">The Aged Care Commissioner </w:t>
      </w:r>
      <w:r w:rsidR="00733254">
        <w:t xml:space="preserve">provides advocacy </w:t>
      </w:r>
      <w:r w:rsidRPr="009B2CA8">
        <w:t xml:space="preserve">for better </w:t>
      </w:r>
      <w:r w:rsidR="00733254">
        <w:t xml:space="preserve">health and disability </w:t>
      </w:r>
      <w:r w:rsidRPr="009B2CA8">
        <w:t xml:space="preserve">services on behalf of older people and their whānau and provides strategic oversight and stronger sector leadership to drive quality improvement </w:t>
      </w:r>
      <w:r w:rsidR="00733254">
        <w:t>across the continuum of care.</w:t>
      </w:r>
      <w:r w:rsidRPr="009B2CA8">
        <w:t xml:space="preserve"> </w:t>
      </w:r>
    </w:p>
    <w:p w14:paraId="3D31144B" w14:textId="38B4989A" w:rsidR="009B2CA8" w:rsidRPr="009B2CA8" w:rsidRDefault="009B2CA8" w:rsidP="009B2CA8">
      <w:pPr>
        <w:keepNext/>
      </w:pPr>
      <w:r w:rsidRPr="009B2CA8">
        <w:t xml:space="preserve">The Aged Care Commissioner monitors the responsiveness of the health and disability system to meet the needs of older people, with a particular focus on Māori and promoting the principles of Te Tiriti. To support this, she is focused on establishing effective relationships and meaningful engagement with stakeholders and monitoring and reporting on the performance of the sector. </w:t>
      </w:r>
    </w:p>
    <w:p w14:paraId="41F24587" w14:textId="77777777" w:rsidR="009247DC" w:rsidRPr="009B2CA8" w:rsidRDefault="009247DC" w:rsidP="009247DC">
      <w:pPr>
        <w:rPr>
          <w:lang w:val="en-GB"/>
        </w:rPr>
        <w:sectPr w:rsidR="009247DC" w:rsidRPr="009B2CA8" w:rsidSect="009247DC">
          <w:footerReference w:type="even" r:id="rId25"/>
          <w:footerReference w:type="default" r:id="rId26"/>
          <w:pgSz w:w="11906" w:h="16838" w:code="9"/>
          <w:pgMar w:top="1276" w:right="1276" w:bottom="1276" w:left="1276" w:header="720" w:footer="720" w:gutter="0"/>
          <w:cols w:space="720"/>
          <w:docGrid w:linePitch="326"/>
        </w:sectPr>
      </w:pPr>
    </w:p>
    <w:p w14:paraId="1F215804" w14:textId="77777777" w:rsidR="00025898" w:rsidRPr="009B2CA8" w:rsidRDefault="00025898" w:rsidP="00B957BE">
      <w:pPr>
        <w:pStyle w:val="Heading1"/>
      </w:pPr>
      <w:bookmarkStart w:id="36" w:name="_Toc138852560"/>
      <w:r w:rsidRPr="009B2CA8">
        <w:lastRenderedPageBreak/>
        <w:t xml:space="preserve">3.0 </w:t>
      </w:r>
      <w:r w:rsidRPr="009B2CA8">
        <w:tab/>
        <w:t>Annual Information</w:t>
      </w:r>
      <w:bookmarkEnd w:id="36"/>
    </w:p>
    <w:p w14:paraId="5D3A6153" w14:textId="77777777" w:rsidR="00025898" w:rsidRPr="009B2CA8" w:rsidRDefault="00025898" w:rsidP="00942238">
      <w:pPr>
        <w:pStyle w:val="Heading2"/>
        <w:rPr>
          <w:i/>
        </w:rPr>
      </w:pPr>
      <w:bookmarkStart w:id="37" w:name="_Toc410312202"/>
      <w:bookmarkStart w:id="38" w:name="_Toc138852561"/>
      <w:r w:rsidRPr="009B2CA8">
        <w:t xml:space="preserve">3.1 </w:t>
      </w:r>
      <w:r w:rsidRPr="009B2CA8">
        <w:tab/>
        <w:t>Statement of Forecast Service Performance</w:t>
      </w:r>
      <w:bookmarkEnd w:id="37"/>
      <w:bookmarkEnd w:id="38"/>
      <w:r w:rsidRPr="009B2CA8">
        <w:t xml:space="preserve"> </w:t>
      </w:r>
    </w:p>
    <w:bookmarkEnd w:id="0"/>
    <w:bookmarkEnd w:id="1"/>
    <w:p w14:paraId="79CE7801" w14:textId="658C92F0" w:rsidR="000F00CE" w:rsidRPr="009B2CA8" w:rsidRDefault="000F00CE" w:rsidP="0088604E">
      <w:pPr>
        <w:snapToGrid w:val="0"/>
        <w:jc w:val="left"/>
      </w:pPr>
      <w:r w:rsidRPr="009B2CA8">
        <w:t xml:space="preserve">HDC has </w:t>
      </w:r>
      <w:r w:rsidRPr="009B2CA8">
        <w:rPr>
          <w:b/>
        </w:rPr>
        <w:t>five strategic priorities</w:t>
      </w:r>
      <w:r w:rsidRPr="009B2CA8">
        <w:t>, which outline the impact we seek to make while delivering on our purpose of promoting and protecting the rights of health and disability services consumers:</w:t>
      </w:r>
    </w:p>
    <w:p w14:paraId="38BAE7AC" w14:textId="4BFFFE82" w:rsidR="000F00CE" w:rsidRPr="009B2CA8" w:rsidRDefault="000F00CE" w:rsidP="003C41A9">
      <w:pPr>
        <w:pStyle w:val="ListParagraph"/>
        <w:numPr>
          <w:ilvl w:val="0"/>
          <w:numId w:val="8"/>
        </w:numPr>
        <w:autoSpaceDE/>
        <w:autoSpaceDN/>
        <w:adjustRightInd/>
        <w:spacing w:after="200" w:line="276" w:lineRule="auto"/>
      </w:pPr>
      <w:r w:rsidRPr="009B2CA8">
        <w:t>Being a culturally safe organisation</w:t>
      </w:r>
      <w:r w:rsidR="009224D3">
        <w:t>;</w:t>
      </w:r>
      <w:r w:rsidRPr="009B2CA8">
        <w:t xml:space="preserve"> </w:t>
      </w:r>
    </w:p>
    <w:p w14:paraId="3F669ABC" w14:textId="2CC303A4" w:rsidR="000F00CE" w:rsidRPr="009B2CA8" w:rsidRDefault="000F00CE" w:rsidP="003C41A9">
      <w:pPr>
        <w:pStyle w:val="ListParagraph"/>
        <w:numPr>
          <w:ilvl w:val="0"/>
          <w:numId w:val="8"/>
        </w:numPr>
        <w:autoSpaceDE/>
        <w:autoSpaceDN/>
        <w:adjustRightInd/>
        <w:spacing w:after="200" w:line="276" w:lineRule="auto"/>
      </w:pPr>
      <w:r w:rsidRPr="009B2CA8">
        <w:t>Having a timely, people-centred complaints process</w:t>
      </w:r>
      <w:r w:rsidR="009224D3">
        <w:t>;</w:t>
      </w:r>
    </w:p>
    <w:p w14:paraId="5E4AE3AE" w14:textId="0FA0FD72" w:rsidR="000F00CE" w:rsidRPr="009B2CA8" w:rsidRDefault="0048464B" w:rsidP="003C41A9">
      <w:pPr>
        <w:pStyle w:val="ListParagraph"/>
        <w:numPr>
          <w:ilvl w:val="0"/>
          <w:numId w:val="8"/>
        </w:numPr>
        <w:autoSpaceDE/>
        <w:autoSpaceDN/>
        <w:adjustRightInd/>
        <w:spacing w:after="200" w:line="276" w:lineRule="auto"/>
      </w:pPr>
      <w:r w:rsidRPr="009B2CA8">
        <w:t>Focusing on rights promotion</w:t>
      </w:r>
      <w:r w:rsidR="009224D3">
        <w:t>;</w:t>
      </w:r>
    </w:p>
    <w:p w14:paraId="7A0D6BB0" w14:textId="16DC0C71" w:rsidR="000F00CE" w:rsidRPr="009B2CA8" w:rsidRDefault="000F00CE" w:rsidP="003C41A9">
      <w:pPr>
        <w:pStyle w:val="ListParagraph"/>
        <w:numPr>
          <w:ilvl w:val="0"/>
          <w:numId w:val="8"/>
        </w:numPr>
        <w:autoSpaceDE/>
        <w:autoSpaceDN/>
        <w:adjustRightInd/>
        <w:spacing w:after="200" w:line="276" w:lineRule="auto"/>
      </w:pPr>
      <w:r w:rsidRPr="009B2CA8">
        <w:t>Demon</w:t>
      </w:r>
      <w:r w:rsidR="0048464B" w:rsidRPr="009B2CA8">
        <w:t>strating tangible system impact</w:t>
      </w:r>
      <w:r w:rsidR="009224D3">
        <w:t>; and</w:t>
      </w:r>
    </w:p>
    <w:p w14:paraId="6FE94B33" w14:textId="70B7C1E0" w:rsidR="000F00CE" w:rsidRPr="009B2CA8" w:rsidRDefault="000F00CE" w:rsidP="003C41A9">
      <w:pPr>
        <w:pStyle w:val="ListParagraph"/>
        <w:numPr>
          <w:ilvl w:val="0"/>
          <w:numId w:val="8"/>
        </w:numPr>
        <w:autoSpaceDE/>
        <w:autoSpaceDN/>
        <w:adjustRightInd/>
        <w:spacing w:after="200" w:line="276" w:lineRule="auto"/>
      </w:pPr>
      <w:r w:rsidRPr="009B2CA8">
        <w:t>Respondin</w:t>
      </w:r>
      <w:r w:rsidR="0048464B" w:rsidRPr="009B2CA8">
        <w:t>g sustainably to growing demand</w:t>
      </w:r>
      <w:r w:rsidR="009224D3">
        <w:t>.</w:t>
      </w:r>
    </w:p>
    <w:p w14:paraId="20F90B63" w14:textId="4BAA1042" w:rsidR="000F00CE" w:rsidRPr="009B2CA8" w:rsidRDefault="000F00CE" w:rsidP="00170D25">
      <w:pPr>
        <w:autoSpaceDE/>
        <w:autoSpaceDN/>
        <w:adjustRightInd/>
      </w:pPr>
      <w:r w:rsidRPr="009B2CA8">
        <w:t xml:space="preserve">The services provided under the Health and Disability Commissioner Act 1994 are complaints resolution, promotion and education, system monitoring and impact, </w:t>
      </w:r>
      <w:r w:rsidR="0048464B" w:rsidRPr="009B2CA8">
        <w:t xml:space="preserve">and </w:t>
      </w:r>
      <w:r w:rsidRPr="009B2CA8">
        <w:t xml:space="preserve">focus population, which we undertake through </w:t>
      </w:r>
      <w:r w:rsidR="00837892" w:rsidRPr="009B2CA8">
        <w:t xml:space="preserve">four </w:t>
      </w:r>
      <w:r w:rsidRPr="009B2CA8">
        <w:t>output classes.</w:t>
      </w:r>
    </w:p>
    <w:p w14:paraId="5F1D125F" w14:textId="738D6915" w:rsidR="00025898" w:rsidRPr="009B2CA8" w:rsidRDefault="00C642C7" w:rsidP="0048464B">
      <w:pPr>
        <w:jc w:val="center"/>
        <w:rPr>
          <w:i/>
        </w:rPr>
        <w:sectPr w:rsidR="00025898" w:rsidRPr="009B2CA8" w:rsidSect="00025898">
          <w:pgSz w:w="11906" w:h="16838" w:code="9"/>
          <w:pgMar w:top="1276" w:right="1276" w:bottom="1276" w:left="1276" w:header="720" w:footer="720" w:gutter="0"/>
          <w:cols w:space="720"/>
          <w:docGrid w:linePitch="326"/>
        </w:sectPr>
      </w:pPr>
      <w:r w:rsidRPr="00C642C7">
        <w:rPr>
          <w:noProof/>
        </w:rPr>
        <w:drawing>
          <wp:inline distT="0" distB="0" distL="0" distR="0" wp14:anchorId="590E47E3" wp14:editId="7DB0DBA6">
            <wp:extent cx="5460333" cy="5580000"/>
            <wp:effectExtent l="0" t="0" r="7620" b="1905"/>
            <wp:docPr id="7186989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0333" cy="5580000"/>
                    </a:xfrm>
                    <a:prstGeom prst="rect">
                      <a:avLst/>
                    </a:prstGeom>
                    <a:noFill/>
                    <a:ln>
                      <a:noFill/>
                    </a:ln>
                  </pic:spPr>
                </pic:pic>
              </a:graphicData>
            </a:graphic>
          </wp:inline>
        </w:drawing>
      </w:r>
      <w:r w:rsidR="000F00CE" w:rsidRPr="009B2CA8">
        <w:rPr>
          <w:i/>
        </w:rPr>
        <w:br w:type="page"/>
      </w:r>
    </w:p>
    <w:p w14:paraId="63357DB7" w14:textId="38F85F6B" w:rsidR="003B22F5" w:rsidRPr="009B2CA8" w:rsidRDefault="003B22F5" w:rsidP="00942238">
      <w:pPr>
        <w:pStyle w:val="Heading2"/>
      </w:pPr>
      <w:bookmarkStart w:id="39" w:name="_Toc138852562"/>
      <w:r w:rsidRPr="009B2CA8">
        <w:lastRenderedPageBreak/>
        <w:t xml:space="preserve">Output Class 1 — Complaints </w:t>
      </w:r>
      <w:bookmarkEnd w:id="2"/>
      <w:r w:rsidR="005646E8">
        <w:t>r</w:t>
      </w:r>
      <w:r w:rsidR="005646E8" w:rsidRPr="009B2CA8">
        <w:t>esolution</w:t>
      </w:r>
      <w:bookmarkEnd w:id="39"/>
      <w:r w:rsidR="005646E8" w:rsidRPr="009B2CA8">
        <w:t xml:space="preserve"> </w:t>
      </w:r>
    </w:p>
    <w:tbl>
      <w:tblPr>
        <w:tblpPr w:leftFromText="180" w:rightFromText="180" w:vertAnchor="text" w:horzAnchor="margin" w:tblpX="-28" w:tblpY="3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827"/>
        <w:gridCol w:w="3827"/>
        <w:gridCol w:w="3714"/>
      </w:tblGrid>
      <w:tr w:rsidR="003C5139" w:rsidRPr="009B2CA8" w14:paraId="69325748" w14:textId="77777777" w:rsidTr="00705D64">
        <w:trPr>
          <w:trHeight w:val="20"/>
          <w:tblHeader/>
        </w:trPr>
        <w:tc>
          <w:tcPr>
            <w:tcW w:w="14737" w:type="dxa"/>
            <w:gridSpan w:val="4"/>
            <w:tcBorders>
              <w:top w:val="single" w:sz="4" w:space="0" w:color="000000"/>
              <w:left w:val="single" w:sz="4" w:space="0" w:color="000000"/>
              <w:bottom w:val="single" w:sz="4" w:space="0" w:color="000000"/>
              <w:right w:val="single" w:sz="4" w:space="0" w:color="000000"/>
            </w:tcBorders>
            <w:shd w:val="clear" w:color="auto" w:fill="FBD4B4"/>
          </w:tcPr>
          <w:p w14:paraId="36DD7731" w14:textId="53356044" w:rsidR="003C5139" w:rsidRPr="009B2CA8" w:rsidRDefault="003C5139" w:rsidP="00E823D4">
            <w:pPr>
              <w:spacing w:after="0"/>
              <w:jc w:val="center"/>
              <w:rPr>
                <w:b/>
                <w:color w:val="auto"/>
              </w:rPr>
            </w:pPr>
            <w:r w:rsidRPr="009B2CA8">
              <w:rPr>
                <w:b/>
              </w:rPr>
              <w:t>Output 1.</w:t>
            </w:r>
            <w:r w:rsidR="00E823D4">
              <w:rPr>
                <w:b/>
              </w:rPr>
              <w:t>1</w:t>
            </w:r>
            <w:r w:rsidRPr="009B2CA8">
              <w:rPr>
                <w:b/>
              </w:rPr>
              <w:t xml:space="preserve"> — Complaints Management (HDC)</w:t>
            </w:r>
          </w:p>
        </w:tc>
      </w:tr>
      <w:tr w:rsidR="003C5139" w:rsidRPr="009B2CA8" w14:paraId="58403104" w14:textId="77777777" w:rsidTr="00705D64">
        <w:trPr>
          <w:trHeight w:val="20"/>
          <w:tblHeader/>
        </w:trPr>
        <w:tc>
          <w:tcPr>
            <w:tcW w:w="3369" w:type="dxa"/>
            <w:vMerge w:val="restart"/>
            <w:tcBorders>
              <w:top w:val="single" w:sz="4" w:space="0" w:color="000000"/>
              <w:left w:val="single" w:sz="4" w:space="0" w:color="000000"/>
              <w:right w:val="single" w:sz="4" w:space="0" w:color="000000"/>
            </w:tcBorders>
            <w:shd w:val="clear" w:color="auto" w:fill="C6D9F1" w:themeFill="text2" w:themeFillTint="33"/>
            <w:vAlign w:val="center"/>
          </w:tcPr>
          <w:p w14:paraId="4B4B661C" w14:textId="77777777" w:rsidR="003C5139" w:rsidRPr="009B2CA8" w:rsidRDefault="003C5139" w:rsidP="003C5139">
            <w:pPr>
              <w:spacing w:after="0"/>
              <w:jc w:val="center"/>
              <w:rPr>
                <w:b/>
                <w:color w:val="auto"/>
              </w:rPr>
            </w:pPr>
          </w:p>
        </w:tc>
        <w:tc>
          <w:tcPr>
            <w:tcW w:w="11368"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6990ACD" w14:textId="77777777" w:rsidR="003C5139" w:rsidRPr="009B2CA8" w:rsidRDefault="003C5139" w:rsidP="003C5139">
            <w:pPr>
              <w:spacing w:after="0"/>
              <w:jc w:val="center"/>
              <w:rPr>
                <w:b/>
                <w:color w:val="auto"/>
              </w:rPr>
            </w:pPr>
            <w:r w:rsidRPr="009B2CA8">
              <w:rPr>
                <w:b/>
                <w:color w:val="auto"/>
              </w:rPr>
              <w:t>Performance Measures</w:t>
            </w:r>
          </w:p>
        </w:tc>
      </w:tr>
      <w:tr w:rsidR="003C5139" w:rsidRPr="009B2CA8" w14:paraId="2403A330" w14:textId="77777777" w:rsidTr="00705D64">
        <w:trPr>
          <w:trHeight w:val="20"/>
          <w:tblHeader/>
        </w:trPr>
        <w:tc>
          <w:tcPr>
            <w:tcW w:w="3369" w:type="dxa"/>
            <w:vMerge/>
            <w:tcBorders>
              <w:left w:val="single" w:sz="4" w:space="0" w:color="000000"/>
              <w:bottom w:val="single" w:sz="4" w:space="0" w:color="000000"/>
              <w:right w:val="single" w:sz="4" w:space="0" w:color="000000"/>
            </w:tcBorders>
            <w:shd w:val="clear" w:color="auto" w:fill="C6D9F1" w:themeFill="text2" w:themeFillTint="33"/>
            <w:vAlign w:val="center"/>
          </w:tcPr>
          <w:p w14:paraId="31A5386D" w14:textId="77777777" w:rsidR="003C5139" w:rsidRPr="009B2CA8" w:rsidRDefault="003C5139" w:rsidP="003C5139">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A727C80" w14:textId="77777777" w:rsidR="003C5139" w:rsidRPr="009B2CA8" w:rsidRDefault="003C5139" w:rsidP="003C5139">
            <w:pPr>
              <w:keepNext/>
              <w:keepLines/>
              <w:spacing w:after="0"/>
              <w:jc w:val="center"/>
              <w:rPr>
                <w:b/>
                <w:color w:val="auto"/>
              </w:rPr>
            </w:pPr>
            <w:r w:rsidRPr="009B2CA8">
              <w:rPr>
                <w:b/>
                <w:color w:val="auto"/>
              </w:rPr>
              <w:t xml:space="preserve">2023/24 SPE Target </w:t>
            </w:r>
          </w:p>
        </w:tc>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51EF83F" w14:textId="77777777" w:rsidR="003C5139" w:rsidRPr="009B2CA8" w:rsidRDefault="003C5139" w:rsidP="003C5139">
            <w:pPr>
              <w:keepNext/>
              <w:keepLines/>
              <w:spacing w:after="0"/>
              <w:jc w:val="center"/>
              <w:rPr>
                <w:b/>
                <w:color w:val="auto"/>
              </w:rPr>
            </w:pPr>
            <w:r w:rsidRPr="009B2CA8">
              <w:rPr>
                <w:b/>
                <w:color w:val="auto"/>
              </w:rPr>
              <w:t>2022/23 SPE Target</w:t>
            </w:r>
          </w:p>
        </w:tc>
        <w:tc>
          <w:tcPr>
            <w:tcW w:w="37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0262FC7" w14:textId="77777777" w:rsidR="003C5139" w:rsidRPr="009B2CA8" w:rsidRDefault="003C5139" w:rsidP="003C5139">
            <w:pPr>
              <w:keepNext/>
              <w:keepLines/>
              <w:spacing w:after="0"/>
              <w:jc w:val="center"/>
              <w:rPr>
                <w:b/>
                <w:color w:val="auto"/>
              </w:rPr>
            </w:pPr>
            <w:r w:rsidRPr="009B2CA8">
              <w:rPr>
                <w:b/>
                <w:color w:val="auto"/>
              </w:rPr>
              <w:t>2021/22 Actual</w:t>
            </w:r>
          </w:p>
        </w:tc>
      </w:tr>
      <w:tr w:rsidR="003C5139" w:rsidRPr="009B2CA8" w14:paraId="03DCF07F" w14:textId="77777777" w:rsidTr="003C5139">
        <w:trPr>
          <w:trHeight w:val="285"/>
        </w:trPr>
        <w:tc>
          <w:tcPr>
            <w:tcW w:w="3369" w:type="dxa"/>
            <w:tcBorders>
              <w:left w:val="single" w:sz="4" w:space="0" w:color="000000"/>
              <w:bottom w:val="single" w:sz="4" w:space="0" w:color="000000"/>
              <w:right w:val="single" w:sz="4" w:space="0" w:color="000000"/>
            </w:tcBorders>
            <w:shd w:val="clear" w:color="auto" w:fill="auto"/>
          </w:tcPr>
          <w:p w14:paraId="78A76F59" w14:textId="6CCA46B9" w:rsidR="003C5139" w:rsidRPr="009B2CA8" w:rsidRDefault="003C5139" w:rsidP="003C5139">
            <w:pPr>
              <w:spacing w:after="0"/>
              <w:jc w:val="left"/>
              <w:rPr>
                <w:i/>
                <w:color w:val="auto"/>
              </w:rPr>
            </w:pPr>
            <w:r w:rsidRPr="009B2CA8">
              <w:t>Supporting timely and appropriate resolution pathways</w:t>
            </w:r>
            <w:r w:rsidRPr="009B2CA8">
              <w:rPr>
                <w:color w:val="auto"/>
              </w:rPr>
              <w:t xml:space="preserve"> (HDC)</w:t>
            </w:r>
          </w:p>
          <w:p w14:paraId="4A67ABA2" w14:textId="79A333B9" w:rsidR="003C5139" w:rsidRPr="009B2CA8" w:rsidRDefault="003C5139" w:rsidP="005F2418">
            <w:pPr>
              <w:spacing w:after="0"/>
              <w:jc w:val="left"/>
              <w:rPr>
                <w:color w:val="FF0000"/>
              </w:rPr>
            </w:pPr>
            <w:r w:rsidRPr="009B2CA8">
              <w:rPr>
                <w:i/>
                <w:color w:val="auto"/>
              </w:rPr>
              <w:t>(which contributes to achievement of Strategic Objectives 2).</w:t>
            </w:r>
            <w:r w:rsidRPr="009B2CA8">
              <w:rPr>
                <w:color w:val="auto"/>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6303AE6" w14:textId="77777777" w:rsidR="003C5139" w:rsidRPr="002B4A1F" w:rsidRDefault="003C5139" w:rsidP="003C5139">
            <w:pPr>
              <w:spacing w:after="0"/>
              <w:jc w:val="left"/>
              <w:rPr>
                <w:color w:val="auto"/>
              </w:rPr>
            </w:pPr>
            <w:r w:rsidRPr="002B4A1F">
              <w:rPr>
                <w:color w:val="auto"/>
              </w:rPr>
              <w:t>Assume 3,200–3,400 complaints will be received.</w:t>
            </w:r>
          </w:p>
          <w:p w14:paraId="03504341" w14:textId="77777777" w:rsidR="003C5139" w:rsidRPr="002B4A1F" w:rsidRDefault="003C5139" w:rsidP="003C5139">
            <w:pPr>
              <w:spacing w:after="0"/>
              <w:jc w:val="left"/>
              <w:rPr>
                <w:color w:val="auto"/>
              </w:rPr>
            </w:pPr>
          </w:p>
          <w:p w14:paraId="3930C2D8" w14:textId="143222D7" w:rsidR="003C5139" w:rsidRPr="00AC10F4" w:rsidRDefault="003C5139" w:rsidP="003C5139">
            <w:pPr>
              <w:spacing w:after="0"/>
              <w:jc w:val="left"/>
              <w:rPr>
                <w:color w:val="auto"/>
              </w:rPr>
            </w:pPr>
            <w:r w:rsidRPr="002B4A1F">
              <w:rPr>
                <w:color w:val="auto"/>
              </w:rPr>
              <w:t xml:space="preserve">Close an </w:t>
            </w:r>
            <w:r w:rsidRPr="00AC10F4">
              <w:rPr>
                <w:color w:val="auto"/>
              </w:rPr>
              <w:t>estimated 2,700–</w:t>
            </w:r>
            <w:r w:rsidR="00E7714E">
              <w:rPr>
                <w:color w:val="auto"/>
              </w:rPr>
              <w:t>3</w:t>
            </w:r>
            <w:r w:rsidRPr="00AC10F4">
              <w:rPr>
                <w:color w:val="auto"/>
              </w:rPr>
              <w:t>,</w:t>
            </w:r>
            <w:r w:rsidR="00E7714E">
              <w:rPr>
                <w:color w:val="auto"/>
              </w:rPr>
              <w:t>0</w:t>
            </w:r>
            <w:r w:rsidRPr="00AC10F4">
              <w:rPr>
                <w:color w:val="auto"/>
              </w:rPr>
              <w:t>00</w:t>
            </w:r>
            <w:r w:rsidRPr="00AC10F4">
              <w:rPr>
                <w:color w:val="auto"/>
                <w:shd w:val="clear" w:color="auto" w:fill="FFFFFF" w:themeFill="background1"/>
              </w:rPr>
              <w:t xml:space="preserve"> complaints. The above figure includes 180–200 </w:t>
            </w:r>
            <w:r w:rsidRPr="00AC10F4">
              <w:rPr>
                <w:color w:val="auto"/>
              </w:rPr>
              <w:t>investigations.</w:t>
            </w:r>
          </w:p>
          <w:p w14:paraId="1EAFB516" w14:textId="77777777" w:rsidR="003C5139" w:rsidRPr="00AC10F4" w:rsidRDefault="003C5139" w:rsidP="003C5139">
            <w:pPr>
              <w:spacing w:after="0"/>
              <w:jc w:val="left"/>
              <w:rPr>
                <w:color w:val="auto"/>
              </w:rPr>
            </w:pPr>
          </w:p>
          <w:p w14:paraId="55C2C497" w14:textId="77777777" w:rsidR="003C5139" w:rsidRPr="00AC10F4" w:rsidRDefault="003C5139" w:rsidP="003C5139">
            <w:pPr>
              <w:spacing w:after="0"/>
              <w:jc w:val="left"/>
              <w:rPr>
                <w:color w:val="auto"/>
              </w:rPr>
            </w:pPr>
            <w:r w:rsidRPr="00AC10F4">
              <w:rPr>
                <w:color w:val="auto"/>
              </w:rPr>
              <w:t>Manage complaints so that of closed complaints:</w:t>
            </w:r>
          </w:p>
          <w:p w14:paraId="2BFCA627" w14:textId="77777777" w:rsidR="003C5139" w:rsidRPr="00AC10F4" w:rsidRDefault="003C5139" w:rsidP="003C41A9">
            <w:pPr>
              <w:pStyle w:val="ListParagraph"/>
              <w:numPr>
                <w:ilvl w:val="0"/>
                <w:numId w:val="4"/>
              </w:numPr>
              <w:spacing w:after="0"/>
              <w:jc w:val="left"/>
              <w:rPr>
                <w:color w:val="auto"/>
                <w:lang w:eastAsia="en-NZ"/>
              </w:rPr>
            </w:pPr>
            <w:r w:rsidRPr="00AC10F4">
              <w:rPr>
                <w:color w:val="auto"/>
                <w:lang w:eastAsia="en-NZ"/>
              </w:rPr>
              <w:t>At least 60% are closed within 3 months</w:t>
            </w:r>
          </w:p>
          <w:p w14:paraId="167F0315" w14:textId="77777777" w:rsidR="003C5139" w:rsidRPr="00AC10F4" w:rsidRDefault="003C5139" w:rsidP="003C41A9">
            <w:pPr>
              <w:pStyle w:val="ListParagraph"/>
              <w:numPr>
                <w:ilvl w:val="0"/>
                <w:numId w:val="4"/>
              </w:numPr>
              <w:spacing w:after="0"/>
              <w:jc w:val="left"/>
              <w:rPr>
                <w:color w:val="auto"/>
                <w:lang w:eastAsia="en-NZ"/>
              </w:rPr>
            </w:pPr>
            <w:r w:rsidRPr="00AC10F4">
              <w:rPr>
                <w:color w:val="auto"/>
                <w:lang w:eastAsia="en-NZ"/>
              </w:rPr>
              <w:t>At least 80% are closed within 12 months</w:t>
            </w:r>
          </w:p>
          <w:p w14:paraId="21A5F919" w14:textId="77777777" w:rsidR="003C5139" w:rsidRPr="00AC10F4" w:rsidRDefault="003C5139" w:rsidP="003C41A9">
            <w:pPr>
              <w:pStyle w:val="ListParagraph"/>
              <w:numPr>
                <w:ilvl w:val="0"/>
                <w:numId w:val="4"/>
              </w:numPr>
              <w:spacing w:after="0"/>
              <w:jc w:val="left"/>
              <w:rPr>
                <w:color w:val="auto"/>
                <w:lang w:eastAsia="en-NZ"/>
              </w:rPr>
            </w:pPr>
            <w:r w:rsidRPr="00AC10F4">
              <w:rPr>
                <w:color w:val="auto"/>
                <w:lang w:eastAsia="en-NZ"/>
              </w:rPr>
              <w:t>At least 95% are closed within 24 months</w:t>
            </w:r>
          </w:p>
          <w:p w14:paraId="7751FDF5" w14:textId="77777777" w:rsidR="003C5139" w:rsidRPr="00AC10F4" w:rsidRDefault="003C5139" w:rsidP="003C5139">
            <w:pPr>
              <w:keepNext/>
              <w:spacing w:after="0"/>
              <w:jc w:val="left"/>
              <w:rPr>
                <w:color w:val="auto"/>
              </w:rPr>
            </w:pPr>
            <w:r w:rsidRPr="00AC10F4">
              <w:rPr>
                <w:color w:val="auto"/>
              </w:rPr>
              <w:t>Manage complaints so that of open complaints:</w:t>
            </w:r>
          </w:p>
          <w:p w14:paraId="1F88A3F4" w14:textId="607D4985" w:rsidR="003C5139" w:rsidRPr="002B4A1F" w:rsidRDefault="003C5139" w:rsidP="003C41A9">
            <w:pPr>
              <w:pStyle w:val="ListParagraph"/>
              <w:numPr>
                <w:ilvl w:val="0"/>
                <w:numId w:val="4"/>
              </w:numPr>
              <w:spacing w:after="0"/>
              <w:jc w:val="left"/>
              <w:rPr>
                <w:b/>
                <w:color w:val="auto"/>
              </w:rPr>
            </w:pPr>
            <w:r w:rsidRPr="00AC10F4">
              <w:rPr>
                <w:color w:val="auto"/>
                <w:lang w:eastAsia="en-NZ"/>
              </w:rPr>
              <w:t xml:space="preserve">No more </w:t>
            </w:r>
            <w:r w:rsidRPr="004D1A85">
              <w:rPr>
                <w:color w:val="auto"/>
                <w:lang w:eastAsia="en-NZ"/>
              </w:rPr>
              <w:t xml:space="preserve">than </w:t>
            </w:r>
            <w:r w:rsidR="00AC10F4" w:rsidRPr="004D1A85">
              <w:rPr>
                <w:color w:val="auto"/>
                <w:lang w:eastAsia="en-NZ"/>
              </w:rPr>
              <w:t>7</w:t>
            </w:r>
            <w:r w:rsidR="00AD52E2" w:rsidRPr="004D1A85">
              <w:rPr>
                <w:color w:val="auto"/>
                <w:lang w:eastAsia="en-NZ"/>
              </w:rPr>
              <w:t>–</w:t>
            </w:r>
            <w:r w:rsidR="00AC10F4" w:rsidRPr="004D1A85">
              <w:rPr>
                <w:color w:val="auto"/>
                <w:lang w:eastAsia="en-NZ"/>
              </w:rPr>
              <w:t>9</w:t>
            </w:r>
            <w:r w:rsidRPr="004D1A85">
              <w:rPr>
                <w:color w:val="auto"/>
                <w:lang w:eastAsia="en-NZ"/>
              </w:rPr>
              <w:t>%</w:t>
            </w:r>
            <w:r w:rsidRPr="002B4A1F">
              <w:rPr>
                <w:color w:val="auto"/>
                <w:lang w:eastAsia="en-NZ"/>
              </w:rPr>
              <w:t xml:space="preserve"> are over 24 months old</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8069C89" w14:textId="77777777" w:rsidR="003C5139" w:rsidRPr="009B2CA8" w:rsidRDefault="003C5139" w:rsidP="003C5139">
            <w:pPr>
              <w:spacing w:after="0"/>
              <w:jc w:val="left"/>
              <w:rPr>
                <w:color w:val="auto"/>
              </w:rPr>
            </w:pPr>
            <w:r w:rsidRPr="009B2CA8">
              <w:rPr>
                <w:color w:val="auto"/>
              </w:rPr>
              <w:t>Assume 3,200–3,400 complaints will be received.</w:t>
            </w:r>
          </w:p>
          <w:p w14:paraId="10B005E5" w14:textId="77777777" w:rsidR="003C5139" w:rsidRPr="009B2CA8" w:rsidRDefault="003C5139" w:rsidP="003C5139">
            <w:pPr>
              <w:spacing w:after="0"/>
              <w:jc w:val="left"/>
              <w:rPr>
                <w:color w:val="auto"/>
              </w:rPr>
            </w:pPr>
          </w:p>
          <w:p w14:paraId="4BDED8AA" w14:textId="77777777" w:rsidR="003C5139" w:rsidRPr="009B2CA8" w:rsidRDefault="003C5139" w:rsidP="003C5139">
            <w:pPr>
              <w:spacing w:after="0"/>
              <w:jc w:val="left"/>
              <w:rPr>
                <w:color w:val="auto"/>
              </w:rPr>
            </w:pPr>
            <w:r w:rsidRPr="009B2CA8">
              <w:rPr>
                <w:color w:val="auto"/>
              </w:rPr>
              <w:t>Close an estimated 2,700–2,900</w:t>
            </w:r>
            <w:r w:rsidRPr="009B2CA8">
              <w:rPr>
                <w:color w:val="auto"/>
                <w:shd w:val="clear" w:color="auto" w:fill="FFFFFF" w:themeFill="background1"/>
              </w:rPr>
              <w:t xml:space="preserve"> complaints. The above figure includes 180–200 </w:t>
            </w:r>
            <w:r w:rsidRPr="009B2CA8">
              <w:rPr>
                <w:color w:val="auto"/>
              </w:rPr>
              <w:t>investigations.</w:t>
            </w:r>
          </w:p>
          <w:p w14:paraId="3F2ACD9F" w14:textId="77777777" w:rsidR="003C5139" w:rsidRPr="009B2CA8" w:rsidRDefault="003C5139" w:rsidP="003C5139">
            <w:pPr>
              <w:spacing w:after="0"/>
              <w:jc w:val="left"/>
              <w:rPr>
                <w:color w:val="auto"/>
              </w:rPr>
            </w:pPr>
          </w:p>
          <w:p w14:paraId="681F1AC3" w14:textId="77777777" w:rsidR="003C5139" w:rsidRPr="009B2CA8" w:rsidRDefault="003C5139" w:rsidP="003C5139">
            <w:pPr>
              <w:spacing w:after="0"/>
              <w:jc w:val="left"/>
              <w:rPr>
                <w:color w:val="auto"/>
              </w:rPr>
            </w:pPr>
            <w:r w:rsidRPr="009B2CA8">
              <w:rPr>
                <w:color w:val="auto"/>
              </w:rPr>
              <w:t>Manage complaints so that of closed complaints:</w:t>
            </w:r>
            <w:r w:rsidRPr="009B2CA8">
              <w:rPr>
                <w:rStyle w:val="FootnoteReference"/>
                <w:color w:val="auto"/>
              </w:rPr>
              <w:footnoteReference w:id="2"/>
            </w:r>
          </w:p>
          <w:p w14:paraId="0C52880E" w14:textId="77777777" w:rsidR="003C5139" w:rsidRPr="009B2CA8" w:rsidRDefault="003C5139" w:rsidP="00F2662E">
            <w:pPr>
              <w:pStyle w:val="ListParagraph"/>
              <w:numPr>
                <w:ilvl w:val="0"/>
                <w:numId w:val="4"/>
              </w:numPr>
              <w:spacing w:after="0"/>
              <w:ind w:left="256" w:hanging="256"/>
              <w:jc w:val="left"/>
              <w:rPr>
                <w:color w:val="auto"/>
                <w:lang w:eastAsia="en-NZ"/>
              </w:rPr>
            </w:pPr>
            <w:r w:rsidRPr="009B2CA8">
              <w:rPr>
                <w:color w:val="auto"/>
                <w:lang w:eastAsia="en-NZ"/>
              </w:rPr>
              <w:t>At least 60% are closed within 3 months</w:t>
            </w:r>
          </w:p>
          <w:p w14:paraId="553A3310" w14:textId="77777777" w:rsidR="003C5139" w:rsidRPr="009B2CA8" w:rsidRDefault="003C5139" w:rsidP="003C41A9">
            <w:pPr>
              <w:pStyle w:val="ListParagraph"/>
              <w:numPr>
                <w:ilvl w:val="0"/>
                <w:numId w:val="4"/>
              </w:numPr>
              <w:spacing w:after="0"/>
              <w:ind w:left="256" w:hanging="256"/>
              <w:jc w:val="left"/>
              <w:rPr>
                <w:color w:val="auto"/>
              </w:rPr>
            </w:pPr>
            <w:r w:rsidRPr="009B2CA8">
              <w:rPr>
                <w:color w:val="auto"/>
                <w:lang w:eastAsia="en-NZ"/>
              </w:rPr>
              <w:t>At least 80% are closed within 12 months</w:t>
            </w:r>
          </w:p>
          <w:p w14:paraId="34C5CC92" w14:textId="77777777" w:rsidR="003C5139" w:rsidRPr="009B2CA8" w:rsidRDefault="003C5139" w:rsidP="003C41A9">
            <w:pPr>
              <w:pStyle w:val="ListParagraph"/>
              <w:numPr>
                <w:ilvl w:val="0"/>
                <w:numId w:val="4"/>
              </w:numPr>
              <w:spacing w:after="0"/>
              <w:ind w:left="256" w:hanging="256"/>
              <w:jc w:val="left"/>
              <w:rPr>
                <w:color w:val="auto"/>
              </w:rPr>
            </w:pPr>
            <w:r w:rsidRPr="009B2CA8">
              <w:rPr>
                <w:color w:val="auto"/>
                <w:lang w:eastAsia="en-NZ"/>
              </w:rPr>
              <w:t>At least 95% are closed within 24 months</w:t>
            </w:r>
          </w:p>
          <w:p w14:paraId="398207F4" w14:textId="77777777" w:rsidR="00AC10F4" w:rsidRPr="002B4A1F" w:rsidRDefault="00AC10F4" w:rsidP="00AC10F4">
            <w:pPr>
              <w:keepNext/>
              <w:spacing w:after="0"/>
              <w:jc w:val="left"/>
              <w:rPr>
                <w:color w:val="auto"/>
              </w:rPr>
            </w:pPr>
            <w:r w:rsidRPr="002B4A1F">
              <w:rPr>
                <w:color w:val="auto"/>
              </w:rPr>
              <w:t>Manage complaints so that of open complaints:</w:t>
            </w:r>
          </w:p>
          <w:p w14:paraId="2345DC20" w14:textId="4C77DCC1" w:rsidR="003C5139" w:rsidRPr="009B2CA8" w:rsidRDefault="00AC10F4" w:rsidP="003C41A9">
            <w:pPr>
              <w:pStyle w:val="ListParagraph"/>
              <w:numPr>
                <w:ilvl w:val="0"/>
                <w:numId w:val="4"/>
              </w:numPr>
              <w:spacing w:after="0"/>
              <w:jc w:val="left"/>
              <w:rPr>
                <w:b/>
                <w:color w:val="auto"/>
              </w:rPr>
            </w:pPr>
            <w:r w:rsidRPr="002B4A1F">
              <w:rPr>
                <w:color w:val="auto"/>
                <w:lang w:eastAsia="en-NZ"/>
              </w:rPr>
              <w:t xml:space="preserve">No more than </w:t>
            </w:r>
            <w:r w:rsidRPr="00AC10F4">
              <w:rPr>
                <w:color w:val="auto"/>
                <w:lang w:eastAsia="en-NZ"/>
              </w:rPr>
              <w:t>4–6%</w:t>
            </w:r>
            <w:r w:rsidRPr="002B4A1F">
              <w:rPr>
                <w:color w:val="auto"/>
                <w:lang w:eastAsia="en-NZ"/>
              </w:rPr>
              <w:t xml:space="preserve"> are over 24 months old</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A1A7E5B" w14:textId="77777777" w:rsidR="003C5139" w:rsidRPr="009B2CA8" w:rsidRDefault="003C5139" w:rsidP="003C5139">
            <w:pPr>
              <w:spacing w:after="0"/>
              <w:jc w:val="left"/>
              <w:rPr>
                <w:color w:val="auto"/>
                <w:lang w:val="x-none"/>
              </w:rPr>
            </w:pPr>
            <w:r w:rsidRPr="009B2CA8">
              <w:rPr>
                <w:color w:val="auto"/>
                <w:lang w:val="x-none"/>
              </w:rPr>
              <w:t>3,413 complaints were received</w:t>
            </w:r>
          </w:p>
          <w:p w14:paraId="756E54E1" w14:textId="77777777" w:rsidR="003C5139" w:rsidRPr="009B2CA8" w:rsidRDefault="003C5139" w:rsidP="003C5139">
            <w:pPr>
              <w:spacing w:after="0"/>
              <w:jc w:val="left"/>
              <w:rPr>
                <w:color w:val="auto"/>
                <w:lang w:val="x-none"/>
              </w:rPr>
            </w:pPr>
            <w:r w:rsidRPr="009B2CA8">
              <w:rPr>
                <w:color w:val="auto"/>
                <w:lang w:val="x-none"/>
              </w:rPr>
              <w:t xml:space="preserve">during the year. </w:t>
            </w:r>
          </w:p>
          <w:p w14:paraId="24BB2431" w14:textId="77777777" w:rsidR="003C5139" w:rsidRPr="009B2CA8" w:rsidRDefault="003C5139" w:rsidP="003C5139">
            <w:pPr>
              <w:spacing w:after="0"/>
              <w:jc w:val="left"/>
              <w:rPr>
                <w:color w:val="auto"/>
              </w:rPr>
            </w:pPr>
          </w:p>
          <w:p w14:paraId="3A68275F" w14:textId="77777777" w:rsidR="003C5139" w:rsidRPr="009B2CA8" w:rsidRDefault="003C5139" w:rsidP="003C5139">
            <w:pPr>
              <w:spacing w:after="0"/>
              <w:jc w:val="left"/>
              <w:rPr>
                <w:color w:val="auto"/>
                <w:lang w:val="x-none"/>
              </w:rPr>
            </w:pPr>
            <w:r w:rsidRPr="009B2CA8">
              <w:rPr>
                <w:color w:val="auto"/>
                <w:lang w:val="x-none"/>
              </w:rPr>
              <w:t>2,627 complaints were closed</w:t>
            </w:r>
          </w:p>
          <w:p w14:paraId="48BB2A7F" w14:textId="77777777" w:rsidR="003C5139" w:rsidRPr="009B2CA8" w:rsidRDefault="003C5139" w:rsidP="003C5139">
            <w:pPr>
              <w:spacing w:after="0"/>
              <w:jc w:val="left"/>
              <w:rPr>
                <w:color w:val="auto"/>
                <w:lang w:val="x-none"/>
              </w:rPr>
            </w:pPr>
            <w:r w:rsidRPr="009B2CA8">
              <w:rPr>
                <w:color w:val="auto"/>
                <w:lang w:val="x-none"/>
              </w:rPr>
              <w:t>during the year, including 121</w:t>
            </w:r>
          </w:p>
          <w:p w14:paraId="4F5A32D0" w14:textId="77777777" w:rsidR="003C5139" w:rsidRPr="009B2CA8" w:rsidRDefault="003C5139" w:rsidP="003C5139">
            <w:pPr>
              <w:spacing w:after="0"/>
              <w:jc w:val="left"/>
              <w:rPr>
                <w:color w:val="auto"/>
              </w:rPr>
            </w:pPr>
            <w:r w:rsidRPr="009B2CA8">
              <w:rPr>
                <w:color w:val="auto"/>
                <w:lang w:val="x-none"/>
              </w:rPr>
              <w:t>investigations</w:t>
            </w:r>
            <w:r w:rsidRPr="009B2CA8">
              <w:rPr>
                <w:color w:val="auto"/>
              </w:rPr>
              <w:t>.</w:t>
            </w:r>
          </w:p>
          <w:p w14:paraId="525C25E3" w14:textId="77777777" w:rsidR="003C5139" w:rsidRPr="009B2CA8" w:rsidRDefault="003C5139" w:rsidP="003C5139">
            <w:pPr>
              <w:spacing w:after="0"/>
              <w:jc w:val="left"/>
              <w:rPr>
                <w:color w:val="auto"/>
              </w:rPr>
            </w:pPr>
          </w:p>
          <w:p w14:paraId="34264484" w14:textId="05AC26CC" w:rsidR="003C5139" w:rsidRPr="009B2CA8" w:rsidRDefault="003C5139" w:rsidP="003C5139">
            <w:pPr>
              <w:spacing w:after="0"/>
              <w:jc w:val="left"/>
              <w:rPr>
                <w:color w:val="auto"/>
              </w:rPr>
            </w:pPr>
            <w:r w:rsidRPr="009B2CA8">
              <w:rPr>
                <w:color w:val="auto"/>
              </w:rPr>
              <w:t>Total number of open files at year end was 2,037</w:t>
            </w:r>
            <w:r w:rsidR="009224D3">
              <w:rPr>
                <w:color w:val="auto"/>
              </w:rPr>
              <w:t>.</w:t>
            </w:r>
            <w:r w:rsidRPr="009B2CA8">
              <w:rPr>
                <w:color w:val="auto"/>
              </w:rPr>
              <w:t xml:space="preserve"> </w:t>
            </w:r>
          </w:p>
          <w:p w14:paraId="3B1F47A2" w14:textId="77777777" w:rsidR="003C5139" w:rsidRPr="009B2CA8" w:rsidRDefault="003C5139" w:rsidP="003C5139">
            <w:pPr>
              <w:spacing w:after="0"/>
              <w:jc w:val="left"/>
              <w:rPr>
                <w:color w:val="auto"/>
                <w:lang w:eastAsia="en-NZ"/>
              </w:rPr>
            </w:pPr>
            <w:r w:rsidRPr="009B2CA8">
              <w:rPr>
                <w:color w:val="auto"/>
              </w:rPr>
              <w:t>Age of open complaints at 30 June 2022:</w:t>
            </w:r>
          </w:p>
          <w:p w14:paraId="3A0BD6DC" w14:textId="77777777" w:rsidR="003C5139" w:rsidRPr="009B2CA8" w:rsidRDefault="003C5139" w:rsidP="003C41A9">
            <w:pPr>
              <w:pStyle w:val="ListParagraph"/>
              <w:numPr>
                <w:ilvl w:val="0"/>
                <w:numId w:val="4"/>
              </w:numPr>
              <w:spacing w:after="0"/>
              <w:jc w:val="left"/>
              <w:rPr>
                <w:color w:val="auto"/>
                <w:lang w:eastAsia="en-NZ"/>
              </w:rPr>
            </w:pPr>
            <w:r w:rsidRPr="009B2CA8">
              <w:rPr>
                <w:color w:val="auto"/>
                <w:lang w:eastAsia="en-NZ"/>
              </w:rPr>
              <w:t>6–12 months old, 663 out of 2,037 — 32.55%</w:t>
            </w:r>
          </w:p>
          <w:p w14:paraId="733E9AEC" w14:textId="77777777" w:rsidR="003C5139" w:rsidRPr="009B2CA8" w:rsidRDefault="003C5139" w:rsidP="003C41A9">
            <w:pPr>
              <w:pStyle w:val="ListParagraph"/>
              <w:numPr>
                <w:ilvl w:val="0"/>
                <w:numId w:val="4"/>
              </w:numPr>
              <w:spacing w:after="0"/>
              <w:jc w:val="left"/>
              <w:rPr>
                <w:color w:val="auto"/>
                <w:lang w:eastAsia="en-NZ"/>
              </w:rPr>
            </w:pPr>
            <w:r w:rsidRPr="009B2CA8">
              <w:rPr>
                <w:color w:val="auto"/>
                <w:lang w:eastAsia="en-NZ"/>
              </w:rPr>
              <w:t>12–24 months old, 507 out of 2,037 — 24.89%</w:t>
            </w:r>
          </w:p>
          <w:p w14:paraId="43CA4A3E" w14:textId="77777777" w:rsidR="003C5139" w:rsidRPr="009B2CA8" w:rsidRDefault="003C5139" w:rsidP="003C41A9">
            <w:pPr>
              <w:pStyle w:val="ListParagraph"/>
              <w:numPr>
                <w:ilvl w:val="0"/>
                <w:numId w:val="4"/>
              </w:numPr>
              <w:spacing w:after="0"/>
              <w:jc w:val="left"/>
              <w:rPr>
                <w:color w:val="auto"/>
                <w:lang w:eastAsia="en-NZ"/>
              </w:rPr>
            </w:pPr>
            <w:r w:rsidRPr="009B2CA8">
              <w:rPr>
                <w:color w:val="auto"/>
                <w:lang w:eastAsia="en-NZ"/>
              </w:rPr>
              <w:t>Over 24 months old, 124 out of 2,037 — 6.09%</w:t>
            </w:r>
          </w:p>
          <w:p w14:paraId="428F05C3" w14:textId="77777777" w:rsidR="003C5139" w:rsidRPr="009B2CA8" w:rsidRDefault="003C5139" w:rsidP="003C5139">
            <w:pPr>
              <w:keepNext/>
              <w:keepLines/>
              <w:spacing w:after="0"/>
              <w:rPr>
                <w:b/>
                <w:color w:val="auto"/>
              </w:rPr>
            </w:pPr>
          </w:p>
        </w:tc>
      </w:tr>
      <w:tr w:rsidR="003C5139" w:rsidRPr="009B2CA8" w14:paraId="4D030345" w14:textId="77777777" w:rsidTr="003C5139">
        <w:trPr>
          <w:trHeight w:val="4524"/>
        </w:trPr>
        <w:tc>
          <w:tcPr>
            <w:tcW w:w="3369" w:type="dxa"/>
            <w:tcBorders>
              <w:left w:val="single" w:sz="4" w:space="0" w:color="000000"/>
              <w:bottom w:val="single" w:sz="4" w:space="0" w:color="000000"/>
              <w:right w:val="single" w:sz="4" w:space="0" w:color="000000"/>
            </w:tcBorders>
            <w:shd w:val="clear" w:color="auto" w:fill="auto"/>
          </w:tcPr>
          <w:p w14:paraId="4E02E5C4" w14:textId="77777777" w:rsidR="003C5139" w:rsidRPr="009B2CA8" w:rsidRDefault="003C5139" w:rsidP="003C5139">
            <w:pPr>
              <w:spacing w:after="0"/>
              <w:jc w:val="left"/>
              <w:rPr>
                <w:color w:val="auto"/>
              </w:rPr>
            </w:pPr>
            <w:r w:rsidRPr="009B2CA8">
              <w:lastRenderedPageBreak/>
              <w:t>Supporting timely and appropriate resolution pathways</w:t>
            </w:r>
            <w:r w:rsidRPr="009B2CA8">
              <w:rPr>
                <w:color w:val="auto"/>
              </w:rPr>
              <w:t xml:space="preserve"> (HDC)</w:t>
            </w:r>
          </w:p>
          <w:p w14:paraId="4186549C" w14:textId="2058475A" w:rsidR="0079590A" w:rsidRPr="009B2CA8" w:rsidRDefault="003C5139" w:rsidP="003C5139">
            <w:pPr>
              <w:spacing w:after="0"/>
              <w:jc w:val="left"/>
              <w:rPr>
                <w:color w:val="auto"/>
              </w:rPr>
            </w:pPr>
            <w:r w:rsidRPr="009B2CA8">
              <w:rPr>
                <w:i/>
                <w:color w:val="auto"/>
              </w:rPr>
              <w:t>(which contributes to achievement of Strategic Objective 2)</w:t>
            </w:r>
            <w:r w:rsidRPr="009B2CA8">
              <w:rPr>
                <w:color w:val="auto"/>
              </w:rPr>
              <w:t>.</w:t>
            </w:r>
          </w:p>
          <w:p w14:paraId="5CD1B867" w14:textId="77777777" w:rsidR="0079590A" w:rsidRPr="009B2CA8" w:rsidRDefault="0079590A" w:rsidP="003C5139">
            <w:pPr>
              <w:spacing w:after="0"/>
              <w:jc w:val="left"/>
              <w:rPr>
                <w:color w:val="auto"/>
              </w:rPr>
            </w:pPr>
          </w:p>
          <w:p w14:paraId="603581CB" w14:textId="7BE24AD3" w:rsidR="003C5139" w:rsidRPr="009B2CA8" w:rsidRDefault="003C5139" w:rsidP="003C5139">
            <w:pPr>
              <w:spacing w:after="0"/>
              <w:jc w:val="left"/>
              <w:rPr>
                <w:color w:val="FF000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C130AB" w14:textId="77777777" w:rsidR="003C5139" w:rsidRPr="009B2CA8" w:rsidRDefault="003C5139" w:rsidP="003C5139">
            <w:pPr>
              <w:spacing w:after="0"/>
              <w:jc w:val="left"/>
              <w:rPr>
                <w:color w:val="auto"/>
              </w:rPr>
            </w:pPr>
            <w:r w:rsidRPr="009B2CA8">
              <w:rPr>
                <w:color w:val="auto"/>
              </w:rPr>
              <w:t>Use HDC’s levers effectively and appropriately to resolve complaints. Report on:</w:t>
            </w:r>
          </w:p>
          <w:p w14:paraId="31750DDA" w14:textId="77777777" w:rsidR="003C5139" w:rsidRPr="009B2CA8" w:rsidRDefault="003C5139" w:rsidP="003C41A9">
            <w:pPr>
              <w:pStyle w:val="ListParagraph"/>
              <w:numPr>
                <w:ilvl w:val="0"/>
                <w:numId w:val="4"/>
              </w:numPr>
              <w:spacing w:after="0"/>
              <w:ind w:left="256" w:hanging="256"/>
              <w:jc w:val="left"/>
              <w:rPr>
                <w:color w:val="auto"/>
                <w:lang w:eastAsia="en-NZ"/>
              </w:rPr>
            </w:pPr>
            <w:r w:rsidRPr="009B2CA8">
              <w:rPr>
                <w:color w:val="auto"/>
                <w:lang w:eastAsia="en-NZ"/>
              </w:rPr>
              <w:t>% of complaints referred for resolution directly between the parties</w:t>
            </w:r>
          </w:p>
          <w:p w14:paraId="72A1363D" w14:textId="77777777" w:rsidR="003C5139" w:rsidRPr="009B2CA8" w:rsidRDefault="003C5139" w:rsidP="003C41A9">
            <w:pPr>
              <w:pStyle w:val="ListParagraph"/>
              <w:numPr>
                <w:ilvl w:val="0"/>
                <w:numId w:val="4"/>
              </w:numPr>
              <w:spacing w:after="0"/>
              <w:ind w:left="256" w:hanging="256"/>
              <w:jc w:val="left"/>
              <w:rPr>
                <w:color w:val="auto"/>
                <w:lang w:eastAsia="en-NZ"/>
              </w:rPr>
            </w:pPr>
            <w:r w:rsidRPr="009B2CA8">
              <w:rPr>
                <w:color w:val="auto"/>
                <w:lang w:eastAsia="en-NZ"/>
              </w:rPr>
              <w:t># of complaints in which recommendations are made</w:t>
            </w:r>
          </w:p>
          <w:p w14:paraId="2DAABE65" w14:textId="77777777" w:rsidR="003C5139" w:rsidRPr="009B2CA8" w:rsidRDefault="003C5139" w:rsidP="003C41A9">
            <w:pPr>
              <w:pStyle w:val="ListParagraph"/>
              <w:numPr>
                <w:ilvl w:val="0"/>
                <w:numId w:val="4"/>
              </w:numPr>
              <w:spacing w:after="0"/>
              <w:ind w:left="256" w:hanging="256"/>
              <w:jc w:val="left"/>
              <w:rPr>
                <w:color w:val="auto"/>
                <w:lang w:eastAsia="en-NZ"/>
              </w:rPr>
            </w:pPr>
            <w:r w:rsidRPr="009B2CA8">
              <w:rPr>
                <w:color w:val="auto"/>
                <w:lang w:eastAsia="en-NZ"/>
              </w:rPr>
              <w:t># of complaints notified</w:t>
            </w:r>
          </w:p>
          <w:p w14:paraId="6F514E4E" w14:textId="701437D1" w:rsidR="000C1072" w:rsidRPr="009B2CA8" w:rsidRDefault="000C1072" w:rsidP="003C41A9">
            <w:pPr>
              <w:pStyle w:val="ListParagraph"/>
              <w:numPr>
                <w:ilvl w:val="0"/>
                <w:numId w:val="4"/>
              </w:numPr>
              <w:spacing w:after="0"/>
              <w:ind w:left="256" w:hanging="256"/>
              <w:jc w:val="left"/>
              <w:rPr>
                <w:color w:val="auto"/>
                <w:lang w:eastAsia="en-NZ"/>
              </w:rPr>
            </w:pPr>
            <w:r w:rsidRPr="009B2CA8">
              <w:rPr>
                <w:color w:val="auto"/>
                <w:lang w:eastAsia="en-NZ"/>
              </w:rPr>
              <w:t># of hui</w:t>
            </w:r>
            <w:r w:rsidR="005646E8">
              <w:rPr>
                <w:color w:val="auto"/>
                <w:lang w:eastAsia="en-NZ"/>
              </w:rPr>
              <w:t>-</w:t>
            </w:r>
            <w:r w:rsidR="007B731D" w:rsidRPr="009B2CA8">
              <w:rPr>
                <w:color w:val="auto"/>
                <w:lang w:eastAsia="en-NZ"/>
              </w:rPr>
              <w:t xml:space="preserve">ā-whānau </w:t>
            </w:r>
            <w:r w:rsidRPr="009B2CA8">
              <w:rPr>
                <w:color w:val="auto"/>
                <w:lang w:eastAsia="en-NZ"/>
              </w:rPr>
              <w:t>completed (Director M</w:t>
            </w:r>
            <w:r w:rsidR="009224D3">
              <w:rPr>
                <w:color w:val="auto"/>
                <w:lang w:eastAsia="en-NZ"/>
              </w:rPr>
              <w:t>ā</w:t>
            </w:r>
            <w:r w:rsidRPr="009B2CA8">
              <w:rPr>
                <w:color w:val="auto"/>
                <w:lang w:eastAsia="en-NZ"/>
              </w:rPr>
              <w:t xml:space="preserve">ori) </w:t>
            </w:r>
          </w:p>
          <w:p w14:paraId="423AA46E" w14:textId="77777777" w:rsidR="003C5139" w:rsidRPr="009B2CA8" w:rsidRDefault="003C5139" w:rsidP="003C5139">
            <w:pPr>
              <w:spacing w:after="0"/>
              <w:jc w:val="left"/>
              <w:rPr>
                <w:color w:val="auto"/>
              </w:rPr>
            </w:pPr>
          </w:p>
          <w:p w14:paraId="5EC2E873" w14:textId="45207C95" w:rsidR="003C5139" w:rsidRPr="009B2CA8" w:rsidRDefault="003C5139" w:rsidP="003C5139">
            <w:pPr>
              <w:spacing w:after="0"/>
              <w:jc w:val="left"/>
              <w:rPr>
                <w:color w:val="auto"/>
              </w:rPr>
            </w:pPr>
            <w:r w:rsidRPr="009B2CA8">
              <w:rPr>
                <w:color w:val="auto"/>
              </w:rPr>
              <w:t>Provide early notification of systemic</w:t>
            </w:r>
            <w:r w:rsidR="000C1072" w:rsidRPr="009B2CA8">
              <w:rPr>
                <w:color w:val="auto"/>
              </w:rPr>
              <w:t xml:space="preserve"> and</w:t>
            </w:r>
            <w:r w:rsidRPr="009B2CA8">
              <w:rPr>
                <w:color w:val="auto"/>
              </w:rPr>
              <w:t xml:space="preserve"> </w:t>
            </w:r>
            <w:r w:rsidR="000C1072" w:rsidRPr="009B2CA8">
              <w:rPr>
                <w:color w:val="auto"/>
              </w:rPr>
              <w:t xml:space="preserve">public </w:t>
            </w:r>
            <w:r w:rsidRPr="009B2CA8">
              <w:rPr>
                <w:color w:val="auto"/>
              </w:rPr>
              <w:t>safety issues to M</w:t>
            </w:r>
            <w:r w:rsidR="000C1072" w:rsidRPr="009B2CA8">
              <w:rPr>
                <w:color w:val="auto"/>
              </w:rPr>
              <w:t>anatū Hauora</w:t>
            </w:r>
            <w:r w:rsidRPr="009B2CA8">
              <w:rPr>
                <w:color w:val="auto"/>
              </w:rPr>
              <w:t xml:space="preserve">, </w:t>
            </w:r>
            <w:proofErr w:type="spellStart"/>
            <w:r w:rsidR="007B42D1" w:rsidRPr="009B2CA8">
              <w:rPr>
                <w:color w:val="auto"/>
              </w:rPr>
              <w:t>Whaikaha</w:t>
            </w:r>
            <w:proofErr w:type="spellEnd"/>
            <w:r w:rsidR="007B42D1" w:rsidRPr="009B2CA8">
              <w:rPr>
                <w:color w:val="auto"/>
              </w:rPr>
              <w:t xml:space="preserve">, </w:t>
            </w:r>
            <w:r w:rsidRPr="009B2CA8">
              <w:rPr>
                <w:color w:val="auto"/>
              </w:rPr>
              <w:t xml:space="preserve">Te </w:t>
            </w:r>
            <w:proofErr w:type="spellStart"/>
            <w:r w:rsidRPr="009B2CA8">
              <w:rPr>
                <w:color w:val="auto"/>
              </w:rPr>
              <w:t>Whatu</w:t>
            </w:r>
            <w:proofErr w:type="spellEnd"/>
            <w:r w:rsidRPr="009B2CA8">
              <w:rPr>
                <w:color w:val="auto"/>
              </w:rPr>
              <w:t xml:space="preserve"> Ora, </w:t>
            </w:r>
            <w:r w:rsidR="000C1072" w:rsidRPr="009B2CA8">
              <w:rPr>
                <w:color w:val="auto"/>
              </w:rPr>
              <w:t>Te Ak</w:t>
            </w:r>
            <w:r w:rsidR="00757D34" w:rsidRPr="009B2CA8">
              <w:rPr>
                <w:color w:val="auto"/>
              </w:rPr>
              <w:t xml:space="preserve">a </w:t>
            </w:r>
            <w:proofErr w:type="spellStart"/>
            <w:r w:rsidR="00757D34" w:rsidRPr="009B2CA8">
              <w:rPr>
                <w:color w:val="auto"/>
              </w:rPr>
              <w:t>Whai</w:t>
            </w:r>
            <w:proofErr w:type="spellEnd"/>
            <w:r w:rsidR="00757D34" w:rsidRPr="009B2CA8">
              <w:rPr>
                <w:color w:val="auto"/>
              </w:rPr>
              <w:t xml:space="preserve"> Ora </w:t>
            </w:r>
            <w:r w:rsidRPr="009B2CA8">
              <w:rPr>
                <w:color w:val="auto"/>
              </w:rPr>
              <w:t>and/or other relevant agencies. Report on total number.</w:t>
            </w:r>
          </w:p>
          <w:p w14:paraId="765C7178" w14:textId="77777777" w:rsidR="003C5139" w:rsidRPr="009B2CA8" w:rsidRDefault="003C5139" w:rsidP="003C5139">
            <w:pPr>
              <w:spacing w:after="0"/>
              <w:jc w:val="left"/>
              <w:rPr>
                <w:color w:val="auto"/>
              </w:rPr>
            </w:pPr>
          </w:p>
          <w:p w14:paraId="537A05CC" w14:textId="53D679EC" w:rsidR="003C5139" w:rsidRPr="009B2CA8" w:rsidRDefault="003C5139" w:rsidP="003C5139">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3D5108" w14:textId="77777777" w:rsidR="003C5139" w:rsidRPr="009B2CA8" w:rsidRDefault="003C5139" w:rsidP="003C5139">
            <w:pPr>
              <w:spacing w:after="0"/>
              <w:jc w:val="left"/>
              <w:rPr>
                <w:color w:val="auto"/>
              </w:rPr>
            </w:pPr>
            <w:r w:rsidRPr="009B2CA8">
              <w:rPr>
                <w:color w:val="auto"/>
              </w:rPr>
              <w:t>Use HDC’s levers effectively and appropriately to resolve complaints. Report on:</w:t>
            </w:r>
          </w:p>
          <w:p w14:paraId="4A5A654A" w14:textId="77777777" w:rsidR="003C5139" w:rsidRPr="009B2CA8" w:rsidRDefault="003C5139" w:rsidP="003C41A9">
            <w:pPr>
              <w:pStyle w:val="ListParagraph"/>
              <w:numPr>
                <w:ilvl w:val="0"/>
                <w:numId w:val="4"/>
              </w:numPr>
              <w:spacing w:after="0"/>
              <w:ind w:left="256" w:hanging="256"/>
              <w:jc w:val="left"/>
              <w:rPr>
                <w:color w:val="auto"/>
                <w:lang w:eastAsia="en-NZ"/>
              </w:rPr>
            </w:pPr>
            <w:r w:rsidRPr="009B2CA8">
              <w:rPr>
                <w:color w:val="auto"/>
                <w:lang w:eastAsia="en-NZ"/>
              </w:rPr>
              <w:t>% of complaints referred for resolution directly between the parties</w:t>
            </w:r>
          </w:p>
          <w:p w14:paraId="08ECA95E" w14:textId="77777777" w:rsidR="003C5139" w:rsidRPr="009B2CA8" w:rsidRDefault="003C5139" w:rsidP="003C41A9">
            <w:pPr>
              <w:pStyle w:val="ListParagraph"/>
              <w:numPr>
                <w:ilvl w:val="0"/>
                <w:numId w:val="4"/>
              </w:numPr>
              <w:spacing w:after="0"/>
              <w:ind w:left="256" w:hanging="256"/>
              <w:jc w:val="left"/>
              <w:rPr>
                <w:color w:val="auto"/>
                <w:lang w:eastAsia="en-NZ"/>
              </w:rPr>
            </w:pPr>
            <w:r w:rsidRPr="009B2CA8">
              <w:rPr>
                <w:color w:val="auto"/>
                <w:lang w:eastAsia="en-NZ"/>
              </w:rPr>
              <w:t># of complaints in which recommendations are made</w:t>
            </w:r>
          </w:p>
          <w:p w14:paraId="7A2A3AAF" w14:textId="77777777" w:rsidR="003C5139" w:rsidRPr="009B2CA8" w:rsidRDefault="003C5139" w:rsidP="003C41A9">
            <w:pPr>
              <w:pStyle w:val="ListParagraph"/>
              <w:numPr>
                <w:ilvl w:val="0"/>
                <w:numId w:val="4"/>
              </w:numPr>
              <w:spacing w:after="0"/>
              <w:ind w:left="256" w:hanging="256"/>
              <w:jc w:val="left"/>
              <w:rPr>
                <w:color w:val="auto"/>
                <w:lang w:eastAsia="en-NZ"/>
              </w:rPr>
            </w:pPr>
            <w:r w:rsidRPr="009B2CA8">
              <w:rPr>
                <w:color w:val="auto"/>
                <w:lang w:eastAsia="en-NZ"/>
              </w:rPr>
              <w:t># of complaints notified</w:t>
            </w:r>
          </w:p>
          <w:p w14:paraId="411A4CFA" w14:textId="49861C1E" w:rsidR="003C5139" w:rsidRPr="009B2CA8" w:rsidRDefault="003C5139" w:rsidP="003C41A9">
            <w:pPr>
              <w:pStyle w:val="ListParagraph"/>
              <w:numPr>
                <w:ilvl w:val="0"/>
                <w:numId w:val="4"/>
              </w:numPr>
              <w:spacing w:after="0"/>
              <w:ind w:left="256" w:hanging="256"/>
              <w:jc w:val="left"/>
              <w:rPr>
                <w:color w:val="auto"/>
                <w:lang w:eastAsia="en-NZ"/>
              </w:rPr>
            </w:pPr>
            <w:r w:rsidRPr="009B2CA8">
              <w:rPr>
                <w:color w:val="auto"/>
                <w:lang w:eastAsia="en-NZ"/>
              </w:rPr>
              <w:t># of complaints referred to</w:t>
            </w:r>
            <w:r w:rsidR="009224D3">
              <w:rPr>
                <w:color w:val="auto"/>
                <w:lang w:eastAsia="en-NZ"/>
              </w:rPr>
              <w:t xml:space="preserve"> Director of</w:t>
            </w:r>
            <w:r w:rsidRPr="009B2CA8">
              <w:rPr>
                <w:color w:val="auto"/>
                <w:lang w:eastAsia="en-NZ"/>
              </w:rPr>
              <w:t xml:space="preserve"> Proceedings</w:t>
            </w:r>
          </w:p>
          <w:p w14:paraId="2907E0F9" w14:textId="77777777" w:rsidR="003C5139" w:rsidRPr="009B2CA8" w:rsidRDefault="003C5139" w:rsidP="003C5139">
            <w:pPr>
              <w:spacing w:after="0"/>
              <w:jc w:val="left"/>
              <w:rPr>
                <w:color w:val="auto"/>
              </w:rPr>
            </w:pPr>
          </w:p>
          <w:p w14:paraId="2E4E753E" w14:textId="77777777" w:rsidR="003C5139" w:rsidRPr="009B2CA8" w:rsidRDefault="003C5139" w:rsidP="003C5139">
            <w:pPr>
              <w:keepNext/>
              <w:keepLines/>
              <w:spacing w:after="0"/>
              <w:jc w:val="left"/>
              <w:rPr>
                <w:b/>
                <w:color w:val="auto"/>
              </w:rPr>
            </w:pPr>
            <w:r w:rsidRPr="009B2CA8">
              <w:rPr>
                <w:color w:val="auto"/>
              </w:rPr>
              <w:t>Provide early notification of systemic issues to the Ministry and/or other relevant agencies. Report on total number.</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2F49BA0" w14:textId="77777777" w:rsidR="003C5139" w:rsidRPr="009B2CA8" w:rsidRDefault="003C5139" w:rsidP="00FE0D28">
            <w:pPr>
              <w:keepNext/>
              <w:keepLines/>
              <w:spacing w:after="0"/>
              <w:rPr>
                <w:b/>
                <w:color w:val="auto"/>
              </w:rPr>
            </w:pPr>
            <w:r w:rsidRPr="009B2CA8">
              <w:rPr>
                <w:color w:val="auto"/>
                <w:lang w:val="mi-NZ"/>
              </w:rPr>
              <w:t>New measures.</w:t>
            </w:r>
          </w:p>
        </w:tc>
      </w:tr>
    </w:tbl>
    <w:p w14:paraId="2DCA18CE" w14:textId="1FCC93FA" w:rsidR="003C5139" w:rsidRPr="009B2CA8" w:rsidRDefault="003C5139" w:rsidP="003A457B">
      <w:pPr>
        <w:spacing w:after="0"/>
      </w:pPr>
    </w:p>
    <w:p w14:paraId="0655A515" w14:textId="77777777" w:rsidR="003C5139" w:rsidRPr="009B2CA8" w:rsidRDefault="003C5139">
      <w:pPr>
        <w:autoSpaceDE/>
        <w:autoSpaceDN/>
        <w:adjustRightInd/>
        <w:spacing w:after="200" w:line="276" w:lineRule="auto"/>
        <w:jc w:val="left"/>
      </w:pPr>
      <w:r w:rsidRPr="009B2CA8">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9"/>
        <w:gridCol w:w="3692"/>
        <w:gridCol w:w="3692"/>
        <w:gridCol w:w="3689"/>
      </w:tblGrid>
      <w:tr w:rsidR="003C5139" w:rsidRPr="009B2CA8" w14:paraId="0EFBD968" w14:textId="77777777" w:rsidTr="003C5139">
        <w:trPr>
          <w:trHeight w:val="317"/>
        </w:trPr>
        <w:tc>
          <w:tcPr>
            <w:tcW w:w="5000" w:type="pct"/>
            <w:gridSpan w:val="4"/>
            <w:tcBorders>
              <w:top w:val="single" w:sz="4" w:space="0" w:color="auto"/>
              <w:left w:val="single" w:sz="4" w:space="0" w:color="auto"/>
              <w:right w:val="single" w:sz="4" w:space="0" w:color="auto"/>
            </w:tcBorders>
            <w:shd w:val="clear" w:color="auto" w:fill="FABF8F" w:themeFill="accent6" w:themeFillTint="99"/>
            <w:vAlign w:val="center"/>
          </w:tcPr>
          <w:p w14:paraId="1F36A8F1" w14:textId="0EFE7165" w:rsidR="003C5139" w:rsidRPr="009B2CA8" w:rsidRDefault="003C5139" w:rsidP="00E823D4">
            <w:pPr>
              <w:spacing w:after="0"/>
              <w:jc w:val="center"/>
              <w:rPr>
                <w:b/>
              </w:rPr>
            </w:pPr>
            <w:r w:rsidRPr="009B2CA8">
              <w:rPr>
                <w:b/>
              </w:rPr>
              <w:lastRenderedPageBreak/>
              <w:t>Output 1.</w:t>
            </w:r>
            <w:r w:rsidR="00E823D4">
              <w:rPr>
                <w:b/>
              </w:rPr>
              <w:t>2</w:t>
            </w:r>
            <w:r w:rsidRPr="009B2CA8">
              <w:rPr>
                <w:b/>
              </w:rPr>
              <w:t xml:space="preserve"> — Complaints Management (Advocacy Services)</w:t>
            </w:r>
          </w:p>
        </w:tc>
      </w:tr>
      <w:tr w:rsidR="003C5139" w:rsidRPr="009B2CA8" w14:paraId="27E881E7" w14:textId="77777777" w:rsidTr="003C5139">
        <w:trPr>
          <w:trHeight w:val="317"/>
        </w:trPr>
        <w:tc>
          <w:tcPr>
            <w:tcW w:w="1134" w:type="pct"/>
            <w:vMerge w:val="restart"/>
            <w:tcBorders>
              <w:top w:val="single" w:sz="4" w:space="0" w:color="auto"/>
              <w:left w:val="single" w:sz="4" w:space="0" w:color="auto"/>
              <w:right w:val="single" w:sz="4" w:space="0" w:color="auto"/>
            </w:tcBorders>
            <w:shd w:val="clear" w:color="auto" w:fill="C6D9F1" w:themeFill="text2" w:themeFillTint="33"/>
            <w:vAlign w:val="center"/>
          </w:tcPr>
          <w:p w14:paraId="6ED01291" w14:textId="77777777" w:rsidR="003C5139" w:rsidRPr="009B2CA8" w:rsidRDefault="003C5139" w:rsidP="003C5139">
            <w:pPr>
              <w:spacing w:after="0"/>
              <w:jc w:val="left"/>
              <w:rPr>
                <w:b/>
                <w:color w:val="auto"/>
                <w:sz w:val="22"/>
              </w:rPr>
            </w:pPr>
          </w:p>
        </w:tc>
        <w:tc>
          <w:tcPr>
            <w:tcW w:w="3866"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652FD3" w14:textId="77777777" w:rsidR="003C5139" w:rsidRPr="009B2CA8" w:rsidRDefault="003C5139" w:rsidP="003C5139">
            <w:pPr>
              <w:spacing w:after="0"/>
              <w:jc w:val="center"/>
              <w:rPr>
                <w:b/>
                <w:color w:val="auto"/>
              </w:rPr>
            </w:pPr>
            <w:r w:rsidRPr="009B2CA8">
              <w:rPr>
                <w:b/>
                <w:color w:val="auto"/>
              </w:rPr>
              <w:t>Performance Measures</w:t>
            </w:r>
          </w:p>
        </w:tc>
      </w:tr>
      <w:tr w:rsidR="003C5139" w:rsidRPr="009B2CA8" w14:paraId="30982CA1" w14:textId="77777777" w:rsidTr="003C5139">
        <w:trPr>
          <w:trHeight w:val="317"/>
        </w:trPr>
        <w:tc>
          <w:tcPr>
            <w:tcW w:w="1134" w:type="pct"/>
            <w:vMerge/>
            <w:tcBorders>
              <w:left w:val="single" w:sz="4" w:space="0" w:color="auto"/>
              <w:bottom w:val="single" w:sz="4" w:space="0" w:color="auto"/>
              <w:right w:val="single" w:sz="4" w:space="0" w:color="auto"/>
            </w:tcBorders>
            <w:shd w:val="clear" w:color="auto" w:fill="C6D9F1" w:themeFill="text2" w:themeFillTint="33"/>
          </w:tcPr>
          <w:p w14:paraId="1DCC4300" w14:textId="77777777" w:rsidR="003C5139" w:rsidRPr="009B2CA8" w:rsidRDefault="003C5139" w:rsidP="003C5139">
            <w:pPr>
              <w:spacing w:after="0"/>
              <w:jc w:val="left"/>
              <w:rPr>
                <w:color w:val="auto"/>
              </w:rPr>
            </w:pP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3326CD" w14:textId="77777777" w:rsidR="003C5139" w:rsidRPr="009B2CA8" w:rsidRDefault="003C5139" w:rsidP="003C5139">
            <w:pPr>
              <w:spacing w:after="0"/>
              <w:jc w:val="center"/>
              <w:rPr>
                <w:b/>
                <w:color w:val="auto"/>
              </w:rPr>
            </w:pPr>
            <w:r w:rsidRPr="009B2CA8">
              <w:rPr>
                <w:b/>
                <w:color w:val="auto"/>
              </w:rPr>
              <w:t xml:space="preserve">2023/24 SPE Target </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644B1C" w14:textId="77777777" w:rsidR="003C5139" w:rsidRPr="009B2CA8" w:rsidRDefault="003C5139" w:rsidP="003C5139">
            <w:pPr>
              <w:spacing w:after="0"/>
              <w:jc w:val="center"/>
              <w:rPr>
                <w:b/>
                <w:color w:val="auto"/>
              </w:rPr>
            </w:pPr>
            <w:r w:rsidRPr="009B2CA8">
              <w:rPr>
                <w:b/>
                <w:color w:val="auto"/>
              </w:rPr>
              <w:t>2022/23 SPE Target</w:t>
            </w:r>
          </w:p>
        </w:tc>
        <w:tc>
          <w:tcPr>
            <w:tcW w:w="12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A23355" w14:textId="77777777" w:rsidR="003C5139" w:rsidRPr="009B2CA8" w:rsidRDefault="003C5139" w:rsidP="003C5139">
            <w:pPr>
              <w:spacing w:after="0"/>
              <w:jc w:val="center"/>
              <w:rPr>
                <w:b/>
                <w:color w:val="auto"/>
              </w:rPr>
            </w:pPr>
            <w:r w:rsidRPr="009B2CA8">
              <w:rPr>
                <w:b/>
                <w:color w:val="auto"/>
              </w:rPr>
              <w:t>2021/22 Actual</w:t>
            </w:r>
          </w:p>
        </w:tc>
      </w:tr>
      <w:tr w:rsidR="003C5139" w:rsidRPr="009B2CA8" w14:paraId="74CA7590" w14:textId="77777777" w:rsidTr="003C5139">
        <w:trPr>
          <w:trHeight w:val="704"/>
        </w:trPr>
        <w:tc>
          <w:tcPr>
            <w:tcW w:w="1134" w:type="pct"/>
            <w:tcBorders>
              <w:top w:val="single" w:sz="4" w:space="0" w:color="auto"/>
              <w:left w:val="single" w:sz="4" w:space="0" w:color="auto"/>
              <w:bottom w:val="single" w:sz="4" w:space="0" w:color="auto"/>
              <w:right w:val="single" w:sz="4" w:space="0" w:color="auto"/>
            </w:tcBorders>
          </w:tcPr>
          <w:p w14:paraId="483ECA53" w14:textId="13595310" w:rsidR="003C5139" w:rsidRPr="009B2CA8" w:rsidRDefault="003C5139" w:rsidP="003C5139">
            <w:pPr>
              <w:spacing w:after="0"/>
              <w:jc w:val="left"/>
              <w:rPr>
                <w:i/>
                <w:color w:val="auto"/>
              </w:rPr>
            </w:pPr>
            <w:r w:rsidRPr="009B2CA8">
              <w:t>Supporting timely and appropriate resolution pathways</w:t>
            </w:r>
            <w:r w:rsidRPr="009B2CA8">
              <w:rPr>
                <w:color w:val="auto"/>
              </w:rPr>
              <w:t xml:space="preserve"> (Advocacy Services)</w:t>
            </w:r>
          </w:p>
          <w:p w14:paraId="2BE4BC54" w14:textId="19E72622" w:rsidR="003C5139" w:rsidRPr="009B2CA8" w:rsidRDefault="003C5139" w:rsidP="005F2418">
            <w:pPr>
              <w:spacing w:after="0"/>
              <w:jc w:val="left"/>
              <w:rPr>
                <w:color w:val="FF0000"/>
              </w:rPr>
            </w:pPr>
            <w:r w:rsidRPr="009B2CA8">
              <w:rPr>
                <w:i/>
                <w:color w:val="auto"/>
              </w:rPr>
              <w:t xml:space="preserve">(which contributes to achievement of Strategic Objective 2). </w:t>
            </w:r>
          </w:p>
        </w:tc>
        <w:tc>
          <w:tcPr>
            <w:tcW w:w="1289" w:type="pct"/>
            <w:tcBorders>
              <w:top w:val="single" w:sz="4" w:space="0" w:color="auto"/>
              <w:left w:val="single" w:sz="4" w:space="0" w:color="auto"/>
              <w:bottom w:val="single" w:sz="4" w:space="0" w:color="auto"/>
              <w:right w:val="single" w:sz="4" w:space="0" w:color="auto"/>
            </w:tcBorders>
          </w:tcPr>
          <w:p w14:paraId="0119A4C2" w14:textId="77777777" w:rsidR="003C5139" w:rsidRPr="009B2CA8" w:rsidRDefault="003C5139" w:rsidP="003C5139">
            <w:pPr>
              <w:spacing w:after="0"/>
              <w:jc w:val="left"/>
              <w:rPr>
                <w:color w:val="auto"/>
              </w:rPr>
            </w:pPr>
            <w:r w:rsidRPr="009B2CA8">
              <w:rPr>
                <w:color w:val="auto"/>
              </w:rPr>
              <w:t>Assume 2,600–3,100 complaints will be received.</w:t>
            </w:r>
          </w:p>
          <w:p w14:paraId="4FD24978" w14:textId="77777777" w:rsidR="003C5139" w:rsidRPr="009B2CA8" w:rsidRDefault="003C5139" w:rsidP="003C5139">
            <w:pPr>
              <w:spacing w:after="0"/>
              <w:jc w:val="left"/>
              <w:rPr>
                <w:color w:val="auto"/>
              </w:rPr>
            </w:pPr>
          </w:p>
          <w:p w14:paraId="515953C4" w14:textId="77777777" w:rsidR="003C5139" w:rsidRPr="009B2CA8" w:rsidRDefault="003C5139" w:rsidP="003C5139">
            <w:pPr>
              <w:spacing w:after="0"/>
              <w:ind w:left="34"/>
              <w:jc w:val="left"/>
              <w:rPr>
                <w:color w:val="auto"/>
              </w:rPr>
            </w:pPr>
            <w:r w:rsidRPr="009B2CA8">
              <w:rPr>
                <w:color w:val="auto"/>
              </w:rPr>
              <w:t>Close an estimated 2,600–3,100 complaints.</w:t>
            </w:r>
          </w:p>
          <w:p w14:paraId="6AEF5CF8" w14:textId="77777777" w:rsidR="003C5139" w:rsidRPr="009B2CA8" w:rsidRDefault="003C5139" w:rsidP="003C5139">
            <w:pPr>
              <w:spacing w:after="0"/>
              <w:jc w:val="left"/>
              <w:rPr>
                <w:color w:val="auto"/>
              </w:rPr>
            </w:pPr>
          </w:p>
          <w:p w14:paraId="7BCE7CF8" w14:textId="77777777" w:rsidR="003C5139" w:rsidRPr="009B2CA8" w:rsidRDefault="003C5139" w:rsidP="003C5139">
            <w:pPr>
              <w:spacing w:after="0"/>
              <w:jc w:val="left"/>
              <w:rPr>
                <w:color w:val="auto"/>
              </w:rPr>
            </w:pPr>
            <w:r w:rsidRPr="009B2CA8">
              <w:rPr>
                <w:color w:val="auto"/>
              </w:rPr>
              <w:t>Manage complaints so that:</w:t>
            </w:r>
          </w:p>
          <w:p w14:paraId="3B9D1F12" w14:textId="77777777" w:rsidR="003C5139" w:rsidRPr="009B2CA8" w:rsidRDefault="003C5139" w:rsidP="003C5139">
            <w:pPr>
              <w:pStyle w:val="ListParagraph"/>
              <w:numPr>
                <w:ilvl w:val="0"/>
                <w:numId w:val="3"/>
              </w:numPr>
              <w:spacing w:after="0"/>
              <w:ind w:left="317" w:hanging="283"/>
              <w:jc w:val="left"/>
              <w:rPr>
                <w:color w:val="auto"/>
              </w:rPr>
            </w:pPr>
            <w:r w:rsidRPr="009B2CA8">
              <w:rPr>
                <w:color w:val="auto"/>
              </w:rPr>
              <w:t>80% are closed within 3 months.</w:t>
            </w:r>
          </w:p>
          <w:p w14:paraId="15BDBB73" w14:textId="77777777" w:rsidR="003C5139" w:rsidRPr="009B2CA8" w:rsidRDefault="003C5139" w:rsidP="003C5139">
            <w:pPr>
              <w:pStyle w:val="ListParagraph"/>
              <w:numPr>
                <w:ilvl w:val="0"/>
                <w:numId w:val="3"/>
              </w:numPr>
              <w:spacing w:after="0"/>
              <w:ind w:left="317" w:hanging="283"/>
              <w:jc w:val="left"/>
              <w:rPr>
                <w:color w:val="auto"/>
              </w:rPr>
            </w:pPr>
            <w:r w:rsidRPr="009B2CA8">
              <w:rPr>
                <w:color w:val="auto"/>
              </w:rPr>
              <w:t>95% are closed within 6 months.</w:t>
            </w:r>
          </w:p>
          <w:p w14:paraId="2ACCF050" w14:textId="77777777" w:rsidR="003C5139" w:rsidRPr="009B2CA8" w:rsidRDefault="003C5139" w:rsidP="003C5139">
            <w:pPr>
              <w:pStyle w:val="ListParagraph"/>
              <w:numPr>
                <w:ilvl w:val="0"/>
                <w:numId w:val="3"/>
              </w:numPr>
              <w:spacing w:after="0"/>
              <w:ind w:left="317" w:hanging="283"/>
              <w:jc w:val="left"/>
              <w:rPr>
                <w:color w:val="auto"/>
              </w:rPr>
            </w:pPr>
            <w:r w:rsidRPr="009B2CA8">
              <w:rPr>
                <w:color w:val="auto"/>
              </w:rPr>
              <w:t>100% are closed within 9 months.</w:t>
            </w:r>
          </w:p>
          <w:p w14:paraId="132BF61F" w14:textId="77777777" w:rsidR="003C5139" w:rsidRPr="009B2CA8" w:rsidRDefault="003C5139" w:rsidP="003C5139">
            <w:pPr>
              <w:spacing w:after="0"/>
              <w:jc w:val="left"/>
              <w:rPr>
                <w:color w:val="auto"/>
              </w:rPr>
            </w:pPr>
          </w:p>
        </w:tc>
        <w:tc>
          <w:tcPr>
            <w:tcW w:w="1289" w:type="pct"/>
            <w:tcBorders>
              <w:top w:val="single" w:sz="4" w:space="0" w:color="auto"/>
              <w:left w:val="single" w:sz="4" w:space="0" w:color="auto"/>
              <w:bottom w:val="single" w:sz="4" w:space="0" w:color="auto"/>
              <w:right w:val="single" w:sz="4" w:space="0" w:color="auto"/>
            </w:tcBorders>
          </w:tcPr>
          <w:p w14:paraId="188DBA90" w14:textId="77777777" w:rsidR="003C5139" w:rsidRPr="009B2CA8" w:rsidRDefault="003C5139" w:rsidP="003C5139">
            <w:pPr>
              <w:spacing w:after="0"/>
              <w:jc w:val="left"/>
              <w:rPr>
                <w:color w:val="auto"/>
              </w:rPr>
            </w:pPr>
            <w:r w:rsidRPr="009B2CA8">
              <w:rPr>
                <w:color w:val="auto"/>
              </w:rPr>
              <w:t>Assume 2,600–3,100 complaints will be received.</w:t>
            </w:r>
          </w:p>
          <w:p w14:paraId="103ADBBD" w14:textId="77777777" w:rsidR="003C5139" w:rsidRPr="009B2CA8" w:rsidRDefault="003C5139" w:rsidP="003C5139">
            <w:pPr>
              <w:spacing w:after="0"/>
              <w:jc w:val="left"/>
              <w:rPr>
                <w:color w:val="auto"/>
              </w:rPr>
            </w:pPr>
          </w:p>
          <w:p w14:paraId="3D0CA8B1" w14:textId="77777777" w:rsidR="003C5139" w:rsidRPr="009B2CA8" w:rsidRDefault="003C5139" w:rsidP="003C5139">
            <w:pPr>
              <w:spacing w:after="0"/>
              <w:ind w:left="34"/>
              <w:jc w:val="left"/>
              <w:rPr>
                <w:color w:val="auto"/>
              </w:rPr>
            </w:pPr>
            <w:r w:rsidRPr="009B2CA8">
              <w:rPr>
                <w:color w:val="auto"/>
              </w:rPr>
              <w:t>Close an estimated 2,600–3,100 complaints.</w:t>
            </w:r>
          </w:p>
          <w:p w14:paraId="29B06FA2" w14:textId="77777777" w:rsidR="003C5139" w:rsidRPr="009B2CA8" w:rsidRDefault="003C5139" w:rsidP="003C5139">
            <w:pPr>
              <w:spacing w:after="0"/>
              <w:jc w:val="left"/>
              <w:rPr>
                <w:color w:val="auto"/>
              </w:rPr>
            </w:pPr>
          </w:p>
          <w:p w14:paraId="70B771D1" w14:textId="77777777" w:rsidR="003C5139" w:rsidRPr="009B2CA8" w:rsidRDefault="003C5139" w:rsidP="003C5139">
            <w:pPr>
              <w:spacing w:after="0"/>
              <w:jc w:val="left"/>
              <w:rPr>
                <w:color w:val="auto"/>
              </w:rPr>
            </w:pPr>
            <w:r w:rsidRPr="009B2CA8">
              <w:rPr>
                <w:color w:val="auto"/>
              </w:rPr>
              <w:t>Manage complaints so that:</w:t>
            </w:r>
          </w:p>
          <w:p w14:paraId="48964235" w14:textId="77777777" w:rsidR="003C5139" w:rsidRPr="009B2CA8" w:rsidRDefault="003C5139" w:rsidP="003C5139">
            <w:pPr>
              <w:pStyle w:val="ListParagraph"/>
              <w:numPr>
                <w:ilvl w:val="0"/>
                <w:numId w:val="3"/>
              </w:numPr>
              <w:spacing w:after="0"/>
              <w:ind w:left="317" w:hanging="283"/>
              <w:jc w:val="left"/>
              <w:rPr>
                <w:color w:val="auto"/>
              </w:rPr>
            </w:pPr>
            <w:r w:rsidRPr="009B2CA8">
              <w:rPr>
                <w:color w:val="auto"/>
              </w:rPr>
              <w:t>80% are closed within 3 months.</w:t>
            </w:r>
          </w:p>
          <w:p w14:paraId="4776B8A8" w14:textId="44A73181" w:rsidR="003C5139" w:rsidRDefault="003C5139" w:rsidP="003C5139">
            <w:pPr>
              <w:pStyle w:val="ListParagraph"/>
              <w:numPr>
                <w:ilvl w:val="0"/>
                <w:numId w:val="3"/>
              </w:numPr>
              <w:spacing w:after="0"/>
              <w:ind w:left="317" w:hanging="283"/>
              <w:jc w:val="left"/>
              <w:rPr>
                <w:color w:val="auto"/>
              </w:rPr>
            </w:pPr>
            <w:r w:rsidRPr="009B2CA8">
              <w:rPr>
                <w:color w:val="auto"/>
              </w:rPr>
              <w:t>95% are closed within 6 months.</w:t>
            </w:r>
          </w:p>
          <w:p w14:paraId="3096D0DC" w14:textId="6F48548C" w:rsidR="003C5139" w:rsidRPr="009B2CA8" w:rsidRDefault="00373535" w:rsidP="00AC10F4">
            <w:pPr>
              <w:pStyle w:val="ListParagraph"/>
              <w:numPr>
                <w:ilvl w:val="0"/>
                <w:numId w:val="3"/>
              </w:numPr>
              <w:spacing w:after="0"/>
              <w:ind w:left="317" w:hanging="283"/>
              <w:jc w:val="left"/>
              <w:rPr>
                <w:color w:val="auto"/>
              </w:rPr>
            </w:pPr>
            <w:r w:rsidRPr="009B2CA8">
              <w:rPr>
                <w:color w:val="auto"/>
              </w:rPr>
              <w:t>100% are closed within 9 months</w:t>
            </w:r>
            <w:r>
              <w:rPr>
                <w:color w:val="auto"/>
              </w:rPr>
              <w:t xml:space="preserve">.   </w:t>
            </w:r>
          </w:p>
        </w:tc>
        <w:tc>
          <w:tcPr>
            <w:tcW w:w="1288" w:type="pct"/>
            <w:tcBorders>
              <w:top w:val="single" w:sz="4" w:space="0" w:color="auto"/>
              <w:left w:val="single" w:sz="4" w:space="0" w:color="auto"/>
              <w:bottom w:val="single" w:sz="4" w:space="0" w:color="auto"/>
              <w:right w:val="single" w:sz="4" w:space="0" w:color="auto"/>
            </w:tcBorders>
          </w:tcPr>
          <w:p w14:paraId="24D75ADF" w14:textId="77777777" w:rsidR="003C5139" w:rsidRPr="009B2CA8" w:rsidRDefault="003C5139" w:rsidP="003C5139">
            <w:pPr>
              <w:spacing w:after="0"/>
              <w:jc w:val="left"/>
              <w:rPr>
                <w:color w:val="auto"/>
              </w:rPr>
            </w:pPr>
            <w:r w:rsidRPr="009B2CA8">
              <w:rPr>
                <w:color w:val="auto"/>
                <w:lang w:val="x-none"/>
              </w:rPr>
              <w:t>2,971 new complaints were</w:t>
            </w:r>
            <w:r w:rsidRPr="009B2CA8">
              <w:rPr>
                <w:color w:val="auto"/>
                <w:lang w:val="en-US"/>
              </w:rPr>
              <w:t xml:space="preserve"> </w:t>
            </w:r>
            <w:r w:rsidRPr="009B2CA8">
              <w:rPr>
                <w:color w:val="auto"/>
                <w:lang w:val="x-none"/>
              </w:rPr>
              <w:t>received by the Advocacy</w:t>
            </w:r>
            <w:r w:rsidRPr="009B2CA8">
              <w:rPr>
                <w:color w:val="auto"/>
                <w:lang w:val="en-US"/>
              </w:rPr>
              <w:t xml:space="preserve"> </w:t>
            </w:r>
            <w:r w:rsidRPr="009B2CA8">
              <w:rPr>
                <w:color w:val="auto"/>
                <w:lang w:val="x-none"/>
              </w:rPr>
              <w:t>Service in the year ended 30</w:t>
            </w:r>
            <w:r w:rsidRPr="009B2CA8">
              <w:rPr>
                <w:color w:val="auto"/>
                <w:lang w:val="en-US"/>
              </w:rPr>
              <w:t xml:space="preserve"> </w:t>
            </w:r>
            <w:r w:rsidRPr="009B2CA8">
              <w:rPr>
                <w:color w:val="auto"/>
                <w:lang w:val="x-none"/>
              </w:rPr>
              <w:t>June 2022.</w:t>
            </w:r>
          </w:p>
          <w:p w14:paraId="74C5D368" w14:textId="77777777" w:rsidR="003C5139" w:rsidRPr="009B2CA8" w:rsidRDefault="003C5139" w:rsidP="003C5139">
            <w:pPr>
              <w:spacing w:after="0"/>
              <w:jc w:val="left"/>
              <w:rPr>
                <w:color w:val="auto"/>
              </w:rPr>
            </w:pPr>
          </w:p>
          <w:p w14:paraId="644C3809" w14:textId="77777777" w:rsidR="003C5139" w:rsidRPr="009B2CA8" w:rsidRDefault="003C5139" w:rsidP="003C5139">
            <w:pPr>
              <w:spacing w:after="0"/>
              <w:jc w:val="left"/>
              <w:rPr>
                <w:color w:val="auto"/>
                <w:lang w:val="x-none"/>
              </w:rPr>
            </w:pPr>
            <w:r w:rsidRPr="009B2CA8">
              <w:rPr>
                <w:color w:val="auto"/>
                <w:lang w:val="x-none"/>
              </w:rPr>
              <w:t>For the year ended 30 June</w:t>
            </w:r>
            <w:r w:rsidRPr="009B2CA8">
              <w:rPr>
                <w:color w:val="auto"/>
                <w:lang w:val="en-US"/>
              </w:rPr>
              <w:t xml:space="preserve"> </w:t>
            </w:r>
            <w:r w:rsidRPr="009B2CA8">
              <w:rPr>
                <w:color w:val="auto"/>
                <w:lang w:val="x-none"/>
              </w:rPr>
              <w:t>2022, 2,922 complaints were</w:t>
            </w:r>
            <w:r w:rsidRPr="009B2CA8">
              <w:rPr>
                <w:color w:val="auto"/>
                <w:lang w:val="en-US"/>
              </w:rPr>
              <w:t xml:space="preserve"> </w:t>
            </w:r>
            <w:r w:rsidRPr="009B2CA8">
              <w:rPr>
                <w:color w:val="auto"/>
                <w:lang w:val="x-none"/>
              </w:rPr>
              <w:t>closed.</w:t>
            </w:r>
          </w:p>
          <w:p w14:paraId="5B0EA9D4" w14:textId="77777777" w:rsidR="003C5139" w:rsidRPr="009B2CA8" w:rsidRDefault="003C5139" w:rsidP="003C5139">
            <w:pPr>
              <w:spacing w:after="0"/>
              <w:jc w:val="left"/>
              <w:rPr>
                <w:color w:val="auto"/>
              </w:rPr>
            </w:pPr>
          </w:p>
          <w:p w14:paraId="5C960DD2" w14:textId="77777777" w:rsidR="003C5139" w:rsidRPr="009B2CA8" w:rsidRDefault="003C5139" w:rsidP="003C5139">
            <w:pPr>
              <w:spacing w:after="0"/>
              <w:jc w:val="left"/>
              <w:rPr>
                <w:color w:val="auto"/>
              </w:rPr>
            </w:pPr>
            <w:r w:rsidRPr="009B2CA8">
              <w:rPr>
                <w:color w:val="auto"/>
              </w:rPr>
              <w:t>Complaints were managed so that:</w:t>
            </w:r>
          </w:p>
          <w:p w14:paraId="039D0909" w14:textId="77777777" w:rsidR="003C5139" w:rsidRPr="009B2CA8" w:rsidRDefault="003C5139" w:rsidP="00373535">
            <w:pPr>
              <w:pStyle w:val="ListParagraph"/>
              <w:spacing w:after="0"/>
              <w:ind w:left="312" w:hanging="312"/>
              <w:jc w:val="left"/>
              <w:rPr>
                <w:color w:val="auto"/>
              </w:rPr>
            </w:pPr>
            <w:r w:rsidRPr="009B2CA8">
              <w:rPr>
                <w:color w:val="auto"/>
              </w:rPr>
              <w:t>• 78% were closed within 3 months.</w:t>
            </w:r>
          </w:p>
          <w:p w14:paraId="3A704648" w14:textId="77777777" w:rsidR="003C5139" w:rsidRPr="009B2CA8" w:rsidRDefault="003C5139" w:rsidP="00373535">
            <w:pPr>
              <w:spacing w:after="0"/>
              <w:ind w:left="312" w:hanging="312"/>
              <w:jc w:val="left"/>
              <w:rPr>
                <w:color w:val="auto"/>
              </w:rPr>
            </w:pPr>
            <w:r w:rsidRPr="009B2CA8">
              <w:rPr>
                <w:color w:val="auto"/>
              </w:rPr>
              <w:t>• 97% were closed within 6 months.</w:t>
            </w:r>
          </w:p>
          <w:p w14:paraId="004511DA" w14:textId="77777777" w:rsidR="003C5139" w:rsidRPr="009B2CA8" w:rsidRDefault="003C5139" w:rsidP="00373535">
            <w:pPr>
              <w:spacing w:after="0"/>
              <w:ind w:left="312" w:hanging="312"/>
              <w:jc w:val="left"/>
              <w:rPr>
                <w:color w:val="auto"/>
              </w:rPr>
            </w:pPr>
            <w:r w:rsidRPr="009B2CA8">
              <w:rPr>
                <w:color w:val="auto"/>
              </w:rPr>
              <w:t>• 100% were closed within 9 months.</w:t>
            </w:r>
          </w:p>
        </w:tc>
      </w:tr>
      <w:tr w:rsidR="003C5139" w:rsidRPr="009B2CA8" w14:paraId="71F75AC6" w14:textId="77777777" w:rsidTr="003C5139">
        <w:trPr>
          <w:trHeight w:val="704"/>
        </w:trPr>
        <w:tc>
          <w:tcPr>
            <w:tcW w:w="1134" w:type="pct"/>
            <w:tcBorders>
              <w:top w:val="single" w:sz="4" w:space="0" w:color="auto"/>
              <w:left w:val="single" w:sz="4" w:space="0" w:color="auto"/>
              <w:bottom w:val="single" w:sz="4" w:space="0" w:color="auto"/>
              <w:right w:val="single" w:sz="4" w:space="0" w:color="auto"/>
            </w:tcBorders>
          </w:tcPr>
          <w:p w14:paraId="102A3BA4" w14:textId="0516284D" w:rsidR="003C5139" w:rsidRPr="009B2CA8" w:rsidRDefault="003C5139" w:rsidP="00B62E3F">
            <w:pPr>
              <w:spacing w:after="0"/>
              <w:jc w:val="left"/>
              <w:rPr>
                <w:color w:val="FF0000"/>
              </w:rPr>
            </w:pPr>
            <w:r w:rsidRPr="009B2CA8">
              <w:rPr>
                <w:color w:val="auto"/>
              </w:rPr>
              <w:t>Consumers and providers are satisfied with Advocacy’s complaints management processes</w:t>
            </w:r>
            <w:r w:rsidR="00B62E3F">
              <w:rPr>
                <w:color w:val="auto"/>
              </w:rPr>
              <w:t xml:space="preserve"> </w:t>
            </w:r>
            <w:r w:rsidRPr="009B2CA8">
              <w:rPr>
                <w:i/>
                <w:color w:val="auto"/>
              </w:rPr>
              <w:t>(which contributes to achievement of Strategic Objective 2)</w:t>
            </w:r>
            <w:r w:rsidRPr="009B2CA8">
              <w:rPr>
                <w:color w:val="auto"/>
              </w:rPr>
              <w:t>.</w:t>
            </w:r>
          </w:p>
        </w:tc>
        <w:tc>
          <w:tcPr>
            <w:tcW w:w="1289" w:type="pct"/>
            <w:tcBorders>
              <w:top w:val="single" w:sz="4" w:space="0" w:color="auto"/>
              <w:left w:val="single" w:sz="4" w:space="0" w:color="auto"/>
              <w:bottom w:val="single" w:sz="4" w:space="0" w:color="auto"/>
              <w:right w:val="single" w:sz="4" w:space="0" w:color="auto"/>
            </w:tcBorders>
          </w:tcPr>
          <w:p w14:paraId="3F3EB12F" w14:textId="77777777" w:rsidR="003C5139" w:rsidRPr="009B2CA8" w:rsidRDefault="003C5139" w:rsidP="003C5139">
            <w:pPr>
              <w:spacing w:after="0"/>
              <w:jc w:val="left"/>
              <w:rPr>
                <w:color w:val="auto"/>
              </w:rPr>
            </w:pPr>
            <w:r w:rsidRPr="009B2CA8">
              <w:rPr>
                <w:color w:val="auto"/>
              </w:rPr>
              <w:t>Undertake consumer satisfaction surveys, with 80% of respondents satisfied with Advocacy’s complaints management processes.</w:t>
            </w:r>
          </w:p>
          <w:p w14:paraId="6320312A" w14:textId="77777777" w:rsidR="003C5139" w:rsidRPr="009B2CA8" w:rsidRDefault="003C5139" w:rsidP="003C5139">
            <w:pPr>
              <w:spacing w:after="0"/>
              <w:jc w:val="left"/>
              <w:rPr>
                <w:color w:val="auto"/>
              </w:rPr>
            </w:pPr>
          </w:p>
          <w:p w14:paraId="650AF0F9" w14:textId="77777777" w:rsidR="003C5139" w:rsidRPr="009B2CA8" w:rsidRDefault="003C5139" w:rsidP="003C5139">
            <w:pPr>
              <w:spacing w:after="0"/>
              <w:jc w:val="left"/>
              <w:rPr>
                <w:color w:val="auto"/>
              </w:rPr>
            </w:pPr>
            <w:r w:rsidRPr="009B2CA8">
              <w:rPr>
                <w:color w:val="auto"/>
              </w:rPr>
              <w:t>Undertake provider satisfaction surveys, with 80% of respondents satisfied with Advocacy’s complaints management processes.</w:t>
            </w:r>
          </w:p>
        </w:tc>
        <w:tc>
          <w:tcPr>
            <w:tcW w:w="1289" w:type="pct"/>
            <w:tcBorders>
              <w:top w:val="single" w:sz="4" w:space="0" w:color="auto"/>
              <w:left w:val="single" w:sz="4" w:space="0" w:color="auto"/>
              <w:bottom w:val="single" w:sz="4" w:space="0" w:color="auto"/>
              <w:right w:val="single" w:sz="4" w:space="0" w:color="auto"/>
            </w:tcBorders>
          </w:tcPr>
          <w:p w14:paraId="6FCB5CB1" w14:textId="77777777" w:rsidR="003C5139" w:rsidRPr="009B2CA8" w:rsidRDefault="003C5139" w:rsidP="003C5139">
            <w:pPr>
              <w:spacing w:after="0"/>
              <w:jc w:val="left"/>
              <w:rPr>
                <w:color w:val="auto"/>
              </w:rPr>
            </w:pPr>
            <w:r w:rsidRPr="009B2CA8">
              <w:rPr>
                <w:color w:val="auto"/>
              </w:rPr>
              <w:t>Undertake consumer satisfaction surveys, with 80% of respondents satisfied with Advocacy’s complaints management processes.</w:t>
            </w:r>
          </w:p>
          <w:p w14:paraId="67AFE324" w14:textId="77777777" w:rsidR="003C5139" w:rsidRPr="009B2CA8" w:rsidRDefault="003C5139" w:rsidP="003C5139">
            <w:pPr>
              <w:spacing w:after="0"/>
              <w:jc w:val="left"/>
              <w:rPr>
                <w:color w:val="auto"/>
              </w:rPr>
            </w:pPr>
          </w:p>
          <w:p w14:paraId="61A9CB32" w14:textId="77777777" w:rsidR="003C5139" w:rsidRPr="009B2CA8" w:rsidRDefault="003C5139" w:rsidP="003C5139">
            <w:pPr>
              <w:spacing w:after="0"/>
              <w:jc w:val="left"/>
              <w:rPr>
                <w:color w:val="auto"/>
              </w:rPr>
            </w:pPr>
            <w:r w:rsidRPr="009B2CA8">
              <w:rPr>
                <w:color w:val="auto"/>
              </w:rPr>
              <w:t>Undertake provider satisfaction surveys, with 80% of respondents satisfied with Advocacy’s complaints management processes.</w:t>
            </w:r>
          </w:p>
          <w:p w14:paraId="49E52550" w14:textId="77777777" w:rsidR="003C5139" w:rsidRPr="009B2CA8" w:rsidRDefault="003C5139" w:rsidP="003C5139">
            <w:pPr>
              <w:spacing w:after="0"/>
              <w:jc w:val="left"/>
              <w:rPr>
                <w:color w:val="auto"/>
              </w:rPr>
            </w:pPr>
          </w:p>
        </w:tc>
        <w:tc>
          <w:tcPr>
            <w:tcW w:w="1288" w:type="pct"/>
            <w:tcBorders>
              <w:top w:val="single" w:sz="4" w:space="0" w:color="auto"/>
              <w:left w:val="single" w:sz="4" w:space="0" w:color="auto"/>
              <w:bottom w:val="single" w:sz="4" w:space="0" w:color="auto"/>
              <w:right w:val="single" w:sz="4" w:space="0" w:color="auto"/>
            </w:tcBorders>
          </w:tcPr>
          <w:p w14:paraId="76D55A55" w14:textId="67385C0E" w:rsidR="003C5139" w:rsidRPr="009B2CA8" w:rsidRDefault="003C5139" w:rsidP="003C5139">
            <w:pPr>
              <w:spacing w:after="0"/>
              <w:jc w:val="left"/>
              <w:rPr>
                <w:color w:val="auto"/>
                <w:lang w:val="x-none"/>
              </w:rPr>
            </w:pPr>
            <w:r w:rsidRPr="009B2CA8">
              <w:rPr>
                <w:color w:val="auto"/>
                <w:lang w:val="x-none"/>
              </w:rPr>
              <w:t>92% of consumers and 96%</w:t>
            </w:r>
            <w:r w:rsidRPr="009B2CA8">
              <w:rPr>
                <w:color w:val="auto"/>
                <w:lang w:val="en-US"/>
              </w:rPr>
              <w:t xml:space="preserve"> </w:t>
            </w:r>
            <w:r w:rsidRPr="009B2CA8">
              <w:rPr>
                <w:color w:val="auto"/>
                <w:lang w:val="x-none"/>
              </w:rPr>
              <w:t>of providers who responded</w:t>
            </w:r>
            <w:r w:rsidRPr="009B2CA8">
              <w:rPr>
                <w:color w:val="auto"/>
                <w:lang w:val="en-US"/>
              </w:rPr>
              <w:t xml:space="preserve"> </w:t>
            </w:r>
            <w:r w:rsidRPr="009B2CA8">
              <w:rPr>
                <w:color w:val="auto"/>
                <w:lang w:val="x-none"/>
              </w:rPr>
              <w:t>to satisfaction surveys were</w:t>
            </w:r>
            <w:r w:rsidRPr="009B2CA8">
              <w:rPr>
                <w:color w:val="auto"/>
                <w:lang w:val="en-US"/>
              </w:rPr>
              <w:t xml:space="preserve"> </w:t>
            </w:r>
            <w:r w:rsidRPr="009B2CA8">
              <w:rPr>
                <w:color w:val="auto"/>
                <w:lang w:val="x-none"/>
              </w:rPr>
              <w:t>satisfied or very satisfied</w:t>
            </w:r>
            <w:r w:rsidRPr="009B2CA8">
              <w:rPr>
                <w:color w:val="auto"/>
                <w:lang w:val="en-US"/>
              </w:rPr>
              <w:t xml:space="preserve"> </w:t>
            </w:r>
            <w:r w:rsidRPr="009B2CA8">
              <w:rPr>
                <w:color w:val="auto"/>
                <w:lang w:val="x-none"/>
              </w:rPr>
              <w:t>with the Advocacy Service’s</w:t>
            </w:r>
            <w:r w:rsidRPr="009B2CA8">
              <w:rPr>
                <w:color w:val="auto"/>
                <w:lang w:val="en-US"/>
              </w:rPr>
              <w:t xml:space="preserve"> </w:t>
            </w:r>
            <w:r w:rsidRPr="009B2CA8">
              <w:rPr>
                <w:color w:val="auto"/>
                <w:lang w:val="x-none"/>
              </w:rPr>
              <w:t>complaints management</w:t>
            </w:r>
            <w:r w:rsidRPr="009B2CA8">
              <w:rPr>
                <w:color w:val="auto"/>
                <w:lang w:val="en-US"/>
              </w:rPr>
              <w:t xml:space="preserve"> </w:t>
            </w:r>
            <w:r w:rsidRPr="009B2CA8">
              <w:rPr>
                <w:color w:val="auto"/>
                <w:lang w:val="x-none"/>
              </w:rPr>
              <w:t>process</w:t>
            </w:r>
            <w:r w:rsidR="00310270">
              <w:rPr>
                <w:color w:val="auto"/>
              </w:rPr>
              <w:t>es</w:t>
            </w:r>
            <w:r w:rsidRPr="009B2CA8">
              <w:rPr>
                <w:color w:val="auto"/>
                <w:lang w:val="en-US"/>
              </w:rPr>
              <w:t>.</w:t>
            </w:r>
          </w:p>
        </w:tc>
      </w:tr>
    </w:tbl>
    <w:p w14:paraId="53769067" w14:textId="77777777" w:rsidR="00A370FD" w:rsidRPr="009B2CA8" w:rsidRDefault="00A370FD" w:rsidP="003A457B">
      <w:pPr>
        <w:spacing w:after="0"/>
      </w:pPr>
    </w:p>
    <w:p w14:paraId="020D596A" w14:textId="77777777" w:rsidR="00505AA0" w:rsidRPr="009B2CA8" w:rsidRDefault="00505AA0">
      <w:pPr>
        <w:autoSpaceDE/>
        <w:autoSpaceDN/>
        <w:adjustRightInd/>
        <w:spacing w:after="200" w:line="276" w:lineRule="auto"/>
        <w:jc w:val="left"/>
      </w:pPr>
      <w:r w:rsidRPr="009B2CA8">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27"/>
        <w:gridCol w:w="3827"/>
      </w:tblGrid>
      <w:tr w:rsidR="00505AA0" w:rsidRPr="009B2CA8" w14:paraId="43AAFD92" w14:textId="77777777" w:rsidTr="00505AA0">
        <w:trPr>
          <w:trHeight w:val="20"/>
          <w:tblHeader/>
        </w:trPr>
        <w:tc>
          <w:tcPr>
            <w:tcW w:w="14884" w:type="dxa"/>
            <w:gridSpan w:val="4"/>
            <w:tcBorders>
              <w:top w:val="single" w:sz="4" w:space="0" w:color="auto"/>
              <w:left w:val="single" w:sz="4" w:space="0" w:color="auto"/>
              <w:bottom w:val="single" w:sz="4" w:space="0" w:color="000000"/>
              <w:right w:val="single" w:sz="4" w:space="0" w:color="auto"/>
            </w:tcBorders>
            <w:shd w:val="clear" w:color="auto" w:fill="FBD4B4"/>
            <w:hideMark/>
          </w:tcPr>
          <w:p w14:paraId="6299DC72" w14:textId="072B035C" w:rsidR="00505AA0" w:rsidRPr="009B2CA8" w:rsidRDefault="00505AA0" w:rsidP="00505AA0">
            <w:pPr>
              <w:spacing w:after="0"/>
              <w:jc w:val="center"/>
              <w:rPr>
                <w:b/>
                <w:color w:val="auto"/>
              </w:rPr>
            </w:pPr>
            <w:r w:rsidRPr="009B2CA8">
              <w:rPr>
                <w:b/>
                <w:color w:val="auto"/>
              </w:rPr>
              <w:lastRenderedPageBreak/>
              <w:t>Output 1.</w:t>
            </w:r>
            <w:r w:rsidR="003E0938" w:rsidRPr="009B2CA8">
              <w:rPr>
                <w:b/>
                <w:color w:val="auto"/>
              </w:rPr>
              <w:t>3</w:t>
            </w:r>
            <w:r w:rsidRPr="009B2CA8">
              <w:rPr>
                <w:b/>
                <w:color w:val="auto"/>
              </w:rPr>
              <w:t xml:space="preserve"> — Provider Accountability</w:t>
            </w:r>
          </w:p>
        </w:tc>
      </w:tr>
      <w:tr w:rsidR="00505AA0" w:rsidRPr="009B2CA8" w14:paraId="4CE8C8BC" w14:textId="77777777" w:rsidTr="00505AA0">
        <w:trPr>
          <w:trHeight w:val="20"/>
          <w:tblHeader/>
        </w:trPr>
        <w:tc>
          <w:tcPr>
            <w:tcW w:w="340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1CEA30F" w14:textId="77777777" w:rsidR="00505AA0" w:rsidRPr="009B2CA8" w:rsidRDefault="00505AA0" w:rsidP="00505AA0">
            <w:pPr>
              <w:spacing w:after="0"/>
              <w:jc w:val="center"/>
              <w:rPr>
                <w:b/>
                <w:color w:val="auto"/>
                <w:sz w:val="22"/>
              </w:rPr>
            </w:pPr>
          </w:p>
        </w:tc>
        <w:tc>
          <w:tcPr>
            <w:tcW w:w="1148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5221D5" w14:textId="77777777" w:rsidR="00505AA0" w:rsidRPr="009B2CA8" w:rsidRDefault="00505AA0" w:rsidP="00505AA0">
            <w:pPr>
              <w:spacing w:after="0"/>
              <w:jc w:val="center"/>
              <w:rPr>
                <w:b/>
                <w:color w:val="auto"/>
              </w:rPr>
            </w:pPr>
            <w:r w:rsidRPr="009B2CA8">
              <w:rPr>
                <w:b/>
                <w:color w:val="auto"/>
              </w:rPr>
              <w:t>Performance Measures</w:t>
            </w:r>
          </w:p>
        </w:tc>
      </w:tr>
      <w:tr w:rsidR="00505AA0" w:rsidRPr="009B2CA8" w14:paraId="54499FB6" w14:textId="77777777" w:rsidTr="00505AA0">
        <w:trPr>
          <w:trHeight w:val="20"/>
          <w:tblHeader/>
        </w:trPr>
        <w:tc>
          <w:tcPr>
            <w:tcW w:w="3403" w:type="dxa"/>
            <w:vMerge/>
            <w:tcBorders>
              <w:left w:val="single" w:sz="4" w:space="0" w:color="auto"/>
              <w:bottom w:val="single" w:sz="4" w:space="0" w:color="auto"/>
              <w:right w:val="single" w:sz="4" w:space="0" w:color="auto"/>
            </w:tcBorders>
            <w:shd w:val="clear" w:color="auto" w:fill="C6D9F1" w:themeFill="text2" w:themeFillTint="33"/>
          </w:tcPr>
          <w:p w14:paraId="1969C4C4" w14:textId="77777777" w:rsidR="00505AA0" w:rsidRPr="009B2CA8" w:rsidRDefault="00505AA0" w:rsidP="00505AA0">
            <w:pPr>
              <w:spacing w:after="0"/>
              <w:jc w:val="center"/>
              <w:rPr>
                <w:b/>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AE5F55" w14:textId="77777777" w:rsidR="00505AA0" w:rsidRPr="009B2CA8" w:rsidRDefault="00505AA0" w:rsidP="00505AA0">
            <w:pPr>
              <w:keepNext/>
              <w:keepLines/>
              <w:spacing w:after="0"/>
              <w:jc w:val="center"/>
              <w:rPr>
                <w:b/>
                <w:color w:val="auto"/>
              </w:rPr>
            </w:pPr>
            <w:r w:rsidRPr="009B2CA8">
              <w:rPr>
                <w:b/>
                <w:color w:val="auto"/>
              </w:rPr>
              <w:t>2023/24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8C0857" w14:textId="77777777" w:rsidR="00505AA0" w:rsidRPr="009B2CA8" w:rsidRDefault="00505AA0" w:rsidP="00505AA0">
            <w:pPr>
              <w:keepNext/>
              <w:keepLines/>
              <w:spacing w:after="0"/>
              <w:jc w:val="center"/>
              <w:rPr>
                <w:b/>
                <w:color w:val="auto"/>
              </w:rPr>
            </w:pPr>
            <w:r w:rsidRPr="009B2CA8">
              <w:rPr>
                <w:b/>
                <w:color w:val="auto"/>
              </w:rPr>
              <w:t>2022/23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289784" w14:textId="77777777" w:rsidR="00505AA0" w:rsidRPr="009B2CA8" w:rsidRDefault="00505AA0" w:rsidP="00505AA0">
            <w:pPr>
              <w:keepNext/>
              <w:keepLines/>
              <w:spacing w:after="0"/>
              <w:jc w:val="center"/>
              <w:rPr>
                <w:b/>
                <w:color w:val="auto"/>
              </w:rPr>
            </w:pPr>
            <w:r w:rsidRPr="009B2CA8">
              <w:rPr>
                <w:b/>
                <w:color w:val="auto"/>
              </w:rPr>
              <w:t>2021/22 Actual</w:t>
            </w:r>
          </w:p>
        </w:tc>
      </w:tr>
      <w:tr w:rsidR="00505AA0" w:rsidRPr="009B2CA8" w14:paraId="078BC18A" w14:textId="77777777" w:rsidTr="00505AA0">
        <w:trPr>
          <w:trHeight w:val="20"/>
        </w:trPr>
        <w:tc>
          <w:tcPr>
            <w:tcW w:w="3403" w:type="dxa"/>
            <w:tcBorders>
              <w:top w:val="single" w:sz="4" w:space="0" w:color="auto"/>
              <w:left w:val="single" w:sz="4" w:space="0" w:color="auto"/>
              <w:bottom w:val="single" w:sz="4" w:space="0" w:color="auto"/>
              <w:right w:val="single" w:sz="4" w:space="0" w:color="auto"/>
            </w:tcBorders>
          </w:tcPr>
          <w:p w14:paraId="2780D8C5" w14:textId="034F0CD6" w:rsidR="00505AA0" w:rsidRPr="009B2CA8" w:rsidRDefault="00505AA0" w:rsidP="00505AA0">
            <w:pPr>
              <w:spacing w:after="0"/>
              <w:jc w:val="left"/>
              <w:rPr>
                <w:color w:val="auto"/>
              </w:rPr>
            </w:pPr>
            <w:r w:rsidRPr="009B2CA8">
              <w:rPr>
                <w:color w:val="auto"/>
              </w:rPr>
              <w:t xml:space="preserve">On referral of a complaint from the Commissioner, a decision is made </w:t>
            </w:r>
            <w:r w:rsidR="00692042" w:rsidRPr="009B2CA8">
              <w:rPr>
                <w:color w:val="auto"/>
              </w:rPr>
              <w:t xml:space="preserve">whether </w:t>
            </w:r>
            <w:r w:rsidRPr="009B2CA8">
              <w:rPr>
                <w:color w:val="auto"/>
              </w:rPr>
              <w:t xml:space="preserve">to take further action (including disciplinary or HRRT proceedings, or resolution by way of a restorative approach) where it is appropriate to do so </w:t>
            </w:r>
            <w:r w:rsidRPr="009B2CA8">
              <w:rPr>
                <w:i/>
                <w:color w:val="auto"/>
              </w:rPr>
              <w:t>(which contributes to achieve</w:t>
            </w:r>
            <w:r w:rsidRPr="004D1A85">
              <w:rPr>
                <w:i/>
                <w:color w:val="auto"/>
              </w:rPr>
              <w:t>ment of Strategic Objective 4)</w:t>
            </w:r>
            <w:r w:rsidRPr="004D1A85">
              <w:rPr>
                <w:color w:val="auto"/>
              </w:rPr>
              <w:t xml:space="preserve">. </w:t>
            </w:r>
          </w:p>
        </w:tc>
        <w:tc>
          <w:tcPr>
            <w:tcW w:w="3827" w:type="dxa"/>
            <w:tcBorders>
              <w:top w:val="single" w:sz="4" w:space="0" w:color="auto"/>
              <w:left w:val="single" w:sz="4" w:space="0" w:color="auto"/>
              <w:bottom w:val="single" w:sz="4" w:space="0" w:color="auto"/>
              <w:right w:val="single" w:sz="4" w:space="0" w:color="auto"/>
            </w:tcBorders>
          </w:tcPr>
          <w:p w14:paraId="59E70C21" w14:textId="30D3B1BB" w:rsidR="00692042" w:rsidRPr="009B2CA8" w:rsidRDefault="00692042" w:rsidP="00EE2F93">
            <w:pPr>
              <w:spacing w:after="0"/>
              <w:jc w:val="left"/>
              <w:rPr>
                <w:color w:val="auto"/>
              </w:rPr>
            </w:pPr>
            <w:r w:rsidRPr="009B2CA8">
              <w:rPr>
                <w:color w:val="auto"/>
              </w:rPr>
              <w:t>The Director makes decisions on compla</w:t>
            </w:r>
            <w:r w:rsidR="009F6987" w:rsidRPr="009B2CA8">
              <w:rPr>
                <w:color w:val="auto"/>
              </w:rPr>
              <w:t xml:space="preserve">ints referred to </w:t>
            </w:r>
            <w:r w:rsidR="00B62E3F">
              <w:rPr>
                <w:color w:val="auto"/>
              </w:rPr>
              <w:t>its</w:t>
            </w:r>
            <w:r w:rsidR="00B62E3F" w:rsidRPr="009B2CA8">
              <w:rPr>
                <w:color w:val="auto"/>
              </w:rPr>
              <w:t xml:space="preserve"> </w:t>
            </w:r>
            <w:r w:rsidR="009F6987" w:rsidRPr="009B2CA8">
              <w:rPr>
                <w:color w:val="auto"/>
              </w:rPr>
              <w:t xml:space="preserve">office. </w:t>
            </w:r>
          </w:p>
          <w:p w14:paraId="0FC93099" w14:textId="77777777" w:rsidR="00692042" w:rsidRPr="009B2CA8" w:rsidRDefault="00692042" w:rsidP="00692042">
            <w:pPr>
              <w:spacing w:after="0"/>
              <w:ind w:left="34"/>
              <w:jc w:val="left"/>
              <w:rPr>
                <w:color w:val="auto"/>
              </w:rPr>
            </w:pPr>
            <w:r w:rsidRPr="009B2CA8">
              <w:rPr>
                <w:color w:val="auto"/>
              </w:rPr>
              <w:t>Report on:</w:t>
            </w:r>
          </w:p>
          <w:p w14:paraId="345A128F" w14:textId="0AA1006F" w:rsidR="00692042" w:rsidRPr="009B2CA8" w:rsidRDefault="00692042" w:rsidP="00310270">
            <w:pPr>
              <w:tabs>
                <w:tab w:val="left" w:pos="341"/>
              </w:tabs>
              <w:spacing w:after="0"/>
              <w:ind w:left="349" w:hanging="315"/>
              <w:jc w:val="left"/>
              <w:rPr>
                <w:color w:val="auto"/>
              </w:rPr>
            </w:pPr>
            <w:r w:rsidRPr="009B2CA8">
              <w:rPr>
                <w:color w:val="auto"/>
              </w:rPr>
              <w:t>•</w:t>
            </w:r>
            <w:r w:rsidRPr="009B2CA8">
              <w:rPr>
                <w:color w:val="auto"/>
              </w:rPr>
              <w:tab/>
            </w:r>
            <w:r w:rsidR="00E823D4">
              <w:rPr>
                <w:color w:val="auto"/>
              </w:rPr>
              <w:t>T</w:t>
            </w:r>
            <w:r w:rsidRPr="009B2CA8">
              <w:rPr>
                <w:color w:val="auto"/>
              </w:rPr>
              <w:t>he number of providers referred to the Director.</w:t>
            </w:r>
          </w:p>
          <w:p w14:paraId="1508B444" w14:textId="616F40C4" w:rsidR="00692042" w:rsidRPr="009B2CA8" w:rsidRDefault="00E823D4" w:rsidP="00310270">
            <w:pPr>
              <w:tabs>
                <w:tab w:val="left" w:pos="341"/>
              </w:tabs>
              <w:spacing w:after="0"/>
              <w:ind w:left="34"/>
              <w:jc w:val="left"/>
              <w:rPr>
                <w:color w:val="auto"/>
              </w:rPr>
            </w:pPr>
            <w:r>
              <w:rPr>
                <w:color w:val="auto"/>
              </w:rPr>
              <w:t>•</w:t>
            </w:r>
            <w:r>
              <w:rPr>
                <w:color w:val="auto"/>
              </w:rPr>
              <w:tab/>
              <w:t>T</w:t>
            </w:r>
            <w:r w:rsidR="00692042" w:rsidRPr="009B2CA8">
              <w:rPr>
                <w:color w:val="auto"/>
              </w:rPr>
              <w:t>he number of decisions made.</w:t>
            </w:r>
          </w:p>
        </w:tc>
        <w:tc>
          <w:tcPr>
            <w:tcW w:w="3827" w:type="dxa"/>
            <w:tcBorders>
              <w:top w:val="single" w:sz="4" w:space="0" w:color="auto"/>
              <w:left w:val="single" w:sz="4" w:space="0" w:color="auto"/>
              <w:bottom w:val="single" w:sz="4" w:space="0" w:color="auto"/>
              <w:right w:val="single" w:sz="4" w:space="0" w:color="auto"/>
            </w:tcBorders>
          </w:tcPr>
          <w:p w14:paraId="09F85F1C" w14:textId="34097205" w:rsidR="00505AA0" w:rsidRPr="009B2CA8" w:rsidRDefault="00505AA0" w:rsidP="00505AA0">
            <w:pPr>
              <w:pStyle w:val="ListParagraph"/>
              <w:numPr>
                <w:ilvl w:val="0"/>
                <w:numId w:val="3"/>
              </w:numPr>
              <w:spacing w:after="0"/>
              <w:ind w:left="317" w:hanging="283"/>
              <w:jc w:val="left"/>
              <w:rPr>
                <w:color w:val="auto"/>
              </w:rPr>
            </w:pPr>
            <w:r w:rsidRPr="009B2CA8">
              <w:rPr>
                <w:color w:val="auto"/>
              </w:rPr>
              <w:t>Proceedings are taken where appropriate. Report on the number of proceedings taken.</w:t>
            </w:r>
          </w:p>
        </w:tc>
        <w:tc>
          <w:tcPr>
            <w:tcW w:w="3827" w:type="dxa"/>
            <w:tcBorders>
              <w:top w:val="single" w:sz="4" w:space="0" w:color="auto"/>
              <w:left w:val="single" w:sz="4" w:space="0" w:color="auto"/>
              <w:bottom w:val="single" w:sz="4" w:space="0" w:color="auto"/>
              <w:right w:val="single" w:sz="4" w:space="0" w:color="auto"/>
            </w:tcBorders>
          </w:tcPr>
          <w:p w14:paraId="186576D0" w14:textId="1690A78E" w:rsidR="00505AA0" w:rsidRPr="009B2CA8" w:rsidRDefault="00505AA0" w:rsidP="00505AA0">
            <w:pPr>
              <w:tabs>
                <w:tab w:val="left" w:pos="351"/>
              </w:tabs>
              <w:spacing w:after="0"/>
              <w:ind w:left="209" w:hanging="175"/>
              <w:jc w:val="left"/>
              <w:rPr>
                <w:color w:val="auto"/>
              </w:rPr>
            </w:pPr>
            <w:r w:rsidRPr="009B2CA8">
              <w:rPr>
                <w:color w:val="auto"/>
                <w:lang w:val="en-US"/>
              </w:rPr>
              <w:t>New measure</w:t>
            </w:r>
            <w:r w:rsidR="00310270">
              <w:rPr>
                <w:color w:val="auto"/>
                <w:lang w:val="en-US"/>
              </w:rPr>
              <w:t>.</w:t>
            </w:r>
          </w:p>
        </w:tc>
      </w:tr>
      <w:tr w:rsidR="00505AA0" w:rsidRPr="009B2CA8" w14:paraId="405E6028" w14:textId="77777777" w:rsidTr="00505AA0">
        <w:trPr>
          <w:trHeight w:val="20"/>
        </w:trPr>
        <w:tc>
          <w:tcPr>
            <w:tcW w:w="3403" w:type="dxa"/>
            <w:tcBorders>
              <w:top w:val="single" w:sz="4" w:space="0" w:color="auto"/>
              <w:left w:val="single" w:sz="4" w:space="0" w:color="auto"/>
              <w:bottom w:val="single" w:sz="4" w:space="0" w:color="auto"/>
              <w:right w:val="single" w:sz="4" w:space="0" w:color="auto"/>
            </w:tcBorders>
          </w:tcPr>
          <w:p w14:paraId="5275E2D6" w14:textId="00F531E8" w:rsidR="00505AA0" w:rsidRPr="009B2CA8" w:rsidRDefault="00692042" w:rsidP="008E478B">
            <w:pPr>
              <w:widowControl w:val="0"/>
              <w:spacing w:after="0"/>
              <w:ind w:left="34"/>
              <w:jc w:val="left"/>
              <w:rPr>
                <w:color w:val="auto"/>
              </w:rPr>
            </w:pPr>
            <w:r w:rsidRPr="00B62E3F">
              <w:t>Proceedings are</w:t>
            </w:r>
            <w:r w:rsidRPr="009B2CA8">
              <w:t xml:space="preserve"> taken in the relevant forum (HPDT or HRRT) where the Director determines it warranted</w:t>
            </w:r>
            <w:r w:rsidR="00B62E3F">
              <w:t xml:space="preserve"> </w:t>
            </w:r>
            <w:r w:rsidR="00505AA0" w:rsidRPr="009B2CA8">
              <w:rPr>
                <w:i/>
                <w:color w:val="auto"/>
              </w:rPr>
              <w:t>(which contributes to achievement of Strategic Objective 4)</w:t>
            </w:r>
            <w:r w:rsidR="00505AA0" w:rsidRPr="009B2CA8">
              <w:rPr>
                <w:color w:val="auto"/>
              </w:rPr>
              <w:t>.</w:t>
            </w:r>
            <w:r w:rsidR="008F6534" w:rsidRPr="009B2CA8">
              <w:rPr>
                <w:color w:val="FF0000"/>
              </w:rPr>
              <w:t xml:space="preserve"> </w:t>
            </w:r>
          </w:p>
          <w:p w14:paraId="157E9050" w14:textId="77777777" w:rsidR="00505AA0" w:rsidRPr="009B2CA8" w:rsidRDefault="00505AA0" w:rsidP="00505AA0">
            <w:pPr>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tcPr>
          <w:p w14:paraId="1BE95923" w14:textId="13B3A629" w:rsidR="00EE2F93" w:rsidRDefault="00C90962" w:rsidP="00EE2F93">
            <w:pPr>
              <w:widowControl w:val="0"/>
              <w:spacing w:after="0"/>
              <w:jc w:val="left"/>
            </w:pPr>
            <w:r w:rsidRPr="00942238">
              <w:rPr>
                <w:rFonts w:ascii="Calibri" w:hAnsi="Calibri"/>
              </w:rPr>
              <w:t>The Director takes proceedings in the HPDT and HRRT in cases where determined warranted</w:t>
            </w:r>
            <w:r w:rsidR="00E85C55">
              <w:t>.</w:t>
            </w:r>
            <w:r w:rsidR="00E85C55">
              <w:rPr>
                <w:rStyle w:val="FootnoteReference"/>
              </w:rPr>
              <w:footnoteReference w:id="3"/>
            </w:r>
          </w:p>
          <w:p w14:paraId="03A12258" w14:textId="77777777" w:rsidR="00E85C55" w:rsidRPr="009B2CA8" w:rsidRDefault="00E85C55" w:rsidP="00EE2F93">
            <w:pPr>
              <w:widowControl w:val="0"/>
              <w:spacing w:after="0"/>
              <w:jc w:val="left"/>
            </w:pPr>
          </w:p>
          <w:p w14:paraId="4A6880E7" w14:textId="01B515FF" w:rsidR="00692042" w:rsidRPr="009B2CA8" w:rsidRDefault="00692042" w:rsidP="00EE2F93">
            <w:pPr>
              <w:widowControl w:val="0"/>
              <w:spacing w:after="0"/>
              <w:jc w:val="left"/>
            </w:pPr>
            <w:r w:rsidRPr="009B2CA8">
              <w:t>In relation to both the HRRT and HPDT, report on:</w:t>
            </w:r>
          </w:p>
          <w:p w14:paraId="2625F42A" w14:textId="77B8477F" w:rsidR="00692042" w:rsidRPr="009B2CA8" w:rsidRDefault="00E823D4" w:rsidP="003C41A9">
            <w:pPr>
              <w:pStyle w:val="ListParagraph"/>
              <w:widowControl w:val="0"/>
              <w:numPr>
                <w:ilvl w:val="0"/>
                <w:numId w:val="9"/>
              </w:numPr>
              <w:autoSpaceDE/>
              <w:autoSpaceDN/>
              <w:adjustRightInd/>
              <w:spacing w:after="0"/>
              <w:ind w:left="349" w:hanging="349"/>
              <w:jc w:val="left"/>
            </w:pPr>
            <w:r>
              <w:t>N</w:t>
            </w:r>
            <w:r w:rsidR="00692042" w:rsidRPr="009B2CA8">
              <w:t>umber of proceedings filed.</w:t>
            </w:r>
          </w:p>
          <w:p w14:paraId="1914A55C" w14:textId="6AF0128C" w:rsidR="00692042" w:rsidRPr="009B2CA8" w:rsidRDefault="00E823D4" w:rsidP="003C41A9">
            <w:pPr>
              <w:pStyle w:val="ListParagraph"/>
              <w:widowControl w:val="0"/>
              <w:numPr>
                <w:ilvl w:val="0"/>
                <w:numId w:val="9"/>
              </w:numPr>
              <w:autoSpaceDE/>
              <w:autoSpaceDN/>
              <w:adjustRightInd/>
              <w:spacing w:after="0"/>
              <w:ind w:left="349" w:hanging="349"/>
              <w:jc w:val="left"/>
            </w:pPr>
            <w:r>
              <w:t>N</w:t>
            </w:r>
            <w:r w:rsidR="00692042" w:rsidRPr="009B2CA8">
              <w:t>umber of proceedings concluded.</w:t>
            </w:r>
          </w:p>
          <w:p w14:paraId="48187371" w14:textId="2E9FFBB3" w:rsidR="00692042" w:rsidRPr="009B2CA8" w:rsidRDefault="00E823D4" w:rsidP="003C41A9">
            <w:pPr>
              <w:pStyle w:val="ListParagraph"/>
              <w:widowControl w:val="0"/>
              <w:numPr>
                <w:ilvl w:val="0"/>
                <w:numId w:val="9"/>
              </w:numPr>
              <w:autoSpaceDE/>
              <w:autoSpaceDN/>
              <w:adjustRightInd/>
              <w:spacing w:after="0"/>
              <w:ind w:left="349" w:hanging="349"/>
              <w:jc w:val="left"/>
            </w:pPr>
            <w:r>
              <w:t>O</w:t>
            </w:r>
            <w:r w:rsidR="00692042" w:rsidRPr="009B2CA8">
              <w:t>utcome of proceedings concluded.</w:t>
            </w:r>
          </w:p>
          <w:p w14:paraId="33730D0D" w14:textId="2A821A1C" w:rsidR="00505AA0" w:rsidRPr="009B2CA8" w:rsidRDefault="00505AA0" w:rsidP="00505AA0">
            <w:pPr>
              <w:spacing w:after="0"/>
              <w:ind w:left="34"/>
              <w:jc w:val="left"/>
              <w:rPr>
                <w:color w:val="auto"/>
                <w:highlight w:val="yellow"/>
              </w:rPr>
            </w:pPr>
          </w:p>
        </w:tc>
        <w:tc>
          <w:tcPr>
            <w:tcW w:w="3827" w:type="dxa"/>
            <w:tcBorders>
              <w:top w:val="single" w:sz="4" w:space="0" w:color="auto"/>
              <w:left w:val="single" w:sz="4" w:space="0" w:color="auto"/>
              <w:bottom w:val="single" w:sz="4" w:space="0" w:color="auto"/>
              <w:right w:val="single" w:sz="4" w:space="0" w:color="auto"/>
            </w:tcBorders>
          </w:tcPr>
          <w:p w14:paraId="079C9E4A" w14:textId="1272F1F1" w:rsidR="00505AA0" w:rsidRPr="009B2CA8" w:rsidRDefault="00505AA0" w:rsidP="00505AA0">
            <w:pPr>
              <w:pStyle w:val="ListParagraph"/>
              <w:numPr>
                <w:ilvl w:val="0"/>
                <w:numId w:val="3"/>
              </w:numPr>
              <w:spacing w:after="0"/>
              <w:ind w:left="317" w:hanging="283"/>
              <w:jc w:val="left"/>
              <w:rPr>
                <w:color w:val="auto"/>
              </w:rPr>
            </w:pPr>
            <w:r w:rsidRPr="009B2CA8">
              <w:rPr>
                <w:color w:val="auto"/>
              </w:rPr>
              <w:t>Professional misconduct is found in 75% of disciplinary proceedings.</w:t>
            </w:r>
          </w:p>
          <w:p w14:paraId="5EB852C9" w14:textId="77777777" w:rsidR="009F6987" w:rsidRPr="009B2CA8" w:rsidRDefault="009F6987" w:rsidP="009F6987">
            <w:pPr>
              <w:spacing w:after="0"/>
              <w:jc w:val="left"/>
              <w:rPr>
                <w:color w:val="auto"/>
              </w:rPr>
            </w:pPr>
          </w:p>
          <w:p w14:paraId="1A5E5448" w14:textId="33DD1524" w:rsidR="009F6987" w:rsidRPr="009B2CA8" w:rsidRDefault="009F6987" w:rsidP="009F6987">
            <w:pPr>
              <w:pStyle w:val="ListParagraph"/>
              <w:numPr>
                <w:ilvl w:val="0"/>
                <w:numId w:val="3"/>
              </w:numPr>
              <w:spacing w:after="0"/>
              <w:ind w:left="317" w:hanging="283"/>
              <w:jc w:val="left"/>
              <w:rPr>
                <w:color w:val="auto"/>
              </w:rPr>
            </w:pPr>
            <w:r w:rsidRPr="009B2CA8">
              <w:rPr>
                <w:color w:val="auto"/>
              </w:rPr>
              <w:t>A breach of the Code is found in 75% of HRRT proceedings.</w:t>
            </w:r>
          </w:p>
          <w:p w14:paraId="4380DCEC" w14:textId="703EB6F6" w:rsidR="009F6987" w:rsidRPr="009B2CA8" w:rsidRDefault="009F6987" w:rsidP="009F6987">
            <w:pPr>
              <w:spacing w:after="0"/>
              <w:jc w:val="left"/>
              <w:rPr>
                <w:color w:val="auto"/>
              </w:rPr>
            </w:pPr>
          </w:p>
          <w:p w14:paraId="30FDF9B3" w14:textId="77777777" w:rsidR="009F6987" w:rsidRPr="009B2CA8" w:rsidRDefault="009F6987" w:rsidP="009F6987">
            <w:pPr>
              <w:spacing w:after="0"/>
              <w:jc w:val="left"/>
              <w:rPr>
                <w:color w:val="auto"/>
              </w:rPr>
            </w:pPr>
          </w:p>
          <w:p w14:paraId="6100B67C" w14:textId="698E18F5" w:rsidR="009F6987" w:rsidRPr="009B2CA8" w:rsidRDefault="009F6987" w:rsidP="009F6987">
            <w:pPr>
              <w:pStyle w:val="ListParagraph"/>
              <w:numPr>
                <w:ilvl w:val="0"/>
                <w:numId w:val="3"/>
              </w:numPr>
              <w:spacing w:after="0"/>
              <w:ind w:left="317" w:hanging="283"/>
              <w:jc w:val="left"/>
              <w:rPr>
                <w:color w:val="auto"/>
              </w:rPr>
            </w:pPr>
            <w:r w:rsidRPr="009B2CA8">
              <w:rPr>
                <w:color w:val="auto"/>
              </w:rPr>
              <w:t>An award of damages is made in 75% of cases where damages are sought.</w:t>
            </w:r>
          </w:p>
          <w:p w14:paraId="0B605A4E" w14:textId="77777777" w:rsidR="009F6987" w:rsidRPr="009B2CA8" w:rsidRDefault="009F6987" w:rsidP="009F6987">
            <w:pPr>
              <w:spacing w:after="0"/>
              <w:jc w:val="left"/>
              <w:rPr>
                <w:color w:val="auto"/>
              </w:rPr>
            </w:pPr>
          </w:p>
          <w:p w14:paraId="5FC88A35" w14:textId="5D19D11B" w:rsidR="009F6987" w:rsidRPr="009B2CA8" w:rsidRDefault="009F6987" w:rsidP="009F6987">
            <w:pPr>
              <w:pStyle w:val="ListParagraph"/>
              <w:numPr>
                <w:ilvl w:val="0"/>
                <w:numId w:val="3"/>
              </w:numPr>
              <w:spacing w:after="0"/>
              <w:ind w:left="317" w:hanging="283"/>
              <w:jc w:val="left"/>
              <w:rPr>
                <w:color w:val="auto"/>
              </w:rPr>
            </w:pPr>
            <w:r w:rsidRPr="009B2CA8">
              <w:rPr>
                <w:color w:val="auto"/>
              </w:rPr>
              <w:t>An agreed outcome is reached in 75% of cases in which a restorative approach is adopted.</w:t>
            </w:r>
          </w:p>
        </w:tc>
        <w:tc>
          <w:tcPr>
            <w:tcW w:w="3827" w:type="dxa"/>
            <w:tcBorders>
              <w:top w:val="single" w:sz="4" w:space="0" w:color="auto"/>
              <w:left w:val="single" w:sz="4" w:space="0" w:color="auto"/>
              <w:bottom w:val="single" w:sz="4" w:space="0" w:color="auto"/>
              <w:right w:val="single" w:sz="4" w:space="0" w:color="auto"/>
            </w:tcBorders>
          </w:tcPr>
          <w:p w14:paraId="7BEDA5DD" w14:textId="77777777" w:rsidR="00505AA0" w:rsidRPr="009B2CA8" w:rsidRDefault="00505AA0" w:rsidP="009F6987">
            <w:pPr>
              <w:pStyle w:val="ListParagraph"/>
              <w:numPr>
                <w:ilvl w:val="0"/>
                <w:numId w:val="3"/>
              </w:numPr>
              <w:spacing w:after="0"/>
              <w:ind w:left="317" w:hanging="283"/>
              <w:jc w:val="left"/>
              <w:rPr>
                <w:color w:val="auto"/>
              </w:rPr>
            </w:pPr>
            <w:r w:rsidRPr="009B2CA8">
              <w:rPr>
                <w:color w:val="auto"/>
              </w:rPr>
              <w:t>For the year ended 30 June 2022, professional misconduct was found in 100% (2 of 2) of disciplinary proceedings.</w:t>
            </w:r>
          </w:p>
          <w:p w14:paraId="4D5D7C0B" w14:textId="77777777" w:rsidR="009F6987" w:rsidRPr="009B2CA8" w:rsidRDefault="009F6987" w:rsidP="009F6987">
            <w:pPr>
              <w:pStyle w:val="ListParagraph"/>
              <w:numPr>
                <w:ilvl w:val="0"/>
                <w:numId w:val="3"/>
              </w:numPr>
              <w:spacing w:after="0"/>
              <w:ind w:left="317" w:hanging="283"/>
              <w:jc w:val="left"/>
              <w:rPr>
                <w:color w:val="auto"/>
              </w:rPr>
            </w:pPr>
            <w:r w:rsidRPr="009B2CA8">
              <w:rPr>
                <w:color w:val="auto"/>
              </w:rPr>
              <w:t>For the year ended 30 June 2022, a breach of the Code was found in 100% (12 out of 12) of HRRT proceedings concluded.</w:t>
            </w:r>
          </w:p>
          <w:p w14:paraId="66839973" w14:textId="77777777" w:rsidR="009F6987" w:rsidRPr="009B2CA8" w:rsidRDefault="009F6987" w:rsidP="009F6987">
            <w:pPr>
              <w:pStyle w:val="ListParagraph"/>
              <w:numPr>
                <w:ilvl w:val="0"/>
                <w:numId w:val="3"/>
              </w:numPr>
              <w:spacing w:after="0"/>
              <w:ind w:left="317" w:hanging="283"/>
              <w:jc w:val="left"/>
              <w:rPr>
                <w:color w:val="auto"/>
              </w:rPr>
            </w:pPr>
            <w:r w:rsidRPr="009B2CA8">
              <w:rPr>
                <w:color w:val="auto"/>
              </w:rPr>
              <w:t>For the year ended 30 June 2022, an award was made in 100% (10 of 10) of cases where damages were sought.</w:t>
            </w:r>
          </w:p>
          <w:p w14:paraId="2B6AEEF8" w14:textId="687559FD" w:rsidR="009F6987" w:rsidRPr="009B2CA8" w:rsidRDefault="009F6987" w:rsidP="009F6987">
            <w:pPr>
              <w:pStyle w:val="ListParagraph"/>
              <w:numPr>
                <w:ilvl w:val="0"/>
                <w:numId w:val="3"/>
              </w:numPr>
              <w:spacing w:after="0"/>
              <w:ind w:left="317" w:hanging="283"/>
              <w:jc w:val="left"/>
              <w:rPr>
                <w:color w:val="auto"/>
              </w:rPr>
            </w:pPr>
            <w:r w:rsidRPr="009B2CA8">
              <w:rPr>
                <w:color w:val="auto"/>
              </w:rPr>
              <w:t>For the year ended 30 June 2022, an agreed outcome was reached in 100% (4 of 4) of cases in which a restorative approach was adopted.</w:t>
            </w:r>
          </w:p>
        </w:tc>
      </w:tr>
    </w:tbl>
    <w:p w14:paraId="7CEB20B0" w14:textId="638EB4B7" w:rsidR="003B22F5" w:rsidRPr="009B2CA8" w:rsidRDefault="003B22F5" w:rsidP="00942238">
      <w:pPr>
        <w:pStyle w:val="Heading2"/>
      </w:pPr>
      <w:bookmarkStart w:id="40" w:name="_Toc101344204"/>
      <w:bookmarkStart w:id="41" w:name="_Toc138852563"/>
      <w:r w:rsidRPr="009B2CA8">
        <w:lastRenderedPageBreak/>
        <w:t xml:space="preserve">Output Class 2 — </w:t>
      </w:r>
      <w:r w:rsidR="00D45738" w:rsidRPr="009B2CA8">
        <w:t>Promotion and education</w:t>
      </w:r>
      <w:bookmarkEnd w:id="40"/>
      <w:bookmarkEnd w:id="41"/>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27"/>
        <w:gridCol w:w="10"/>
        <w:gridCol w:w="3817"/>
      </w:tblGrid>
      <w:tr w:rsidR="003B22F5" w:rsidRPr="009B2CA8" w14:paraId="696783B9" w14:textId="77777777" w:rsidTr="0070281A">
        <w:tc>
          <w:tcPr>
            <w:tcW w:w="14884" w:type="dxa"/>
            <w:gridSpan w:val="5"/>
            <w:tcBorders>
              <w:top w:val="single" w:sz="4" w:space="0" w:color="auto"/>
              <w:left w:val="single" w:sz="4" w:space="0" w:color="auto"/>
              <w:bottom w:val="single" w:sz="4" w:space="0" w:color="000000"/>
              <w:right w:val="single" w:sz="4" w:space="0" w:color="auto"/>
            </w:tcBorders>
            <w:shd w:val="clear" w:color="auto" w:fill="FBD4B4"/>
            <w:hideMark/>
          </w:tcPr>
          <w:p w14:paraId="71732536" w14:textId="22E29DCA" w:rsidR="003B22F5" w:rsidRPr="009B2CA8" w:rsidRDefault="003B22F5" w:rsidP="00505AA0">
            <w:pPr>
              <w:spacing w:after="0"/>
              <w:jc w:val="center"/>
              <w:rPr>
                <w:b/>
                <w:color w:val="auto"/>
              </w:rPr>
            </w:pPr>
            <w:r w:rsidRPr="009B2CA8">
              <w:rPr>
                <w:color w:val="auto"/>
              </w:rPr>
              <w:br w:type="page"/>
            </w:r>
            <w:r w:rsidRPr="009B2CA8">
              <w:rPr>
                <w:b/>
                <w:color w:val="auto"/>
              </w:rPr>
              <w:t>Output 2.</w:t>
            </w:r>
            <w:r w:rsidR="00505AA0" w:rsidRPr="009B2CA8">
              <w:rPr>
                <w:b/>
                <w:color w:val="auto"/>
              </w:rPr>
              <w:t>1</w:t>
            </w:r>
            <w:r w:rsidRPr="009B2CA8">
              <w:rPr>
                <w:b/>
                <w:color w:val="auto"/>
              </w:rPr>
              <w:t xml:space="preserve"> — </w:t>
            </w:r>
            <w:r w:rsidRPr="009B2CA8">
              <w:rPr>
                <w:rFonts w:eastAsiaTheme="minorHAnsi"/>
                <w:b/>
                <w:color w:val="auto"/>
              </w:rPr>
              <w:t xml:space="preserve">Access to Advocacy </w:t>
            </w:r>
          </w:p>
        </w:tc>
      </w:tr>
      <w:tr w:rsidR="003B22F5" w:rsidRPr="009B2CA8" w14:paraId="593D5BE7" w14:textId="77777777" w:rsidTr="0070281A">
        <w:trPr>
          <w:trHeight w:val="285"/>
        </w:trPr>
        <w:tc>
          <w:tcPr>
            <w:tcW w:w="340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3354878" w14:textId="77777777" w:rsidR="003B22F5" w:rsidRPr="009B2CA8" w:rsidRDefault="003B22F5" w:rsidP="003A457B">
            <w:pPr>
              <w:spacing w:after="0"/>
              <w:jc w:val="center"/>
              <w:rPr>
                <w:b/>
                <w:color w:val="auto"/>
                <w:sz w:val="22"/>
              </w:rPr>
            </w:pPr>
          </w:p>
        </w:tc>
        <w:tc>
          <w:tcPr>
            <w:tcW w:w="1148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29EB86" w14:textId="77777777" w:rsidR="003B22F5" w:rsidRPr="009B2CA8" w:rsidRDefault="003B22F5" w:rsidP="003A457B">
            <w:pPr>
              <w:spacing w:after="0"/>
              <w:jc w:val="center"/>
              <w:rPr>
                <w:b/>
                <w:color w:val="auto"/>
              </w:rPr>
            </w:pPr>
            <w:r w:rsidRPr="009B2CA8">
              <w:rPr>
                <w:b/>
                <w:color w:val="auto"/>
              </w:rPr>
              <w:t>Performance Measures</w:t>
            </w:r>
          </w:p>
        </w:tc>
      </w:tr>
      <w:tr w:rsidR="003B22F5" w:rsidRPr="009B2CA8" w14:paraId="48C36A8A" w14:textId="77777777" w:rsidTr="0070281A">
        <w:trPr>
          <w:trHeight w:val="285"/>
        </w:trPr>
        <w:tc>
          <w:tcPr>
            <w:tcW w:w="3403" w:type="dxa"/>
            <w:vMerge/>
            <w:tcBorders>
              <w:left w:val="single" w:sz="4" w:space="0" w:color="auto"/>
              <w:bottom w:val="single" w:sz="4" w:space="0" w:color="auto"/>
              <w:right w:val="single" w:sz="4" w:space="0" w:color="auto"/>
            </w:tcBorders>
            <w:shd w:val="clear" w:color="auto" w:fill="C6D9F1" w:themeFill="text2" w:themeFillTint="33"/>
          </w:tcPr>
          <w:p w14:paraId="21FBA03C" w14:textId="77777777" w:rsidR="003B22F5" w:rsidRPr="009B2CA8" w:rsidRDefault="003B22F5" w:rsidP="003A457B">
            <w:pPr>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3EE62D" w14:textId="7D743B46" w:rsidR="003B22F5" w:rsidRPr="009B2CA8" w:rsidRDefault="003B22F5" w:rsidP="003A457B">
            <w:pPr>
              <w:keepNext/>
              <w:keepLines/>
              <w:spacing w:after="0"/>
              <w:jc w:val="center"/>
              <w:rPr>
                <w:b/>
                <w:color w:val="auto"/>
              </w:rPr>
            </w:pPr>
            <w:r w:rsidRPr="009B2CA8">
              <w:rPr>
                <w:b/>
                <w:color w:val="auto"/>
              </w:rPr>
              <w:t>202</w:t>
            </w:r>
            <w:r w:rsidR="007A0CBA" w:rsidRPr="009B2CA8">
              <w:rPr>
                <w:b/>
                <w:color w:val="auto"/>
              </w:rPr>
              <w:t>3</w:t>
            </w:r>
            <w:r w:rsidRPr="009B2CA8">
              <w:rPr>
                <w:b/>
                <w:color w:val="auto"/>
              </w:rPr>
              <w:t>/2</w:t>
            </w:r>
            <w:r w:rsidR="007A0CBA" w:rsidRPr="009B2CA8">
              <w:rPr>
                <w:b/>
                <w:color w:val="auto"/>
              </w:rPr>
              <w:t>4</w:t>
            </w:r>
            <w:r w:rsidRPr="009B2CA8">
              <w:rPr>
                <w:b/>
                <w:color w:val="auto"/>
              </w:rPr>
              <w:t xml:space="preserve"> </w:t>
            </w:r>
            <w:r w:rsidR="009B0B69" w:rsidRPr="009B2CA8">
              <w:rPr>
                <w:b/>
                <w:color w:val="auto"/>
              </w:rPr>
              <w:t xml:space="preserve">SPE </w:t>
            </w:r>
            <w:r w:rsidRPr="009B2CA8">
              <w:rPr>
                <w:b/>
                <w:color w:val="auto"/>
              </w:rPr>
              <w:t>Target</w:t>
            </w:r>
          </w:p>
        </w:tc>
        <w:tc>
          <w:tcPr>
            <w:tcW w:w="38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113806" w14:textId="5A2BEE8D" w:rsidR="003B22F5" w:rsidRPr="009B2CA8" w:rsidRDefault="007A0CBA" w:rsidP="003A457B">
            <w:pPr>
              <w:keepNext/>
              <w:keepLines/>
              <w:spacing w:after="0"/>
              <w:jc w:val="center"/>
              <w:rPr>
                <w:b/>
                <w:color w:val="auto"/>
              </w:rPr>
            </w:pPr>
            <w:r w:rsidRPr="009B2CA8">
              <w:rPr>
                <w:b/>
                <w:color w:val="auto"/>
              </w:rPr>
              <w:t>2022/23 SPE Target</w:t>
            </w:r>
          </w:p>
        </w:tc>
        <w:tc>
          <w:tcPr>
            <w:tcW w:w="38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9EF255" w14:textId="2CB91C37" w:rsidR="003B22F5" w:rsidRPr="009B2CA8" w:rsidRDefault="003B22F5" w:rsidP="003A457B">
            <w:pPr>
              <w:keepNext/>
              <w:keepLines/>
              <w:spacing w:after="0"/>
              <w:jc w:val="center"/>
              <w:rPr>
                <w:b/>
                <w:color w:val="auto"/>
              </w:rPr>
            </w:pPr>
            <w:r w:rsidRPr="009B2CA8">
              <w:rPr>
                <w:b/>
                <w:color w:val="auto"/>
              </w:rPr>
              <w:t>202</w:t>
            </w:r>
            <w:r w:rsidR="007A0CBA" w:rsidRPr="009B2CA8">
              <w:rPr>
                <w:b/>
                <w:color w:val="auto"/>
              </w:rPr>
              <w:t>1</w:t>
            </w:r>
            <w:r w:rsidRPr="009B2CA8">
              <w:rPr>
                <w:b/>
                <w:color w:val="auto"/>
              </w:rPr>
              <w:t>/2</w:t>
            </w:r>
            <w:r w:rsidR="007A0CBA" w:rsidRPr="009B2CA8">
              <w:rPr>
                <w:b/>
                <w:color w:val="auto"/>
              </w:rPr>
              <w:t>2</w:t>
            </w:r>
            <w:r w:rsidRPr="009B2CA8">
              <w:rPr>
                <w:b/>
                <w:color w:val="auto"/>
              </w:rPr>
              <w:t xml:space="preserve"> Actual</w:t>
            </w:r>
          </w:p>
        </w:tc>
      </w:tr>
      <w:tr w:rsidR="003B22F5" w:rsidRPr="009B2CA8" w14:paraId="09B3743B" w14:textId="77777777" w:rsidTr="0070281A">
        <w:trPr>
          <w:trHeight w:val="1130"/>
        </w:trPr>
        <w:tc>
          <w:tcPr>
            <w:tcW w:w="3403" w:type="dxa"/>
            <w:tcBorders>
              <w:top w:val="single" w:sz="4" w:space="0" w:color="auto"/>
              <w:left w:val="single" w:sz="4" w:space="0" w:color="auto"/>
              <w:right w:val="single" w:sz="4" w:space="0" w:color="auto"/>
            </w:tcBorders>
          </w:tcPr>
          <w:p w14:paraId="69537860" w14:textId="62FB227B" w:rsidR="003B22F5" w:rsidRPr="009B2CA8" w:rsidRDefault="003B22F5" w:rsidP="00FF0C55">
            <w:pPr>
              <w:spacing w:after="0"/>
              <w:jc w:val="left"/>
              <w:rPr>
                <w:color w:val="FF0000"/>
              </w:rPr>
            </w:pPr>
            <w:r w:rsidRPr="009B2CA8">
              <w:rPr>
                <w:color w:val="auto"/>
              </w:rPr>
              <w:t xml:space="preserve">Network to promote awareness of the Code and access to the Advocacy Service in local communities </w:t>
            </w:r>
            <w:r w:rsidRPr="009B2CA8">
              <w:rPr>
                <w:i/>
                <w:color w:val="auto"/>
              </w:rPr>
              <w:t xml:space="preserve">(which contributes to achievement of Strategic Objective </w:t>
            </w:r>
            <w:r w:rsidR="00FF0C55" w:rsidRPr="009B2CA8">
              <w:rPr>
                <w:i/>
                <w:color w:val="auto"/>
              </w:rPr>
              <w:t>3</w:t>
            </w:r>
            <w:r w:rsidRPr="009B2CA8">
              <w:rPr>
                <w:i/>
                <w:color w:val="auto"/>
              </w:rPr>
              <w:t>)</w:t>
            </w:r>
            <w:r w:rsidRPr="009B2CA8">
              <w:rPr>
                <w:color w:val="auto"/>
              </w:rPr>
              <w:t>.</w:t>
            </w:r>
          </w:p>
          <w:p w14:paraId="3AA47225" w14:textId="77777777" w:rsidR="00FF0C55" w:rsidRPr="009B2CA8" w:rsidRDefault="00FF0C55" w:rsidP="00FF0C55">
            <w:pPr>
              <w:spacing w:after="0"/>
              <w:jc w:val="left"/>
              <w:rPr>
                <w:color w:val="FF0000"/>
              </w:rPr>
            </w:pPr>
          </w:p>
          <w:p w14:paraId="0BDB164D" w14:textId="03A5E1FC" w:rsidR="00FF0C55" w:rsidRPr="009B2CA8" w:rsidRDefault="00FF0C55" w:rsidP="00FF0C55">
            <w:pPr>
              <w:spacing w:after="0"/>
              <w:jc w:val="left"/>
              <w:rPr>
                <w:color w:val="auto"/>
              </w:rPr>
            </w:pPr>
          </w:p>
        </w:tc>
        <w:tc>
          <w:tcPr>
            <w:tcW w:w="3827" w:type="dxa"/>
            <w:tcBorders>
              <w:top w:val="single" w:sz="4" w:space="0" w:color="auto"/>
              <w:left w:val="single" w:sz="4" w:space="0" w:color="auto"/>
              <w:right w:val="single" w:sz="4" w:space="0" w:color="auto"/>
            </w:tcBorders>
          </w:tcPr>
          <w:p w14:paraId="6EF341D1" w14:textId="77777777" w:rsidR="003B22F5" w:rsidRPr="009B2CA8" w:rsidRDefault="003B22F5" w:rsidP="003A457B">
            <w:pPr>
              <w:spacing w:after="0"/>
              <w:jc w:val="left"/>
              <w:rPr>
                <w:color w:val="auto"/>
              </w:rPr>
            </w:pPr>
            <w:r w:rsidRPr="009B2CA8">
              <w:rPr>
                <w:color w:val="auto"/>
              </w:rPr>
              <w:t xml:space="preserve">Advocates carry out 3,500 scheduled visits or meetings with community groups and provider organisations for the purpose of providing information about the Code, HDC, and the Advocacy Service. </w:t>
            </w:r>
          </w:p>
          <w:p w14:paraId="0530D176" w14:textId="77777777" w:rsidR="003B22F5" w:rsidRPr="009B2CA8" w:rsidRDefault="003B22F5" w:rsidP="003A457B">
            <w:pPr>
              <w:spacing w:after="0"/>
              <w:jc w:val="left"/>
              <w:rPr>
                <w:color w:val="auto"/>
              </w:rPr>
            </w:pPr>
          </w:p>
          <w:p w14:paraId="3CE049F3" w14:textId="77777777" w:rsidR="003B22F5" w:rsidRPr="009B2CA8" w:rsidRDefault="003B22F5" w:rsidP="003A457B">
            <w:pPr>
              <w:spacing w:after="0"/>
              <w:jc w:val="left"/>
              <w:rPr>
                <w:color w:val="auto"/>
              </w:rPr>
            </w:pPr>
            <w:r w:rsidRPr="009B2CA8">
              <w:rPr>
                <w:color w:val="auto"/>
              </w:rPr>
              <w:t>At least 75% of these visits and meetings are focused on vulnerable consumers (including those in residential aged care and disability services, inpatient mental health services and prisons) and the family/whānau members who support them.</w:t>
            </w:r>
            <w:r w:rsidRPr="009B2CA8">
              <w:rPr>
                <w:color w:val="auto"/>
                <w:szCs w:val="23"/>
              </w:rPr>
              <w:t xml:space="preserve"> </w:t>
            </w:r>
          </w:p>
          <w:p w14:paraId="0381BDF5" w14:textId="77777777" w:rsidR="003B22F5" w:rsidRPr="009B2CA8" w:rsidRDefault="003B22F5" w:rsidP="003A457B">
            <w:pPr>
              <w:spacing w:after="0"/>
              <w:jc w:val="left"/>
              <w:rPr>
                <w:color w:val="auto"/>
                <w:highlight w:val="yellow"/>
              </w:rPr>
            </w:pPr>
          </w:p>
        </w:tc>
        <w:tc>
          <w:tcPr>
            <w:tcW w:w="3837" w:type="dxa"/>
            <w:gridSpan w:val="2"/>
            <w:tcBorders>
              <w:top w:val="single" w:sz="4" w:space="0" w:color="auto"/>
              <w:left w:val="single" w:sz="4" w:space="0" w:color="auto"/>
              <w:right w:val="single" w:sz="4" w:space="0" w:color="auto"/>
            </w:tcBorders>
          </w:tcPr>
          <w:p w14:paraId="236108D8" w14:textId="77777777" w:rsidR="003B22F5" w:rsidRPr="009B2CA8" w:rsidRDefault="003B22F5" w:rsidP="003A457B">
            <w:pPr>
              <w:spacing w:after="0"/>
              <w:jc w:val="left"/>
              <w:rPr>
                <w:color w:val="auto"/>
              </w:rPr>
            </w:pPr>
            <w:r w:rsidRPr="009B2CA8">
              <w:rPr>
                <w:color w:val="auto"/>
              </w:rPr>
              <w:t xml:space="preserve">Advocates carry out 3,500 scheduled visits or meetings with community groups and provider organisations for the purpose of providing information about the Code, HDC, and the Advocacy Service. </w:t>
            </w:r>
          </w:p>
          <w:p w14:paraId="5C9CF9B8" w14:textId="77777777" w:rsidR="003B22F5" w:rsidRPr="009B2CA8" w:rsidRDefault="003B22F5" w:rsidP="003A457B">
            <w:pPr>
              <w:spacing w:after="0"/>
              <w:jc w:val="left"/>
              <w:rPr>
                <w:color w:val="auto"/>
              </w:rPr>
            </w:pPr>
          </w:p>
          <w:p w14:paraId="0D24EAFA" w14:textId="77777777" w:rsidR="003B22F5" w:rsidRPr="009B2CA8" w:rsidRDefault="003B22F5" w:rsidP="003A457B">
            <w:pPr>
              <w:spacing w:after="0"/>
              <w:jc w:val="left"/>
              <w:rPr>
                <w:color w:val="auto"/>
              </w:rPr>
            </w:pPr>
            <w:r w:rsidRPr="009B2CA8">
              <w:rPr>
                <w:color w:val="auto"/>
              </w:rPr>
              <w:t xml:space="preserve">At least 75% of these visits and meetings are focused on vulnerable consumers (including those in residential aged care and disability services, inpatient mental health services and prisons) and the family/whānau members who support them. </w:t>
            </w:r>
          </w:p>
          <w:p w14:paraId="5C573835" w14:textId="77777777" w:rsidR="003B22F5" w:rsidRPr="009B2CA8" w:rsidRDefault="003B22F5" w:rsidP="003A457B">
            <w:pPr>
              <w:spacing w:after="0"/>
              <w:jc w:val="left"/>
              <w:rPr>
                <w:color w:val="auto"/>
              </w:rPr>
            </w:pPr>
          </w:p>
        </w:tc>
        <w:tc>
          <w:tcPr>
            <w:tcW w:w="3817" w:type="dxa"/>
            <w:tcBorders>
              <w:top w:val="single" w:sz="4" w:space="0" w:color="auto"/>
              <w:left w:val="single" w:sz="4" w:space="0" w:color="auto"/>
              <w:right w:val="single" w:sz="4" w:space="0" w:color="auto"/>
            </w:tcBorders>
          </w:tcPr>
          <w:p w14:paraId="19143CB9" w14:textId="77777777" w:rsidR="003B22F5" w:rsidRPr="009B2CA8" w:rsidRDefault="003B22F5" w:rsidP="003A457B">
            <w:pPr>
              <w:spacing w:after="0"/>
              <w:rPr>
                <w:b/>
                <w:color w:val="auto"/>
                <w:lang w:eastAsia="en-NZ"/>
              </w:rPr>
            </w:pPr>
            <w:r w:rsidRPr="009B2CA8">
              <w:rPr>
                <w:b/>
                <w:color w:val="auto"/>
                <w:lang w:eastAsia="en-NZ"/>
              </w:rPr>
              <w:t>Certified aged care facilities</w:t>
            </w:r>
          </w:p>
          <w:p w14:paraId="386A3529" w14:textId="6B0F8D92" w:rsidR="003B22F5" w:rsidRPr="009B2CA8" w:rsidRDefault="007A0CBA" w:rsidP="003A457B">
            <w:pPr>
              <w:spacing w:after="0"/>
              <w:jc w:val="left"/>
              <w:rPr>
                <w:color w:val="auto"/>
                <w:lang w:val="x-none" w:eastAsia="en-NZ"/>
              </w:rPr>
            </w:pPr>
            <w:r w:rsidRPr="009B2CA8">
              <w:rPr>
                <w:color w:val="auto"/>
                <w:lang w:val="x-none" w:eastAsia="en-NZ"/>
              </w:rPr>
              <w:t>For the year ended 30 June</w:t>
            </w:r>
            <w:r w:rsidRPr="009B2CA8">
              <w:rPr>
                <w:color w:val="auto"/>
                <w:lang w:val="en-US" w:eastAsia="en-NZ"/>
              </w:rPr>
              <w:t xml:space="preserve"> </w:t>
            </w:r>
            <w:r w:rsidRPr="009B2CA8">
              <w:rPr>
                <w:color w:val="auto"/>
                <w:lang w:val="x-none" w:eastAsia="en-NZ"/>
              </w:rPr>
              <w:t>2022, 3,304 scheduled visits</w:t>
            </w:r>
            <w:r w:rsidRPr="009B2CA8">
              <w:rPr>
                <w:color w:val="auto"/>
                <w:lang w:val="en-US" w:eastAsia="en-NZ"/>
              </w:rPr>
              <w:t xml:space="preserve"> </w:t>
            </w:r>
            <w:r w:rsidRPr="009B2CA8">
              <w:rPr>
                <w:color w:val="auto"/>
                <w:lang w:val="x-none" w:eastAsia="en-NZ"/>
              </w:rPr>
              <w:t>or meetings with community</w:t>
            </w:r>
            <w:r w:rsidRPr="009B2CA8">
              <w:rPr>
                <w:color w:val="auto"/>
                <w:lang w:val="en-US" w:eastAsia="en-NZ"/>
              </w:rPr>
              <w:t xml:space="preserve"> </w:t>
            </w:r>
            <w:r w:rsidRPr="009B2CA8">
              <w:rPr>
                <w:color w:val="auto"/>
                <w:lang w:val="x-none" w:eastAsia="en-NZ"/>
              </w:rPr>
              <w:t>groups and provider</w:t>
            </w:r>
            <w:r w:rsidRPr="009B2CA8">
              <w:rPr>
                <w:color w:val="auto"/>
                <w:lang w:val="en-US" w:eastAsia="en-NZ"/>
              </w:rPr>
              <w:t xml:space="preserve"> </w:t>
            </w:r>
            <w:r w:rsidRPr="009B2CA8">
              <w:rPr>
                <w:color w:val="auto"/>
                <w:lang w:val="x-none" w:eastAsia="en-NZ"/>
              </w:rPr>
              <w:t>organisations were carried out.</w:t>
            </w:r>
          </w:p>
          <w:p w14:paraId="5F4AB2C8" w14:textId="77777777" w:rsidR="007A0CBA" w:rsidRPr="009B2CA8" w:rsidRDefault="007A0CBA" w:rsidP="003A457B">
            <w:pPr>
              <w:spacing w:after="0"/>
              <w:jc w:val="left"/>
              <w:rPr>
                <w:color w:val="auto"/>
                <w:lang w:eastAsia="en-NZ"/>
              </w:rPr>
            </w:pPr>
          </w:p>
          <w:p w14:paraId="5D864953" w14:textId="731822F4" w:rsidR="003B22F5" w:rsidRPr="009B2CA8" w:rsidRDefault="007A0CBA" w:rsidP="003A457B">
            <w:pPr>
              <w:spacing w:after="0"/>
              <w:jc w:val="left"/>
              <w:rPr>
                <w:color w:val="auto"/>
                <w:lang w:eastAsia="en-NZ"/>
              </w:rPr>
            </w:pPr>
            <w:r w:rsidRPr="009B2CA8">
              <w:rPr>
                <w:color w:val="auto"/>
                <w:lang w:eastAsia="en-NZ"/>
              </w:rPr>
              <w:t>80% were focused on vulnerable consumers and the family/whānau members who support them. These include 947 aged-care and residential disability facility visits.</w:t>
            </w:r>
          </w:p>
          <w:p w14:paraId="03B7D06B" w14:textId="77777777" w:rsidR="003B22F5" w:rsidRPr="009B2CA8" w:rsidRDefault="003B22F5" w:rsidP="003A457B">
            <w:pPr>
              <w:spacing w:after="0"/>
              <w:jc w:val="left"/>
              <w:rPr>
                <w:color w:val="auto"/>
                <w:lang w:eastAsia="en-NZ"/>
              </w:rPr>
            </w:pPr>
          </w:p>
          <w:p w14:paraId="3DC3557D" w14:textId="77777777" w:rsidR="003B22F5" w:rsidRPr="009B2CA8" w:rsidRDefault="003B22F5" w:rsidP="003A457B">
            <w:pPr>
              <w:spacing w:after="0"/>
              <w:jc w:val="left"/>
              <w:rPr>
                <w:color w:val="auto"/>
                <w:lang w:eastAsia="en-NZ"/>
              </w:rPr>
            </w:pPr>
          </w:p>
        </w:tc>
      </w:tr>
      <w:tr w:rsidR="003B22F5" w:rsidRPr="009B2CA8" w14:paraId="4A5C7A13" w14:textId="77777777" w:rsidTr="0070281A">
        <w:trPr>
          <w:tblHeader/>
        </w:trPr>
        <w:tc>
          <w:tcPr>
            <w:tcW w:w="14884" w:type="dxa"/>
            <w:gridSpan w:val="5"/>
            <w:tcBorders>
              <w:top w:val="single" w:sz="4" w:space="0" w:color="auto"/>
              <w:left w:val="single" w:sz="4" w:space="0" w:color="auto"/>
              <w:bottom w:val="single" w:sz="4" w:space="0" w:color="000000"/>
              <w:right w:val="single" w:sz="4" w:space="0" w:color="auto"/>
            </w:tcBorders>
            <w:shd w:val="clear" w:color="auto" w:fill="FBD4B4"/>
            <w:hideMark/>
          </w:tcPr>
          <w:p w14:paraId="447EAA6A" w14:textId="4D9D04BF" w:rsidR="003B22F5" w:rsidRPr="009B2CA8" w:rsidRDefault="003B22F5" w:rsidP="00505AA0">
            <w:pPr>
              <w:keepNext/>
              <w:keepLines/>
              <w:spacing w:after="0"/>
              <w:jc w:val="center"/>
              <w:rPr>
                <w:b/>
                <w:color w:val="auto"/>
              </w:rPr>
            </w:pPr>
            <w:r w:rsidRPr="009B2CA8">
              <w:rPr>
                <w:color w:val="auto"/>
              </w:rPr>
              <w:lastRenderedPageBreak/>
              <w:br w:type="page"/>
            </w:r>
            <w:r w:rsidRPr="009B2CA8">
              <w:rPr>
                <w:b/>
                <w:color w:val="auto"/>
              </w:rPr>
              <w:br w:type="page"/>
              <w:t>Output 2.</w:t>
            </w:r>
            <w:r w:rsidR="00505AA0" w:rsidRPr="009B2CA8">
              <w:rPr>
                <w:b/>
                <w:color w:val="auto"/>
              </w:rPr>
              <w:t>2</w:t>
            </w:r>
            <w:r w:rsidRPr="009B2CA8">
              <w:rPr>
                <w:b/>
                <w:color w:val="auto"/>
              </w:rPr>
              <w:t xml:space="preserve"> — </w:t>
            </w:r>
            <w:r w:rsidR="00505AA0" w:rsidRPr="009B2CA8">
              <w:rPr>
                <w:b/>
                <w:color w:val="auto"/>
              </w:rPr>
              <w:t xml:space="preserve">Advocacy </w:t>
            </w:r>
            <w:r w:rsidRPr="009B2CA8">
              <w:rPr>
                <w:b/>
                <w:color w:val="auto"/>
              </w:rPr>
              <w:t>Education</w:t>
            </w:r>
          </w:p>
        </w:tc>
      </w:tr>
      <w:tr w:rsidR="003B22F5" w:rsidRPr="009B2CA8" w14:paraId="200E5FC8" w14:textId="77777777" w:rsidTr="0070281A">
        <w:trPr>
          <w:trHeight w:val="285"/>
          <w:tblHeader/>
        </w:trPr>
        <w:tc>
          <w:tcPr>
            <w:tcW w:w="3403"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58C41560" w14:textId="77777777" w:rsidR="003B22F5" w:rsidRPr="009B2CA8" w:rsidRDefault="003B22F5" w:rsidP="003A457B">
            <w:pPr>
              <w:keepNext/>
              <w:keepLines/>
              <w:spacing w:after="0"/>
              <w:jc w:val="left"/>
              <w:rPr>
                <w:b/>
                <w:color w:val="auto"/>
              </w:rPr>
            </w:pPr>
          </w:p>
        </w:tc>
        <w:tc>
          <w:tcPr>
            <w:tcW w:w="1148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74E1FB" w14:textId="77777777" w:rsidR="003B22F5" w:rsidRPr="009B2CA8" w:rsidRDefault="003B22F5" w:rsidP="003A457B">
            <w:pPr>
              <w:keepNext/>
              <w:keepLines/>
              <w:spacing w:after="0"/>
              <w:jc w:val="center"/>
              <w:rPr>
                <w:b/>
                <w:color w:val="auto"/>
              </w:rPr>
            </w:pPr>
            <w:r w:rsidRPr="009B2CA8">
              <w:rPr>
                <w:b/>
                <w:color w:val="auto"/>
              </w:rPr>
              <w:t>Performance Measures</w:t>
            </w:r>
          </w:p>
        </w:tc>
      </w:tr>
      <w:tr w:rsidR="003B22F5" w:rsidRPr="009B2CA8" w14:paraId="0AB6DF2A" w14:textId="77777777" w:rsidTr="0070281A">
        <w:trPr>
          <w:trHeight w:val="285"/>
          <w:tblHeader/>
        </w:trPr>
        <w:tc>
          <w:tcPr>
            <w:tcW w:w="3403" w:type="dxa"/>
            <w:vMerge/>
            <w:tcBorders>
              <w:left w:val="single" w:sz="4" w:space="0" w:color="auto"/>
              <w:bottom w:val="single" w:sz="4" w:space="0" w:color="auto"/>
              <w:right w:val="single" w:sz="4" w:space="0" w:color="auto"/>
            </w:tcBorders>
            <w:shd w:val="clear" w:color="auto" w:fill="C6D9F1" w:themeFill="text2" w:themeFillTint="33"/>
            <w:vAlign w:val="center"/>
            <w:hideMark/>
          </w:tcPr>
          <w:p w14:paraId="627D5066" w14:textId="77777777" w:rsidR="003B22F5" w:rsidRPr="009B2CA8" w:rsidRDefault="003B22F5" w:rsidP="003A457B">
            <w:pPr>
              <w:keepNext/>
              <w:keepLines/>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824399" w14:textId="50720A59" w:rsidR="003B22F5" w:rsidRPr="009B2CA8" w:rsidRDefault="003B22F5" w:rsidP="003A457B">
            <w:pPr>
              <w:keepNext/>
              <w:keepLines/>
              <w:spacing w:after="0"/>
              <w:jc w:val="center"/>
              <w:rPr>
                <w:b/>
                <w:color w:val="auto"/>
              </w:rPr>
            </w:pPr>
            <w:r w:rsidRPr="009B2CA8">
              <w:rPr>
                <w:b/>
                <w:color w:val="auto"/>
              </w:rPr>
              <w:t>202</w:t>
            </w:r>
            <w:r w:rsidR="007A0CBA" w:rsidRPr="009B2CA8">
              <w:rPr>
                <w:b/>
                <w:color w:val="auto"/>
              </w:rPr>
              <w:t>3</w:t>
            </w:r>
            <w:r w:rsidRPr="009B2CA8">
              <w:rPr>
                <w:b/>
                <w:color w:val="auto"/>
              </w:rPr>
              <w:t>/2</w:t>
            </w:r>
            <w:r w:rsidR="007A0CBA" w:rsidRPr="009B2CA8">
              <w:rPr>
                <w:b/>
                <w:color w:val="auto"/>
              </w:rPr>
              <w:t>4</w:t>
            </w:r>
            <w:r w:rsidRPr="009B2CA8">
              <w:rPr>
                <w:b/>
                <w:color w:val="auto"/>
              </w:rPr>
              <w:t xml:space="preserve"> </w:t>
            </w:r>
            <w:r w:rsidR="009B0B69" w:rsidRPr="009B2CA8">
              <w:rPr>
                <w:b/>
                <w:color w:val="auto"/>
              </w:rPr>
              <w:t xml:space="preserve">SPE </w:t>
            </w:r>
            <w:r w:rsidRPr="009B2CA8">
              <w:rPr>
                <w:b/>
                <w:color w:val="auto"/>
              </w:rPr>
              <w:t>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685006" w14:textId="65E44E6E" w:rsidR="003B22F5" w:rsidRPr="009B2CA8" w:rsidRDefault="003B22F5" w:rsidP="003A457B">
            <w:pPr>
              <w:keepNext/>
              <w:keepLines/>
              <w:spacing w:after="0"/>
              <w:jc w:val="center"/>
              <w:rPr>
                <w:b/>
                <w:color w:val="auto"/>
              </w:rPr>
            </w:pPr>
            <w:r w:rsidRPr="009B2CA8">
              <w:rPr>
                <w:b/>
                <w:color w:val="auto"/>
              </w:rPr>
              <w:t>202</w:t>
            </w:r>
            <w:r w:rsidR="007A0CBA" w:rsidRPr="009B2CA8">
              <w:rPr>
                <w:b/>
                <w:color w:val="auto"/>
              </w:rPr>
              <w:t>2</w:t>
            </w:r>
            <w:r w:rsidRPr="009B2CA8">
              <w:rPr>
                <w:b/>
                <w:color w:val="auto"/>
              </w:rPr>
              <w:t>/2</w:t>
            </w:r>
            <w:r w:rsidR="007A0CBA" w:rsidRPr="009B2CA8">
              <w:rPr>
                <w:b/>
                <w:color w:val="auto"/>
              </w:rPr>
              <w:t>3</w:t>
            </w:r>
            <w:r w:rsidRPr="009B2CA8">
              <w:rPr>
                <w:b/>
                <w:color w:val="auto"/>
              </w:rPr>
              <w:t xml:space="preserve"> </w:t>
            </w:r>
            <w:r w:rsidR="009B0B69" w:rsidRPr="009B2CA8">
              <w:rPr>
                <w:b/>
                <w:color w:val="auto"/>
              </w:rPr>
              <w:t>SPE Target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D2D15E" w14:textId="7B25EF12" w:rsidR="003B22F5" w:rsidRPr="009B2CA8" w:rsidRDefault="003B22F5" w:rsidP="003A457B">
            <w:pPr>
              <w:keepNext/>
              <w:keepLines/>
              <w:spacing w:after="0"/>
              <w:jc w:val="center"/>
              <w:rPr>
                <w:b/>
                <w:color w:val="auto"/>
              </w:rPr>
            </w:pPr>
            <w:r w:rsidRPr="009B2CA8">
              <w:rPr>
                <w:b/>
                <w:color w:val="auto"/>
              </w:rPr>
              <w:t>202</w:t>
            </w:r>
            <w:r w:rsidR="007A0CBA" w:rsidRPr="009B2CA8">
              <w:rPr>
                <w:b/>
                <w:color w:val="auto"/>
              </w:rPr>
              <w:t>1</w:t>
            </w:r>
            <w:r w:rsidRPr="009B2CA8">
              <w:rPr>
                <w:b/>
                <w:color w:val="auto"/>
              </w:rPr>
              <w:t>/2</w:t>
            </w:r>
            <w:r w:rsidR="007A0CBA" w:rsidRPr="009B2CA8">
              <w:rPr>
                <w:b/>
                <w:color w:val="auto"/>
              </w:rPr>
              <w:t>2</w:t>
            </w:r>
            <w:r w:rsidRPr="009B2CA8">
              <w:rPr>
                <w:b/>
                <w:color w:val="auto"/>
              </w:rPr>
              <w:t xml:space="preserve"> Actual</w:t>
            </w:r>
          </w:p>
        </w:tc>
      </w:tr>
      <w:tr w:rsidR="003B22F5" w:rsidRPr="009B2CA8" w14:paraId="34762833" w14:textId="77777777" w:rsidTr="00A26D46">
        <w:trPr>
          <w:trHeight w:val="3048"/>
        </w:trPr>
        <w:tc>
          <w:tcPr>
            <w:tcW w:w="3403" w:type="dxa"/>
            <w:tcBorders>
              <w:top w:val="single" w:sz="4" w:space="0" w:color="auto"/>
              <w:left w:val="single" w:sz="4" w:space="0" w:color="auto"/>
              <w:bottom w:val="single" w:sz="4" w:space="0" w:color="auto"/>
              <w:right w:val="single" w:sz="4" w:space="0" w:color="auto"/>
            </w:tcBorders>
          </w:tcPr>
          <w:p w14:paraId="249C03D5" w14:textId="1C88649E" w:rsidR="003B22F5" w:rsidRPr="009B2CA8" w:rsidRDefault="003B22F5" w:rsidP="005F2418">
            <w:pPr>
              <w:keepNext/>
              <w:keepLines/>
              <w:spacing w:after="0"/>
              <w:jc w:val="left"/>
              <w:rPr>
                <w:color w:val="FF0000"/>
              </w:rPr>
            </w:pPr>
            <w:r w:rsidRPr="009B2CA8">
              <w:rPr>
                <w:color w:val="auto"/>
              </w:rPr>
              <w:t xml:space="preserve">Promote awareness of, respect for, and observance of, the rights of consumers and how they may be enforced </w:t>
            </w:r>
            <w:r w:rsidRPr="009B2CA8">
              <w:rPr>
                <w:i/>
                <w:color w:val="auto"/>
              </w:rPr>
              <w:t xml:space="preserve">(which contributes to achievement of Strategic Objective </w:t>
            </w:r>
            <w:r w:rsidR="00FF0C55" w:rsidRPr="009B2CA8">
              <w:rPr>
                <w:i/>
                <w:color w:val="auto"/>
              </w:rPr>
              <w:t>3</w:t>
            </w:r>
            <w:r w:rsidRPr="009B2CA8">
              <w:rPr>
                <w:i/>
                <w:color w:val="auto"/>
              </w:rPr>
              <w:t>)</w:t>
            </w:r>
            <w:r w:rsidRPr="009B2CA8">
              <w:rPr>
                <w:color w:val="auto"/>
              </w:rPr>
              <w:t>.</w:t>
            </w:r>
          </w:p>
        </w:tc>
        <w:tc>
          <w:tcPr>
            <w:tcW w:w="3827" w:type="dxa"/>
            <w:tcBorders>
              <w:top w:val="single" w:sz="4" w:space="0" w:color="auto"/>
              <w:left w:val="single" w:sz="4" w:space="0" w:color="auto"/>
              <w:bottom w:val="single" w:sz="4" w:space="0" w:color="auto"/>
              <w:right w:val="single" w:sz="4" w:space="0" w:color="auto"/>
            </w:tcBorders>
          </w:tcPr>
          <w:p w14:paraId="104BD75A" w14:textId="77777777" w:rsidR="003B22F5" w:rsidRPr="009B2CA8" w:rsidRDefault="003B22F5" w:rsidP="003A457B">
            <w:pPr>
              <w:keepNext/>
              <w:keepLines/>
              <w:spacing w:after="0"/>
              <w:jc w:val="left"/>
              <w:rPr>
                <w:b/>
                <w:iCs/>
                <w:noProof/>
                <w:color w:val="auto"/>
              </w:rPr>
            </w:pPr>
            <w:r w:rsidRPr="009B2CA8">
              <w:rPr>
                <w:color w:val="auto"/>
              </w:rPr>
              <w:t>Advocates provide an estimated 1,500 education sessions. Consumers and providers are satisfied with the education sessions.</w:t>
            </w:r>
          </w:p>
          <w:p w14:paraId="48914A6C" w14:textId="77777777" w:rsidR="003B22F5" w:rsidRPr="009B2CA8" w:rsidRDefault="003B22F5" w:rsidP="003A457B">
            <w:pPr>
              <w:keepNext/>
              <w:keepLines/>
              <w:spacing w:after="0"/>
              <w:jc w:val="left"/>
              <w:rPr>
                <w:color w:val="auto"/>
              </w:rPr>
            </w:pPr>
          </w:p>
          <w:p w14:paraId="2806F16F" w14:textId="25214475" w:rsidR="003B22F5" w:rsidRPr="009B2CA8" w:rsidRDefault="003B22F5" w:rsidP="003A457B">
            <w:pPr>
              <w:keepNext/>
              <w:keepLines/>
              <w:spacing w:after="0"/>
              <w:jc w:val="left"/>
              <w:rPr>
                <w:b/>
                <w:iCs/>
                <w:noProof/>
                <w:color w:val="auto"/>
              </w:rPr>
            </w:pPr>
            <w:r w:rsidRPr="009B2CA8">
              <w:rPr>
                <w:color w:val="auto"/>
              </w:rPr>
              <w:t>Seek evaluations on sessions, with 80% of respondents satisfied.</w:t>
            </w:r>
          </w:p>
          <w:p w14:paraId="2D68F7EE" w14:textId="77777777" w:rsidR="003B22F5" w:rsidRPr="009B2CA8" w:rsidRDefault="003B22F5" w:rsidP="003A457B">
            <w:pPr>
              <w:keepNext/>
              <w:keepLines/>
              <w:spacing w:after="0"/>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FC3FAD" w14:textId="77777777" w:rsidR="003B22F5" w:rsidRPr="009B2CA8" w:rsidRDefault="003B22F5" w:rsidP="003A457B">
            <w:pPr>
              <w:keepNext/>
              <w:keepLines/>
              <w:spacing w:after="0"/>
              <w:jc w:val="left"/>
              <w:rPr>
                <w:b/>
                <w:iCs/>
                <w:color w:val="auto"/>
              </w:rPr>
            </w:pPr>
            <w:r w:rsidRPr="009B2CA8">
              <w:rPr>
                <w:color w:val="auto"/>
              </w:rPr>
              <w:t>Advocates provide an estimated 1,500 education sessions. Consumers and providers are satisfied with the education sessions.</w:t>
            </w:r>
          </w:p>
          <w:p w14:paraId="1E239E00" w14:textId="77777777" w:rsidR="003B22F5" w:rsidRPr="009B2CA8" w:rsidRDefault="003B22F5" w:rsidP="003A457B">
            <w:pPr>
              <w:keepNext/>
              <w:keepLines/>
              <w:spacing w:after="0"/>
              <w:jc w:val="left"/>
              <w:rPr>
                <w:color w:val="auto"/>
              </w:rPr>
            </w:pPr>
          </w:p>
          <w:p w14:paraId="63002C67" w14:textId="25D6655E" w:rsidR="003B22F5" w:rsidRPr="009B2CA8" w:rsidRDefault="003B22F5" w:rsidP="003A457B">
            <w:pPr>
              <w:keepNext/>
              <w:keepLines/>
              <w:spacing w:after="0"/>
              <w:jc w:val="left"/>
              <w:rPr>
                <w:b/>
                <w:iCs/>
                <w:color w:val="auto"/>
              </w:rPr>
            </w:pPr>
            <w:r w:rsidRPr="009B2CA8">
              <w:rPr>
                <w:color w:val="auto"/>
              </w:rPr>
              <w:t>Seek evaluations on sessions, with 80% of respondents satisfied.</w:t>
            </w:r>
          </w:p>
          <w:p w14:paraId="18B469D3" w14:textId="77777777" w:rsidR="003B22F5" w:rsidRPr="009B2CA8" w:rsidRDefault="003B22F5" w:rsidP="003A457B">
            <w:pPr>
              <w:keepNext/>
              <w:keepLines/>
              <w:spacing w:after="0"/>
              <w:rPr>
                <w:color w:val="auto"/>
              </w:rPr>
            </w:pPr>
          </w:p>
        </w:tc>
        <w:tc>
          <w:tcPr>
            <w:tcW w:w="3827" w:type="dxa"/>
            <w:gridSpan w:val="2"/>
            <w:tcBorders>
              <w:top w:val="single" w:sz="4" w:space="0" w:color="auto"/>
              <w:left w:val="single" w:sz="4" w:space="0" w:color="auto"/>
              <w:bottom w:val="single" w:sz="4" w:space="0" w:color="auto"/>
              <w:right w:val="single" w:sz="4" w:space="0" w:color="auto"/>
            </w:tcBorders>
          </w:tcPr>
          <w:p w14:paraId="7EF88256" w14:textId="2583C179" w:rsidR="003B22F5" w:rsidRPr="009B2CA8" w:rsidRDefault="007A0CBA" w:rsidP="003A457B">
            <w:pPr>
              <w:keepNext/>
              <w:keepLines/>
              <w:spacing w:after="0"/>
              <w:jc w:val="left"/>
              <w:rPr>
                <w:color w:val="auto"/>
              </w:rPr>
            </w:pPr>
            <w:r w:rsidRPr="009B2CA8">
              <w:rPr>
                <w:color w:val="auto"/>
                <w:lang w:val="x-none"/>
              </w:rPr>
              <w:t>A total of 851 education</w:t>
            </w:r>
            <w:r w:rsidRPr="009B2CA8">
              <w:rPr>
                <w:color w:val="auto"/>
                <w:lang w:val="en-US"/>
              </w:rPr>
              <w:t xml:space="preserve"> </w:t>
            </w:r>
            <w:r w:rsidRPr="009B2CA8">
              <w:rPr>
                <w:color w:val="auto"/>
                <w:lang w:val="x-none"/>
              </w:rPr>
              <w:t>sessions were provided</w:t>
            </w:r>
            <w:r w:rsidR="003B22F5" w:rsidRPr="009B2CA8">
              <w:rPr>
                <w:color w:val="auto"/>
              </w:rPr>
              <w:t>.</w:t>
            </w:r>
          </w:p>
          <w:p w14:paraId="1EAD08D7" w14:textId="77777777" w:rsidR="003B22F5" w:rsidRPr="009B2CA8" w:rsidRDefault="003B22F5" w:rsidP="003A457B">
            <w:pPr>
              <w:keepNext/>
              <w:keepLines/>
              <w:spacing w:after="0"/>
              <w:jc w:val="left"/>
              <w:rPr>
                <w:color w:val="auto"/>
              </w:rPr>
            </w:pPr>
          </w:p>
          <w:p w14:paraId="6F38F3A6" w14:textId="77777777" w:rsidR="003B22F5" w:rsidRPr="009B2CA8" w:rsidRDefault="003B22F5" w:rsidP="003A457B">
            <w:pPr>
              <w:keepNext/>
              <w:keepLines/>
              <w:spacing w:after="0"/>
              <w:jc w:val="left"/>
              <w:rPr>
                <w:color w:val="auto"/>
                <w:lang w:eastAsia="en-NZ"/>
              </w:rPr>
            </w:pPr>
          </w:p>
          <w:p w14:paraId="76E81572" w14:textId="77777777" w:rsidR="003B22F5" w:rsidRPr="009B2CA8" w:rsidRDefault="003B22F5" w:rsidP="003A457B">
            <w:pPr>
              <w:keepNext/>
              <w:keepLines/>
              <w:spacing w:after="0"/>
              <w:jc w:val="left"/>
              <w:rPr>
                <w:color w:val="auto"/>
                <w:lang w:eastAsia="en-NZ"/>
              </w:rPr>
            </w:pPr>
          </w:p>
          <w:p w14:paraId="408BB737" w14:textId="77777777" w:rsidR="003B22F5" w:rsidRPr="009B2CA8" w:rsidRDefault="003B22F5" w:rsidP="003A457B">
            <w:pPr>
              <w:keepNext/>
              <w:keepLines/>
              <w:spacing w:after="0"/>
              <w:jc w:val="left"/>
              <w:rPr>
                <w:color w:val="auto"/>
                <w:lang w:eastAsia="en-NZ"/>
              </w:rPr>
            </w:pPr>
          </w:p>
          <w:p w14:paraId="7171C3EC" w14:textId="01898E00" w:rsidR="003B22F5" w:rsidRPr="009B2CA8" w:rsidRDefault="007A0CBA" w:rsidP="003A457B">
            <w:pPr>
              <w:keepNext/>
              <w:keepLines/>
              <w:spacing w:after="0"/>
              <w:jc w:val="left"/>
              <w:rPr>
                <w:rFonts w:eastAsia="Times New Roman"/>
                <w:color w:val="auto"/>
                <w:lang w:eastAsia="en-NZ"/>
              </w:rPr>
            </w:pPr>
            <w:r w:rsidRPr="009B2CA8">
              <w:rPr>
                <w:color w:val="auto"/>
                <w:lang w:val="x-none"/>
              </w:rPr>
              <w:t>88% of consumers and providers</w:t>
            </w:r>
            <w:r w:rsidRPr="009B2CA8">
              <w:rPr>
                <w:color w:val="auto"/>
                <w:lang w:val="en-US"/>
              </w:rPr>
              <w:t xml:space="preserve"> </w:t>
            </w:r>
            <w:r w:rsidRPr="009B2CA8">
              <w:rPr>
                <w:color w:val="auto"/>
                <w:lang w:val="x-none"/>
              </w:rPr>
              <w:t>who responded to a survey were</w:t>
            </w:r>
            <w:r w:rsidRPr="009B2CA8">
              <w:rPr>
                <w:color w:val="auto"/>
                <w:lang w:val="en-US"/>
              </w:rPr>
              <w:t xml:space="preserve"> </w:t>
            </w:r>
            <w:r w:rsidRPr="009B2CA8">
              <w:rPr>
                <w:color w:val="auto"/>
                <w:lang w:val="x-none"/>
              </w:rPr>
              <w:t>satisfied with the Advocacy</w:t>
            </w:r>
            <w:r w:rsidRPr="009B2CA8">
              <w:rPr>
                <w:color w:val="auto"/>
                <w:lang w:val="en-US"/>
              </w:rPr>
              <w:t xml:space="preserve"> </w:t>
            </w:r>
            <w:r w:rsidRPr="009B2CA8">
              <w:rPr>
                <w:color w:val="auto"/>
                <w:lang w:val="x-none"/>
              </w:rPr>
              <w:t>Service’s education session</w:t>
            </w:r>
            <w:r w:rsidRPr="009B2CA8">
              <w:rPr>
                <w:color w:val="auto"/>
                <w:lang w:val="en-US"/>
              </w:rPr>
              <w:t xml:space="preserve"> </w:t>
            </w:r>
            <w:r w:rsidRPr="009B2CA8">
              <w:rPr>
                <w:color w:val="auto"/>
                <w:lang w:val="x-none"/>
              </w:rPr>
              <w:t>they attended</w:t>
            </w:r>
            <w:r w:rsidR="003B22F5" w:rsidRPr="009B2CA8">
              <w:rPr>
                <w:color w:val="auto"/>
              </w:rPr>
              <w:t>.</w:t>
            </w:r>
          </w:p>
        </w:tc>
      </w:tr>
      <w:tr w:rsidR="0079590A" w:rsidRPr="009B2CA8" w14:paraId="2F59FBB4" w14:textId="77777777" w:rsidTr="00A26D46">
        <w:trPr>
          <w:trHeight w:val="3048"/>
        </w:trPr>
        <w:tc>
          <w:tcPr>
            <w:tcW w:w="3403" w:type="dxa"/>
            <w:tcBorders>
              <w:top w:val="single" w:sz="4" w:space="0" w:color="auto"/>
              <w:left w:val="single" w:sz="4" w:space="0" w:color="auto"/>
              <w:bottom w:val="single" w:sz="4" w:space="0" w:color="auto"/>
              <w:right w:val="single" w:sz="4" w:space="0" w:color="auto"/>
            </w:tcBorders>
          </w:tcPr>
          <w:p w14:paraId="0BEEBDCE" w14:textId="2DB02B52" w:rsidR="0079590A" w:rsidRPr="009B2CA8" w:rsidRDefault="008E478B" w:rsidP="008E478B">
            <w:pPr>
              <w:keepNext/>
              <w:keepLines/>
              <w:spacing w:after="0"/>
              <w:jc w:val="left"/>
              <w:rPr>
                <w:color w:val="auto"/>
              </w:rPr>
            </w:pPr>
            <w:r>
              <w:rPr>
                <w:color w:val="auto"/>
              </w:rPr>
              <w:t>Advocacy Services r</w:t>
            </w:r>
            <w:r w:rsidR="0079590A" w:rsidRPr="009B2CA8">
              <w:rPr>
                <w:color w:val="auto"/>
              </w:rPr>
              <w:t>espond to enquiries from consumers, providers, and other agencies about the Act, the Code, and consumer rights under the Code</w:t>
            </w:r>
            <w:r w:rsidR="00482614" w:rsidRPr="008E478B">
              <w:rPr>
                <w:rStyle w:val="FootnoteReference"/>
                <w:color w:val="auto"/>
              </w:rPr>
              <w:footnoteReference w:id="4"/>
            </w:r>
            <w:r>
              <w:rPr>
                <w:color w:val="auto"/>
              </w:rPr>
              <w:t xml:space="preserve"> </w:t>
            </w:r>
            <w:r w:rsidR="0079590A" w:rsidRPr="009B2CA8">
              <w:rPr>
                <w:i/>
                <w:color w:val="auto"/>
              </w:rPr>
              <w:t>(which contributes to achievement of Strategic Objective 3)</w:t>
            </w:r>
            <w:r w:rsidR="0079590A" w:rsidRPr="009B2CA8">
              <w:rPr>
                <w:color w:val="auto"/>
              </w:rPr>
              <w:t xml:space="preserve">. </w:t>
            </w:r>
          </w:p>
        </w:tc>
        <w:tc>
          <w:tcPr>
            <w:tcW w:w="3827" w:type="dxa"/>
            <w:tcBorders>
              <w:top w:val="single" w:sz="4" w:space="0" w:color="auto"/>
              <w:left w:val="single" w:sz="4" w:space="0" w:color="auto"/>
              <w:bottom w:val="single" w:sz="4" w:space="0" w:color="auto"/>
              <w:right w:val="single" w:sz="4" w:space="0" w:color="auto"/>
            </w:tcBorders>
          </w:tcPr>
          <w:p w14:paraId="6F8FD7B7" w14:textId="77777777" w:rsidR="0079590A" w:rsidRPr="009B2CA8" w:rsidRDefault="0079590A" w:rsidP="0079590A">
            <w:pPr>
              <w:spacing w:after="0"/>
              <w:jc w:val="left"/>
            </w:pPr>
            <w:r w:rsidRPr="009B2CA8">
              <w:rPr>
                <w:color w:val="auto"/>
              </w:rPr>
              <w:t>Provide responses to enquiries as requested</w:t>
            </w:r>
            <w:r w:rsidRPr="009B2CA8">
              <w:t>.</w:t>
            </w:r>
          </w:p>
          <w:p w14:paraId="7C5368CF" w14:textId="77777777" w:rsidR="0079590A" w:rsidRPr="009B2CA8" w:rsidRDefault="0079590A" w:rsidP="0079590A">
            <w:pPr>
              <w:spacing w:after="0"/>
              <w:jc w:val="left"/>
              <w:rPr>
                <w:color w:val="auto"/>
              </w:rPr>
            </w:pPr>
          </w:p>
          <w:p w14:paraId="60F449EC" w14:textId="26E8CB9B" w:rsidR="0079590A" w:rsidRPr="009B2CA8" w:rsidRDefault="0079590A" w:rsidP="0079590A">
            <w:pPr>
              <w:keepNext/>
              <w:keepLines/>
              <w:spacing w:after="0"/>
              <w:jc w:val="left"/>
              <w:rPr>
                <w:color w:val="auto"/>
              </w:rPr>
            </w:pPr>
            <w:r w:rsidRPr="009B2CA8">
              <w:rPr>
                <w:color w:val="auto"/>
              </w:rPr>
              <w:t>Report on the total number.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6C4C485" w14:textId="790DEF3F" w:rsidR="0079590A" w:rsidRPr="009B2CA8" w:rsidRDefault="00F70760" w:rsidP="003A457B">
            <w:pPr>
              <w:keepNext/>
              <w:keepLines/>
              <w:spacing w:after="0"/>
              <w:jc w:val="left"/>
              <w:rPr>
                <w:color w:val="auto"/>
              </w:rPr>
            </w:pPr>
            <w:r w:rsidRPr="009B2CA8">
              <w:rPr>
                <w:color w:val="auto"/>
                <w:lang w:val="en-US"/>
              </w:rPr>
              <w:t>New measure</w:t>
            </w:r>
            <w:r>
              <w:rPr>
                <w:color w:val="auto"/>
                <w:lang w:val="en-US"/>
              </w:rPr>
              <w:t>.</w:t>
            </w:r>
          </w:p>
        </w:tc>
        <w:tc>
          <w:tcPr>
            <w:tcW w:w="3827" w:type="dxa"/>
            <w:gridSpan w:val="2"/>
            <w:tcBorders>
              <w:top w:val="single" w:sz="4" w:space="0" w:color="auto"/>
              <w:left w:val="single" w:sz="4" w:space="0" w:color="auto"/>
              <w:bottom w:val="single" w:sz="4" w:space="0" w:color="auto"/>
              <w:right w:val="single" w:sz="4" w:space="0" w:color="auto"/>
            </w:tcBorders>
          </w:tcPr>
          <w:p w14:paraId="15B3D75E" w14:textId="3EFD311F" w:rsidR="0079590A" w:rsidRPr="009B2CA8" w:rsidRDefault="00F70760" w:rsidP="003A457B">
            <w:pPr>
              <w:keepNext/>
              <w:keepLines/>
              <w:spacing w:after="0"/>
              <w:jc w:val="left"/>
              <w:rPr>
                <w:color w:val="auto"/>
                <w:lang w:val="x-none"/>
              </w:rPr>
            </w:pPr>
            <w:r w:rsidRPr="009B2CA8">
              <w:rPr>
                <w:color w:val="auto"/>
                <w:lang w:val="en-US"/>
              </w:rPr>
              <w:t>New measure</w:t>
            </w:r>
            <w:r>
              <w:rPr>
                <w:color w:val="auto"/>
                <w:lang w:val="en-US"/>
              </w:rPr>
              <w:t>.</w:t>
            </w:r>
          </w:p>
        </w:tc>
      </w:tr>
    </w:tbl>
    <w:p w14:paraId="11B33E1F" w14:textId="7DA64BA0" w:rsidR="003C5139" w:rsidRPr="009B2CA8" w:rsidRDefault="003C5139" w:rsidP="003C5139">
      <w:pPr>
        <w:pStyle w:val="Footnote"/>
        <w:rPr>
          <w:rStyle w:val="Emphasis"/>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49"/>
        <w:gridCol w:w="3805"/>
      </w:tblGrid>
      <w:tr w:rsidR="003C5139" w:rsidRPr="009B2CA8" w14:paraId="5EAABEF5" w14:textId="77777777" w:rsidTr="003C5139">
        <w:trPr>
          <w:tblHeader/>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FBD4B4"/>
            <w:hideMark/>
          </w:tcPr>
          <w:p w14:paraId="43DF0AB6" w14:textId="656B8338" w:rsidR="003C5139" w:rsidRPr="009B2CA8" w:rsidRDefault="003C5139" w:rsidP="003C5139">
            <w:pPr>
              <w:spacing w:after="0"/>
              <w:jc w:val="center"/>
              <w:rPr>
                <w:b/>
                <w:color w:val="FF0000"/>
              </w:rPr>
            </w:pPr>
            <w:r w:rsidRPr="009B2CA8">
              <w:rPr>
                <w:b/>
                <w:color w:val="auto"/>
              </w:rPr>
              <w:lastRenderedPageBreak/>
              <w:t>Output 2.</w:t>
            </w:r>
            <w:r w:rsidR="0079590A" w:rsidRPr="009B2CA8">
              <w:rPr>
                <w:b/>
                <w:color w:val="auto"/>
              </w:rPr>
              <w:t>3</w:t>
            </w:r>
            <w:r w:rsidRPr="009B2CA8">
              <w:rPr>
                <w:b/>
                <w:color w:val="auto"/>
              </w:rPr>
              <w:t xml:space="preserve"> — HDC Education</w:t>
            </w:r>
          </w:p>
        </w:tc>
      </w:tr>
      <w:tr w:rsidR="003C5139" w:rsidRPr="009B2CA8" w14:paraId="6C0CE546" w14:textId="77777777" w:rsidTr="003C5139">
        <w:trPr>
          <w:trHeight w:val="285"/>
          <w:tblHeader/>
        </w:trPr>
        <w:tc>
          <w:tcPr>
            <w:tcW w:w="3403" w:type="dxa"/>
            <w:vMerge w:val="restart"/>
            <w:tcBorders>
              <w:top w:val="single" w:sz="4" w:space="0" w:color="000000"/>
              <w:left w:val="single" w:sz="4" w:space="0" w:color="000000"/>
              <w:right w:val="single" w:sz="4" w:space="0" w:color="000000"/>
            </w:tcBorders>
            <w:shd w:val="clear" w:color="auto" w:fill="C6D9F1" w:themeFill="text2" w:themeFillTint="33"/>
            <w:vAlign w:val="center"/>
            <w:hideMark/>
          </w:tcPr>
          <w:p w14:paraId="576CAAD9" w14:textId="77777777" w:rsidR="003C5139" w:rsidRPr="009B2CA8" w:rsidRDefault="003C5139" w:rsidP="003C5139">
            <w:pPr>
              <w:spacing w:after="0"/>
              <w:jc w:val="left"/>
              <w:rPr>
                <w:b/>
                <w:color w:val="auto"/>
              </w:rPr>
            </w:pPr>
          </w:p>
        </w:tc>
        <w:tc>
          <w:tcPr>
            <w:tcW w:w="11481"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EE32B9B" w14:textId="77777777" w:rsidR="003C5139" w:rsidRPr="009B2CA8" w:rsidRDefault="003C5139" w:rsidP="003C5139">
            <w:pPr>
              <w:spacing w:after="0"/>
              <w:jc w:val="center"/>
              <w:rPr>
                <w:b/>
                <w:color w:val="auto"/>
              </w:rPr>
            </w:pPr>
            <w:r w:rsidRPr="009B2CA8">
              <w:rPr>
                <w:b/>
                <w:color w:val="auto"/>
              </w:rPr>
              <w:t>Performance Measures</w:t>
            </w:r>
          </w:p>
        </w:tc>
      </w:tr>
      <w:tr w:rsidR="003C5139" w:rsidRPr="009B2CA8" w14:paraId="590ADFDF" w14:textId="77777777" w:rsidTr="003C5139">
        <w:trPr>
          <w:trHeight w:val="285"/>
          <w:tblHeader/>
        </w:trPr>
        <w:tc>
          <w:tcPr>
            <w:tcW w:w="3403" w:type="dxa"/>
            <w:vMerge/>
            <w:tcBorders>
              <w:left w:val="single" w:sz="4" w:space="0" w:color="000000"/>
              <w:bottom w:val="single" w:sz="4" w:space="0" w:color="000000"/>
              <w:right w:val="single" w:sz="4" w:space="0" w:color="000000"/>
            </w:tcBorders>
            <w:shd w:val="clear" w:color="auto" w:fill="C6D9F1" w:themeFill="text2" w:themeFillTint="33"/>
            <w:vAlign w:val="center"/>
            <w:hideMark/>
          </w:tcPr>
          <w:p w14:paraId="45C493F5" w14:textId="77777777" w:rsidR="003C5139" w:rsidRPr="009B2CA8" w:rsidRDefault="003C5139" w:rsidP="003C5139">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16CFCA4" w14:textId="77777777" w:rsidR="003C5139" w:rsidRPr="009B2CA8" w:rsidRDefault="003C5139" w:rsidP="003C5139">
            <w:pPr>
              <w:keepNext/>
              <w:keepLines/>
              <w:spacing w:after="0"/>
              <w:jc w:val="center"/>
              <w:rPr>
                <w:b/>
                <w:color w:val="auto"/>
              </w:rPr>
            </w:pPr>
            <w:r w:rsidRPr="009B2CA8">
              <w:rPr>
                <w:b/>
                <w:color w:val="auto"/>
              </w:rPr>
              <w:t xml:space="preserve">2023/24 SPE Target </w:t>
            </w:r>
          </w:p>
        </w:tc>
        <w:tc>
          <w:tcPr>
            <w:tcW w:w="38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D24E2DC" w14:textId="77777777" w:rsidR="003C5139" w:rsidRPr="009B2CA8" w:rsidRDefault="003C5139" w:rsidP="003C5139">
            <w:pPr>
              <w:keepNext/>
              <w:keepLines/>
              <w:spacing w:after="0"/>
              <w:jc w:val="center"/>
              <w:rPr>
                <w:b/>
                <w:color w:val="auto"/>
              </w:rPr>
            </w:pPr>
            <w:r w:rsidRPr="009B2CA8">
              <w:rPr>
                <w:b/>
                <w:color w:val="auto"/>
              </w:rPr>
              <w:t>2022/23 SPE Target</w:t>
            </w:r>
          </w:p>
        </w:tc>
        <w:tc>
          <w:tcPr>
            <w:tcW w:w="38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B201678" w14:textId="77777777" w:rsidR="003C5139" w:rsidRPr="009B2CA8" w:rsidRDefault="003C5139" w:rsidP="003C5139">
            <w:pPr>
              <w:keepNext/>
              <w:keepLines/>
              <w:spacing w:after="0"/>
              <w:jc w:val="center"/>
              <w:rPr>
                <w:b/>
                <w:color w:val="auto"/>
              </w:rPr>
            </w:pPr>
            <w:r w:rsidRPr="009B2CA8">
              <w:rPr>
                <w:b/>
                <w:color w:val="auto"/>
              </w:rPr>
              <w:t>2021/22 Actual</w:t>
            </w:r>
          </w:p>
        </w:tc>
      </w:tr>
      <w:tr w:rsidR="003C5139" w:rsidRPr="009B2CA8" w14:paraId="4F1367AC" w14:textId="77777777" w:rsidTr="003C5139">
        <w:trPr>
          <w:trHeight w:val="974"/>
        </w:trPr>
        <w:tc>
          <w:tcPr>
            <w:tcW w:w="3403" w:type="dxa"/>
            <w:tcBorders>
              <w:top w:val="single" w:sz="4" w:space="0" w:color="000000"/>
              <w:left w:val="single" w:sz="4" w:space="0" w:color="000000"/>
              <w:bottom w:val="single" w:sz="4" w:space="0" w:color="000000"/>
              <w:right w:val="single" w:sz="4" w:space="0" w:color="000000"/>
            </w:tcBorders>
          </w:tcPr>
          <w:p w14:paraId="79CD98D8" w14:textId="77777777" w:rsidR="003C5139" w:rsidRPr="009B2CA8" w:rsidRDefault="003C5139" w:rsidP="003C5139">
            <w:pPr>
              <w:keepNext/>
              <w:keepLines/>
              <w:spacing w:after="0"/>
              <w:jc w:val="left"/>
              <w:rPr>
                <w:color w:val="auto"/>
              </w:rPr>
            </w:pPr>
            <w:r w:rsidRPr="009B2CA8">
              <w:rPr>
                <w:color w:val="auto"/>
              </w:rPr>
              <w:t>Respond to enquiries from consumers, providers, and other agencies about the Act, the Code, and consumer rights under the Code (HDC)</w:t>
            </w:r>
          </w:p>
          <w:p w14:paraId="29E72BE1" w14:textId="20A55B53" w:rsidR="003C5139" w:rsidRPr="009B2CA8" w:rsidRDefault="003C5139" w:rsidP="00D43911">
            <w:pPr>
              <w:spacing w:after="0"/>
              <w:jc w:val="left"/>
              <w:rPr>
                <w:color w:val="auto"/>
              </w:rPr>
            </w:pPr>
            <w:r w:rsidRPr="009B2CA8">
              <w:rPr>
                <w:i/>
                <w:color w:val="auto"/>
              </w:rPr>
              <w:t>(which contributes to achievement of Strategic Objective 3)</w:t>
            </w:r>
            <w:r w:rsidRPr="009B2CA8">
              <w:rPr>
                <w:color w:val="auto"/>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8A1E899" w14:textId="77777777" w:rsidR="003C5139" w:rsidRPr="009B2CA8" w:rsidRDefault="003C5139" w:rsidP="003C5139">
            <w:pPr>
              <w:spacing w:after="0"/>
              <w:jc w:val="left"/>
            </w:pPr>
            <w:r w:rsidRPr="009B2CA8">
              <w:rPr>
                <w:color w:val="auto"/>
              </w:rPr>
              <w:t>Provide responses to enquiries as requested</w:t>
            </w:r>
            <w:r w:rsidRPr="009B2CA8">
              <w:t>.</w:t>
            </w:r>
          </w:p>
          <w:p w14:paraId="4664F951" w14:textId="77777777" w:rsidR="003C5139" w:rsidRPr="009B2CA8" w:rsidRDefault="003C5139" w:rsidP="003C5139">
            <w:pPr>
              <w:spacing w:after="0"/>
              <w:jc w:val="left"/>
              <w:rPr>
                <w:color w:val="auto"/>
              </w:rPr>
            </w:pPr>
          </w:p>
          <w:p w14:paraId="06E83C93" w14:textId="2ABD7A0F" w:rsidR="003C5139" w:rsidRPr="009B2CA8" w:rsidRDefault="003C5139" w:rsidP="003C5139">
            <w:pPr>
              <w:spacing w:after="0"/>
              <w:jc w:val="left"/>
              <w:rPr>
                <w:color w:val="auto"/>
              </w:rPr>
            </w:pPr>
            <w:r w:rsidRPr="009B2CA8">
              <w:rPr>
                <w:color w:val="auto"/>
              </w:rPr>
              <w:t xml:space="preserve">Report on the total number. </w:t>
            </w:r>
          </w:p>
        </w:tc>
        <w:tc>
          <w:tcPr>
            <w:tcW w:w="3849" w:type="dxa"/>
            <w:tcBorders>
              <w:top w:val="single" w:sz="4" w:space="0" w:color="000000"/>
              <w:left w:val="single" w:sz="4" w:space="0" w:color="000000"/>
              <w:bottom w:val="single" w:sz="4" w:space="0" w:color="000000"/>
              <w:right w:val="single" w:sz="4" w:space="0" w:color="000000"/>
            </w:tcBorders>
          </w:tcPr>
          <w:p w14:paraId="42005EED" w14:textId="77777777" w:rsidR="003C5139" w:rsidRPr="009B2CA8" w:rsidRDefault="003C5139" w:rsidP="003C5139">
            <w:pPr>
              <w:spacing w:after="0"/>
              <w:jc w:val="left"/>
              <w:rPr>
                <w:color w:val="auto"/>
              </w:rPr>
            </w:pPr>
            <w:r w:rsidRPr="009B2CA8">
              <w:rPr>
                <w:color w:val="auto"/>
              </w:rPr>
              <w:t>Provide responses to queries as requested.</w:t>
            </w:r>
          </w:p>
          <w:p w14:paraId="23467CE5" w14:textId="77777777" w:rsidR="003C5139" w:rsidRPr="009B2CA8" w:rsidRDefault="003C5139" w:rsidP="003C5139">
            <w:pPr>
              <w:spacing w:after="0"/>
              <w:jc w:val="left"/>
              <w:rPr>
                <w:color w:val="auto"/>
              </w:rPr>
            </w:pPr>
          </w:p>
          <w:p w14:paraId="45CB77BA" w14:textId="62322C04" w:rsidR="003C5139" w:rsidRPr="009B2CA8" w:rsidRDefault="003C5139" w:rsidP="003C5139">
            <w:pPr>
              <w:spacing w:after="0"/>
              <w:ind w:right="-86"/>
              <w:jc w:val="left"/>
              <w:rPr>
                <w:color w:val="auto"/>
              </w:rPr>
            </w:pPr>
            <w:r w:rsidRPr="009B2CA8">
              <w:rPr>
                <w:color w:val="auto"/>
              </w:rPr>
              <w:t>Report on the total number.</w:t>
            </w:r>
          </w:p>
        </w:tc>
        <w:tc>
          <w:tcPr>
            <w:tcW w:w="3805" w:type="dxa"/>
            <w:tcBorders>
              <w:top w:val="single" w:sz="4" w:space="0" w:color="000000"/>
              <w:left w:val="single" w:sz="4" w:space="0" w:color="000000"/>
              <w:bottom w:val="single" w:sz="4" w:space="0" w:color="000000"/>
              <w:right w:val="single" w:sz="4" w:space="0" w:color="000000"/>
            </w:tcBorders>
          </w:tcPr>
          <w:p w14:paraId="29BCE7C0" w14:textId="39CF7297" w:rsidR="003C5139" w:rsidRPr="009B2CA8" w:rsidRDefault="003C5139" w:rsidP="003C5139">
            <w:pPr>
              <w:spacing w:after="0"/>
              <w:jc w:val="left"/>
              <w:rPr>
                <w:color w:val="auto"/>
              </w:rPr>
            </w:pPr>
            <w:r w:rsidRPr="009B2CA8">
              <w:rPr>
                <w:color w:val="auto"/>
                <w:lang w:val="x-none"/>
              </w:rPr>
              <w:t>For the year ended 30 June</w:t>
            </w:r>
            <w:r w:rsidRPr="009B2CA8">
              <w:rPr>
                <w:color w:val="auto"/>
                <w:lang w:val="en-US"/>
              </w:rPr>
              <w:t xml:space="preserve"> </w:t>
            </w:r>
            <w:r w:rsidRPr="009B2CA8">
              <w:rPr>
                <w:color w:val="auto"/>
                <w:lang w:val="x-none"/>
              </w:rPr>
              <w:t>2022, HDC had received a total</w:t>
            </w:r>
            <w:r w:rsidRPr="009B2CA8">
              <w:rPr>
                <w:color w:val="auto"/>
                <w:lang w:val="en-US"/>
              </w:rPr>
              <w:t xml:space="preserve"> </w:t>
            </w:r>
            <w:r w:rsidRPr="009B2CA8">
              <w:rPr>
                <w:color w:val="auto"/>
                <w:lang w:val="x-none"/>
              </w:rPr>
              <w:t>of 2,482 enquiries, including</w:t>
            </w:r>
            <w:r w:rsidRPr="009B2CA8">
              <w:rPr>
                <w:color w:val="auto"/>
                <w:lang w:val="en-US"/>
              </w:rPr>
              <w:t xml:space="preserve"> </w:t>
            </w:r>
            <w:r w:rsidRPr="009B2CA8">
              <w:rPr>
                <w:color w:val="auto"/>
                <w:lang w:val="x-none"/>
              </w:rPr>
              <w:t>984 simple enquiries and 1,498</w:t>
            </w:r>
            <w:r w:rsidRPr="009B2CA8">
              <w:rPr>
                <w:color w:val="auto"/>
                <w:lang w:val="en-US"/>
              </w:rPr>
              <w:t xml:space="preserve"> </w:t>
            </w:r>
            <w:r w:rsidRPr="009B2CA8">
              <w:rPr>
                <w:color w:val="auto"/>
                <w:lang w:val="x-none"/>
              </w:rPr>
              <w:t>extended enquiries.</w:t>
            </w:r>
          </w:p>
        </w:tc>
      </w:tr>
      <w:tr w:rsidR="003C5139" w:rsidRPr="009B2CA8" w14:paraId="19C329E4" w14:textId="77777777" w:rsidTr="0014117D">
        <w:trPr>
          <w:trHeight w:val="974"/>
        </w:trPr>
        <w:tc>
          <w:tcPr>
            <w:tcW w:w="3403" w:type="dxa"/>
            <w:tcBorders>
              <w:top w:val="single" w:sz="4" w:space="0" w:color="000000"/>
              <w:left w:val="single" w:sz="4" w:space="0" w:color="000000"/>
              <w:bottom w:val="single" w:sz="4" w:space="0" w:color="000000"/>
              <w:right w:val="single" w:sz="4" w:space="0" w:color="000000"/>
            </w:tcBorders>
          </w:tcPr>
          <w:p w14:paraId="52EC80F3" w14:textId="74F0FC60" w:rsidR="003C5139" w:rsidRPr="009B2CA8" w:rsidRDefault="003C5139" w:rsidP="003C5139">
            <w:pPr>
              <w:keepNext/>
              <w:keepLines/>
              <w:spacing w:after="0"/>
              <w:jc w:val="left"/>
              <w:rPr>
                <w:color w:val="auto"/>
              </w:rPr>
            </w:pPr>
            <w:r w:rsidRPr="009B2CA8">
              <w:rPr>
                <w:color w:val="auto"/>
              </w:rPr>
              <w:t xml:space="preserve">Promote awareness of, respect for, and observance of, the rights of consumers and how they may be enforced </w:t>
            </w:r>
            <w:r w:rsidRPr="009B2CA8">
              <w:rPr>
                <w:i/>
                <w:color w:val="auto"/>
              </w:rPr>
              <w:t>(which contributes to achievement of Strategic Objective 3)</w:t>
            </w:r>
            <w:r w:rsidRPr="009B2CA8">
              <w:rPr>
                <w:color w:val="auto"/>
              </w:rPr>
              <w:t>.</w:t>
            </w:r>
          </w:p>
          <w:p w14:paraId="0E4B0738" w14:textId="7AA45EB7" w:rsidR="003C5139" w:rsidRPr="009B2CA8" w:rsidRDefault="003C5139" w:rsidP="003C5139">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0DDB44C" w14:textId="77777777" w:rsidR="001678E5" w:rsidRPr="009B2CA8" w:rsidRDefault="003C5139" w:rsidP="003C5139">
            <w:pPr>
              <w:spacing w:after="0"/>
              <w:jc w:val="left"/>
              <w:rPr>
                <w:color w:val="auto"/>
              </w:rPr>
            </w:pPr>
            <w:r w:rsidRPr="009B2CA8">
              <w:rPr>
                <w:color w:val="auto"/>
              </w:rPr>
              <w:t xml:space="preserve">Provide educational presentations. </w:t>
            </w:r>
          </w:p>
          <w:p w14:paraId="4A076C9A" w14:textId="77777777" w:rsidR="001678E5" w:rsidRPr="009B2CA8" w:rsidRDefault="001678E5" w:rsidP="003C5139">
            <w:pPr>
              <w:spacing w:after="0"/>
              <w:jc w:val="left"/>
              <w:rPr>
                <w:color w:val="auto"/>
              </w:rPr>
            </w:pPr>
          </w:p>
          <w:p w14:paraId="02FA5C2B" w14:textId="0AFDEA05" w:rsidR="003C5139" w:rsidRPr="009B2CA8" w:rsidRDefault="003C5139" w:rsidP="003C5139">
            <w:pPr>
              <w:spacing w:after="0"/>
              <w:jc w:val="left"/>
              <w:rPr>
                <w:color w:val="auto"/>
              </w:rPr>
            </w:pPr>
            <w:r w:rsidRPr="009B2CA8">
              <w:rPr>
                <w:color w:val="auto"/>
              </w:rPr>
              <w:t xml:space="preserve">Report on total number. </w:t>
            </w:r>
          </w:p>
          <w:p w14:paraId="3FB2F2B0" w14:textId="51011B51" w:rsidR="00757D34" w:rsidRPr="009B2CA8" w:rsidRDefault="00757D34" w:rsidP="003C5139">
            <w:pPr>
              <w:spacing w:after="0"/>
              <w:jc w:val="left"/>
              <w:rPr>
                <w:color w:val="auto"/>
              </w:rPr>
            </w:pPr>
          </w:p>
          <w:p w14:paraId="3281C9DE" w14:textId="79832C6D" w:rsidR="008D078F" w:rsidRPr="009B2CA8" w:rsidRDefault="008D078F" w:rsidP="003C5139">
            <w:pPr>
              <w:spacing w:after="0"/>
              <w:jc w:val="left"/>
              <w:rPr>
                <w:color w:val="auto"/>
              </w:rPr>
            </w:pPr>
          </w:p>
          <w:p w14:paraId="7D547EDB" w14:textId="32FA8E83" w:rsidR="001678E5" w:rsidRPr="009B2CA8" w:rsidRDefault="001678E5" w:rsidP="003C5139">
            <w:pPr>
              <w:spacing w:after="0"/>
              <w:jc w:val="left"/>
              <w:rPr>
                <w:color w:val="auto"/>
              </w:rPr>
            </w:pPr>
          </w:p>
          <w:p w14:paraId="396640B3" w14:textId="53FE4340" w:rsidR="008D078F" w:rsidRPr="009B2CA8" w:rsidRDefault="008D078F" w:rsidP="003C5139">
            <w:pPr>
              <w:spacing w:after="0"/>
              <w:jc w:val="left"/>
              <w:rPr>
                <w:color w:val="auto"/>
              </w:rPr>
            </w:pPr>
          </w:p>
          <w:p w14:paraId="5C66D3A0" w14:textId="77777777" w:rsidR="00FE0D28" w:rsidRPr="009B2CA8" w:rsidRDefault="00FE0D28" w:rsidP="003C5139">
            <w:pPr>
              <w:spacing w:after="0"/>
              <w:jc w:val="left"/>
              <w:rPr>
                <w:color w:val="auto"/>
              </w:rPr>
            </w:pPr>
          </w:p>
          <w:p w14:paraId="5784372D" w14:textId="239C7515" w:rsidR="00757D34" w:rsidRPr="009B2CA8" w:rsidRDefault="00757D34" w:rsidP="003C5139">
            <w:pPr>
              <w:spacing w:after="0"/>
              <w:jc w:val="left"/>
              <w:rPr>
                <w:color w:val="auto"/>
              </w:rPr>
            </w:pPr>
            <w:r w:rsidRPr="009B2CA8">
              <w:rPr>
                <w:color w:val="auto"/>
              </w:rPr>
              <w:t xml:space="preserve">Monitor reach of online education modules for </w:t>
            </w:r>
            <w:r w:rsidRPr="009B2CA8">
              <w:rPr>
                <w:b/>
                <w:color w:val="auto"/>
              </w:rPr>
              <w:t>providers</w:t>
            </w:r>
            <w:r w:rsidRPr="009B2CA8">
              <w:rPr>
                <w:color w:val="auto"/>
              </w:rPr>
              <w:t xml:space="preserve"> on the application of the Code. Report on number of providers who have completed the modules</w:t>
            </w:r>
            <w:r w:rsidR="008D078F" w:rsidRPr="009B2CA8">
              <w:rPr>
                <w:color w:val="auto"/>
              </w:rPr>
              <w:t>.</w:t>
            </w:r>
          </w:p>
          <w:p w14:paraId="308BE431" w14:textId="77777777" w:rsidR="00757D34" w:rsidRPr="009B2CA8" w:rsidRDefault="00757D34" w:rsidP="003C5139">
            <w:pPr>
              <w:spacing w:after="0"/>
              <w:jc w:val="left"/>
              <w:rPr>
                <w:color w:val="auto"/>
              </w:rPr>
            </w:pPr>
          </w:p>
          <w:p w14:paraId="59AE9152" w14:textId="51AECE65" w:rsidR="003C5139" w:rsidRPr="009B2CA8" w:rsidRDefault="00757D34" w:rsidP="003C5139">
            <w:pPr>
              <w:spacing w:after="0"/>
              <w:jc w:val="left"/>
              <w:rPr>
                <w:color w:val="auto"/>
              </w:rPr>
            </w:pPr>
            <w:r w:rsidRPr="009B2CA8">
              <w:rPr>
                <w:color w:val="auto"/>
              </w:rPr>
              <w:t xml:space="preserve">Develop and implement promotional resources for </w:t>
            </w:r>
            <w:r w:rsidRPr="009B2CA8">
              <w:rPr>
                <w:b/>
                <w:color w:val="auto"/>
              </w:rPr>
              <w:t>consumers</w:t>
            </w:r>
            <w:r w:rsidRPr="009B2CA8">
              <w:rPr>
                <w:color w:val="auto"/>
              </w:rPr>
              <w:t xml:space="preserve">, including </w:t>
            </w:r>
            <w:r w:rsidR="00FE0D28" w:rsidRPr="009B2CA8">
              <w:rPr>
                <w:color w:val="auto"/>
              </w:rPr>
              <w:t>an online educational resource.</w:t>
            </w:r>
          </w:p>
          <w:p w14:paraId="6F60AEBB" w14:textId="77777777" w:rsidR="003C5139" w:rsidRPr="009B2CA8" w:rsidRDefault="003C5139" w:rsidP="00757D34">
            <w:pPr>
              <w:spacing w:after="0"/>
              <w:jc w:val="left"/>
              <w:rPr>
                <w:color w:val="auto"/>
              </w:rPr>
            </w:pPr>
          </w:p>
        </w:tc>
        <w:tc>
          <w:tcPr>
            <w:tcW w:w="3849" w:type="dxa"/>
            <w:tcBorders>
              <w:top w:val="single" w:sz="4" w:space="0" w:color="000000"/>
              <w:left w:val="single" w:sz="4" w:space="0" w:color="000000"/>
              <w:bottom w:val="single" w:sz="4" w:space="0" w:color="000000"/>
              <w:right w:val="single" w:sz="4" w:space="0" w:color="000000"/>
            </w:tcBorders>
          </w:tcPr>
          <w:p w14:paraId="02F7A0D9" w14:textId="7246A5EF" w:rsidR="003C5139" w:rsidRPr="009B2CA8" w:rsidRDefault="003C5139" w:rsidP="003C5139">
            <w:pPr>
              <w:spacing w:after="0"/>
              <w:jc w:val="left"/>
              <w:rPr>
                <w:color w:val="auto"/>
              </w:rPr>
            </w:pPr>
            <w:r w:rsidRPr="009B2CA8">
              <w:rPr>
                <w:color w:val="auto"/>
              </w:rPr>
              <w:t>Provide educational presentations</w:t>
            </w:r>
            <w:r w:rsidR="00404939">
              <w:rPr>
                <w:color w:val="auto"/>
              </w:rPr>
              <w:t>.</w:t>
            </w:r>
            <w:r w:rsidR="008022E1" w:rsidRPr="009B2CA8">
              <w:rPr>
                <w:rStyle w:val="FootnoteReference"/>
                <w:color w:val="auto"/>
              </w:rPr>
              <w:footnoteReference w:id="5"/>
            </w:r>
            <w:r w:rsidR="008022E1">
              <w:rPr>
                <w:color w:val="auto"/>
              </w:rPr>
              <w:t xml:space="preserve"> </w:t>
            </w:r>
            <w:r w:rsidRPr="009B2CA8">
              <w:rPr>
                <w:color w:val="auto"/>
              </w:rPr>
              <w:t>Report on total number of presentations provided and who they were provided to. Seek evaluations of presentations, with 80% of respondents reporting that the presentation improved their awareness and understanding of HDC and the Code of Rights.</w:t>
            </w:r>
          </w:p>
          <w:p w14:paraId="70E26784" w14:textId="77777777" w:rsidR="003C5139" w:rsidRPr="009B2CA8" w:rsidRDefault="003C5139" w:rsidP="003C5139">
            <w:pPr>
              <w:spacing w:after="0"/>
              <w:jc w:val="left"/>
              <w:rPr>
                <w:color w:val="auto"/>
              </w:rPr>
            </w:pPr>
          </w:p>
          <w:p w14:paraId="6B1C2F65" w14:textId="71FF5A00" w:rsidR="003C5139" w:rsidRPr="009B2CA8" w:rsidRDefault="003C5139" w:rsidP="00302609">
            <w:pPr>
              <w:spacing w:after="0"/>
              <w:jc w:val="left"/>
              <w:rPr>
                <w:color w:val="auto"/>
              </w:rPr>
            </w:pPr>
            <w:r w:rsidRPr="009B2CA8">
              <w:rPr>
                <w:color w:val="auto"/>
              </w:rPr>
              <w:t>Develop and implement 5 online education modules for consumers and providers to promote understanding of the Code and how it applies in practice, and methods for measuring reach and effe</w:t>
            </w:r>
            <w:r w:rsidR="00302609" w:rsidRPr="009B2CA8">
              <w:rPr>
                <w:color w:val="auto"/>
              </w:rPr>
              <w:t xml:space="preserve">ctiveness. Report on activity. </w:t>
            </w:r>
          </w:p>
        </w:tc>
        <w:tc>
          <w:tcPr>
            <w:tcW w:w="3805" w:type="dxa"/>
            <w:tcBorders>
              <w:top w:val="single" w:sz="4" w:space="0" w:color="000000"/>
              <w:left w:val="single" w:sz="4" w:space="0" w:color="000000"/>
              <w:bottom w:val="single" w:sz="4" w:space="0" w:color="000000"/>
              <w:right w:val="single" w:sz="4" w:space="0" w:color="000000"/>
            </w:tcBorders>
          </w:tcPr>
          <w:p w14:paraId="7401F4AE" w14:textId="77777777" w:rsidR="003C5139" w:rsidRPr="009B2CA8" w:rsidRDefault="003C5139" w:rsidP="003C5139">
            <w:pPr>
              <w:spacing w:after="0"/>
              <w:jc w:val="left"/>
              <w:rPr>
                <w:color w:val="auto"/>
                <w:lang w:val="x-none"/>
              </w:rPr>
            </w:pPr>
            <w:r w:rsidRPr="009B2CA8">
              <w:rPr>
                <w:color w:val="auto"/>
                <w:lang w:val="x-none"/>
              </w:rPr>
              <w:t>For the year ended 30</w:t>
            </w:r>
            <w:r w:rsidRPr="009B2CA8">
              <w:rPr>
                <w:color w:val="auto"/>
                <w:lang w:val="en-US"/>
              </w:rPr>
              <w:t xml:space="preserve"> </w:t>
            </w:r>
            <w:r w:rsidRPr="009B2CA8">
              <w:rPr>
                <w:color w:val="auto"/>
                <w:lang w:val="x-none"/>
              </w:rPr>
              <w:t>June 2022, 30 educational</w:t>
            </w:r>
            <w:r w:rsidRPr="009B2CA8">
              <w:rPr>
                <w:color w:val="auto"/>
                <w:lang w:val="en-US"/>
              </w:rPr>
              <w:t xml:space="preserve"> </w:t>
            </w:r>
            <w:r w:rsidRPr="009B2CA8">
              <w:rPr>
                <w:color w:val="auto"/>
                <w:lang w:val="x-none"/>
              </w:rPr>
              <w:t>presentations were made.</w:t>
            </w:r>
          </w:p>
          <w:p w14:paraId="0A14B638" w14:textId="77777777" w:rsidR="003C5139" w:rsidRPr="009B2CA8" w:rsidRDefault="003C5139" w:rsidP="003C5139">
            <w:pPr>
              <w:spacing w:after="0"/>
              <w:rPr>
                <w:color w:val="auto"/>
                <w:lang w:val="x-none"/>
              </w:rPr>
            </w:pPr>
          </w:p>
          <w:p w14:paraId="579F3153" w14:textId="77777777" w:rsidR="003C5139" w:rsidRPr="009B2CA8" w:rsidRDefault="003C5139" w:rsidP="003C5139">
            <w:pPr>
              <w:spacing w:after="0"/>
              <w:rPr>
                <w:color w:val="auto"/>
              </w:rPr>
            </w:pPr>
          </w:p>
          <w:p w14:paraId="33533273" w14:textId="113412B9" w:rsidR="003C5139" w:rsidRPr="009B2CA8" w:rsidRDefault="003C5139" w:rsidP="003C5139">
            <w:pPr>
              <w:spacing w:after="0"/>
              <w:jc w:val="left"/>
              <w:rPr>
                <w:color w:val="auto"/>
              </w:rPr>
            </w:pPr>
            <w:r w:rsidRPr="009B2CA8">
              <w:rPr>
                <w:color w:val="auto"/>
                <w:lang w:val="x-none"/>
              </w:rPr>
              <w:t>For the year ended 30 June</w:t>
            </w:r>
            <w:r w:rsidRPr="009B2CA8">
              <w:rPr>
                <w:color w:val="auto"/>
                <w:lang w:val="en-US"/>
              </w:rPr>
              <w:t xml:space="preserve"> </w:t>
            </w:r>
            <w:r w:rsidRPr="009B2CA8">
              <w:rPr>
                <w:color w:val="auto"/>
                <w:lang w:val="x-none"/>
              </w:rPr>
              <w:t>2022, 100% of respondents who</w:t>
            </w:r>
            <w:r w:rsidRPr="009B2CA8">
              <w:rPr>
                <w:color w:val="auto"/>
                <w:lang w:val="en-US"/>
              </w:rPr>
              <w:t xml:space="preserve"> </w:t>
            </w:r>
            <w:r w:rsidRPr="009B2CA8">
              <w:rPr>
                <w:color w:val="auto"/>
                <w:lang w:val="x-none"/>
              </w:rPr>
              <w:t>provided feedback reported</w:t>
            </w:r>
            <w:r w:rsidRPr="009B2CA8">
              <w:rPr>
                <w:color w:val="auto"/>
                <w:lang w:val="en-US"/>
              </w:rPr>
              <w:t xml:space="preserve"> </w:t>
            </w:r>
            <w:r w:rsidRPr="009B2CA8">
              <w:rPr>
                <w:color w:val="auto"/>
                <w:lang w:val="x-none"/>
              </w:rPr>
              <w:t>that they were satisfied with the</w:t>
            </w:r>
            <w:r w:rsidRPr="009B2CA8">
              <w:rPr>
                <w:color w:val="auto"/>
                <w:lang w:val="en-US"/>
              </w:rPr>
              <w:t xml:space="preserve"> </w:t>
            </w:r>
            <w:r w:rsidRPr="009B2CA8">
              <w:rPr>
                <w:color w:val="auto"/>
                <w:lang w:val="x-none"/>
              </w:rPr>
              <w:t>presentations.</w:t>
            </w:r>
          </w:p>
        </w:tc>
      </w:tr>
    </w:tbl>
    <w:p w14:paraId="33F102EC" w14:textId="0B5CB1C5" w:rsidR="003B22F5" w:rsidRPr="00F2662E" w:rsidRDefault="00F56F85" w:rsidP="008E478B">
      <w:pPr>
        <w:pStyle w:val="Bullets"/>
        <w:numPr>
          <w:ilvl w:val="0"/>
          <w:numId w:val="0"/>
        </w:numPr>
        <w:spacing w:before="120" w:after="0"/>
        <w:contextualSpacing/>
        <w:rPr>
          <w:sz w:val="16"/>
          <w:szCs w:val="16"/>
        </w:rPr>
      </w:pPr>
      <w:r w:rsidRPr="00F2662E">
        <w:rPr>
          <w:rStyle w:val="FootnoteReference"/>
          <w:sz w:val="16"/>
          <w:szCs w:val="16"/>
        </w:rPr>
        <w:t xml:space="preserve">3 </w:t>
      </w:r>
      <w:r w:rsidRPr="00F2662E">
        <w:rPr>
          <w:rStyle w:val="FootnoteReference"/>
          <w:sz w:val="16"/>
          <w:szCs w:val="16"/>
          <w:vertAlign w:val="baseline"/>
        </w:rPr>
        <w:t>We have removed a target number of presentations provided (last year we aimed to provide 20 educational presentations). With the development and implementation of an online learning platform, HDC intends to focus our educational presentations on priority groups rather than number completed. We will therefore be reporting on audience rather than aiming to achieve a certain number. The number of presentations will continue to be reported on.</w:t>
      </w:r>
      <w:r w:rsidR="003B22F5" w:rsidRPr="00F2662E">
        <w:rPr>
          <w:sz w:val="16"/>
          <w:szCs w:val="16"/>
        </w:rPr>
        <w:br w:type="page"/>
      </w:r>
    </w:p>
    <w:p w14:paraId="4009DBC5" w14:textId="453B2F68" w:rsidR="003B22F5" w:rsidRPr="009B2CA8" w:rsidRDefault="003B22F5" w:rsidP="00942238">
      <w:pPr>
        <w:pStyle w:val="Heading2"/>
      </w:pPr>
      <w:bookmarkStart w:id="42" w:name="_Toc101344205"/>
      <w:bookmarkStart w:id="43" w:name="_Toc138852564"/>
      <w:r w:rsidRPr="009B2CA8">
        <w:lastRenderedPageBreak/>
        <w:t xml:space="preserve">Output Class 3 — </w:t>
      </w:r>
      <w:r w:rsidR="00D45738" w:rsidRPr="009B2CA8">
        <w:t xml:space="preserve">System </w:t>
      </w:r>
      <w:r w:rsidR="000F00CE" w:rsidRPr="009B2CA8">
        <w:t xml:space="preserve">monitoring and </w:t>
      </w:r>
      <w:r w:rsidR="00D45738" w:rsidRPr="009B2CA8">
        <w:t>impact</w:t>
      </w:r>
      <w:bookmarkEnd w:id="42"/>
      <w:bookmarkEnd w:id="43"/>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3714"/>
        <w:gridCol w:w="3544"/>
        <w:gridCol w:w="3969"/>
      </w:tblGrid>
      <w:tr w:rsidR="003B22F5" w:rsidRPr="009B2CA8" w14:paraId="369F621C" w14:textId="77777777" w:rsidTr="0070281A">
        <w:trPr>
          <w:tblHeader/>
        </w:trPr>
        <w:tc>
          <w:tcPr>
            <w:tcW w:w="14630" w:type="dxa"/>
            <w:gridSpan w:val="4"/>
            <w:tcBorders>
              <w:top w:val="single" w:sz="4" w:space="0" w:color="000000"/>
              <w:left w:val="single" w:sz="4" w:space="0" w:color="000000"/>
              <w:bottom w:val="single" w:sz="4" w:space="0" w:color="000000"/>
              <w:right w:val="single" w:sz="4" w:space="0" w:color="000000"/>
            </w:tcBorders>
            <w:shd w:val="clear" w:color="auto" w:fill="FBD4B4"/>
            <w:hideMark/>
          </w:tcPr>
          <w:p w14:paraId="5540EBB5" w14:textId="67B74051" w:rsidR="003B22F5" w:rsidRPr="009B2CA8" w:rsidRDefault="00505AA0" w:rsidP="00280406">
            <w:pPr>
              <w:spacing w:after="0"/>
              <w:jc w:val="center"/>
              <w:rPr>
                <w:b/>
                <w:color w:val="auto"/>
              </w:rPr>
            </w:pPr>
            <w:r w:rsidRPr="009B2CA8">
              <w:rPr>
                <w:b/>
                <w:color w:val="auto"/>
              </w:rPr>
              <w:t>Output 3</w:t>
            </w:r>
            <w:r w:rsidR="00280406" w:rsidRPr="009B2CA8">
              <w:rPr>
                <w:b/>
                <w:color w:val="auto"/>
              </w:rPr>
              <w:t xml:space="preserve"> </w:t>
            </w:r>
            <w:r w:rsidR="00E823D4" w:rsidRPr="009B2CA8">
              <w:rPr>
                <w:b/>
                <w:color w:val="auto"/>
              </w:rPr>
              <w:t>—</w:t>
            </w:r>
            <w:r w:rsidR="00E823D4">
              <w:rPr>
                <w:b/>
                <w:color w:val="auto"/>
              </w:rPr>
              <w:t xml:space="preserve"> </w:t>
            </w:r>
            <w:r w:rsidR="00280406" w:rsidRPr="009B2CA8">
              <w:rPr>
                <w:b/>
                <w:color w:val="auto"/>
              </w:rPr>
              <w:t>System impact</w:t>
            </w:r>
          </w:p>
        </w:tc>
      </w:tr>
      <w:tr w:rsidR="003B22F5" w:rsidRPr="009B2CA8" w14:paraId="2CA48052" w14:textId="77777777" w:rsidTr="0070281A">
        <w:trPr>
          <w:trHeight w:val="285"/>
          <w:tblHeader/>
        </w:trPr>
        <w:tc>
          <w:tcPr>
            <w:tcW w:w="3403" w:type="dxa"/>
            <w:vMerge w:val="restart"/>
            <w:tcBorders>
              <w:top w:val="single" w:sz="4" w:space="0" w:color="000000"/>
              <w:left w:val="single" w:sz="4" w:space="0" w:color="000000"/>
              <w:right w:val="single" w:sz="4" w:space="0" w:color="000000"/>
            </w:tcBorders>
            <w:shd w:val="clear" w:color="auto" w:fill="C6D9F1" w:themeFill="text2" w:themeFillTint="33"/>
            <w:vAlign w:val="center"/>
            <w:hideMark/>
          </w:tcPr>
          <w:p w14:paraId="1B83A078" w14:textId="77777777" w:rsidR="003B22F5" w:rsidRPr="009B2CA8" w:rsidRDefault="003B22F5" w:rsidP="003A457B">
            <w:pPr>
              <w:spacing w:after="0"/>
              <w:jc w:val="center"/>
              <w:rPr>
                <w:b/>
                <w:color w:val="auto"/>
              </w:rPr>
            </w:pPr>
          </w:p>
        </w:tc>
        <w:tc>
          <w:tcPr>
            <w:tcW w:w="11227"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23AFDC55" w14:textId="77777777" w:rsidR="003B22F5" w:rsidRPr="009B2CA8" w:rsidRDefault="003B22F5" w:rsidP="003A457B">
            <w:pPr>
              <w:spacing w:after="0"/>
              <w:jc w:val="center"/>
              <w:rPr>
                <w:b/>
                <w:color w:val="auto"/>
              </w:rPr>
            </w:pPr>
            <w:r w:rsidRPr="009B2CA8">
              <w:rPr>
                <w:b/>
                <w:color w:val="auto"/>
              </w:rPr>
              <w:t>Performance Measures</w:t>
            </w:r>
          </w:p>
        </w:tc>
      </w:tr>
      <w:tr w:rsidR="003B22F5" w:rsidRPr="009B2CA8" w14:paraId="05EFBC59" w14:textId="77777777" w:rsidTr="0070281A">
        <w:trPr>
          <w:trHeight w:val="285"/>
          <w:tblHeader/>
        </w:trPr>
        <w:tc>
          <w:tcPr>
            <w:tcW w:w="3403" w:type="dxa"/>
            <w:vMerge/>
            <w:tcBorders>
              <w:left w:val="single" w:sz="4" w:space="0" w:color="000000"/>
              <w:bottom w:val="single" w:sz="4" w:space="0" w:color="000000"/>
              <w:right w:val="single" w:sz="4" w:space="0" w:color="000000"/>
            </w:tcBorders>
            <w:shd w:val="clear" w:color="auto" w:fill="C6D9F1" w:themeFill="text2" w:themeFillTint="33"/>
            <w:vAlign w:val="center"/>
            <w:hideMark/>
          </w:tcPr>
          <w:p w14:paraId="3DDBA2A8" w14:textId="77777777" w:rsidR="003B22F5" w:rsidRPr="009B2CA8" w:rsidRDefault="003B22F5" w:rsidP="003A457B">
            <w:pPr>
              <w:spacing w:after="0"/>
              <w:jc w:val="center"/>
              <w:rPr>
                <w:b/>
                <w:color w:val="auto"/>
              </w:rPr>
            </w:pPr>
          </w:p>
        </w:tc>
        <w:tc>
          <w:tcPr>
            <w:tcW w:w="37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DFBCAD8" w14:textId="06210AC4" w:rsidR="003B22F5" w:rsidRPr="009B2CA8" w:rsidRDefault="003B22F5" w:rsidP="003A457B">
            <w:pPr>
              <w:keepNext/>
              <w:keepLines/>
              <w:spacing w:after="0"/>
              <w:jc w:val="center"/>
              <w:rPr>
                <w:b/>
                <w:color w:val="auto"/>
              </w:rPr>
            </w:pPr>
            <w:r w:rsidRPr="009B2CA8">
              <w:rPr>
                <w:b/>
                <w:color w:val="auto"/>
              </w:rPr>
              <w:t>202</w:t>
            </w:r>
            <w:r w:rsidR="007A0CBA" w:rsidRPr="009B2CA8">
              <w:rPr>
                <w:b/>
                <w:color w:val="auto"/>
              </w:rPr>
              <w:t>3</w:t>
            </w:r>
            <w:r w:rsidRPr="009B2CA8">
              <w:rPr>
                <w:b/>
                <w:color w:val="auto"/>
              </w:rPr>
              <w:t>/2</w:t>
            </w:r>
            <w:r w:rsidR="007A0CBA" w:rsidRPr="009B2CA8">
              <w:rPr>
                <w:b/>
                <w:color w:val="auto"/>
              </w:rPr>
              <w:t>4</w:t>
            </w:r>
            <w:r w:rsidRPr="009B2CA8">
              <w:rPr>
                <w:b/>
                <w:color w:val="auto"/>
              </w:rPr>
              <w:t xml:space="preserve"> </w:t>
            </w:r>
            <w:r w:rsidR="009B0B69" w:rsidRPr="009B2CA8">
              <w:rPr>
                <w:b/>
                <w:color w:val="auto"/>
              </w:rPr>
              <w:t xml:space="preserve">SPE </w:t>
            </w:r>
            <w:r w:rsidRPr="009B2CA8">
              <w:rPr>
                <w:b/>
                <w:color w:val="auto"/>
              </w:rPr>
              <w:t>Target</w:t>
            </w:r>
          </w:p>
        </w:tc>
        <w:tc>
          <w:tcPr>
            <w:tcW w:w="35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FA182B5" w14:textId="45E48088" w:rsidR="003B22F5" w:rsidRPr="009B2CA8" w:rsidRDefault="003B22F5" w:rsidP="003A457B">
            <w:pPr>
              <w:keepNext/>
              <w:keepLines/>
              <w:spacing w:after="0"/>
              <w:jc w:val="center"/>
              <w:rPr>
                <w:b/>
                <w:color w:val="auto"/>
              </w:rPr>
            </w:pPr>
            <w:r w:rsidRPr="009B2CA8">
              <w:rPr>
                <w:b/>
                <w:color w:val="auto"/>
              </w:rPr>
              <w:t>202</w:t>
            </w:r>
            <w:r w:rsidR="007A0CBA" w:rsidRPr="009B2CA8">
              <w:rPr>
                <w:b/>
                <w:color w:val="auto"/>
              </w:rPr>
              <w:t>2/23</w:t>
            </w:r>
            <w:r w:rsidRPr="009B2CA8">
              <w:rPr>
                <w:b/>
                <w:color w:val="auto"/>
              </w:rPr>
              <w:t xml:space="preserve"> </w:t>
            </w:r>
            <w:r w:rsidR="009B0B69" w:rsidRPr="009B2CA8">
              <w:rPr>
                <w:b/>
                <w:color w:val="auto"/>
              </w:rPr>
              <w:t>SPE Target</w:t>
            </w:r>
          </w:p>
        </w:tc>
        <w:tc>
          <w:tcPr>
            <w:tcW w:w="39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220231B" w14:textId="5E38FAAA" w:rsidR="003B22F5" w:rsidRPr="009B2CA8" w:rsidRDefault="003B22F5" w:rsidP="003A457B">
            <w:pPr>
              <w:keepNext/>
              <w:keepLines/>
              <w:spacing w:after="0"/>
              <w:jc w:val="center"/>
              <w:rPr>
                <w:b/>
                <w:color w:val="auto"/>
              </w:rPr>
            </w:pPr>
            <w:r w:rsidRPr="009B2CA8">
              <w:rPr>
                <w:b/>
                <w:color w:val="auto"/>
              </w:rPr>
              <w:t>202</w:t>
            </w:r>
            <w:r w:rsidR="007A0CBA" w:rsidRPr="009B2CA8">
              <w:rPr>
                <w:b/>
                <w:color w:val="auto"/>
              </w:rPr>
              <w:t>1</w:t>
            </w:r>
            <w:r w:rsidRPr="009B2CA8">
              <w:rPr>
                <w:b/>
                <w:color w:val="auto"/>
              </w:rPr>
              <w:t>/2</w:t>
            </w:r>
            <w:r w:rsidR="007A0CBA" w:rsidRPr="009B2CA8">
              <w:rPr>
                <w:b/>
                <w:color w:val="auto"/>
              </w:rPr>
              <w:t>2</w:t>
            </w:r>
            <w:r w:rsidRPr="009B2CA8">
              <w:rPr>
                <w:b/>
                <w:color w:val="auto"/>
              </w:rPr>
              <w:t xml:space="preserve"> Actual</w:t>
            </w:r>
          </w:p>
        </w:tc>
      </w:tr>
      <w:tr w:rsidR="00D45738" w:rsidRPr="009B2CA8" w14:paraId="790D7588" w14:textId="77777777" w:rsidTr="0070281A">
        <w:trPr>
          <w:trHeight w:val="1117"/>
        </w:trPr>
        <w:tc>
          <w:tcPr>
            <w:tcW w:w="3403" w:type="dxa"/>
          </w:tcPr>
          <w:p w14:paraId="52FAC016" w14:textId="77777777" w:rsidR="00D45738" w:rsidRPr="009B2CA8" w:rsidRDefault="00D45738" w:rsidP="00D45738">
            <w:pPr>
              <w:spacing w:after="0"/>
              <w:jc w:val="left"/>
              <w:rPr>
                <w:color w:val="auto"/>
              </w:rPr>
            </w:pPr>
            <w:r w:rsidRPr="009B2CA8">
              <w:rPr>
                <w:color w:val="auto"/>
              </w:rPr>
              <w:t xml:space="preserve">Use HDC complaints management processes to facilitate quality improvement </w:t>
            </w:r>
            <w:r w:rsidRPr="009B2CA8">
              <w:rPr>
                <w:i/>
                <w:color w:val="auto"/>
              </w:rPr>
              <w:t>(which contributes to achievement of Strategic Objective 3)</w:t>
            </w:r>
            <w:r w:rsidRPr="009B2CA8">
              <w:rPr>
                <w:color w:val="auto"/>
              </w:rPr>
              <w:t>.</w:t>
            </w:r>
          </w:p>
          <w:p w14:paraId="07381F32" w14:textId="77777777" w:rsidR="00FF0C55" w:rsidRPr="009B2CA8" w:rsidRDefault="00FF0C55" w:rsidP="00D45738">
            <w:pPr>
              <w:spacing w:after="0"/>
              <w:jc w:val="left"/>
              <w:rPr>
                <w:color w:val="auto"/>
              </w:rPr>
            </w:pPr>
          </w:p>
          <w:p w14:paraId="39D010F6" w14:textId="4684EB03" w:rsidR="00FF0C55" w:rsidRPr="009B2CA8" w:rsidRDefault="00FF0C55" w:rsidP="00D45738">
            <w:pPr>
              <w:spacing w:after="0"/>
              <w:jc w:val="left"/>
              <w:rPr>
                <w:color w:val="auto"/>
              </w:rPr>
            </w:pPr>
          </w:p>
        </w:tc>
        <w:tc>
          <w:tcPr>
            <w:tcW w:w="3714" w:type="dxa"/>
          </w:tcPr>
          <w:p w14:paraId="1DF15671" w14:textId="4B63E4B3" w:rsidR="00D45738" w:rsidRDefault="00D45738" w:rsidP="00D45738">
            <w:pPr>
              <w:spacing w:after="0"/>
              <w:jc w:val="left"/>
              <w:rPr>
                <w:color w:val="auto"/>
              </w:rPr>
            </w:pPr>
            <w:r w:rsidRPr="009B2CA8">
              <w:rPr>
                <w:color w:val="auto"/>
              </w:rPr>
              <w:t xml:space="preserve">Make recommendations to improve quality of services, </w:t>
            </w:r>
            <w:r w:rsidR="0085402D">
              <w:rPr>
                <w:color w:val="auto"/>
              </w:rPr>
              <w:t xml:space="preserve">and </w:t>
            </w:r>
            <w:r w:rsidRPr="009B2CA8">
              <w:rPr>
                <w:color w:val="auto"/>
              </w:rPr>
              <w:t>monitor compliance with the implementation of recommendations by providers:</w:t>
            </w:r>
          </w:p>
          <w:p w14:paraId="7937860F" w14:textId="77777777" w:rsidR="00E6063D" w:rsidRPr="009B2CA8" w:rsidRDefault="00E6063D" w:rsidP="00D45738">
            <w:pPr>
              <w:spacing w:after="0"/>
              <w:jc w:val="left"/>
              <w:rPr>
                <w:color w:val="auto"/>
              </w:rPr>
            </w:pPr>
          </w:p>
          <w:p w14:paraId="33EB6CB7" w14:textId="5A5E5301" w:rsidR="00D45738" w:rsidRPr="009B2CA8" w:rsidRDefault="00D45738" w:rsidP="003C41A9">
            <w:pPr>
              <w:pStyle w:val="ListParagraph"/>
              <w:numPr>
                <w:ilvl w:val="0"/>
                <w:numId w:val="6"/>
              </w:numPr>
              <w:tabs>
                <w:tab w:val="left" w:pos="391"/>
              </w:tabs>
              <w:spacing w:after="0"/>
              <w:ind w:left="333" w:hanging="333"/>
              <w:contextualSpacing w:val="0"/>
              <w:jc w:val="left"/>
              <w:rPr>
                <w:color w:val="auto"/>
              </w:rPr>
            </w:pPr>
            <w:r w:rsidRPr="009B2CA8">
              <w:rPr>
                <w:color w:val="auto"/>
              </w:rPr>
              <w:t xml:space="preserve">Providers make quality improvements as a result of HDC recommendations. </w:t>
            </w:r>
            <w:r w:rsidRPr="009B2CA8">
              <w:rPr>
                <w:rFonts w:eastAsiaTheme="minorHAnsi" w:cs="Helv"/>
                <w:bCs w:val="0"/>
                <w:color w:val="auto"/>
              </w:rPr>
              <w:t>Verify provider’s compliance with HDC’s quality improvement recommendations, with a target of 97% compliance.</w:t>
            </w:r>
          </w:p>
          <w:p w14:paraId="7E27809C" w14:textId="1F426B34" w:rsidR="00D45738" w:rsidRPr="009B2CA8" w:rsidRDefault="00D45738" w:rsidP="00D45738">
            <w:pPr>
              <w:spacing w:after="0"/>
              <w:jc w:val="left"/>
              <w:rPr>
                <w:color w:val="auto"/>
                <w:highlight w:val="yellow"/>
              </w:rPr>
            </w:pPr>
          </w:p>
        </w:tc>
        <w:tc>
          <w:tcPr>
            <w:tcW w:w="3544" w:type="dxa"/>
          </w:tcPr>
          <w:p w14:paraId="69B681DE" w14:textId="77777777" w:rsidR="00D45738" w:rsidRPr="009B2CA8" w:rsidRDefault="00D45738" w:rsidP="00D45738">
            <w:pPr>
              <w:spacing w:after="0"/>
              <w:jc w:val="left"/>
              <w:rPr>
                <w:color w:val="auto"/>
              </w:rPr>
            </w:pPr>
            <w:r w:rsidRPr="009B2CA8">
              <w:rPr>
                <w:color w:val="auto"/>
              </w:rPr>
              <w:t>Make recommendations and educational comments to providers to improve quality of services, monitor compliance with the implementation of recommendations, and encourage better management of complaints by providers:</w:t>
            </w:r>
          </w:p>
          <w:p w14:paraId="79EFFE8E" w14:textId="77777777" w:rsidR="00E6063D" w:rsidRDefault="00E6063D" w:rsidP="00AC1CDA">
            <w:pPr>
              <w:tabs>
                <w:tab w:val="left" w:pos="275"/>
              </w:tabs>
              <w:spacing w:after="0"/>
              <w:jc w:val="left"/>
              <w:rPr>
                <w:color w:val="auto"/>
              </w:rPr>
            </w:pPr>
          </w:p>
          <w:p w14:paraId="4DECCE5B" w14:textId="15F88416" w:rsidR="00D45738" w:rsidRPr="009B2CA8" w:rsidRDefault="00D45738" w:rsidP="0085402D">
            <w:pPr>
              <w:tabs>
                <w:tab w:val="left" w:pos="314"/>
              </w:tabs>
              <w:spacing w:after="0"/>
              <w:ind w:left="314" w:hanging="314"/>
              <w:jc w:val="left"/>
              <w:rPr>
                <w:color w:val="auto"/>
              </w:rPr>
            </w:pPr>
            <w:r w:rsidRPr="009B2CA8">
              <w:rPr>
                <w:color w:val="auto"/>
              </w:rPr>
              <w:t>•</w:t>
            </w:r>
            <w:r w:rsidRPr="009B2CA8">
              <w:rPr>
                <w:color w:val="auto"/>
              </w:rPr>
              <w:tab/>
              <w:t>Providers make quality improvements as a result of HDC recommendations and/or educational comments. Verify provider’s compliance with HDC’s quality improvement recommendations, with a target of 97% compliance.</w:t>
            </w:r>
          </w:p>
          <w:p w14:paraId="4C7DD94E" w14:textId="799E6DF2" w:rsidR="00FE0D28" w:rsidRPr="009B2CA8" w:rsidRDefault="00FE0D28" w:rsidP="00D45738">
            <w:pPr>
              <w:spacing w:after="0"/>
              <w:jc w:val="left"/>
              <w:rPr>
                <w:color w:val="auto"/>
              </w:rPr>
            </w:pPr>
          </w:p>
        </w:tc>
        <w:tc>
          <w:tcPr>
            <w:tcW w:w="3969" w:type="dxa"/>
          </w:tcPr>
          <w:p w14:paraId="53DEEDE9" w14:textId="77777777" w:rsidR="00D45738" w:rsidRPr="009B2CA8" w:rsidRDefault="00D45738" w:rsidP="00D45738">
            <w:pPr>
              <w:pStyle w:val="ListParagraph"/>
              <w:spacing w:after="0"/>
              <w:ind w:left="34"/>
              <w:jc w:val="left"/>
              <w:rPr>
                <w:color w:val="auto"/>
              </w:rPr>
            </w:pPr>
            <w:r w:rsidRPr="009B2CA8">
              <w:rPr>
                <w:color w:val="auto"/>
              </w:rPr>
              <w:t xml:space="preserve">Between 1 July 2021 and 30 June 2022, compliance with quality improvement recommendations on 264 complaints was due to be reported to HDC by 225 providers. 395 out of a total 403 recommendations (98%) were fully complied with. </w:t>
            </w:r>
          </w:p>
          <w:p w14:paraId="1D1A5340" w14:textId="77777777" w:rsidR="00E6063D" w:rsidRDefault="00E6063D" w:rsidP="00D45738">
            <w:pPr>
              <w:pStyle w:val="ListParagraph"/>
              <w:spacing w:after="0"/>
              <w:ind w:left="34"/>
              <w:jc w:val="left"/>
              <w:rPr>
                <w:color w:val="auto"/>
                <w:lang w:val="x-none"/>
              </w:rPr>
            </w:pPr>
          </w:p>
          <w:p w14:paraId="2A59F5FD" w14:textId="251B22FF" w:rsidR="00D45738" w:rsidRPr="009B2CA8" w:rsidRDefault="00D45738" w:rsidP="00D45738">
            <w:pPr>
              <w:pStyle w:val="ListParagraph"/>
              <w:spacing w:after="0"/>
              <w:ind w:left="34"/>
              <w:jc w:val="left"/>
              <w:rPr>
                <w:color w:val="auto"/>
                <w:lang w:val="x-none"/>
              </w:rPr>
            </w:pPr>
            <w:r w:rsidRPr="009B2CA8">
              <w:rPr>
                <w:color w:val="auto"/>
                <w:lang w:val="x-none"/>
              </w:rPr>
              <w:t>Of the recommendations that</w:t>
            </w:r>
            <w:r w:rsidRPr="009B2CA8">
              <w:rPr>
                <w:color w:val="auto"/>
                <w:lang w:val="en-US"/>
              </w:rPr>
              <w:t xml:space="preserve"> </w:t>
            </w:r>
            <w:r w:rsidRPr="009B2CA8">
              <w:rPr>
                <w:color w:val="auto"/>
                <w:lang w:val="x-none"/>
              </w:rPr>
              <w:t>were not fully complied with:</w:t>
            </w:r>
            <w:r w:rsidRPr="009B2CA8">
              <w:rPr>
                <w:color w:val="auto"/>
                <w:lang w:val="en-US"/>
              </w:rPr>
              <w:t xml:space="preserve"> </w:t>
            </w:r>
            <w:r w:rsidRPr="009B2CA8">
              <w:rPr>
                <w:color w:val="auto"/>
                <w:lang w:val="x-none"/>
              </w:rPr>
              <w:t>five were due to the providers</w:t>
            </w:r>
            <w:r w:rsidRPr="009B2CA8">
              <w:rPr>
                <w:color w:val="auto"/>
                <w:lang w:val="en-US"/>
              </w:rPr>
              <w:t xml:space="preserve"> </w:t>
            </w:r>
            <w:r w:rsidRPr="009B2CA8">
              <w:rPr>
                <w:color w:val="auto"/>
                <w:lang w:val="x-none"/>
              </w:rPr>
              <w:t>ceasing practice, two had been</w:t>
            </w:r>
            <w:r w:rsidRPr="009B2CA8">
              <w:rPr>
                <w:color w:val="auto"/>
                <w:lang w:val="en-US"/>
              </w:rPr>
              <w:t xml:space="preserve"> </w:t>
            </w:r>
            <w:r w:rsidRPr="009B2CA8">
              <w:rPr>
                <w:color w:val="auto"/>
                <w:lang w:val="x-none"/>
              </w:rPr>
              <w:t>superseded with alternative</w:t>
            </w:r>
            <w:r w:rsidRPr="009B2CA8">
              <w:rPr>
                <w:color w:val="auto"/>
                <w:lang w:val="en-US"/>
              </w:rPr>
              <w:t xml:space="preserve"> </w:t>
            </w:r>
            <w:r w:rsidRPr="009B2CA8">
              <w:rPr>
                <w:color w:val="auto"/>
                <w:lang w:val="x-none"/>
              </w:rPr>
              <w:t>recommendations, and the</w:t>
            </w:r>
            <w:r w:rsidRPr="009B2CA8">
              <w:rPr>
                <w:color w:val="auto"/>
                <w:lang w:val="en-US"/>
              </w:rPr>
              <w:t xml:space="preserve"> </w:t>
            </w:r>
            <w:r w:rsidRPr="009B2CA8">
              <w:rPr>
                <w:color w:val="auto"/>
                <w:lang w:val="x-none"/>
              </w:rPr>
              <w:t>other was due to the provider</w:t>
            </w:r>
            <w:r w:rsidRPr="009B2CA8">
              <w:rPr>
                <w:color w:val="auto"/>
                <w:lang w:val="en-US"/>
              </w:rPr>
              <w:t xml:space="preserve"> </w:t>
            </w:r>
            <w:r w:rsidRPr="009B2CA8">
              <w:rPr>
                <w:color w:val="auto"/>
                <w:lang w:val="x-none"/>
              </w:rPr>
              <w:t>not submitting evidence of</w:t>
            </w:r>
            <w:r w:rsidRPr="009B2CA8">
              <w:rPr>
                <w:color w:val="auto"/>
                <w:lang w:val="en-US"/>
              </w:rPr>
              <w:t xml:space="preserve"> </w:t>
            </w:r>
            <w:r w:rsidRPr="009B2CA8">
              <w:rPr>
                <w:color w:val="auto"/>
                <w:lang w:val="x-none"/>
              </w:rPr>
              <w:t>completion despite consistent</w:t>
            </w:r>
            <w:r w:rsidRPr="009B2CA8">
              <w:rPr>
                <w:color w:val="auto"/>
                <w:lang w:val="en-US"/>
              </w:rPr>
              <w:t xml:space="preserve"> </w:t>
            </w:r>
            <w:r w:rsidRPr="009B2CA8">
              <w:rPr>
                <w:color w:val="auto"/>
                <w:lang w:val="x-none"/>
              </w:rPr>
              <w:t>follow-up communication by</w:t>
            </w:r>
            <w:r w:rsidRPr="009B2CA8">
              <w:rPr>
                <w:color w:val="auto"/>
                <w:lang w:val="en-US"/>
              </w:rPr>
              <w:t xml:space="preserve"> </w:t>
            </w:r>
            <w:r w:rsidRPr="009B2CA8">
              <w:rPr>
                <w:color w:val="auto"/>
                <w:lang w:val="x-none"/>
              </w:rPr>
              <w:t>HDC.</w:t>
            </w:r>
          </w:p>
          <w:p w14:paraId="7255DE50" w14:textId="72F07F7F" w:rsidR="00C23A24" w:rsidRDefault="00D45738" w:rsidP="00D45738">
            <w:pPr>
              <w:spacing w:after="0"/>
              <w:jc w:val="left"/>
              <w:rPr>
                <w:color w:val="auto"/>
                <w:lang w:val="x-none"/>
              </w:rPr>
            </w:pPr>
            <w:r w:rsidRPr="009B2CA8">
              <w:rPr>
                <w:color w:val="auto"/>
                <w:lang w:val="x-none"/>
              </w:rPr>
              <w:t>98% compliance</w:t>
            </w:r>
            <w:r w:rsidR="00AC1CDA">
              <w:rPr>
                <w:color w:val="auto"/>
              </w:rPr>
              <w:t>.</w:t>
            </w:r>
            <w:r w:rsidRPr="009B2CA8">
              <w:rPr>
                <w:color w:val="auto"/>
                <w:lang w:val="x-none"/>
              </w:rPr>
              <w:t xml:space="preserve"> </w:t>
            </w:r>
          </w:p>
          <w:p w14:paraId="13067043" w14:textId="37D49B48" w:rsidR="00C23A24" w:rsidRPr="009B2CA8" w:rsidRDefault="00C23A24" w:rsidP="00D45738">
            <w:pPr>
              <w:spacing w:after="0"/>
              <w:jc w:val="left"/>
              <w:rPr>
                <w:color w:val="auto"/>
                <w:lang w:val="x-none"/>
              </w:rPr>
            </w:pPr>
          </w:p>
        </w:tc>
      </w:tr>
      <w:tr w:rsidR="00280406" w:rsidRPr="009B2CA8" w14:paraId="0CEBB8F0" w14:textId="77777777" w:rsidTr="00D45738">
        <w:trPr>
          <w:trHeight w:val="1117"/>
        </w:trPr>
        <w:tc>
          <w:tcPr>
            <w:tcW w:w="3403" w:type="dxa"/>
          </w:tcPr>
          <w:p w14:paraId="10BFBD25" w14:textId="4B27FBAB" w:rsidR="00280406" w:rsidRPr="009B2CA8" w:rsidRDefault="00280406" w:rsidP="00280406">
            <w:pPr>
              <w:spacing w:after="0"/>
              <w:jc w:val="left"/>
              <w:rPr>
                <w:color w:val="auto"/>
              </w:rPr>
            </w:pPr>
            <w:r w:rsidRPr="009B2CA8">
              <w:t xml:space="preserve">Monitor complaint trends and provide regular reports to </w:t>
            </w:r>
            <w:r w:rsidR="00757D34" w:rsidRPr="009B2CA8">
              <w:t>Te Whatu Ora</w:t>
            </w:r>
            <w:r w:rsidRPr="009B2CA8">
              <w:t xml:space="preserve"> and other stakeholders as relevant </w:t>
            </w:r>
            <w:r w:rsidRPr="009B2CA8">
              <w:rPr>
                <w:i/>
                <w:color w:val="auto"/>
              </w:rPr>
              <w:t xml:space="preserve">(which </w:t>
            </w:r>
            <w:r w:rsidRPr="009B2CA8">
              <w:rPr>
                <w:i/>
                <w:color w:val="auto"/>
              </w:rPr>
              <w:lastRenderedPageBreak/>
              <w:t>contributes to achievement of Strategic Objective 3)</w:t>
            </w:r>
            <w:r w:rsidRPr="009B2CA8">
              <w:rPr>
                <w:color w:val="auto"/>
              </w:rPr>
              <w:t>.</w:t>
            </w:r>
            <w:r w:rsidR="00FF0C55" w:rsidRPr="009B2CA8">
              <w:rPr>
                <w:color w:val="auto"/>
              </w:rPr>
              <w:t xml:space="preserve"> </w:t>
            </w:r>
          </w:p>
          <w:p w14:paraId="2DB6ADC9" w14:textId="77777777" w:rsidR="00280406" w:rsidRPr="009B2CA8" w:rsidRDefault="00280406" w:rsidP="00280406">
            <w:pPr>
              <w:spacing w:after="0"/>
              <w:jc w:val="left"/>
              <w:rPr>
                <w:color w:val="auto"/>
              </w:rPr>
            </w:pPr>
          </w:p>
        </w:tc>
        <w:tc>
          <w:tcPr>
            <w:tcW w:w="3714" w:type="dxa"/>
          </w:tcPr>
          <w:p w14:paraId="26C7F1A9" w14:textId="78EF8F2E" w:rsidR="00280406" w:rsidRPr="009B2CA8" w:rsidRDefault="00280406" w:rsidP="00280406">
            <w:pPr>
              <w:spacing w:after="0"/>
              <w:jc w:val="left"/>
              <w:rPr>
                <w:color w:val="auto"/>
              </w:rPr>
            </w:pPr>
            <w:r w:rsidRPr="009B2CA8">
              <w:rPr>
                <w:color w:val="auto"/>
              </w:rPr>
              <w:lastRenderedPageBreak/>
              <w:t>Publish six-monthly complaint trend reports</w:t>
            </w:r>
            <w:r w:rsidR="00757D34" w:rsidRPr="009B2CA8">
              <w:rPr>
                <w:color w:val="auto"/>
              </w:rPr>
              <w:t xml:space="preserve"> about hospital-level services provided by Te Whatu Ora districts</w:t>
            </w:r>
            <w:r w:rsidRPr="009B2CA8">
              <w:rPr>
                <w:color w:val="auto"/>
              </w:rPr>
              <w:t>.</w:t>
            </w:r>
            <w:r w:rsidR="00757D34" w:rsidRPr="009B2CA8">
              <w:rPr>
                <w:color w:val="auto"/>
              </w:rPr>
              <w:t xml:space="preserve"> </w:t>
            </w:r>
          </w:p>
          <w:p w14:paraId="5F8EA33B" w14:textId="77777777" w:rsidR="00280406" w:rsidRPr="009B2CA8" w:rsidRDefault="00280406" w:rsidP="00280406">
            <w:pPr>
              <w:spacing w:after="0"/>
              <w:jc w:val="left"/>
              <w:rPr>
                <w:color w:val="auto"/>
                <w:highlight w:val="yellow"/>
              </w:rPr>
            </w:pPr>
          </w:p>
          <w:p w14:paraId="5435CD70" w14:textId="4A2D59FC" w:rsidR="00280406" w:rsidRPr="009B2CA8" w:rsidRDefault="00280406" w:rsidP="00B161D9">
            <w:pPr>
              <w:spacing w:after="0"/>
              <w:jc w:val="left"/>
              <w:rPr>
                <w:color w:val="auto"/>
              </w:rPr>
            </w:pPr>
            <w:r w:rsidRPr="009B2CA8">
              <w:rPr>
                <w:color w:val="auto"/>
              </w:rPr>
              <w:lastRenderedPageBreak/>
              <w:t xml:space="preserve">Provide quarterly reports on </w:t>
            </w:r>
            <w:r w:rsidR="00B161D9" w:rsidRPr="009B2CA8">
              <w:rPr>
                <w:color w:val="auto"/>
              </w:rPr>
              <w:t>complaints about assisted dying services</w:t>
            </w:r>
            <w:r w:rsidRPr="009B2CA8">
              <w:rPr>
                <w:color w:val="auto"/>
              </w:rPr>
              <w:t xml:space="preserve"> to the Registrar (assisted dying). </w:t>
            </w:r>
          </w:p>
        </w:tc>
        <w:tc>
          <w:tcPr>
            <w:tcW w:w="3544" w:type="dxa"/>
          </w:tcPr>
          <w:p w14:paraId="106590AD" w14:textId="77777777" w:rsidR="00280406" w:rsidRPr="009B2CA8" w:rsidRDefault="00280406" w:rsidP="00280406">
            <w:pPr>
              <w:spacing w:after="0"/>
              <w:jc w:val="left"/>
              <w:rPr>
                <w:color w:val="auto"/>
              </w:rPr>
            </w:pPr>
            <w:r w:rsidRPr="009B2CA8">
              <w:rPr>
                <w:color w:val="auto"/>
              </w:rPr>
              <w:lastRenderedPageBreak/>
              <w:t>Publish six-monthly complaint trend reports.</w:t>
            </w:r>
          </w:p>
          <w:p w14:paraId="236BF725" w14:textId="77777777" w:rsidR="00280406" w:rsidRPr="009B2CA8" w:rsidRDefault="00280406" w:rsidP="00280406">
            <w:pPr>
              <w:spacing w:after="0"/>
              <w:jc w:val="left"/>
              <w:rPr>
                <w:color w:val="auto"/>
              </w:rPr>
            </w:pPr>
          </w:p>
          <w:p w14:paraId="7FF5060D" w14:textId="6A6C1C8D" w:rsidR="00280406" w:rsidRPr="009B2CA8" w:rsidRDefault="00280406" w:rsidP="00280406">
            <w:pPr>
              <w:spacing w:after="0"/>
              <w:jc w:val="left"/>
              <w:rPr>
                <w:color w:val="auto"/>
              </w:rPr>
            </w:pPr>
          </w:p>
          <w:p w14:paraId="509030F4" w14:textId="77777777" w:rsidR="00523F1A" w:rsidRPr="009B2CA8" w:rsidRDefault="00523F1A" w:rsidP="00280406">
            <w:pPr>
              <w:spacing w:after="0"/>
              <w:jc w:val="left"/>
              <w:rPr>
                <w:color w:val="auto"/>
              </w:rPr>
            </w:pPr>
          </w:p>
          <w:p w14:paraId="2F171E3A" w14:textId="75F62917" w:rsidR="00280406" w:rsidRPr="009B2CA8" w:rsidRDefault="00280406" w:rsidP="00280406">
            <w:pPr>
              <w:spacing w:after="0"/>
              <w:jc w:val="left"/>
              <w:rPr>
                <w:color w:val="auto"/>
              </w:rPr>
            </w:pPr>
            <w:r w:rsidRPr="009B2CA8">
              <w:rPr>
                <w:color w:val="auto"/>
              </w:rPr>
              <w:lastRenderedPageBreak/>
              <w:t>Provide quarterly reports on assisted dying complaints to the Registrar (assisted dying).</w:t>
            </w:r>
          </w:p>
        </w:tc>
        <w:tc>
          <w:tcPr>
            <w:tcW w:w="3969" w:type="dxa"/>
          </w:tcPr>
          <w:p w14:paraId="7F9347AB" w14:textId="77777777" w:rsidR="00280406" w:rsidRPr="009B2CA8" w:rsidRDefault="00280406" w:rsidP="00280406">
            <w:pPr>
              <w:spacing w:after="0"/>
              <w:jc w:val="left"/>
              <w:rPr>
                <w:color w:val="auto"/>
              </w:rPr>
            </w:pPr>
            <w:r w:rsidRPr="009B2CA8">
              <w:rPr>
                <w:color w:val="auto"/>
              </w:rPr>
              <w:lastRenderedPageBreak/>
              <w:t>Two six-monthly DHB complaint trend reports for each DHB were produced and provided to all DHBs.</w:t>
            </w:r>
          </w:p>
          <w:p w14:paraId="5031761D" w14:textId="644B9D1C" w:rsidR="00280406" w:rsidRPr="009B2CA8" w:rsidRDefault="00280406" w:rsidP="00280406">
            <w:pPr>
              <w:spacing w:after="0"/>
              <w:jc w:val="left"/>
              <w:rPr>
                <w:color w:val="auto"/>
              </w:rPr>
            </w:pPr>
          </w:p>
          <w:p w14:paraId="43D7353B" w14:textId="77777777" w:rsidR="00523F1A" w:rsidRPr="009B2CA8" w:rsidRDefault="00523F1A" w:rsidP="00280406">
            <w:pPr>
              <w:spacing w:after="0"/>
              <w:jc w:val="left"/>
              <w:rPr>
                <w:color w:val="auto"/>
              </w:rPr>
            </w:pPr>
          </w:p>
          <w:p w14:paraId="24EF5710" w14:textId="148D0E47" w:rsidR="00280406" w:rsidRPr="009B2CA8" w:rsidRDefault="00280406" w:rsidP="00280406">
            <w:pPr>
              <w:spacing w:after="0"/>
              <w:jc w:val="left"/>
              <w:rPr>
                <w:color w:val="auto"/>
                <w:lang w:val="en-US"/>
              </w:rPr>
            </w:pPr>
            <w:r w:rsidRPr="009B2CA8">
              <w:rPr>
                <w:color w:val="auto"/>
              </w:rPr>
              <w:lastRenderedPageBreak/>
              <w:t xml:space="preserve">New measure. </w:t>
            </w:r>
          </w:p>
        </w:tc>
      </w:tr>
      <w:tr w:rsidR="00280406" w:rsidRPr="009B2CA8" w14:paraId="789F3E6D" w14:textId="77777777" w:rsidTr="00D45738">
        <w:trPr>
          <w:trHeight w:val="1068"/>
        </w:trPr>
        <w:tc>
          <w:tcPr>
            <w:tcW w:w="3403" w:type="dxa"/>
          </w:tcPr>
          <w:p w14:paraId="55101570" w14:textId="050FB8E3" w:rsidR="00FF0C55" w:rsidRPr="00621491" w:rsidRDefault="00280406" w:rsidP="00280406">
            <w:pPr>
              <w:spacing w:after="0"/>
              <w:jc w:val="left"/>
              <w:rPr>
                <w:color w:val="auto"/>
              </w:rPr>
            </w:pPr>
            <w:r w:rsidRPr="00621491">
              <w:rPr>
                <w:color w:val="auto"/>
              </w:rPr>
              <w:lastRenderedPageBreak/>
              <w:t xml:space="preserve">Engage with key sector stakeholders to promote the Code, share intelligence and insights relating to complaint trends, and collaborate on issues of shared concern </w:t>
            </w:r>
            <w:r w:rsidRPr="00621491">
              <w:rPr>
                <w:i/>
                <w:color w:val="auto"/>
              </w:rPr>
              <w:t>(which contributes to achi</w:t>
            </w:r>
            <w:r w:rsidR="00FF0C55" w:rsidRPr="00621491">
              <w:rPr>
                <w:i/>
                <w:color w:val="auto"/>
              </w:rPr>
              <w:t>evement of Strategic Objective</w:t>
            </w:r>
            <w:r w:rsidRPr="00621491">
              <w:rPr>
                <w:i/>
                <w:color w:val="auto"/>
              </w:rPr>
              <w:t xml:space="preserve"> 3)</w:t>
            </w:r>
            <w:r w:rsidRPr="00621491">
              <w:rPr>
                <w:color w:val="auto"/>
              </w:rPr>
              <w:t>.</w:t>
            </w:r>
            <w:r w:rsidR="00FF0C55" w:rsidRPr="00621491">
              <w:rPr>
                <w:color w:val="auto"/>
              </w:rPr>
              <w:t xml:space="preserve"> </w:t>
            </w:r>
          </w:p>
          <w:p w14:paraId="29436233" w14:textId="77B2742E" w:rsidR="00280406" w:rsidRPr="00621491" w:rsidRDefault="00280406" w:rsidP="005F2418">
            <w:pPr>
              <w:spacing w:after="0"/>
              <w:jc w:val="left"/>
              <w:rPr>
                <w:color w:val="auto"/>
              </w:rPr>
            </w:pPr>
          </w:p>
        </w:tc>
        <w:tc>
          <w:tcPr>
            <w:tcW w:w="3714" w:type="dxa"/>
          </w:tcPr>
          <w:p w14:paraId="2A30C1A0" w14:textId="78800A72" w:rsidR="00280406" w:rsidRPr="009B2CA8" w:rsidRDefault="00280406" w:rsidP="00280406">
            <w:pPr>
              <w:spacing w:after="0"/>
              <w:jc w:val="left"/>
              <w:rPr>
                <w:color w:val="auto"/>
              </w:rPr>
            </w:pPr>
            <w:r w:rsidRPr="009B2CA8">
              <w:rPr>
                <w:color w:val="auto"/>
              </w:rPr>
              <w:t>Maintain engagement with key stakeholders to share intelligence, collaborate on issues of shared concern and promote people’s rights. Report on number of engagements.</w:t>
            </w:r>
          </w:p>
          <w:p w14:paraId="2B80EFB2" w14:textId="77777777" w:rsidR="00280406" w:rsidRPr="009B2CA8" w:rsidRDefault="00280406" w:rsidP="00280406">
            <w:pPr>
              <w:spacing w:after="0"/>
              <w:rPr>
                <w:color w:val="auto"/>
              </w:rPr>
            </w:pPr>
          </w:p>
          <w:p w14:paraId="0C783E9B" w14:textId="2607F50A" w:rsidR="00280406" w:rsidRPr="009B2CA8" w:rsidRDefault="00280406" w:rsidP="00280406">
            <w:pPr>
              <w:spacing w:after="0"/>
              <w:jc w:val="left"/>
              <w:rPr>
                <w:strike/>
              </w:rPr>
            </w:pPr>
            <w:r w:rsidRPr="009B2CA8">
              <w:rPr>
                <w:color w:val="auto"/>
              </w:rPr>
              <w:t>Provide briefings</w:t>
            </w:r>
            <w:r w:rsidR="00757D34" w:rsidRPr="009B2CA8">
              <w:rPr>
                <w:color w:val="auto"/>
              </w:rPr>
              <w:t xml:space="preserve">, </w:t>
            </w:r>
            <w:r w:rsidR="00621491">
              <w:rPr>
                <w:color w:val="auto"/>
              </w:rPr>
              <w:t xml:space="preserve">and </w:t>
            </w:r>
            <w:r w:rsidR="00757D34" w:rsidRPr="009B2CA8">
              <w:rPr>
                <w:color w:val="auto"/>
              </w:rPr>
              <w:t>raise issues</w:t>
            </w:r>
            <w:r w:rsidRPr="009B2CA8">
              <w:rPr>
                <w:color w:val="auto"/>
              </w:rPr>
              <w:t xml:space="preserve"> or make recommendations, suggestions, or submissions to any person or organisation in relation to the Code and/or </w:t>
            </w:r>
            <w:r w:rsidRPr="009B2CA8">
              <w:t>trends identified through complaints. Report on</w:t>
            </w:r>
            <w:r w:rsidR="00B161D9" w:rsidRPr="009B2CA8">
              <w:t xml:space="preserve"> </w:t>
            </w:r>
            <w:r w:rsidR="00564CEC" w:rsidRPr="009B2CA8">
              <w:t>activity.</w:t>
            </w:r>
          </w:p>
          <w:p w14:paraId="7C0689F6" w14:textId="77777777" w:rsidR="00280406" w:rsidRPr="009B2CA8" w:rsidRDefault="00280406" w:rsidP="00280406">
            <w:pPr>
              <w:spacing w:after="0"/>
              <w:jc w:val="left"/>
            </w:pPr>
          </w:p>
          <w:p w14:paraId="21E7916A" w14:textId="5FF2BBBB" w:rsidR="00280406" w:rsidRDefault="00280406" w:rsidP="00280406">
            <w:pPr>
              <w:spacing w:after="0"/>
              <w:jc w:val="left"/>
              <w:rPr>
                <w:color w:val="auto"/>
              </w:rPr>
            </w:pPr>
            <w:r w:rsidRPr="009B2CA8">
              <w:rPr>
                <w:color w:val="auto"/>
              </w:rPr>
              <w:t xml:space="preserve">Participate in the National Quality Forum with the purpose of sharing intelligence and </w:t>
            </w:r>
            <w:r w:rsidR="00B161D9" w:rsidRPr="009B2CA8">
              <w:rPr>
                <w:color w:val="auto"/>
              </w:rPr>
              <w:t>collaborating</w:t>
            </w:r>
            <w:r w:rsidR="00757D34" w:rsidRPr="009B2CA8">
              <w:rPr>
                <w:color w:val="auto"/>
              </w:rPr>
              <w:t xml:space="preserve"> with other agencies to implement systemic improvements</w:t>
            </w:r>
            <w:r w:rsidRPr="009B2CA8">
              <w:rPr>
                <w:color w:val="auto"/>
              </w:rPr>
              <w:t xml:space="preserve">. Report on activity </w:t>
            </w:r>
            <w:r w:rsidR="00757D34" w:rsidRPr="009B2CA8">
              <w:rPr>
                <w:color w:val="auto"/>
              </w:rPr>
              <w:t xml:space="preserve">towards achieving system impact </w:t>
            </w:r>
            <w:r w:rsidRPr="009B2CA8">
              <w:rPr>
                <w:color w:val="auto"/>
              </w:rPr>
              <w:t>quarterly.</w:t>
            </w:r>
          </w:p>
          <w:p w14:paraId="1916DCB8" w14:textId="77777777" w:rsidR="00E6063D" w:rsidRPr="009B2CA8" w:rsidRDefault="00E6063D" w:rsidP="00280406">
            <w:pPr>
              <w:spacing w:after="0"/>
              <w:jc w:val="left"/>
              <w:rPr>
                <w:color w:val="auto"/>
              </w:rPr>
            </w:pPr>
          </w:p>
          <w:p w14:paraId="3B806DFD" w14:textId="77777777" w:rsidR="00280406" w:rsidRPr="009B2CA8" w:rsidRDefault="00280406" w:rsidP="00280406">
            <w:pPr>
              <w:spacing w:after="0"/>
              <w:jc w:val="left"/>
              <w:rPr>
                <w:color w:val="auto"/>
              </w:rPr>
            </w:pPr>
          </w:p>
        </w:tc>
        <w:tc>
          <w:tcPr>
            <w:tcW w:w="3544" w:type="dxa"/>
          </w:tcPr>
          <w:p w14:paraId="4BC24A7A" w14:textId="77777777" w:rsidR="00280406" w:rsidRPr="009B2CA8" w:rsidRDefault="00280406" w:rsidP="00280406">
            <w:pPr>
              <w:spacing w:after="0"/>
              <w:jc w:val="left"/>
              <w:rPr>
                <w:color w:val="auto"/>
              </w:rPr>
            </w:pPr>
            <w:r w:rsidRPr="009B2CA8">
              <w:rPr>
                <w:color w:val="auto"/>
              </w:rPr>
              <w:t>Maintain engagement with key sector stakeholders to share intelligence, collaborate on issues of shared concern and promote people’s rights. Report on number of engagements.</w:t>
            </w:r>
          </w:p>
          <w:p w14:paraId="77B00248" w14:textId="77777777" w:rsidR="00280406" w:rsidRPr="009B2CA8" w:rsidRDefault="00280406" w:rsidP="00280406">
            <w:pPr>
              <w:spacing w:after="0"/>
              <w:jc w:val="left"/>
              <w:rPr>
                <w:color w:val="auto"/>
              </w:rPr>
            </w:pPr>
          </w:p>
          <w:p w14:paraId="36548DCD" w14:textId="77777777" w:rsidR="00280406" w:rsidRPr="009B2CA8" w:rsidRDefault="00280406" w:rsidP="00280406">
            <w:pPr>
              <w:spacing w:after="0"/>
              <w:jc w:val="left"/>
              <w:rPr>
                <w:color w:val="auto"/>
              </w:rPr>
            </w:pPr>
            <w:r w:rsidRPr="009B2CA8">
              <w:rPr>
                <w:color w:val="auto"/>
              </w:rPr>
              <w:t>Provide briefings or make recommendations, suggestions, or submissions to any person or organisation in relation to the Code and/or issues or trends identified through complaints. Report on total number.</w:t>
            </w:r>
          </w:p>
          <w:p w14:paraId="64D0BEDF" w14:textId="77777777" w:rsidR="00280406" w:rsidRPr="009B2CA8" w:rsidRDefault="00280406" w:rsidP="00280406">
            <w:pPr>
              <w:spacing w:after="0"/>
              <w:jc w:val="left"/>
              <w:rPr>
                <w:color w:val="auto"/>
              </w:rPr>
            </w:pPr>
          </w:p>
          <w:p w14:paraId="62CC4D0C" w14:textId="37376334" w:rsidR="00280406" w:rsidRPr="009B2CA8" w:rsidRDefault="00280406" w:rsidP="00280406">
            <w:pPr>
              <w:spacing w:after="0"/>
              <w:jc w:val="left"/>
              <w:rPr>
                <w:color w:val="auto"/>
              </w:rPr>
            </w:pPr>
            <w:r w:rsidRPr="009B2CA8">
              <w:rPr>
                <w:color w:val="auto"/>
              </w:rPr>
              <w:t>Participate in the National Quality Forum with the purpose of sharing intelligence and collaborating with other agencies on areas of shared concern. Report on activity quarterly.</w:t>
            </w:r>
          </w:p>
        </w:tc>
        <w:tc>
          <w:tcPr>
            <w:tcW w:w="3969" w:type="dxa"/>
          </w:tcPr>
          <w:p w14:paraId="62E594D6" w14:textId="77777777" w:rsidR="00280406" w:rsidRPr="009B2CA8" w:rsidRDefault="00280406" w:rsidP="00280406">
            <w:pPr>
              <w:spacing w:after="0"/>
              <w:jc w:val="left"/>
              <w:rPr>
                <w:color w:val="auto"/>
              </w:rPr>
            </w:pPr>
            <w:r w:rsidRPr="009B2CA8">
              <w:rPr>
                <w:color w:val="auto"/>
              </w:rPr>
              <w:t>For the year ended 30 June 2022, HDC had undertaken 239 engagements with key external stakeholders.</w:t>
            </w:r>
          </w:p>
          <w:p w14:paraId="1C8BB282" w14:textId="77777777" w:rsidR="00280406" w:rsidRPr="009B2CA8" w:rsidRDefault="00280406" w:rsidP="00280406">
            <w:pPr>
              <w:spacing w:after="0"/>
              <w:jc w:val="left"/>
              <w:rPr>
                <w:color w:val="auto"/>
              </w:rPr>
            </w:pPr>
          </w:p>
          <w:p w14:paraId="364BD3C2" w14:textId="0382EC13" w:rsidR="00280406" w:rsidRPr="009B2CA8" w:rsidRDefault="00280406" w:rsidP="00280406">
            <w:pPr>
              <w:spacing w:after="0"/>
              <w:jc w:val="left"/>
              <w:rPr>
                <w:color w:val="auto"/>
              </w:rPr>
            </w:pPr>
          </w:p>
          <w:p w14:paraId="50A73C50" w14:textId="77777777" w:rsidR="00963C12" w:rsidRPr="009B2CA8" w:rsidRDefault="00963C12" w:rsidP="00280406">
            <w:pPr>
              <w:spacing w:after="0"/>
              <w:jc w:val="left"/>
              <w:rPr>
                <w:color w:val="auto"/>
              </w:rPr>
            </w:pPr>
          </w:p>
          <w:p w14:paraId="7B9F5D57" w14:textId="77777777" w:rsidR="00963C12" w:rsidRPr="009B2CA8" w:rsidRDefault="00963C12" w:rsidP="00280406">
            <w:pPr>
              <w:spacing w:after="0"/>
              <w:jc w:val="left"/>
              <w:rPr>
                <w:color w:val="auto"/>
              </w:rPr>
            </w:pPr>
          </w:p>
          <w:p w14:paraId="3A83496B" w14:textId="77777777" w:rsidR="00280406" w:rsidRPr="009B2CA8" w:rsidRDefault="00280406" w:rsidP="00280406">
            <w:pPr>
              <w:spacing w:after="0"/>
              <w:jc w:val="left"/>
              <w:rPr>
                <w:color w:val="auto"/>
                <w:lang w:val="en-US"/>
              </w:rPr>
            </w:pPr>
            <w:r w:rsidRPr="009B2CA8">
              <w:rPr>
                <w:color w:val="auto"/>
                <w:lang w:val="x-none"/>
              </w:rPr>
              <w:t>For the year ended 30 June</w:t>
            </w:r>
            <w:r w:rsidRPr="009B2CA8">
              <w:rPr>
                <w:color w:val="auto"/>
                <w:lang w:val="en-US"/>
              </w:rPr>
              <w:t xml:space="preserve"> </w:t>
            </w:r>
            <w:r w:rsidRPr="009B2CA8">
              <w:rPr>
                <w:color w:val="auto"/>
                <w:lang w:val="x-none"/>
              </w:rPr>
              <w:t>2022, 26 submissions were</w:t>
            </w:r>
            <w:r w:rsidRPr="009B2CA8">
              <w:rPr>
                <w:color w:val="auto"/>
                <w:lang w:val="en-US"/>
              </w:rPr>
              <w:t xml:space="preserve"> </w:t>
            </w:r>
            <w:r w:rsidRPr="009B2CA8">
              <w:rPr>
                <w:color w:val="auto"/>
                <w:lang w:val="x-none"/>
              </w:rPr>
              <w:t>made</w:t>
            </w:r>
            <w:r w:rsidRPr="009B2CA8">
              <w:rPr>
                <w:color w:val="auto"/>
                <w:lang w:val="en-US"/>
              </w:rPr>
              <w:t>.</w:t>
            </w:r>
          </w:p>
          <w:p w14:paraId="59A469BB" w14:textId="77777777" w:rsidR="00280406" w:rsidRPr="009B2CA8" w:rsidRDefault="00280406" w:rsidP="00280406">
            <w:pPr>
              <w:spacing w:after="0"/>
              <w:jc w:val="left"/>
              <w:rPr>
                <w:color w:val="auto"/>
              </w:rPr>
            </w:pPr>
          </w:p>
          <w:p w14:paraId="13791F4D" w14:textId="77777777" w:rsidR="00280406" w:rsidRPr="009B2CA8" w:rsidRDefault="00280406" w:rsidP="00280406">
            <w:pPr>
              <w:spacing w:after="0"/>
              <w:jc w:val="left"/>
              <w:rPr>
                <w:color w:val="auto"/>
              </w:rPr>
            </w:pPr>
          </w:p>
          <w:p w14:paraId="28B283D2" w14:textId="77777777" w:rsidR="00280406" w:rsidRPr="009B2CA8" w:rsidRDefault="00280406" w:rsidP="00280406">
            <w:pPr>
              <w:spacing w:after="0"/>
              <w:jc w:val="left"/>
              <w:rPr>
                <w:color w:val="auto"/>
              </w:rPr>
            </w:pPr>
          </w:p>
          <w:p w14:paraId="6377E7A1" w14:textId="77777777" w:rsidR="00280406" w:rsidRPr="009B2CA8" w:rsidRDefault="00280406" w:rsidP="00280406">
            <w:pPr>
              <w:spacing w:after="0"/>
              <w:jc w:val="left"/>
              <w:rPr>
                <w:color w:val="auto"/>
              </w:rPr>
            </w:pPr>
          </w:p>
          <w:p w14:paraId="09FDEB40" w14:textId="77777777" w:rsidR="00280406" w:rsidRPr="009B2CA8" w:rsidRDefault="00280406" w:rsidP="00280406">
            <w:pPr>
              <w:spacing w:after="0"/>
              <w:jc w:val="left"/>
              <w:rPr>
                <w:color w:val="auto"/>
              </w:rPr>
            </w:pPr>
          </w:p>
          <w:p w14:paraId="6D36AEF8" w14:textId="77777777" w:rsidR="00280406" w:rsidRPr="009B2CA8" w:rsidRDefault="00280406" w:rsidP="00280406">
            <w:pPr>
              <w:spacing w:after="0"/>
              <w:jc w:val="left"/>
              <w:rPr>
                <w:color w:val="auto"/>
              </w:rPr>
            </w:pPr>
          </w:p>
          <w:p w14:paraId="52B4AEB5" w14:textId="65E34D30" w:rsidR="00280406" w:rsidRPr="009B2CA8" w:rsidRDefault="00280406" w:rsidP="00280406">
            <w:pPr>
              <w:spacing w:after="0"/>
              <w:jc w:val="left"/>
              <w:rPr>
                <w:color w:val="auto"/>
                <w:lang w:val="en-US"/>
              </w:rPr>
            </w:pPr>
            <w:r w:rsidRPr="009B2CA8">
              <w:rPr>
                <w:color w:val="auto"/>
              </w:rPr>
              <w:t>New measure.</w:t>
            </w:r>
          </w:p>
        </w:tc>
      </w:tr>
      <w:tr w:rsidR="00280406" w:rsidRPr="009B2CA8" w14:paraId="5611AC8B" w14:textId="77777777" w:rsidTr="00D45738">
        <w:trPr>
          <w:trHeight w:val="978"/>
        </w:trPr>
        <w:tc>
          <w:tcPr>
            <w:tcW w:w="3403" w:type="dxa"/>
          </w:tcPr>
          <w:p w14:paraId="0B5F2685" w14:textId="77777777" w:rsidR="00280406" w:rsidRPr="009B2CA8" w:rsidRDefault="00280406" w:rsidP="00280406">
            <w:pPr>
              <w:spacing w:after="0"/>
              <w:jc w:val="left"/>
              <w:rPr>
                <w:color w:val="auto"/>
              </w:rPr>
            </w:pPr>
            <w:r w:rsidRPr="009B2CA8">
              <w:rPr>
                <w:color w:val="auto"/>
              </w:rPr>
              <w:lastRenderedPageBreak/>
              <w:t>Review the HDC Act and Code to ensure fit for purpose in a transformed health system</w:t>
            </w:r>
          </w:p>
          <w:p w14:paraId="55D20991" w14:textId="34739190" w:rsidR="00280406" w:rsidRPr="009B2CA8" w:rsidRDefault="00280406" w:rsidP="005F2418">
            <w:pPr>
              <w:spacing w:after="0"/>
              <w:jc w:val="left"/>
              <w:rPr>
                <w:color w:val="auto"/>
              </w:rPr>
            </w:pPr>
            <w:r w:rsidRPr="009B2CA8">
              <w:rPr>
                <w:i/>
                <w:color w:val="auto"/>
              </w:rPr>
              <w:t>(which contributes to achievement of Strategic Objective 3)</w:t>
            </w:r>
            <w:r w:rsidRPr="009B2CA8">
              <w:rPr>
                <w:color w:val="auto"/>
              </w:rPr>
              <w:t>.</w:t>
            </w:r>
            <w:r w:rsidR="00FF0C55" w:rsidRPr="009B2CA8">
              <w:rPr>
                <w:color w:val="auto"/>
              </w:rPr>
              <w:t xml:space="preserve"> </w:t>
            </w:r>
          </w:p>
        </w:tc>
        <w:tc>
          <w:tcPr>
            <w:tcW w:w="3714" w:type="dxa"/>
          </w:tcPr>
          <w:p w14:paraId="75C5F1B7" w14:textId="5726F3F7" w:rsidR="00280406" w:rsidRPr="009B2CA8" w:rsidRDefault="00280406" w:rsidP="00280406">
            <w:pPr>
              <w:spacing w:after="0"/>
              <w:jc w:val="left"/>
              <w:rPr>
                <w:color w:val="auto"/>
              </w:rPr>
            </w:pPr>
            <w:r w:rsidRPr="009B2CA8">
              <w:rPr>
                <w:color w:val="auto"/>
              </w:rPr>
              <w:t xml:space="preserve">Undertake review of Code and operation of HDC Act. Report on activity quarterly. </w:t>
            </w:r>
          </w:p>
        </w:tc>
        <w:tc>
          <w:tcPr>
            <w:tcW w:w="3544" w:type="dxa"/>
          </w:tcPr>
          <w:p w14:paraId="45D6E4DA" w14:textId="0C6A3236" w:rsidR="00280406" w:rsidRPr="009B2CA8" w:rsidRDefault="00280406" w:rsidP="00280406">
            <w:pPr>
              <w:spacing w:after="0"/>
              <w:jc w:val="left"/>
              <w:rPr>
                <w:color w:val="auto"/>
              </w:rPr>
            </w:pPr>
            <w:r w:rsidRPr="009B2CA8">
              <w:rPr>
                <w:color w:val="auto"/>
              </w:rPr>
              <w:t>Scope review of Code and operation of HDC Act. Report on activity quarterly.</w:t>
            </w:r>
          </w:p>
        </w:tc>
        <w:tc>
          <w:tcPr>
            <w:tcW w:w="3969" w:type="dxa"/>
          </w:tcPr>
          <w:p w14:paraId="60166446" w14:textId="6114EF2C" w:rsidR="00280406" w:rsidRPr="009B2CA8" w:rsidRDefault="00280406" w:rsidP="00280406">
            <w:pPr>
              <w:spacing w:after="0"/>
              <w:jc w:val="left"/>
              <w:rPr>
                <w:color w:val="auto"/>
              </w:rPr>
            </w:pPr>
            <w:r w:rsidRPr="009B2CA8">
              <w:rPr>
                <w:color w:val="auto"/>
              </w:rPr>
              <w:t>N/A</w:t>
            </w:r>
          </w:p>
        </w:tc>
      </w:tr>
      <w:tr w:rsidR="00C37C2C" w:rsidRPr="009B2CA8" w14:paraId="1EBB753A" w14:textId="77777777" w:rsidTr="0070281A">
        <w:trPr>
          <w:trHeight w:val="1221"/>
        </w:trPr>
        <w:tc>
          <w:tcPr>
            <w:tcW w:w="3403" w:type="dxa"/>
            <w:tcBorders>
              <w:top w:val="single" w:sz="4" w:space="0" w:color="000000"/>
              <w:left w:val="single" w:sz="4" w:space="0" w:color="000000"/>
              <w:bottom w:val="single" w:sz="4" w:space="0" w:color="000000"/>
              <w:right w:val="single" w:sz="4" w:space="0" w:color="000000"/>
            </w:tcBorders>
          </w:tcPr>
          <w:p w14:paraId="4A6F982D" w14:textId="0F4B61A8" w:rsidR="00C37C2C" w:rsidRPr="009B2CA8" w:rsidRDefault="00C37C2C" w:rsidP="00C37C2C">
            <w:pPr>
              <w:spacing w:after="0"/>
              <w:jc w:val="left"/>
              <w:rPr>
                <w:i/>
              </w:rPr>
            </w:pPr>
            <w:r w:rsidRPr="009B2CA8">
              <w:t xml:space="preserve">Make public statements and publish reports in relation to matters affecting the rights of consumers </w:t>
            </w:r>
            <w:r w:rsidRPr="009B2CA8">
              <w:rPr>
                <w:i/>
              </w:rPr>
              <w:t>(which contributes to Strategic Objective 2).</w:t>
            </w:r>
          </w:p>
          <w:p w14:paraId="7F152589" w14:textId="60703EBA" w:rsidR="00C37C2C" w:rsidRPr="009B2CA8" w:rsidRDefault="00C37C2C" w:rsidP="005F2418">
            <w:pPr>
              <w:spacing w:after="0"/>
              <w:jc w:val="left"/>
              <w:rPr>
                <w:color w:val="auto"/>
              </w:rPr>
            </w:pPr>
          </w:p>
        </w:tc>
        <w:tc>
          <w:tcPr>
            <w:tcW w:w="3714" w:type="dxa"/>
            <w:tcBorders>
              <w:top w:val="single" w:sz="4" w:space="0" w:color="000000"/>
              <w:left w:val="single" w:sz="4" w:space="0" w:color="000000"/>
              <w:bottom w:val="single" w:sz="4" w:space="0" w:color="000000"/>
              <w:right w:val="single" w:sz="4" w:space="0" w:color="000000"/>
            </w:tcBorders>
          </w:tcPr>
          <w:p w14:paraId="362DDD60" w14:textId="77777777" w:rsidR="00C37C2C" w:rsidRPr="009B2CA8" w:rsidRDefault="00C37C2C" w:rsidP="00C37C2C">
            <w:pPr>
              <w:spacing w:after="0"/>
              <w:jc w:val="left"/>
            </w:pPr>
            <w:r w:rsidRPr="009B2CA8">
              <w:t xml:space="preserve">Produce and publish key Commissioner decision reports and related articles on the HDC website. Report on total number. </w:t>
            </w:r>
          </w:p>
          <w:p w14:paraId="18927C5A" w14:textId="77777777" w:rsidR="00C37C2C" w:rsidRPr="009B2CA8" w:rsidRDefault="00C37C2C" w:rsidP="00C37C2C">
            <w:pPr>
              <w:spacing w:after="0"/>
              <w:jc w:val="left"/>
            </w:pPr>
          </w:p>
          <w:p w14:paraId="46B93F51" w14:textId="6691D9DA" w:rsidR="00C37C2C" w:rsidRPr="009B2CA8" w:rsidRDefault="00C37C2C" w:rsidP="00C37C2C">
            <w:pPr>
              <w:spacing w:after="0"/>
              <w:jc w:val="left"/>
            </w:pPr>
            <w:r w:rsidRPr="009B2CA8">
              <w:t xml:space="preserve">Work with the media to generate </w:t>
            </w:r>
            <w:r w:rsidR="0079590A" w:rsidRPr="009B2CA8">
              <w:t>200</w:t>
            </w:r>
            <w:r w:rsidRPr="009B2CA8">
              <w:t xml:space="preserve"> media stories on HDC decision reports or other matters of public interest that affect consumer rights.</w:t>
            </w:r>
          </w:p>
          <w:p w14:paraId="694DFF30" w14:textId="2D667D13" w:rsidR="00C37C2C" w:rsidRPr="009B2CA8" w:rsidRDefault="00C37C2C" w:rsidP="00C37C2C">
            <w:pPr>
              <w:spacing w:after="0"/>
              <w:jc w:val="left"/>
              <w:rPr>
                <w:color w:val="auto"/>
              </w:rPr>
            </w:pPr>
          </w:p>
        </w:tc>
        <w:tc>
          <w:tcPr>
            <w:tcW w:w="3544" w:type="dxa"/>
            <w:tcBorders>
              <w:top w:val="single" w:sz="4" w:space="0" w:color="000000"/>
              <w:left w:val="single" w:sz="4" w:space="0" w:color="000000"/>
              <w:bottom w:val="single" w:sz="4" w:space="0" w:color="000000"/>
              <w:right w:val="single" w:sz="4" w:space="0" w:color="000000"/>
            </w:tcBorders>
          </w:tcPr>
          <w:p w14:paraId="4BBEF039" w14:textId="77777777" w:rsidR="00C37C2C" w:rsidRPr="009B2CA8" w:rsidRDefault="00C37C2C" w:rsidP="00C37C2C">
            <w:pPr>
              <w:spacing w:after="0"/>
              <w:jc w:val="left"/>
            </w:pPr>
            <w:r w:rsidRPr="009B2CA8">
              <w:t xml:space="preserve">Produce and publish key Commissioner decision reports and related articles on the HDC website. Report on total number. </w:t>
            </w:r>
          </w:p>
          <w:p w14:paraId="7712A6D3" w14:textId="77777777" w:rsidR="00C37C2C" w:rsidRPr="009B2CA8" w:rsidRDefault="00C37C2C" w:rsidP="00C37C2C">
            <w:pPr>
              <w:spacing w:after="0"/>
              <w:jc w:val="left"/>
            </w:pPr>
          </w:p>
          <w:p w14:paraId="2196F0FA" w14:textId="77777777" w:rsidR="00C37C2C" w:rsidRPr="009B2CA8" w:rsidRDefault="00C37C2C" w:rsidP="00C37C2C">
            <w:pPr>
              <w:spacing w:after="0"/>
              <w:jc w:val="left"/>
            </w:pPr>
            <w:r w:rsidRPr="009B2CA8">
              <w:t>Work with the media to generate 50 media stories on HDC decision reports or other matters of public interest that affect consumer rights.</w:t>
            </w:r>
          </w:p>
          <w:p w14:paraId="7043CF8B" w14:textId="3321A93E" w:rsidR="00C37C2C" w:rsidRPr="009B2CA8" w:rsidRDefault="00C37C2C" w:rsidP="00C37C2C">
            <w:pPr>
              <w:spacing w:after="0"/>
              <w:jc w:val="left"/>
              <w:rPr>
                <w:color w:val="auto"/>
              </w:rPr>
            </w:pPr>
          </w:p>
        </w:tc>
        <w:tc>
          <w:tcPr>
            <w:tcW w:w="3969" w:type="dxa"/>
            <w:tcBorders>
              <w:top w:val="single" w:sz="4" w:space="0" w:color="000000"/>
              <w:left w:val="single" w:sz="4" w:space="0" w:color="000000"/>
              <w:bottom w:val="single" w:sz="4" w:space="0" w:color="000000"/>
              <w:right w:val="single" w:sz="4" w:space="0" w:color="000000"/>
            </w:tcBorders>
          </w:tcPr>
          <w:p w14:paraId="36A77845" w14:textId="77777777" w:rsidR="00C37C2C" w:rsidRPr="009B2CA8" w:rsidRDefault="00C37C2C" w:rsidP="00C37C2C">
            <w:pPr>
              <w:spacing w:after="0"/>
              <w:jc w:val="left"/>
            </w:pPr>
            <w:r w:rsidRPr="009B2CA8">
              <w:rPr>
                <w:lang w:val="x-none"/>
              </w:rPr>
              <w:t>For the year ended 30 June</w:t>
            </w:r>
            <w:r w:rsidRPr="009B2CA8">
              <w:rPr>
                <w:lang w:val="en-US"/>
              </w:rPr>
              <w:t xml:space="preserve"> </w:t>
            </w:r>
            <w:r w:rsidRPr="009B2CA8">
              <w:rPr>
                <w:lang w:val="x-none"/>
              </w:rPr>
              <w:t>2022, 83 decisions relating to</w:t>
            </w:r>
            <w:r w:rsidRPr="009B2CA8">
              <w:rPr>
                <w:lang w:val="en-US"/>
              </w:rPr>
              <w:t xml:space="preserve"> </w:t>
            </w:r>
            <w:r w:rsidRPr="009B2CA8">
              <w:rPr>
                <w:lang w:val="x-none"/>
              </w:rPr>
              <w:t>matters affecting the rights of</w:t>
            </w:r>
            <w:r w:rsidRPr="009B2CA8">
              <w:rPr>
                <w:lang w:val="en-US"/>
              </w:rPr>
              <w:t xml:space="preserve"> </w:t>
            </w:r>
            <w:r w:rsidRPr="009B2CA8">
              <w:rPr>
                <w:lang w:val="x-none"/>
              </w:rPr>
              <w:t>consumers were published at</w:t>
            </w:r>
            <w:r w:rsidRPr="009B2CA8">
              <w:rPr>
                <w:lang w:val="en-US"/>
              </w:rPr>
              <w:t xml:space="preserve"> </w:t>
            </w:r>
            <w:r w:rsidRPr="009B2CA8">
              <w:rPr>
                <w:lang w:val="x-none"/>
              </w:rPr>
              <w:t>www.hdc.org.nz</w:t>
            </w:r>
            <w:r w:rsidRPr="009B2CA8">
              <w:t>.</w:t>
            </w:r>
          </w:p>
          <w:p w14:paraId="51BDB38D" w14:textId="77777777" w:rsidR="00C37C2C" w:rsidRPr="009B2CA8" w:rsidRDefault="00C37C2C" w:rsidP="00C37C2C">
            <w:pPr>
              <w:spacing w:after="0"/>
              <w:jc w:val="left"/>
            </w:pPr>
          </w:p>
          <w:p w14:paraId="747DF20B" w14:textId="759E02CF" w:rsidR="00C37C2C" w:rsidRPr="009B2CA8" w:rsidRDefault="00C37C2C" w:rsidP="00C37C2C">
            <w:pPr>
              <w:spacing w:after="0"/>
              <w:jc w:val="left"/>
              <w:rPr>
                <w:color w:val="auto"/>
                <w:lang w:eastAsia="en-NZ"/>
              </w:rPr>
            </w:pPr>
            <w:r w:rsidRPr="009B2CA8">
              <w:rPr>
                <w:lang w:val="x-none"/>
              </w:rPr>
              <w:t>For the year ended 30 June</w:t>
            </w:r>
            <w:r w:rsidRPr="009B2CA8">
              <w:rPr>
                <w:lang w:val="en-US"/>
              </w:rPr>
              <w:t xml:space="preserve"> </w:t>
            </w:r>
            <w:r w:rsidRPr="009B2CA8">
              <w:rPr>
                <w:lang w:val="x-none"/>
              </w:rPr>
              <w:t>2022, 233 media stories had</w:t>
            </w:r>
            <w:r w:rsidRPr="009B2CA8">
              <w:rPr>
                <w:lang w:val="en-US"/>
              </w:rPr>
              <w:t xml:space="preserve"> </w:t>
            </w:r>
            <w:r w:rsidRPr="009B2CA8">
              <w:rPr>
                <w:lang w:val="x-none"/>
              </w:rPr>
              <w:t>been generated.</w:t>
            </w:r>
          </w:p>
        </w:tc>
      </w:tr>
    </w:tbl>
    <w:p w14:paraId="188CF4D6" w14:textId="77777777" w:rsidR="003B22F5" w:rsidRPr="009B2CA8" w:rsidRDefault="003B22F5" w:rsidP="003A457B">
      <w:pPr>
        <w:autoSpaceDE/>
        <w:autoSpaceDN/>
        <w:adjustRightInd/>
        <w:spacing w:after="0"/>
        <w:jc w:val="left"/>
        <w:rPr>
          <w:rFonts w:eastAsiaTheme="minorHAnsi" w:cs="Arial"/>
          <w:b/>
          <w:color w:val="auto"/>
          <w:spacing w:val="2"/>
          <w:sz w:val="36"/>
          <w:szCs w:val="30"/>
          <w:lang w:val="en-GB"/>
        </w:rPr>
      </w:pPr>
      <w:r w:rsidRPr="009B2CA8">
        <w:rPr>
          <w:color w:val="auto"/>
        </w:rPr>
        <w:br w:type="page"/>
      </w:r>
    </w:p>
    <w:p w14:paraId="72996325" w14:textId="0EC9A849" w:rsidR="003B22F5" w:rsidRDefault="003B22F5" w:rsidP="00942238">
      <w:pPr>
        <w:pStyle w:val="Heading2"/>
      </w:pPr>
      <w:bookmarkStart w:id="44" w:name="_Toc101344206"/>
      <w:bookmarkStart w:id="45" w:name="_Toc138852565"/>
      <w:r w:rsidRPr="009B2CA8">
        <w:lastRenderedPageBreak/>
        <w:t xml:space="preserve">Output Class 4 — </w:t>
      </w:r>
      <w:bookmarkEnd w:id="44"/>
      <w:r w:rsidR="00280406" w:rsidRPr="009B2CA8">
        <w:t>Focus populations</w:t>
      </w:r>
      <w:bookmarkEnd w:id="45"/>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3827"/>
        <w:gridCol w:w="3849"/>
        <w:gridCol w:w="3805"/>
      </w:tblGrid>
      <w:tr w:rsidR="006B3D7D" w:rsidRPr="009B2CA8" w14:paraId="42021B47" w14:textId="77777777" w:rsidTr="006B3D7D">
        <w:trPr>
          <w:tblHeader/>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FBD4B4"/>
            <w:hideMark/>
          </w:tcPr>
          <w:p w14:paraId="64D45D09" w14:textId="77777777" w:rsidR="006B3D7D" w:rsidRPr="009B2CA8" w:rsidRDefault="006B3D7D" w:rsidP="006B3D7D">
            <w:pPr>
              <w:spacing w:after="0"/>
              <w:jc w:val="center"/>
              <w:rPr>
                <w:b/>
                <w:color w:val="FF0000"/>
              </w:rPr>
            </w:pPr>
            <w:r>
              <w:rPr>
                <w:b/>
                <w:color w:val="auto"/>
              </w:rPr>
              <w:t>Output 4.1</w:t>
            </w:r>
            <w:r w:rsidRPr="009B2CA8">
              <w:rPr>
                <w:b/>
                <w:color w:val="auto"/>
              </w:rPr>
              <w:t xml:space="preserve"> — Māori</w:t>
            </w:r>
          </w:p>
        </w:tc>
      </w:tr>
      <w:tr w:rsidR="006B3D7D" w:rsidRPr="009B2CA8" w14:paraId="24435C80" w14:textId="77777777" w:rsidTr="006B3D7D">
        <w:trPr>
          <w:trHeight w:val="285"/>
          <w:tblHeader/>
        </w:trPr>
        <w:tc>
          <w:tcPr>
            <w:tcW w:w="3403" w:type="dxa"/>
            <w:vMerge w:val="restart"/>
            <w:tcBorders>
              <w:top w:val="single" w:sz="4" w:space="0" w:color="000000"/>
              <w:left w:val="single" w:sz="4" w:space="0" w:color="000000"/>
              <w:right w:val="single" w:sz="4" w:space="0" w:color="000000"/>
            </w:tcBorders>
            <w:shd w:val="clear" w:color="auto" w:fill="C6D9F1" w:themeFill="text2" w:themeFillTint="33"/>
            <w:vAlign w:val="center"/>
            <w:hideMark/>
          </w:tcPr>
          <w:p w14:paraId="65DD5A0B" w14:textId="77777777" w:rsidR="006B3D7D" w:rsidRPr="009B2CA8" w:rsidRDefault="006B3D7D" w:rsidP="006B3D7D">
            <w:pPr>
              <w:spacing w:after="0"/>
              <w:jc w:val="left"/>
              <w:rPr>
                <w:b/>
                <w:color w:val="auto"/>
              </w:rPr>
            </w:pPr>
          </w:p>
        </w:tc>
        <w:tc>
          <w:tcPr>
            <w:tcW w:w="11481"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7D43D5F" w14:textId="77777777" w:rsidR="006B3D7D" w:rsidRPr="009B2CA8" w:rsidRDefault="006B3D7D" w:rsidP="006B3D7D">
            <w:pPr>
              <w:spacing w:after="0"/>
              <w:jc w:val="center"/>
              <w:rPr>
                <w:b/>
                <w:color w:val="auto"/>
              </w:rPr>
            </w:pPr>
            <w:r w:rsidRPr="009B2CA8">
              <w:rPr>
                <w:b/>
                <w:color w:val="auto"/>
              </w:rPr>
              <w:t>Performance Measures</w:t>
            </w:r>
          </w:p>
        </w:tc>
      </w:tr>
      <w:tr w:rsidR="006B3D7D" w:rsidRPr="009B2CA8" w14:paraId="3EB35DEE" w14:textId="77777777" w:rsidTr="006B3D7D">
        <w:trPr>
          <w:trHeight w:val="285"/>
          <w:tblHeader/>
        </w:trPr>
        <w:tc>
          <w:tcPr>
            <w:tcW w:w="3403" w:type="dxa"/>
            <w:vMerge/>
            <w:tcBorders>
              <w:left w:val="single" w:sz="4" w:space="0" w:color="000000"/>
              <w:bottom w:val="single" w:sz="4" w:space="0" w:color="000000"/>
              <w:right w:val="single" w:sz="4" w:space="0" w:color="000000"/>
            </w:tcBorders>
            <w:shd w:val="clear" w:color="auto" w:fill="C6D9F1" w:themeFill="text2" w:themeFillTint="33"/>
            <w:vAlign w:val="center"/>
            <w:hideMark/>
          </w:tcPr>
          <w:p w14:paraId="47405F0F" w14:textId="77777777" w:rsidR="006B3D7D" w:rsidRPr="009B2CA8" w:rsidRDefault="006B3D7D" w:rsidP="006B3D7D">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B8BA402" w14:textId="77777777" w:rsidR="006B3D7D" w:rsidRPr="009B2CA8" w:rsidRDefault="006B3D7D" w:rsidP="006B3D7D">
            <w:pPr>
              <w:keepNext/>
              <w:keepLines/>
              <w:spacing w:after="0"/>
              <w:jc w:val="center"/>
              <w:rPr>
                <w:b/>
                <w:color w:val="auto"/>
              </w:rPr>
            </w:pPr>
            <w:r w:rsidRPr="009B2CA8">
              <w:rPr>
                <w:b/>
                <w:color w:val="auto"/>
              </w:rPr>
              <w:t xml:space="preserve">2023/24 SPE Target </w:t>
            </w:r>
          </w:p>
        </w:tc>
        <w:tc>
          <w:tcPr>
            <w:tcW w:w="38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71FA73D" w14:textId="77777777" w:rsidR="006B3D7D" w:rsidRPr="009B2CA8" w:rsidRDefault="006B3D7D" w:rsidP="006B3D7D">
            <w:pPr>
              <w:keepNext/>
              <w:keepLines/>
              <w:spacing w:after="0"/>
              <w:jc w:val="center"/>
              <w:rPr>
                <w:b/>
                <w:color w:val="auto"/>
              </w:rPr>
            </w:pPr>
            <w:r w:rsidRPr="009B2CA8">
              <w:rPr>
                <w:b/>
                <w:color w:val="auto"/>
              </w:rPr>
              <w:t>2022/23 SPE Target</w:t>
            </w:r>
          </w:p>
        </w:tc>
        <w:tc>
          <w:tcPr>
            <w:tcW w:w="38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45F7FB6" w14:textId="77777777" w:rsidR="006B3D7D" w:rsidRPr="009B2CA8" w:rsidRDefault="006B3D7D" w:rsidP="006B3D7D">
            <w:pPr>
              <w:keepNext/>
              <w:keepLines/>
              <w:spacing w:after="0"/>
              <w:jc w:val="center"/>
              <w:rPr>
                <w:b/>
                <w:color w:val="auto"/>
              </w:rPr>
            </w:pPr>
            <w:r w:rsidRPr="009B2CA8">
              <w:rPr>
                <w:b/>
                <w:color w:val="auto"/>
              </w:rPr>
              <w:t>2021/22 Actual</w:t>
            </w:r>
          </w:p>
        </w:tc>
      </w:tr>
      <w:tr w:rsidR="006B3D7D" w:rsidRPr="009B2CA8" w14:paraId="4B91A669" w14:textId="77777777" w:rsidTr="006B3D7D">
        <w:trPr>
          <w:trHeight w:val="974"/>
        </w:trPr>
        <w:tc>
          <w:tcPr>
            <w:tcW w:w="3403" w:type="dxa"/>
            <w:tcBorders>
              <w:top w:val="single" w:sz="4" w:space="0" w:color="000000"/>
              <w:left w:val="single" w:sz="4" w:space="0" w:color="000000"/>
              <w:bottom w:val="single" w:sz="4" w:space="0" w:color="000000"/>
              <w:right w:val="single" w:sz="4" w:space="0" w:color="000000"/>
            </w:tcBorders>
          </w:tcPr>
          <w:p w14:paraId="0227541F" w14:textId="77777777" w:rsidR="006B3D7D" w:rsidRPr="009B2CA8" w:rsidRDefault="006B3D7D" w:rsidP="006B3D7D">
            <w:pPr>
              <w:spacing w:after="0"/>
              <w:jc w:val="left"/>
              <w:rPr>
                <w:color w:val="auto"/>
              </w:rPr>
            </w:pPr>
            <w:r w:rsidRPr="009B2CA8">
              <w:rPr>
                <w:color w:val="auto"/>
              </w:rPr>
              <w:t xml:space="preserve">Promote awareness of, respect for, and observance of, the rights of consumers and how they may be enforced </w:t>
            </w:r>
            <w:r w:rsidRPr="009B2CA8">
              <w:rPr>
                <w:i/>
                <w:color w:val="auto"/>
              </w:rPr>
              <w:t>(which contributes to achievement of Strategic Objective 2)</w:t>
            </w:r>
            <w:r w:rsidRPr="009B2CA8">
              <w:rPr>
                <w:color w:val="auto"/>
              </w:rPr>
              <w:t>.</w:t>
            </w:r>
          </w:p>
          <w:p w14:paraId="39D2E8E0" w14:textId="418127F9" w:rsidR="006B3D7D" w:rsidRPr="009B2CA8" w:rsidRDefault="006B3D7D" w:rsidP="006B3D7D">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tcPr>
          <w:p w14:paraId="6B3CBB62" w14:textId="77777777" w:rsidR="006B3D7D" w:rsidRPr="009B2CA8" w:rsidRDefault="006B3D7D" w:rsidP="006B3D7D">
            <w:pPr>
              <w:spacing w:after="0"/>
              <w:jc w:val="left"/>
              <w:rPr>
                <w:color w:val="auto"/>
              </w:rPr>
            </w:pPr>
            <w:r w:rsidRPr="009B2CA8">
              <w:rPr>
                <w:color w:val="auto"/>
              </w:rPr>
              <w:t xml:space="preserve">Partner with other agencies to raise awareness of consumer rights and reduce barriers to resolving complaints for Māori, Pasifika, and other focus communities. Report on activity. </w:t>
            </w:r>
          </w:p>
          <w:p w14:paraId="13ED7F90" w14:textId="77777777" w:rsidR="006B3D7D" w:rsidRPr="009B2CA8" w:rsidRDefault="006B3D7D" w:rsidP="006B3D7D">
            <w:pPr>
              <w:spacing w:after="0"/>
              <w:jc w:val="left"/>
              <w:rPr>
                <w:color w:val="auto"/>
              </w:rPr>
            </w:pPr>
          </w:p>
        </w:tc>
        <w:tc>
          <w:tcPr>
            <w:tcW w:w="3849" w:type="dxa"/>
            <w:tcBorders>
              <w:top w:val="single" w:sz="4" w:space="0" w:color="000000"/>
              <w:left w:val="single" w:sz="4" w:space="0" w:color="000000"/>
              <w:bottom w:val="single" w:sz="4" w:space="0" w:color="000000"/>
              <w:right w:val="single" w:sz="4" w:space="0" w:color="000000"/>
            </w:tcBorders>
          </w:tcPr>
          <w:p w14:paraId="19436C97" w14:textId="77777777" w:rsidR="006B3D7D" w:rsidRPr="009B2CA8" w:rsidRDefault="006B3D7D" w:rsidP="006B3D7D">
            <w:pPr>
              <w:spacing w:after="0"/>
              <w:jc w:val="left"/>
              <w:rPr>
                <w:color w:val="auto"/>
              </w:rPr>
            </w:pPr>
            <w:r w:rsidRPr="009B2CA8">
              <w:rPr>
                <w:color w:val="auto"/>
              </w:rPr>
              <w:t xml:space="preserve">Develop and implement approach to partner with other agencies to raise awareness of consumer rights and reduce barriers to resolving complaints for Māori, Pasifika, and other priority communities. Report on activity. </w:t>
            </w:r>
          </w:p>
          <w:p w14:paraId="4AA995F3" w14:textId="77777777" w:rsidR="006B3D7D" w:rsidRPr="009B2CA8" w:rsidRDefault="006B3D7D" w:rsidP="006B3D7D">
            <w:pPr>
              <w:spacing w:after="0"/>
              <w:ind w:right="-86"/>
              <w:jc w:val="left"/>
              <w:rPr>
                <w:color w:val="auto"/>
              </w:rPr>
            </w:pPr>
          </w:p>
        </w:tc>
        <w:tc>
          <w:tcPr>
            <w:tcW w:w="3805" w:type="dxa"/>
            <w:tcBorders>
              <w:top w:val="single" w:sz="4" w:space="0" w:color="000000"/>
              <w:left w:val="single" w:sz="4" w:space="0" w:color="000000"/>
              <w:bottom w:val="single" w:sz="4" w:space="0" w:color="000000"/>
              <w:right w:val="single" w:sz="4" w:space="0" w:color="000000"/>
            </w:tcBorders>
          </w:tcPr>
          <w:p w14:paraId="66EA74D9" w14:textId="77777777" w:rsidR="006B3D7D" w:rsidRPr="009B2CA8" w:rsidRDefault="006B3D7D" w:rsidP="006B3D7D">
            <w:pPr>
              <w:spacing w:after="0"/>
              <w:jc w:val="left"/>
              <w:rPr>
                <w:color w:val="auto"/>
              </w:rPr>
            </w:pPr>
          </w:p>
        </w:tc>
      </w:tr>
    </w:tbl>
    <w:p w14:paraId="7074AED4" w14:textId="77777777" w:rsidR="0079590A" w:rsidRPr="009B2CA8" w:rsidRDefault="0079590A">
      <w:pPr>
        <w:autoSpaceDE/>
        <w:autoSpaceDN/>
        <w:adjustRightInd/>
        <w:spacing w:after="200" w:line="276" w:lineRule="auto"/>
        <w:jc w:val="left"/>
      </w:pPr>
      <w:r w:rsidRPr="009B2CA8">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27"/>
        <w:gridCol w:w="3827"/>
      </w:tblGrid>
      <w:tr w:rsidR="00C37C2C" w:rsidRPr="009B2CA8" w14:paraId="17E2F67E" w14:textId="77777777" w:rsidTr="006B3D7D">
        <w:tc>
          <w:tcPr>
            <w:tcW w:w="14884" w:type="dxa"/>
            <w:gridSpan w:val="4"/>
            <w:tcBorders>
              <w:top w:val="single" w:sz="4" w:space="0" w:color="000000"/>
              <w:left w:val="single" w:sz="4" w:space="0" w:color="000000"/>
              <w:bottom w:val="single" w:sz="4" w:space="0" w:color="auto"/>
              <w:right w:val="single" w:sz="4" w:space="0" w:color="000000"/>
            </w:tcBorders>
            <w:shd w:val="clear" w:color="auto" w:fill="FBD4B4"/>
            <w:hideMark/>
          </w:tcPr>
          <w:p w14:paraId="56806D03" w14:textId="712778C7" w:rsidR="00C37C2C" w:rsidRPr="009B2CA8" w:rsidRDefault="00C37C2C" w:rsidP="00C37C2C">
            <w:pPr>
              <w:spacing w:after="0"/>
              <w:jc w:val="center"/>
              <w:rPr>
                <w:b/>
                <w:color w:val="auto"/>
              </w:rPr>
            </w:pPr>
            <w:r w:rsidRPr="009B2CA8">
              <w:rPr>
                <w:b/>
                <w:color w:val="auto"/>
              </w:rPr>
              <w:lastRenderedPageBreak/>
              <w:t xml:space="preserve">Output 4.2 — Tāngata </w:t>
            </w:r>
            <w:proofErr w:type="spellStart"/>
            <w:r w:rsidRPr="009B2CA8">
              <w:rPr>
                <w:b/>
                <w:color w:val="auto"/>
              </w:rPr>
              <w:t>whaikaha</w:t>
            </w:r>
            <w:proofErr w:type="spellEnd"/>
            <w:r w:rsidRPr="009B2CA8">
              <w:rPr>
                <w:b/>
                <w:color w:val="auto"/>
              </w:rPr>
              <w:t>/disabled people</w:t>
            </w:r>
          </w:p>
        </w:tc>
      </w:tr>
      <w:tr w:rsidR="00C37C2C" w:rsidRPr="009B2CA8" w14:paraId="1548E636" w14:textId="77777777" w:rsidTr="006B3D7D">
        <w:trPr>
          <w:trHeight w:val="285"/>
        </w:trPr>
        <w:tc>
          <w:tcPr>
            <w:tcW w:w="340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16F08C" w14:textId="77777777" w:rsidR="00C37C2C" w:rsidRPr="009B2CA8" w:rsidRDefault="00C37C2C" w:rsidP="00C37C2C">
            <w:pPr>
              <w:spacing w:after="0"/>
              <w:jc w:val="left"/>
              <w:rPr>
                <w:b/>
                <w:color w:val="auto"/>
              </w:rPr>
            </w:pPr>
          </w:p>
        </w:tc>
        <w:tc>
          <w:tcPr>
            <w:tcW w:w="1148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173495" w14:textId="77777777" w:rsidR="00C37C2C" w:rsidRPr="009B2CA8" w:rsidRDefault="00C37C2C" w:rsidP="00C37C2C">
            <w:pPr>
              <w:spacing w:after="0"/>
              <w:jc w:val="center"/>
              <w:rPr>
                <w:b/>
                <w:color w:val="auto"/>
              </w:rPr>
            </w:pPr>
            <w:r w:rsidRPr="009B2CA8">
              <w:rPr>
                <w:b/>
                <w:color w:val="auto"/>
              </w:rPr>
              <w:t>Performance Measures</w:t>
            </w:r>
          </w:p>
        </w:tc>
      </w:tr>
      <w:tr w:rsidR="00C37C2C" w:rsidRPr="009B2CA8" w14:paraId="1DFD94B9" w14:textId="77777777" w:rsidTr="006B3D7D">
        <w:trPr>
          <w:trHeight w:val="285"/>
        </w:trPr>
        <w:tc>
          <w:tcPr>
            <w:tcW w:w="340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B4744C" w14:textId="77777777" w:rsidR="00C37C2C" w:rsidRPr="009B2CA8" w:rsidRDefault="00C37C2C" w:rsidP="00C37C2C">
            <w:pPr>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DE3E1A" w14:textId="77777777" w:rsidR="00C37C2C" w:rsidRPr="009B2CA8" w:rsidRDefault="00C37C2C" w:rsidP="00C37C2C">
            <w:pPr>
              <w:keepNext/>
              <w:keepLines/>
              <w:spacing w:after="0"/>
              <w:jc w:val="center"/>
              <w:rPr>
                <w:b/>
                <w:color w:val="auto"/>
              </w:rPr>
            </w:pPr>
            <w:r w:rsidRPr="009B2CA8">
              <w:rPr>
                <w:b/>
                <w:color w:val="auto"/>
              </w:rPr>
              <w:t>2023/24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013F71" w14:textId="77777777" w:rsidR="00C37C2C" w:rsidRPr="009B2CA8" w:rsidRDefault="00C37C2C" w:rsidP="00C37C2C">
            <w:pPr>
              <w:keepNext/>
              <w:keepLines/>
              <w:spacing w:after="0"/>
              <w:jc w:val="center"/>
              <w:rPr>
                <w:b/>
                <w:color w:val="auto"/>
              </w:rPr>
            </w:pPr>
            <w:r w:rsidRPr="009B2CA8">
              <w:rPr>
                <w:b/>
                <w:color w:val="auto"/>
              </w:rPr>
              <w:t>2022/23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EB9D47" w14:textId="77777777" w:rsidR="00C37C2C" w:rsidRPr="009B2CA8" w:rsidRDefault="00C37C2C" w:rsidP="00C37C2C">
            <w:pPr>
              <w:keepNext/>
              <w:keepLines/>
              <w:spacing w:after="0"/>
              <w:jc w:val="center"/>
              <w:rPr>
                <w:b/>
                <w:color w:val="auto"/>
              </w:rPr>
            </w:pPr>
            <w:r w:rsidRPr="009B2CA8">
              <w:rPr>
                <w:b/>
                <w:color w:val="auto"/>
              </w:rPr>
              <w:t>2021/22 Actual</w:t>
            </w:r>
          </w:p>
        </w:tc>
      </w:tr>
      <w:tr w:rsidR="00855506" w:rsidRPr="009B2CA8" w14:paraId="1F25B378" w14:textId="77777777" w:rsidTr="00C37C2C">
        <w:trPr>
          <w:trHeight w:val="425"/>
        </w:trPr>
        <w:tc>
          <w:tcPr>
            <w:tcW w:w="3403" w:type="dxa"/>
            <w:tcBorders>
              <w:top w:val="single" w:sz="4" w:space="0" w:color="auto"/>
              <w:left w:val="single" w:sz="4" w:space="0" w:color="000000"/>
              <w:bottom w:val="single" w:sz="4" w:space="0" w:color="auto"/>
              <w:right w:val="single" w:sz="4" w:space="0" w:color="000000"/>
            </w:tcBorders>
          </w:tcPr>
          <w:p w14:paraId="32A89C05" w14:textId="77777777" w:rsidR="00855506" w:rsidRPr="009B2CA8" w:rsidRDefault="00855506" w:rsidP="00855506">
            <w:pPr>
              <w:spacing w:after="0"/>
              <w:jc w:val="left"/>
              <w:rPr>
                <w:color w:val="auto"/>
              </w:rPr>
            </w:pPr>
            <w:r w:rsidRPr="009B2CA8">
              <w:rPr>
                <w:color w:val="auto"/>
              </w:rPr>
              <w:t xml:space="preserve">Promote awareness of, respect for, and observance of, the rights of disability services consumers </w:t>
            </w:r>
            <w:r w:rsidRPr="009B2CA8">
              <w:rPr>
                <w:i/>
                <w:color w:val="auto"/>
              </w:rPr>
              <w:t>(which contributes to achievement of Strategic Objective 2)</w:t>
            </w:r>
            <w:r w:rsidRPr="009B2CA8">
              <w:rPr>
                <w:color w:val="auto"/>
              </w:rPr>
              <w:t>.</w:t>
            </w:r>
          </w:p>
          <w:p w14:paraId="243F2E36" w14:textId="28D7FBE3" w:rsidR="00855506" w:rsidRPr="009B2CA8" w:rsidRDefault="00855506" w:rsidP="00855506">
            <w:pPr>
              <w:spacing w:after="0"/>
              <w:rPr>
                <w:color w:val="auto"/>
              </w:rPr>
            </w:pPr>
          </w:p>
        </w:tc>
        <w:tc>
          <w:tcPr>
            <w:tcW w:w="3827" w:type="dxa"/>
            <w:tcBorders>
              <w:top w:val="single" w:sz="4" w:space="0" w:color="auto"/>
              <w:left w:val="single" w:sz="4" w:space="0" w:color="000000"/>
              <w:bottom w:val="single" w:sz="4" w:space="0" w:color="auto"/>
              <w:right w:val="single" w:sz="4" w:space="0" w:color="000000"/>
            </w:tcBorders>
          </w:tcPr>
          <w:p w14:paraId="09763FF7" w14:textId="16ADF88A" w:rsidR="00855506" w:rsidRPr="009B2CA8" w:rsidRDefault="00855506" w:rsidP="00855506">
            <w:pPr>
              <w:spacing w:after="0"/>
              <w:jc w:val="left"/>
              <w:rPr>
                <w:color w:val="auto"/>
                <w:szCs w:val="23"/>
              </w:rPr>
            </w:pPr>
            <w:r w:rsidRPr="009B2CA8">
              <w:rPr>
                <w:color w:val="auto"/>
                <w:szCs w:val="23"/>
              </w:rPr>
              <w:t xml:space="preserve">Publish on the HDC website (and make accessible to people who use </w:t>
            </w:r>
            <w:r w:rsidR="00AE4742">
              <w:rPr>
                <w:color w:val="auto"/>
                <w:szCs w:val="23"/>
              </w:rPr>
              <w:t>‘</w:t>
            </w:r>
            <w:r w:rsidRPr="009B2CA8">
              <w:rPr>
                <w:color w:val="auto"/>
                <w:szCs w:val="23"/>
              </w:rPr>
              <w:t>accessible software</w:t>
            </w:r>
            <w:r w:rsidR="00AE4742">
              <w:rPr>
                <w:color w:val="auto"/>
                <w:szCs w:val="23"/>
              </w:rPr>
              <w:t>’</w:t>
            </w:r>
            <w:r w:rsidRPr="009B2CA8">
              <w:rPr>
                <w:color w:val="auto"/>
                <w:szCs w:val="23"/>
              </w:rPr>
              <w:t xml:space="preserve">) educational resources </w:t>
            </w:r>
            <w:r w:rsidR="004A177E" w:rsidRPr="009B2CA8">
              <w:rPr>
                <w:color w:val="auto"/>
                <w:szCs w:val="23"/>
              </w:rPr>
              <w:t xml:space="preserve">that are written in plain language </w:t>
            </w:r>
            <w:r w:rsidRPr="009B2CA8">
              <w:rPr>
                <w:color w:val="auto"/>
                <w:szCs w:val="23"/>
              </w:rPr>
              <w:t>for disability services consumers and disability services providers. Report on number of resources published.</w:t>
            </w:r>
          </w:p>
          <w:p w14:paraId="26DC9F84" w14:textId="77777777" w:rsidR="00855506" w:rsidRPr="009B2CA8" w:rsidRDefault="00855506" w:rsidP="00855506">
            <w:pPr>
              <w:spacing w:after="0"/>
              <w:jc w:val="left"/>
              <w:rPr>
                <w:color w:val="auto"/>
                <w:szCs w:val="23"/>
                <w:highlight w:val="yellow"/>
              </w:rPr>
            </w:pPr>
          </w:p>
        </w:tc>
        <w:tc>
          <w:tcPr>
            <w:tcW w:w="3827" w:type="dxa"/>
            <w:tcBorders>
              <w:top w:val="single" w:sz="4" w:space="0" w:color="auto"/>
              <w:left w:val="single" w:sz="4" w:space="0" w:color="000000"/>
              <w:bottom w:val="single" w:sz="4" w:space="0" w:color="auto"/>
              <w:right w:val="single" w:sz="4" w:space="0" w:color="000000"/>
            </w:tcBorders>
          </w:tcPr>
          <w:p w14:paraId="18809989" w14:textId="59DC3336" w:rsidR="00855506" w:rsidRPr="009B2CA8" w:rsidRDefault="00855506" w:rsidP="00855506">
            <w:pPr>
              <w:spacing w:after="0"/>
              <w:jc w:val="left"/>
              <w:rPr>
                <w:color w:val="auto"/>
                <w:szCs w:val="23"/>
              </w:rPr>
            </w:pPr>
            <w:r w:rsidRPr="009B2CA8">
              <w:rPr>
                <w:color w:val="auto"/>
                <w:szCs w:val="23"/>
              </w:rPr>
              <w:t xml:space="preserve">Publish on the HDC website (and make accessible to people who use </w:t>
            </w:r>
            <w:r w:rsidR="00AE4742">
              <w:rPr>
                <w:color w:val="auto"/>
                <w:szCs w:val="23"/>
              </w:rPr>
              <w:t>‘</w:t>
            </w:r>
            <w:r w:rsidRPr="009B2CA8">
              <w:rPr>
                <w:color w:val="auto"/>
                <w:szCs w:val="23"/>
              </w:rPr>
              <w:t>accessible software</w:t>
            </w:r>
            <w:r w:rsidR="00AE4742">
              <w:rPr>
                <w:color w:val="auto"/>
                <w:szCs w:val="23"/>
              </w:rPr>
              <w:t>’</w:t>
            </w:r>
            <w:r w:rsidRPr="009B2CA8">
              <w:rPr>
                <w:color w:val="auto"/>
                <w:szCs w:val="23"/>
              </w:rPr>
              <w:t>) educational resources for disability services consumers and disability services providers. Report on number of resources published.</w:t>
            </w:r>
          </w:p>
          <w:p w14:paraId="78E052E2" w14:textId="77777777" w:rsidR="00855506" w:rsidRPr="009B2CA8" w:rsidRDefault="00855506" w:rsidP="00855506">
            <w:pPr>
              <w:spacing w:after="0"/>
              <w:rPr>
                <w:color w:val="auto"/>
                <w:szCs w:val="23"/>
              </w:rPr>
            </w:pPr>
          </w:p>
        </w:tc>
        <w:tc>
          <w:tcPr>
            <w:tcW w:w="3827" w:type="dxa"/>
            <w:tcBorders>
              <w:top w:val="single" w:sz="4" w:space="0" w:color="auto"/>
              <w:left w:val="single" w:sz="4" w:space="0" w:color="000000"/>
              <w:bottom w:val="single" w:sz="4" w:space="0" w:color="auto"/>
              <w:right w:val="single" w:sz="4" w:space="0" w:color="000000"/>
            </w:tcBorders>
          </w:tcPr>
          <w:p w14:paraId="188ED618" w14:textId="77777777" w:rsidR="00855506" w:rsidRPr="009B2CA8" w:rsidRDefault="00855506" w:rsidP="00855506">
            <w:pPr>
              <w:spacing w:after="0"/>
              <w:jc w:val="left"/>
              <w:textAlignment w:val="baseline"/>
              <w:rPr>
                <w:rFonts w:eastAsia="Arial Narrow"/>
                <w:color w:val="auto"/>
                <w:lang w:val="x-none"/>
              </w:rPr>
            </w:pPr>
            <w:r w:rsidRPr="009B2CA8">
              <w:rPr>
                <w:rFonts w:eastAsia="Arial Narrow"/>
                <w:color w:val="auto"/>
                <w:lang w:val="x-none"/>
              </w:rPr>
              <w:t>For the year ended 30 June</w:t>
            </w:r>
            <w:r w:rsidRPr="009B2CA8">
              <w:rPr>
                <w:rFonts w:eastAsia="Arial Narrow"/>
                <w:color w:val="auto"/>
                <w:lang w:val="en-US"/>
              </w:rPr>
              <w:t xml:space="preserve"> </w:t>
            </w:r>
            <w:r w:rsidRPr="009B2CA8">
              <w:rPr>
                <w:rFonts w:eastAsia="Arial Narrow"/>
                <w:color w:val="auto"/>
                <w:lang w:val="x-none"/>
              </w:rPr>
              <w:t>2022, two new accessible</w:t>
            </w:r>
            <w:r w:rsidRPr="009B2CA8">
              <w:rPr>
                <w:rFonts w:eastAsia="Arial Narrow"/>
                <w:color w:val="auto"/>
                <w:lang w:val="en-US"/>
              </w:rPr>
              <w:t xml:space="preserve"> </w:t>
            </w:r>
            <w:r w:rsidRPr="009B2CA8">
              <w:rPr>
                <w:rFonts w:eastAsia="Arial Narrow"/>
                <w:color w:val="auto"/>
                <w:lang w:val="x-none"/>
              </w:rPr>
              <w:t>resources were published on</w:t>
            </w:r>
            <w:r w:rsidRPr="009B2CA8">
              <w:rPr>
                <w:rFonts w:eastAsia="Arial Narrow"/>
                <w:color w:val="auto"/>
                <w:lang w:val="en-US"/>
              </w:rPr>
              <w:t xml:space="preserve"> </w:t>
            </w:r>
            <w:r w:rsidRPr="009B2CA8">
              <w:rPr>
                <w:rFonts w:eastAsia="Arial Narrow"/>
                <w:color w:val="auto"/>
                <w:lang w:val="x-none"/>
              </w:rPr>
              <w:t>the HDC website to support</w:t>
            </w:r>
            <w:r w:rsidRPr="009B2CA8">
              <w:rPr>
                <w:rFonts w:eastAsia="Arial Narrow"/>
                <w:color w:val="auto"/>
                <w:lang w:val="en-US"/>
              </w:rPr>
              <w:t xml:space="preserve"> </w:t>
            </w:r>
            <w:r w:rsidRPr="009B2CA8">
              <w:rPr>
                <w:rFonts w:eastAsia="Arial Narrow"/>
                <w:color w:val="auto"/>
                <w:lang w:val="x-none"/>
              </w:rPr>
              <w:t>consumers who use home and</w:t>
            </w:r>
            <w:r w:rsidRPr="009B2CA8">
              <w:rPr>
                <w:rFonts w:eastAsia="Arial Narrow"/>
                <w:color w:val="auto"/>
                <w:lang w:val="en-US"/>
              </w:rPr>
              <w:t xml:space="preserve"> </w:t>
            </w:r>
            <w:r w:rsidRPr="009B2CA8">
              <w:rPr>
                <w:rFonts w:eastAsia="Arial Narrow"/>
                <w:color w:val="auto"/>
                <w:lang w:val="x-none"/>
              </w:rPr>
              <w:t>community support services.</w:t>
            </w:r>
            <w:r w:rsidRPr="009B2CA8">
              <w:rPr>
                <w:rFonts w:eastAsia="Arial Narrow"/>
                <w:color w:val="auto"/>
                <w:lang w:val="en-US"/>
              </w:rPr>
              <w:t xml:space="preserve"> </w:t>
            </w:r>
            <w:r w:rsidRPr="009B2CA8">
              <w:rPr>
                <w:rFonts w:eastAsia="Arial Narrow"/>
                <w:color w:val="auto"/>
                <w:lang w:val="x-none"/>
              </w:rPr>
              <w:t>The resources focus on helping</w:t>
            </w:r>
            <w:r w:rsidRPr="009B2CA8">
              <w:rPr>
                <w:rFonts w:eastAsia="Arial Narrow"/>
                <w:color w:val="auto"/>
                <w:lang w:val="en-US"/>
              </w:rPr>
              <w:t xml:space="preserve"> </w:t>
            </w:r>
            <w:r w:rsidRPr="009B2CA8">
              <w:rPr>
                <w:rFonts w:eastAsia="Arial Narrow"/>
                <w:color w:val="auto"/>
                <w:lang w:val="x-none"/>
              </w:rPr>
              <w:t>consumers to:</w:t>
            </w:r>
          </w:p>
          <w:p w14:paraId="3AB80879" w14:textId="222CD7F4" w:rsidR="00855506" w:rsidRPr="00AC10F4" w:rsidRDefault="00855506" w:rsidP="00AE4742">
            <w:pPr>
              <w:spacing w:after="0"/>
              <w:ind w:left="203" w:hanging="203"/>
              <w:jc w:val="left"/>
              <w:textAlignment w:val="baseline"/>
              <w:rPr>
                <w:rFonts w:eastAsia="Arial Narrow"/>
                <w:color w:val="auto"/>
              </w:rPr>
            </w:pPr>
            <w:r w:rsidRPr="009B2CA8">
              <w:rPr>
                <w:rFonts w:eastAsia="Arial Narrow"/>
                <w:color w:val="auto"/>
                <w:lang w:val="x-none"/>
              </w:rPr>
              <w:t>• Set up a good relationship</w:t>
            </w:r>
            <w:r w:rsidRPr="009B2CA8">
              <w:rPr>
                <w:rFonts w:eastAsia="Arial Narrow"/>
                <w:color w:val="auto"/>
                <w:lang w:val="en-US"/>
              </w:rPr>
              <w:t xml:space="preserve"> </w:t>
            </w:r>
            <w:r w:rsidRPr="009B2CA8">
              <w:rPr>
                <w:rFonts w:eastAsia="Arial Narrow"/>
                <w:color w:val="auto"/>
                <w:lang w:val="x-none"/>
              </w:rPr>
              <w:t>with their support worker</w:t>
            </w:r>
            <w:r w:rsidR="00AC1CDA">
              <w:rPr>
                <w:rFonts w:eastAsia="Arial Narrow"/>
                <w:color w:val="auto"/>
              </w:rPr>
              <w:t>.</w:t>
            </w:r>
          </w:p>
          <w:p w14:paraId="4129D4D0" w14:textId="251CDF77" w:rsidR="00855506" w:rsidRPr="00AC10F4" w:rsidRDefault="00855506" w:rsidP="00AE4742">
            <w:pPr>
              <w:spacing w:after="0"/>
              <w:ind w:left="203" w:hanging="203"/>
              <w:jc w:val="left"/>
              <w:textAlignment w:val="baseline"/>
              <w:rPr>
                <w:rFonts w:eastAsia="Arial Narrow"/>
                <w:color w:val="auto"/>
              </w:rPr>
            </w:pPr>
            <w:r w:rsidRPr="009B2CA8">
              <w:rPr>
                <w:rFonts w:eastAsia="Arial Narrow"/>
                <w:color w:val="auto"/>
                <w:lang w:val="x-none"/>
              </w:rPr>
              <w:t>• Manage their personal space</w:t>
            </w:r>
            <w:r w:rsidR="00AC1CDA">
              <w:rPr>
                <w:rFonts w:eastAsia="Arial Narrow"/>
                <w:color w:val="auto"/>
              </w:rPr>
              <w:t>.</w:t>
            </w:r>
          </w:p>
          <w:p w14:paraId="50D89053" w14:textId="57055690" w:rsidR="00855506" w:rsidRPr="00AC10F4" w:rsidRDefault="00855506" w:rsidP="00AE4742">
            <w:pPr>
              <w:spacing w:after="0"/>
              <w:ind w:left="203" w:hanging="203"/>
              <w:jc w:val="left"/>
              <w:textAlignment w:val="baseline"/>
              <w:rPr>
                <w:rFonts w:eastAsia="Arial Narrow"/>
                <w:color w:val="auto"/>
              </w:rPr>
            </w:pPr>
            <w:r w:rsidRPr="009B2CA8">
              <w:rPr>
                <w:rFonts w:eastAsia="Arial Narrow"/>
                <w:color w:val="auto"/>
                <w:lang w:val="x-none"/>
              </w:rPr>
              <w:t>• Manage situations and</w:t>
            </w:r>
            <w:r w:rsidRPr="009B2CA8">
              <w:rPr>
                <w:rFonts w:eastAsia="Arial Narrow"/>
                <w:color w:val="auto"/>
                <w:lang w:val="en-US"/>
              </w:rPr>
              <w:t xml:space="preserve"> </w:t>
            </w:r>
            <w:r w:rsidRPr="009B2CA8">
              <w:rPr>
                <w:rFonts w:eastAsia="Arial Narrow"/>
                <w:color w:val="auto"/>
                <w:lang w:val="x-none"/>
              </w:rPr>
              <w:t>problems if they arise with</w:t>
            </w:r>
            <w:r w:rsidRPr="009B2CA8">
              <w:rPr>
                <w:rFonts w:eastAsia="Arial Narrow"/>
                <w:color w:val="auto"/>
                <w:lang w:val="en-US"/>
              </w:rPr>
              <w:t xml:space="preserve"> </w:t>
            </w:r>
            <w:r w:rsidRPr="009B2CA8">
              <w:rPr>
                <w:rFonts w:eastAsia="Arial Narrow"/>
                <w:color w:val="auto"/>
                <w:lang w:val="x-none"/>
              </w:rPr>
              <w:t>their support worker</w:t>
            </w:r>
            <w:r w:rsidR="00AC1CDA">
              <w:rPr>
                <w:rFonts w:eastAsia="Arial Narrow"/>
                <w:color w:val="auto"/>
              </w:rPr>
              <w:t>.</w:t>
            </w:r>
          </w:p>
        </w:tc>
      </w:tr>
      <w:tr w:rsidR="00855506" w:rsidRPr="009B2CA8" w14:paraId="20B6E958" w14:textId="77777777" w:rsidTr="00C37C2C">
        <w:trPr>
          <w:trHeight w:val="425"/>
        </w:trPr>
        <w:tc>
          <w:tcPr>
            <w:tcW w:w="3403" w:type="dxa"/>
            <w:tcBorders>
              <w:top w:val="single" w:sz="4" w:space="0" w:color="auto"/>
              <w:left w:val="single" w:sz="4" w:space="0" w:color="000000"/>
              <w:bottom w:val="single" w:sz="4" w:space="0" w:color="auto"/>
              <w:right w:val="single" w:sz="4" w:space="0" w:color="000000"/>
            </w:tcBorders>
          </w:tcPr>
          <w:p w14:paraId="7465A3D3" w14:textId="3B5B8D48" w:rsidR="00855506" w:rsidRPr="009B2CA8" w:rsidRDefault="00855506" w:rsidP="00FF0C55">
            <w:pPr>
              <w:spacing w:after="0"/>
              <w:jc w:val="left"/>
              <w:rPr>
                <w:color w:val="auto"/>
              </w:rPr>
            </w:pPr>
            <w:r w:rsidRPr="009B2CA8">
              <w:rPr>
                <w:color w:val="auto"/>
              </w:rPr>
              <w:t xml:space="preserve">Monitor complaint trends in relation to disability and collaborate with other agencies to protect and promote the rights of disability services consumers </w:t>
            </w:r>
            <w:r w:rsidRPr="009B2CA8">
              <w:rPr>
                <w:i/>
                <w:color w:val="auto"/>
              </w:rPr>
              <w:t>(which contributes to achievement of Strategic Objectives 3 and 4)</w:t>
            </w:r>
            <w:r w:rsidRPr="009B2CA8">
              <w:rPr>
                <w:color w:val="auto"/>
              </w:rPr>
              <w:t xml:space="preserve">. </w:t>
            </w:r>
          </w:p>
          <w:p w14:paraId="0462CAFA" w14:textId="6D04F3EE" w:rsidR="00FF0C55" w:rsidRPr="009B2CA8" w:rsidRDefault="00FF0C55" w:rsidP="00FF0C55">
            <w:pPr>
              <w:spacing w:after="0"/>
              <w:jc w:val="left"/>
              <w:rPr>
                <w:color w:val="auto"/>
              </w:rPr>
            </w:pPr>
          </w:p>
        </w:tc>
        <w:tc>
          <w:tcPr>
            <w:tcW w:w="3827" w:type="dxa"/>
            <w:tcBorders>
              <w:top w:val="single" w:sz="4" w:space="0" w:color="auto"/>
              <w:left w:val="single" w:sz="4" w:space="0" w:color="000000"/>
              <w:bottom w:val="single" w:sz="4" w:space="0" w:color="000000"/>
              <w:right w:val="single" w:sz="4" w:space="0" w:color="000000"/>
            </w:tcBorders>
          </w:tcPr>
          <w:p w14:paraId="38A58060" w14:textId="4A87BF8B" w:rsidR="004A177E" w:rsidRPr="009B2CA8" w:rsidRDefault="00855506" w:rsidP="004A177E">
            <w:pPr>
              <w:spacing w:after="0"/>
              <w:jc w:val="left"/>
              <w:rPr>
                <w:color w:val="auto"/>
                <w:szCs w:val="23"/>
              </w:rPr>
            </w:pPr>
            <w:r w:rsidRPr="009B2CA8">
              <w:rPr>
                <w:color w:val="auto"/>
                <w:szCs w:val="23"/>
              </w:rPr>
              <w:t xml:space="preserve">Develop a monitoring framework to measure the performance of the </w:t>
            </w:r>
            <w:r w:rsidR="00F24CFB" w:rsidRPr="009B2CA8">
              <w:rPr>
                <w:color w:val="auto"/>
                <w:szCs w:val="23"/>
              </w:rPr>
              <w:t xml:space="preserve">health and disability </w:t>
            </w:r>
            <w:r w:rsidRPr="009B2CA8">
              <w:rPr>
                <w:color w:val="auto"/>
                <w:szCs w:val="23"/>
              </w:rPr>
              <w:t xml:space="preserve">sector </w:t>
            </w:r>
            <w:r w:rsidR="00F24CFB" w:rsidRPr="009B2CA8">
              <w:rPr>
                <w:color w:val="auto"/>
                <w:szCs w:val="23"/>
              </w:rPr>
              <w:t xml:space="preserve">in </w:t>
            </w:r>
            <w:r w:rsidR="004A177E" w:rsidRPr="009B2CA8">
              <w:rPr>
                <w:color w:val="auto"/>
                <w:szCs w:val="23"/>
              </w:rPr>
              <w:t xml:space="preserve">relation to </w:t>
            </w:r>
            <w:r w:rsidR="00F24CFB" w:rsidRPr="009B2CA8">
              <w:rPr>
                <w:color w:val="auto"/>
                <w:szCs w:val="23"/>
              </w:rPr>
              <w:t xml:space="preserve">tāngata </w:t>
            </w:r>
            <w:proofErr w:type="spellStart"/>
            <w:r w:rsidR="00F24CFB" w:rsidRPr="009B2CA8">
              <w:rPr>
                <w:color w:val="auto"/>
                <w:szCs w:val="23"/>
              </w:rPr>
              <w:t>whaikaha</w:t>
            </w:r>
            <w:proofErr w:type="spellEnd"/>
            <w:r w:rsidRPr="009B2CA8">
              <w:rPr>
                <w:color w:val="auto"/>
                <w:szCs w:val="23"/>
              </w:rPr>
              <w:t>. Report on activity.</w:t>
            </w:r>
            <w:r w:rsidR="004A177E" w:rsidRPr="009B2CA8">
              <w:rPr>
                <w:color w:val="auto"/>
                <w:szCs w:val="23"/>
              </w:rPr>
              <w:t xml:space="preserve"> </w:t>
            </w:r>
          </w:p>
          <w:p w14:paraId="0008FA52" w14:textId="1DDE7ADE" w:rsidR="00855506" w:rsidRPr="009B2CA8" w:rsidRDefault="00855506" w:rsidP="00855506">
            <w:pPr>
              <w:spacing w:after="0"/>
              <w:jc w:val="left"/>
              <w:rPr>
                <w:color w:val="auto"/>
                <w:szCs w:val="23"/>
              </w:rPr>
            </w:pPr>
          </w:p>
          <w:p w14:paraId="5D119E21" w14:textId="5E9D0D8B" w:rsidR="00855506" w:rsidRPr="009B2CA8" w:rsidRDefault="00855506" w:rsidP="00855506">
            <w:pPr>
              <w:spacing w:after="0"/>
              <w:jc w:val="left"/>
              <w:rPr>
                <w:color w:val="auto"/>
              </w:rPr>
            </w:pPr>
            <w:r w:rsidRPr="009B2CA8">
              <w:rPr>
                <w:color w:val="auto"/>
              </w:rPr>
              <w:t>Maintain engagement with key sector stakeholders to share intelligence,</w:t>
            </w:r>
            <w:r w:rsidR="00F24CFB" w:rsidRPr="009B2CA8">
              <w:rPr>
                <w:color w:val="auto"/>
              </w:rPr>
              <w:t xml:space="preserve"> ensure timely action is taken in response to public safety concerns,</w:t>
            </w:r>
            <w:r w:rsidRPr="009B2CA8">
              <w:rPr>
                <w:color w:val="auto"/>
              </w:rPr>
              <w:t xml:space="preserve"> collaborate on areas of shared concern and promote </w:t>
            </w:r>
            <w:r w:rsidR="00F24CFB" w:rsidRPr="009B2CA8">
              <w:rPr>
                <w:color w:val="auto"/>
              </w:rPr>
              <w:t xml:space="preserve">the rights of tāngata </w:t>
            </w:r>
            <w:proofErr w:type="spellStart"/>
            <w:r w:rsidR="00F24CFB" w:rsidRPr="009B2CA8">
              <w:rPr>
                <w:color w:val="auto"/>
              </w:rPr>
              <w:t>whaikaha</w:t>
            </w:r>
            <w:proofErr w:type="spellEnd"/>
            <w:r w:rsidRPr="009B2CA8">
              <w:rPr>
                <w:color w:val="auto"/>
              </w:rPr>
              <w:t>. Report on number of engagements and who we are engaging with.</w:t>
            </w:r>
          </w:p>
        </w:tc>
        <w:tc>
          <w:tcPr>
            <w:tcW w:w="3827" w:type="dxa"/>
            <w:tcBorders>
              <w:top w:val="single" w:sz="4" w:space="0" w:color="auto"/>
              <w:left w:val="single" w:sz="4" w:space="0" w:color="000000"/>
              <w:bottom w:val="single" w:sz="4" w:space="0" w:color="000000"/>
              <w:right w:val="single" w:sz="4" w:space="0" w:color="000000"/>
            </w:tcBorders>
          </w:tcPr>
          <w:p w14:paraId="5612387B" w14:textId="77777777" w:rsidR="00855506" w:rsidRPr="009B2CA8" w:rsidRDefault="00855506" w:rsidP="00855506">
            <w:pPr>
              <w:spacing w:after="0"/>
              <w:jc w:val="left"/>
              <w:rPr>
                <w:color w:val="auto"/>
                <w:szCs w:val="23"/>
              </w:rPr>
            </w:pPr>
            <w:r w:rsidRPr="009B2CA8">
              <w:rPr>
                <w:color w:val="auto"/>
                <w:szCs w:val="23"/>
              </w:rPr>
              <w:t>Scope a monitoring framework to measure the performance of the sector against the Code of Rights. Report on activity.</w:t>
            </w:r>
          </w:p>
          <w:p w14:paraId="140D9DAE" w14:textId="50D30C21" w:rsidR="00855506" w:rsidRPr="009B2CA8" w:rsidRDefault="00855506" w:rsidP="00855506">
            <w:pPr>
              <w:spacing w:after="0"/>
              <w:jc w:val="left"/>
              <w:rPr>
                <w:color w:val="auto"/>
                <w:szCs w:val="23"/>
              </w:rPr>
            </w:pPr>
          </w:p>
          <w:p w14:paraId="4B851E2A" w14:textId="2F9D3505" w:rsidR="00290A98" w:rsidRPr="009B2CA8" w:rsidRDefault="00290A98" w:rsidP="00855506">
            <w:pPr>
              <w:spacing w:after="0"/>
              <w:jc w:val="left"/>
              <w:rPr>
                <w:color w:val="auto"/>
                <w:szCs w:val="23"/>
              </w:rPr>
            </w:pPr>
          </w:p>
          <w:p w14:paraId="3D07C66D" w14:textId="77777777" w:rsidR="00290A98" w:rsidRPr="009B2CA8" w:rsidRDefault="00290A98" w:rsidP="00855506">
            <w:pPr>
              <w:spacing w:after="0"/>
              <w:jc w:val="left"/>
              <w:rPr>
                <w:color w:val="auto"/>
                <w:szCs w:val="23"/>
              </w:rPr>
            </w:pPr>
          </w:p>
          <w:p w14:paraId="6966CB44" w14:textId="77777777" w:rsidR="00855506" w:rsidRPr="009B2CA8" w:rsidRDefault="00855506" w:rsidP="00855506">
            <w:pPr>
              <w:spacing w:after="0"/>
              <w:jc w:val="left"/>
              <w:rPr>
                <w:color w:val="auto"/>
              </w:rPr>
            </w:pPr>
            <w:r w:rsidRPr="009B2CA8">
              <w:rPr>
                <w:color w:val="auto"/>
              </w:rPr>
              <w:t>Maintain engagement with key sector stakeholders to share intelligence, collaborate on areas of shared concern and promote disabled people’s rights. Report on number of engagements and who we are engaging with.</w:t>
            </w:r>
          </w:p>
          <w:p w14:paraId="07EC3281" w14:textId="77777777" w:rsidR="00855506" w:rsidRPr="009B2CA8" w:rsidRDefault="00855506" w:rsidP="00855506">
            <w:pPr>
              <w:spacing w:after="0"/>
              <w:jc w:val="left"/>
              <w:rPr>
                <w:color w:val="auto"/>
                <w:szCs w:val="23"/>
              </w:rPr>
            </w:pPr>
          </w:p>
        </w:tc>
        <w:tc>
          <w:tcPr>
            <w:tcW w:w="3827" w:type="dxa"/>
            <w:tcBorders>
              <w:top w:val="single" w:sz="4" w:space="0" w:color="auto"/>
              <w:left w:val="single" w:sz="4" w:space="0" w:color="000000"/>
              <w:bottom w:val="single" w:sz="4" w:space="0" w:color="000000"/>
              <w:right w:val="single" w:sz="4" w:space="0" w:color="000000"/>
            </w:tcBorders>
          </w:tcPr>
          <w:p w14:paraId="2790CC3E" w14:textId="35C2B731" w:rsidR="00855506" w:rsidRPr="009B2CA8" w:rsidRDefault="00855506" w:rsidP="00855506">
            <w:pPr>
              <w:spacing w:after="0"/>
              <w:jc w:val="left"/>
              <w:rPr>
                <w:color w:val="auto"/>
                <w:szCs w:val="23"/>
              </w:rPr>
            </w:pPr>
            <w:r w:rsidRPr="009B2CA8">
              <w:rPr>
                <w:color w:val="auto"/>
                <w:szCs w:val="23"/>
              </w:rPr>
              <w:t>New measure</w:t>
            </w:r>
            <w:r w:rsidR="00AC1CDA">
              <w:rPr>
                <w:color w:val="auto"/>
                <w:szCs w:val="23"/>
              </w:rPr>
              <w:t>.</w:t>
            </w:r>
          </w:p>
          <w:p w14:paraId="78F82682" w14:textId="77777777" w:rsidR="00855506" w:rsidRPr="009B2CA8" w:rsidRDefault="00855506" w:rsidP="00855506">
            <w:pPr>
              <w:spacing w:after="0"/>
              <w:jc w:val="left"/>
              <w:rPr>
                <w:color w:val="auto"/>
                <w:szCs w:val="23"/>
              </w:rPr>
            </w:pPr>
          </w:p>
          <w:p w14:paraId="62EA4E13" w14:textId="77777777" w:rsidR="00855506" w:rsidRPr="009B2CA8" w:rsidRDefault="00855506" w:rsidP="00855506">
            <w:pPr>
              <w:spacing w:after="0"/>
              <w:jc w:val="left"/>
              <w:rPr>
                <w:color w:val="auto"/>
                <w:szCs w:val="23"/>
              </w:rPr>
            </w:pPr>
          </w:p>
          <w:p w14:paraId="51C20AB0" w14:textId="7AD09BAF" w:rsidR="00855506" w:rsidRPr="009B2CA8" w:rsidRDefault="00855506" w:rsidP="00855506">
            <w:pPr>
              <w:spacing w:after="0"/>
              <w:jc w:val="left"/>
              <w:rPr>
                <w:color w:val="auto"/>
                <w:szCs w:val="23"/>
              </w:rPr>
            </w:pPr>
          </w:p>
          <w:p w14:paraId="2FF18927" w14:textId="1942F081" w:rsidR="00290A98" w:rsidRPr="009B2CA8" w:rsidRDefault="00290A98" w:rsidP="00855506">
            <w:pPr>
              <w:spacing w:after="0"/>
              <w:jc w:val="left"/>
              <w:rPr>
                <w:color w:val="auto"/>
                <w:szCs w:val="23"/>
              </w:rPr>
            </w:pPr>
          </w:p>
          <w:p w14:paraId="38113F02" w14:textId="77777777" w:rsidR="00290A98" w:rsidRPr="009B2CA8" w:rsidRDefault="00290A98" w:rsidP="00855506">
            <w:pPr>
              <w:spacing w:after="0"/>
              <w:jc w:val="left"/>
              <w:rPr>
                <w:color w:val="auto"/>
                <w:szCs w:val="23"/>
              </w:rPr>
            </w:pPr>
          </w:p>
          <w:p w14:paraId="1C20EF56" w14:textId="77777777" w:rsidR="00855506" w:rsidRPr="009B2CA8" w:rsidRDefault="00855506" w:rsidP="00855506">
            <w:pPr>
              <w:spacing w:after="0"/>
              <w:jc w:val="left"/>
              <w:rPr>
                <w:color w:val="auto"/>
                <w:szCs w:val="23"/>
              </w:rPr>
            </w:pPr>
          </w:p>
          <w:p w14:paraId="0B5A4287" w14:textId="155BB6BB" w:rsidR="00855506" w:rsidRPr="009B2CA8" w:rsidRDefault="00855506" w:rsidP="00855506">
            <w:pPr>
              <w:spacing w:after="0"/>
              <w:jc w:val="left"/>
              <w:textAlignment w:val="baseline"/>
              <w:rPr>
                <w:rFonts w:eastAsia="Arial Narrow"/>
                <w:color w:val="auto"/>
                <w:lang w:val="mi-NZ"/>
              </w:rPr>
            </w:pPr>
            <w:r w:rsidRPr="009B2CA8">
              <w:rPr>
                <w:color w:val="auto"/>
                <w:szCs w:val="23"/>
              </w:rPr>
              <w:t>New measure</w:t>
            </w:r>
            <w:r w:rsidR="00AC1CDA">
              <w:rPr>
                <w:color w:val="auto"/>
                <w:szCs w:val="23"/>
              </w:rPr>
              <w:t>.</w:t>
            </w:r>
          </w:p>
        </w:tc>
      </w:tr>
    </w:tbl>
    <w:p w14:paraId="1BCECAA4" w14:textId="7C5428FE" w:rsidR="00C37C2C" w:rsidRPr="009B2CA8" w:rsidRDefault="00C37C2C" w:rsidP="006B3D7D">
      <w:pPr>
        <w:autoSpaceDE/>
        <w:autoSpaceDN/>
        <w:adjustRightInd/>
        <w:spacing w:after="200" w:line="276" w:lineRule="auto"/>
        <w:jc w:val="left"/>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3827"/>
        <w:gridCol w:w="3849"/>
        <w:gridCol w:w="3805"/>
      </w:tblGrid>
      <w:tr w:rsidR="006B3D7D" w:rsidRPr="009B2CA8" w14:paraId="6019B34E" w14:textId="77777777" w:rsidTr="006B3D7D">
        <w:trPr>
          <w:tblHeader/>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FBD4B4"/>
            <w:hideMark/>
          </w:tcPr>
          <w:p w14:paraId="759B4101" w14:textId="7E98CF34" w:rsidR="006B3D7D" w:rsidRPr="009B2CA8" w:rsidRDefault="006B3D7D" w:rsidP="006B3D7D">
            <w:pPr>
              <w:spacing w:after="0"/>
              <w:jc w:val="center"/>
              <w:rPr>
                <w:b/>
                <w:color w:val="auto"/>
              </w:rPr>
            </w:pPr>
            <w:r>
              <w:rPr>
                <w:b/>
                <w:color w:val="auto"/>
              </w:rPr>
              <w:lastRenderedPageBreak/>
              <w:t>Output 4.3</w:t>
            </w:r>
            <w:r w:rsidRPr="009B2CA8">
              <w:rPr>
                <w:b/>
                <w:color w:val="auto"/>
              </w:rPr>
              <w:t xml:space="preserve"> — </w:t>
            </w:r>
            <w:r w:rsidR="00E823D4">
              <w:rPr>
                <w:b/>
                <w:color w:val="auto"/>
              </w:rPr>
              <w:t>O</w:t>
            </w:r>
            <w:r w:rsidRPr="009B2CA8">
              <w:rPr>
                <w:b/>
                <w:color w:val="auto"/>
              </w:rPr>
              <w:t>lder people</w:t>
            </w:r>
          </w:p>
        </w:tc>
      </w:tr>
      <w:tr w:rsidR="006B3D7D" w:rsidRPr="009B2CA8" w14:paraId="64D72D36" w14:textId="77777777" w:rsidTr="006B3D7D">
        <w:trPr>
          <w:trHeight w:val="285"/>
          <w:tblHeader/>
        </w:trPr>
        <w:tc>
          <w:tcPr>
            <w:tcW w:w="3403" w:type="dxa"/>
            <w:vMerge w:val="restart"/>
            <w:tcBorders>
              <w:top w:val="single" w:sz="4" w:space="0" w:color="000000"/>
              <w:left w:val="single" w:sz="4" w:space="0" w:color="000000"/>
              <w:right w:val="single" w:sz="4" w:space="0" w:color="000000"/>
            </w:tcBorders>
            <w:shd w:val="clear" w:color="auto" w:fill="C6D9F1" w:themeFill="text2" w:themeFillTint="33"/>
            <w:vAlign w:val="center"/>
            <w:hideMark/>
          </w:tcPr>
          <w:p w14:paraId="55009F8F" w14:textId="77777777" w:rsidR="006B3D7D" w:rsidRPr="009B2CA8" w:rsidRDefault="006B3D7D" w:rsidP="006B3D7D">
            <w:pPr>
              <w:spacing w:after="0"/>
              <w:jc w:val="left"/>
              <w:rPr>
                <w:b/>
                <w:color w:val="auto"/>
              </w:rPr>
            </w:pPr>
          </w:p>
        </w:tc>
        <w:tc>
          <w:tcPr>
            <w:tcW w:w="11481"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3F62431" w14:textId="77777777" w:rsidR="006B3D7D" w:rsidRPr="009B2CA8" w:rsidRDefault="006B3D7D" w:rsidP="006B3D7D">
            <w:pPr>
              <w:spacing w:after="0"/>
              <w:jc w:val="center"/>
              <w:rPr>
                <w:b/>
                <w:color w:val="auto"/>
              </w:rPr>
            </w:pPr>
            <w:r w:rsidRPr="009B2CA8">
              <w:rPr>
                <w:b/>
                <w:color w:val="auto"/>
              </w:rPr>
              <w:t>Performance Measures</w:t>
            </w:r>
          </w:p>
        </w:tc>
      </w:tr>
      <w:tr w:rsidR="006B3D7D" w:rsidRPr="009B2CA8" w14:paraId="170AAA56" w14:textId="77777777" w:rsidTr="006B3D7D">
        <w:trPr>
          <w:trHeight w:val="285"/>
          <w:tblHeader/>
        </w:trPr>
        <w:tc>
          <w:tcPr>
            <w:tcW w:w="3403" w:type="dxa"/>
            <w:vMerge/>
            <w:tcBorders>
              <w:left w:val="single" w:sz="4" w:space="0" w:color="000000"/>
              <w:bottom w:val="single" w:sz="4" w:space="0" w:color="000000"/>
              <w:right w:val="single" w:sz="4" w:space="0" w:color="000000"/>
            </w:tcBorders>
            <w:shd w:val="clear" w:color="auto" w:fill="C6D9F1" w:themeFill="text2" w:themeFillTint="33"/>
            <w:vAlign w:val="center"/>
            <w:hideMark/>
          </w:tcPr>
          <w:p w14:paraId="2DEE6069" w14:textId="77777777" w:rsidR="006B3D7D" w:rsidRPr="009B2CA8" w:rsidRDefault="006B3D7D" w:rsidP="006B3D7D">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CF57649" w14:textId="77777777" w:rsidR="006B3D7D" w:rsidRPr="009B2CA8" w:rsidRDefault="006B3D7D" w:rsidP="006B3D7D">
            <w:pPr>
              <w:keepNext/>
              <w:keepLines/>
              <w:spacing w:after="0"/>
              <w:jc w:val="center"/>
              <w:rPr>
                <w:b/>
                <w:color w:val="auto"/>
              </w:rPr>
            </w:pPr>
            <w:r w:rsidRPr="009B2CA8">
              <w:rPr>
                <w:b/>
                <w:color w:val="auto"/>
              </w:rPr>
              <w:t xml:space="preserve">2023/24 SPE Target </w:t>
            </w:r>
          </w:p>
        </w:tc>
        <w:tc>
          <w:tcPr>
            <w:tcW w:w="38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FC795B3" w14:textId="77777777" w:rsidR="006B3D7D" w:rsidRPr="009B2CA8" w:rsidRDefault="006B3D7D" w:rsidP="006B3D7D">
            <w:pPr>
              <w:keepNext/>
              <w:keepLines/>
              <w:spacing w:after="0"/>
              <w:jc w:val="center"/>
              <w:rPr>
                <w:b/>
                <w:color w:val="auto"/>
              </w:rPr>
            </w:pPr>
            <w:r w:rsidRPr="009B2CA8">
              <w:rPr>
                <w:b/>
                <w:color w:val="auto"/>
              </w:rPr>
              <w:t>2022/23 SPE Target</w:t>
            </w:r>
          </w:p>
        </w:tc>
        <w:tc>
          <w:tcPr>
            <w:tcW w:w="38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6C6E34D" w14:textId="77777777" w:rsidR="006B3D7D" w:rsidRPr="009B2CA8" w:rsidRDefault="006B3D7D" w:rsidP="006B3D7D">
            <w:pPr>
              <w:keepNext/>
              <w:keepLines/>
              <w:spacing w:after="0"/>
              <w:jc w:val="center"/>
              <w:rPr>
                <w:b/>
                <w:color w:val="auto"/>
              </w:rPr>
            </w:pPr>
            <w:r w:rsidRPr="009B2CA8">
              <w:rPr>
                <w:b/>
                <w:color w:val="auto"/>
              </w:rPr>
              <w:t>2021/22 Actual</w:t>
            </w:r>
          </w:p>
        </w:tc>
      </w:tr>
      <w:tr w:rsidR="006B3D7D" w:rsidRPr="009B2CA8" w14:paraId="5796C777" w14:textId="77777777" w:rsidTr="006B3D7D">
        <w:trPr>
          <w:trHeight w:val="974"/>
        </w:trPr>
        <w:tc>
          <w:tcPr>
            <w:tcW w:w="3403" w:type="dxa"/>
            <w:tcBorders>
              <w:top w:val="single" w:sz="4" w:space="0" w:color="000000"/>
              <w:left w:val="single" w:sz="4" w:space="0" w:color="000000"/>
              <w:bottom w:val="single" w:sz="4" w:space="0" w:color="000000"/>
              <w:right w:val="single" w:sz="4" w:space="0" w:color="000000"/>
            </w:tcBorders>
          </w:tcPr>
          <w:p w14:paraId="0F3562E9" w14:textId="77777777" w:rsidR="006B3D7D" w:rsidRPr="009B2CA8" w:rsidRDefault="006B3D7D" w:rsidP="006B3D7D">
            <w:pPr>
              <w:spacing w:after="0"/>
              <w:jc w:val="left"/>
              <w:rPr>
                <w:color w:val="auto"/>
              </w:rPr>
            </w:pPr>
            <w:r w:rsidRPr="009B2CA8">
              <w:rPr>
                <w:color w:val="auto"/>
              </w:rPr>
              <w:t xml:space="preserve">Provide strategic oversight and leadership to drive quality of care improvements for older people </w:t>
            </w:r>
            <w:r w:rsidRPr="009B2CA8">
              <w:rPr>
                <w:i/>
                <w:color w:val="auto"/>
              </w:rPr>
              <w:t>(which contributes to achievement of Strategic Objective 4)</w:t>
            </w:r>
            <w:r w:rsidRPr="009B2CA8">
              <w:rPr>
                <w:color w:val="auto"/>
              </w:rPr>
              <w:t>.</w:t>
            </w:r>
          </w:p>
          <w:p w14:paraId="07E74E7A" w14:textId="77777777" w:rsidR="006B3D7D" w:rsidRPr="009B2CA8" w:rsidRDefault="006B3D7D" w:rsidP="005F2418">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tcPr>
          <w:p w14:paraId="4FBA52C5" w14:textId="77777777" w:rsidR="006B3D7D" w:rsidRPr="009B2CA8" w:rsidRDefault="006B3D7D" w:rsidP="006B3D7D">
            <w:pPr>
              <w:spacing w:after="0"/>
              <w:jc w:val="left"/>
              <w:rPr>
                <w:color w:val="auto"/>
                <w:szCs w:val="23"/>
              </w:rPr>
            </w:pPr>
            <w:r w:rsidRPr="009B2CA8">
              <w:rPr>
                <w:color w:val="auto"/>
                <w:szCs w:val="23"/>
              </w:rPr>
              <w:t>Develop effective relationships with stakeholders and monitor sector performance. Report on activity.</w:t>
            </w:r>
          </w:p>
          <w:p w14:paraId="3A062F1A" w14:textId="77777777" w:rsidR="006B3D7D" w:rsidRPr="009B2CA8" w:rsidRDefault="006B3D7D" w:rsidP="006B3D7D">
            <w:pPr>
              <w:spacing w:after="0"/>
              <w:jc w:val="left"/>
              <w:rPr>
                <w:color w:val="auto"/>
                <w:highlight w:val="yellow"/>
              </w:rPr>
            </w:pPr>
          </w:p>
        </w:tc>
        <w:tc>
          <w:tcPr>
            <w:tcW w:w="3849" w:type="dxa"/>
            <w:tcBorders>
              <w:top w:val="single" w:sz="4" w:space="0" w:color="000000"/>
              <w:left w:val="single" w:sz="4" w:space="0" w:color="000000"/>
              <w:bottom w:val="single" w:sz="4" w:space="0" w:color="000000"/>
              <w:right w:val="single" w:sz="4" w:space="0" w:color="000000"/>
            </w:tcBorders>
          </w:tcPr>
          <w:p w14:paraId="1A49C2A0" w14:textId="77777777" w:rsidR="006B3D7D" w:rsidRPr="009B2CA8" w:rsidRDefault="006B3D7D" w:rsidP="006B3D7D">
            <w:pPr>
              <w:spacing w:after="0"/>
              <w:jc w:val="left"/>
              <w:rPr>
                <w:color w:val="auto"/>
                <w:szCs w:val="23"/>
              </w:rPr>
            </w:pPr>
            <w:r w:rsidRPr="009B2CA8">
              <w:rPr>
                <w:color w:val="auto"/>
                <w:szCs w:val="23"/>
              </w:rPr>
              <w:t>Monitor and analyse issues and trends identified by HDC complaints and the Advocacy Service. Report on activity.</w:t>
            </w:r>
          </w:p>
          <w:p w14:paraId="1ABC4739" w14:textId="77777777" w:rsidR="006B3D7D" w:rsidRPr="009B2CA8" w:rsidRDefault="006B3D7D" w:rsidP="006B3D7D">
            <w:pPr>
              <w:spacing w:after="0"/>
              <w:jc w:val="left"/>
              <w:rPr>
                <w:color w:val="auto"/>
                <w:szCs w:val="23"/>
              </w:rPr>
            </w:pPr>
          </w:p>
          <w:p w14:paraId="44051A0B" w14:textId="77777777" w:rsidR="006B3D7D" w:rsidRPr="009B2CA8" w:rsidRDefault="006B3D7D" w:rsidP="006B3D7D">
            <w:pPr>
              <w:spacing w:after="0"/>
              <w:jc w:val="left"/>
              <w:rPr>
                <w:color w:val="auto"/>
                <w:szCs w:val="23"/>
              </w:rPr>
            </w:pPr>
            <w:r w:rsidRPr="009B2CA8">
              <w:rPr>
                <w:color w:val="auto"/>
                <w:szCs w:val="23"/>
              </w:rPr>
              <w:t>Develop effective relationships with key sector stakeholders and monitor sector performance information to keep informed about service issues and trends. Report on activity.</w:t>
            </w:r>
          </w:p>
          <w:p w14:paraId="12C4E4A7" w14:textId="77777777" w:rsidR="006B3D7D" w:rsidRPr="009B2CA8" w:rsidRDefault="006B3D7D" w:rsidP="006B3D7D">
            <w:pPr>
              <w:spacing w:after="0"/>
              <w:jc w:val="left"/>
              <w:rPr>
                <w:color w:val="auto"/>
                <w:szCs w:val="23"/>
              </w:rPr>
            </w:pPr>
          </w:p>
          <w:p w14:paraId="2684872D" w14:textId="77777777" w:rsidR="006B3D7D" w:rsidRPr="009B2CA8" w:rsidRDefault="006B3D7D" w:rsidP="006B3D7D">
            <w:pPr>
              <w:spacing w:after="0"/>
              <w:jc w:val="left"/>
              <w:rPr>
                <w:color w:val="auto"/>
              </w:rPr>
            </w:pPr>
            <w:r w:rsidRPr="009B2CA8">
              <w:rPr>
                <w:color w:val="auto"/>
                <w:szCs w:val="23"/>
              </w:rPr>
              <w:t>Provide briefings to the Minister as required. Report on activity.</w:t>
            </w:r>
          </w:p>
        </w:tc>
        <w:tc>
          <w:tcPr>
            <w:tcW w:w="3805" w:type="dxa"/>
            <w:tcBorders>
              <w:top w:val="single" w:sz="4" w:space="0" w:color="000000"/>
              <w:left w:val="single" w:sz="4" w:space="0" w:color="000000"/>
              <w:bottom w:val="single" w:sz="4" w:space="0" w:color="000000"/>
              <w:right w:val="single" w:sz="4" w:space="0" w:color="000000"/>
            </w:tcBorders>
          </w:tcPr>
          <w:p w14:paraId="45429F24" w14:textId="3CC91B6A" w:rsidR="006B3D7D" w:rsidRPr="009B2CA8" w:rsidRDefault="006B3D7D" w:rsidP="006B3D7D">
            <w:pPr>
              <w:spacing w:after="0"/>
              <w:jc w:val="left"/>
              <w:textAlignment w:val="baseline"/>
              <w:rPr>
                <w:rFonts w:eastAsia="Arial Narrow"/>
                <w:color w:val="auto"/>
              </w:rPr>
            </w:pPr>
            <w:r w:rsidRPr="009B2CA8">
              <w:rPr>
                <w:rFonts w:eastAsia="Arial Narrow"/>
                <w:color w:val="auto"/>
              </w:rPr>
              <w:t>N/A</w:t>
            </w:r>
            <w:r w:rsidR="00733254">
              <w:rPr>
                <w:rFonts w:eastAsia="Arial Narrow"/>
                <w:color w:val="auto"/>
              </w:rPr>
              <w:t xml:space="preserve"> </w:t>
            </w:r>
          </w:p>
          <w:p w14:paraId="27E00118" w14:textId="77777777" w:rsidR="006B3D7D" w:rsidRPr="009B2CA8" w:rsidRDefault="006B3D7D" w:rsidP="006B3D7D">
            <w:pPr>
              <w:spacing w:after="0"/>
              <w:jc w:val="left"/>
              <w:rPr>
                <w:color w:val="auto"/>
              </w:rPr>
            </w:pPr>
          </w:p>
        </w:tc>
      </w:tr>
      <w:tr w:rsidR="006B3D7D" w:rsidRPr="009B2CA8" w14:paraId="47A610DB" w14:textId="77777777" w:rsidTr="006B3D7D">
        <w:trPr>
          <w:trHeight w:val="974"/>
        </w:trPr>
        <w:tc>
          <w:tcPr>
            <w:tcW w:w="3403" w:type="dxa"/>
            <w:tcBorders>
              <w:top w:val="single" w:sz="4" w:space="0" w:color="000000"/>
              <w:left w:val="single" w:sz="4" w:space="0" w:color="000000"/>
              <w:bottom w:val="single" w:sz="4" w:space="0" w:color="000000"/>
              <w:right w:val="single" w:sz="4" w:space="0" w:color="000000"/>
            </w:tcBorders>
          </w:tcPr>
          <w:p w14:paraId="4E6F0096" w14:textId="77777777" w:rsidR="006B3D7D" w:rsidRPr="009B2CA8" w:rsidRDefault="006B3D7D" w:rsidP="006B3D7D">
            <w:pPr>
              <w:spacing w:after="0"/>
              <w:jc w:val="left"/>
              <w:rPr>
                <w:color w:val="auto"/>
              </w:rPr>
            </w:pPr>
            <w:r w:rsidRPr="009B2CA8">
              <w:rPr>
                <w:color w:val="auto"/>
              </w:rPr>
              <w:t xml:space="preserve">Monitor the performance of health and disability services for older people and identify emerging issues and priorities </w:t>
            </w:r>
            <w:r w:rsidRPr="009B2CA8">
              <w:rPr>
                <w:i/>
                <w:color w:val="auto"/>
              </w:rPr>
              <w:t>(which contributes to achievement of Strategic Objective 4).</w:t>
            </w:r>
          </w:p>
          <w:p w14:paraId="13766AF6" w14:textId="069BC92E" w:rsidR="006B3D7D" w:rsidRPr="009B2CA8" w:rsidRDefault="006B3D7D" w:rsidP="006B3D7D">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0F22B7F" w14:textId="739AEEE8" w:rsidR="006B3D7D" w:rsidRPr="009B2CA8" w:rsidRDefault="006B3D7D" w:rsidP="006B3D7D">
            <w:pPr>
              <w:spacing w:after="0"/>
              <w:jc w:val="left"/>
              <w:rPr>
                <w:color w:val="auto"/>
                <w:szCs w:val="23"/>
              </w:rPr>
            </w:pPr>
            <w:r w:rsidRPr="009B2CA8">
              <w:rPr>
                <w:color w:val="auto"/>
                <w:szCs w:val="23"/>
              </w:rPr>
              <w:t>Test and implement an approach to, and framework for, monitoring and reporting on the performance of the sector in relation to older people’s health and</w:t>
            </w:r>
            <w:r w:rsidR="00733254">
              <w:rPr>
                <w:color w:val="auto"/>
                <w:szCs w:val="23"/>
              </w:rPr>
              <w:t xml:space="preserve"> disability</w:t>
            </w:r>
            <w:r w:rsidRPr="009B2CA8">
              <w:rPr>
                <w:color w:val="auto"/>
                <w:szCs w:val="23"/>
              </w:rPr>
              <w:t xml:space="preserve"> services. Report on activity.</w:t>
            </w:r>
          </w:p>
          <w:p w14:paraId="257B6F98" w14:textId="77777777" w:rsidR="006B3D7D" w:rsidRPr="009B2CA8" w:rsidRDefault="006B3D7D" w:rsidP="006B3D7D">
            <w:pPr>
              <w:spacing w:after="0"/>
              <w:jc w:val="left"/>
              <w:rPr>
                <w:color w:val="auto"/>
                <w:szCs w:val="23"/>
              </w:rPr>
            </w:pPr>
          </w:p>
          <w:p w14:paraId="0B74E680" w14:textId="77777777" w:rsidR="006B3D7D" w:rsidRPr="009B2CA8" w:rsidRDefault="006B3D7D" w:rsidP="006B3D7D">
            <w:pPr>
              <w:spacing w:after="0"/>
              <w:jc w:val="left"/>
              <w:rPr>
                <w:color w:val="auto"/>
                <w:szCs w:val="23"/>
              </w:rPr>
            </w:pPr>
            <w:r w:rsidRPr="009B2CA8">
              <w:rPr>
                <w:color w:val="auto"/>
                <w:szCs w:val="23"/>
              </w:rPr>
              <w:t xml:space="preserve">Complete a monitoring report on the performance of </w:t>
            </w:r>
            <w:r w:rsidRPr="009B2CA8">
              <w:rPr>
                <w:color w:val="auto"/>
              </w:rPr>
              <w:t>health and disability services for older people</w:t>
            </w:r>
            <w:r w:rsidRPr="009B2CA8">
              <w:rPr>
                <w:color w:val="auto"/>
                <w:szCs w:val="23"/>
              </w:rPr>
              <w:t>, with a particular focus on equity.</w:t>
            </w:r>
          </w:p>
          <w:p w14:paraId="1EBB6C88" w14:textId="77777777" w:rsidR="006B3D7D" w:rsidRPr="009B2CA8" w:rsidRDefault="006B3D7D" w:rsidP="006B3D7D">
            <w:pPr>
              <w:spacing w:after="0"/>
              <w:jc w:val="left"/>
              <w:rPr>
                <w:color w:val="auto"/>
                <w:highlight w:val="yellow"/>
              </w:rPr>
            </w:pPr>
          </w:p>
        </w:tc>
        <w:tc>
          <w:tcPr>
            <w:tcW w:w="3849" w:type="dxa"/>
            <w:tcBorders>
              <w:top w:val="single" w:sz="4" w:space="0" w:color="000000"/>
              <w:left w:val="single" w:sz="4" w:space="0" w:color="000000"/>
              <w:bottom w:val="single" w:sz="4" w:space="0" w:color="000000"/>
              <w:right w:val="single" w:sz="4" w:space="0" w:color="000000"/>
            </w:tcBorders>
          </w:tcPr>
          <w:p w14:paraId="173F6172" w14:textId="14F8564F" w:rsidR="006B3D7D" w:rsidRPr="009B2CA8" w:rsidRDefault="006B3D7D" w:rsidP="006B3D7D">
            <w:pPr>
              <w:spacing w:after="0"/>
              <w:jc w:val="left"/>
              <w:rPr>
                <w:color w:val="auto"/>
                <w:szCs w:val="23"/>
              </w:rPr>
            </w:pPr>
            <w:r w:rsidRPr="009B2CA8">
              <w:rPr>
                <w:color w:val="auto"/>
                <w:szCs w:val="23"/>
              </w:rPr>
              <w:t xml:space="preserve">Develop an approach to, and framework for, monitoring and reporting on the performance of the sector in relation to older people’s health and </w:t>
            </w:r>
            <w:r w:rsidR="00733254">
              <w:rPr>
                <w:color w:val="auto"/>
                <w:szCs w:val="23"/>
              </w:rPr>
              <w:t>disability</w:t>
            </w:r>
            <w:r w:rsidRPr="009B2CA8">
              <w:rPr>
                <w:color w:val="auto"/>
                <w:szCs w:val="23"/>
              </w:rPr>
              <w:t xml:space="preserve"> services. Report on activity.</w:t>
            </w:r>
          </w:p>
          <w:p w14:paraId="758A0330" w14:textId="77777777" w:rsidR="006B3D7D" w:rsidRPr="009B2CA8" w:rsidRDefault="006B3D7D" w:rsidP="006B3D7D">
            <w:pPr>
              <w:spacing w:after="0"/>
              <w:rPr>
                <w:color w:val="auto"/>
                <w:szCs w:val="23"/>
              </w:rPr>
            </w:pPr>
          </w:p>
          <w:p w14:paraId="4AA95228" w14:textId="77777777" w:rsidR="006B3D7D" w:rsidRPr="009B2CA8" w:rsidRDefault="006B3D7D" w:rsidP="006B3D7D">
            <w:pPr>
              <w:spacing w:after="0"/>
              <w:jc w:val="left"/>
              <w:rPr>
                <w:color w:val="auto"/>
                <w:szCs w:val="23"/>
              </w:rPr>
            </w:pPr>
            <w:r w:rsidRPr="009B2CA8">
              <w:rPr>
                <w:color w:val="auto"/>
                <w:szCs w:val="23"/>
              </w:rPr>
              <w:t>Complete a baseline report on the performance of the aged care sector, with a particular focus on equity.</w:t>
            </w:r>
          </w:p>
          <w:p w14:paraId="5CC19CF9" w14:textId="77777777" w:rsidR="006B3D7D" w:rsidRPr="009B2CA8" w:rsidRDefault="006B3D7D" w:rsidP="006B3D7D">
            <w:pPr>
              <w:spacing w:after="0"/>
              <w:jc w:val="left"/>
              <w:rPr>
                <w:color w:val="auto"/>
              </w:rPr>
            </w:pPr>
          </w:p>
        </w:tc>
        <w:tc>
          <w:tcPr>
            <w:tcW w:w="3805" w:type="dxa"/>
            <w:tcBorders>
              <w:top w:val="single" w:sz="4" w:space="0" w:color="000000"/>
              <w:left w:val="single" w:sz="4" w:space="0" w:color="000000"/>
              <w:bottom w:val="single" w:sz="4" w:space="0" w:color="000000"/>
              <w:right w:val="single" w:sz="4" w:space="0" w:color="000000"/>
            </w:tcBorders>
          </w:tcPr>
          <w:p w14:paraId="0AAFF180" w14:textId="77777777" w:rsidR="006B3D7D" w:rsidRPr="009B2CA8" w:rsidRDefault="006B3D7D" w:rsidP="006B3D7D">
            <w:pPr>
              <w:spacing w:after="0"/>
              <w:jc w:val="left"/>
              <w:textAlignment w:val="baseline"/>
              <w:rPr>
                <w:rFonts w:eastAsia="Arial Narrow"/>
                <w:color w:val="auto"/>
              </w:rPr>
            </w:pPr>
            <w:r w:rsidRPr="009B2CA8">
              <w:rPr>
                <w:rFonts w:eastAsia="Arial Narrow"/>
                <w:color w:val="auto"/>
              </w:rPr>
              <w:t>N/A</w:t>
            </w:r>
          </w:p>
          <w:p w14:paraId="1AD06457" w14:textId="77777777" w:rsidR="006B3D7D" w:rsidRPr="009B2CA8" w:rsidRDefault="006B3D7D" w:rsidP="006B3D7D">
            <w:pPr>
              <w:spacing w:after="0"/>
              <w:jc w:val="left"/>
              <w:rPr>
                <w:color w:val="auto"/>
              </w:rPr>
            </w:pPr>
          </w:p>
        </w:tc>
      </w:tr>
      <w:tr w:rsidR="006B3D7D" w:rsidRPr="009B2CA8" w14:paraId="397B36E3" w14:textId="77777777" w:rsidTr="006B3D7D">
        <w:trPr>
          <w:trHeight w:val="974"/>
        </w:trPr>
        <w:tc>
          <w:tcPr>
            <w:tcW w:w="3403" w:type="dxa"/>
            <w:tcBorders>
              <w:top w:val="single" w:sz="4" w:space="0" w:color="000000"/>
              <w:left w:val="single" w:sz="4" w:space="0" w:color="000000"/>
              <w:bottom w:val="single" w:sz="4" w:space="0" w:color="000000"/>
              <w:right w:val="single" w:sz="4" w:space="0" w:color="000000"/>
            </w:tcBorders>
          </w:tcPr>
          <w:p w14:paraId="48E184B0" w14:textId="77777777" w:rsidR="006B3D7D" w:rsidRPr="009B2CA8" w:rsidRDefault="006B3D7D" w:rsidP="006B3D7D">
            <w:pPr>
              <w:spacing w:after="0"/>
              <w:jc w:val="left"/>
              <w:rPr>
                <w:color w:val="auto"/>
              </w:rPr>
            </w:pPr>
            <w:r w:rsidRPr="009B2CA8">
              <w:rPr>
                <w:color w:val="auto"/>
              </w:rPr>
              <w:t>Provide enhanced advocacy on behalf of older consumers and their whānau and support commitments to Te Tiriti o Waitangi.</w:t>
            </w:r>
          </w:p>
          <w:p w14:paraId="0EAC39B2" w14:textId="0E735840" w:rsidR="006B3D7D" w:rsidRPr="009B2CA8" w:rsidRDefault="006B3D7D" w:rsidP="006B3D7D">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tcPr>
          <w:p w14:paraId="002E0868" w14:textId="77777777" w:rsidR="006B3D7D" w:rsidRPr="009B2CA8" w:rsidRDefault="006B3D7D" w:rsidP="006B3D7D">
            <w:pPr>
              <w:spacing w:after="0"/>
              <w:jc w:val="left"/>
              <w:rPr>
                <w:color w:val="auto"/>
                <w:szCs w:val="23"/>
              </w:rPr>
            </w:pPr>
            <w:r w:rsidRPr="009B2CA8">
              <w:rPr>
                <w:color w:val="auto"/>
                <w:szCs w:val="23"/>
              </w:rPr>
              <w:lastRenderedPageBreak/>
              <w:t xml:space="preserve">Actively engage with older consumers and their whānau from all communities and reflect their perspectives in the Aged Care </w:t>
            </w:r>
            <w:r w:rsidRPr="009B2CA8">
              <w:rPr>
                <w:color w:val="auto"/>
                <w:szCs w:val="23"/>
              </w:rPr>
              <w:lastRenderedPageBreak/>
              <w:t xml:space="preserve">Commissioner’s work. Report on number of engagements. </w:t>
            </w:r>
          </w:p>
          <w:p w14:paraId="01052DBD" w14:textId="77777777" w:rsidR="006B3D7D" w:rsidRPr="009B2CA8" w:rsidRDefault="006B3D7D" w:rsidP="006B3D7D">
            <w:pPr>
              <w:spacing w:after="0"/>
              <w:jc w:val="left"/>
              <w:rPr>
                <w:color w:val="auto"/>
                <w:szCs w:val="23"/>
              </w:rPr>
            </w:pPr>
          </w:p>
          <w:p w14:paraId="3EB868BB" w14:textId="77777777" w:rsidR="006B3D7D" w:rsidRPr="009B2CA8" w:rsidRDefault="006B3D7D" w:rsidP="006B3D7D">
            <w:pPr>
              <w:spacing w:after="0"/>
              <w:jc w:val="left"/>
              <w:rPr>
                <w:color w:val="auto"/>
                <w:szCs w:val="23"/>
              </w:rPr>
            </w:pPr>
            <w:r w:rsidRPr="009B2CA8">
              <w:rPr>
                <w:color w:val="auto"/>
                <w:szCs w:val="23"/>
              </w:rPr>
              <w:t>Make submissions, recommendations, and public statements on issues of relevance to the Aged Care Commissioner’s role.  Report on total number.</w:t>
            </w:r>
          </w:p>
          <w:p w14:paraId="43969135" w14:textId="77777777" w:rsidR="006B3D7D" w:rsidRPr="009B2CA8" w:rsidRDefault="006B3D7D" w:rsidP="006B3D7D">
            <w:pPr>
              <w:spacing w:after="0"/>
              <w:jc w:val="left"/>
              <w:rPr>
                <w:color w:val="auto"/>
                <w:szCs w:val="23"/>
              </w:rPr>
            </w:pPr>
          </w:p>
          <w:p w14:paraId="024D710E" w14:textId="77777777" w:rsidR="006B3D7D" w:rsidRPr="009B2CA8" w:rsidRDefault="006B3D7D" w:rsidP="006B3D7D">
            <w:pPr>
              <w:spacing w:after="0"/>
              <w:jc w:val="left"/>
              <w:rPr>
                <w:color w:val="auto"/>
                <w:highlight w:val="yellow"/>
              </w:rPr>
            </w:pPr>
            <w:r w:rsidRPr="009B2CA8">
              <w:rPr>
                <w:color w:val="auto"/>
                <w:szCs w:val="23"/>
              </w:rPr>
              <w:t>Develop meaningful and authentic advocacy partnerships with kaumātua, whānau, hapū, and iwi. Report on activity.</w:t>
            </w:r>
          </w:p>
        </w:tc>
        <w:tc>
          <w:tcPr>
            <w:tcW w:w="3849" w:type="dxa"/>
            <w:tcBorders>
              <w:top w:val="single" w:sz="4" w:space="0" w:color="000000"/>
              <w:left w:val="single" w:sz="4" w:space="0" w:color="000000"/>
              <w:bottom w:val="single" w:sz="4" w:space="0" w:color="000000"/>
              <w:right w:val="single" w:sz="4" w:space="0" w:color="000000"/>
            </w:tcBorders>
          </w:tcPr>
          <w:p w14:paraId="6FF6CE8B" w14:textId="77777777" w:rsidR="006B3D7D" w:rsidRPr="009B2CA8" w:rsidRDefault="006B3D7D" w:rsidP="006B3D7D">
            <w:pPr>
              <w:spacing w:after="0"/>
              <w:jc w:val="left"/>
              <w:rPr>
                <w:color w:val="auto"/>
                <w:szCs w:val="23"/>
              </w:rPr>
            </w:pPr>
            <w:r w:rsidRPr="009B2CA8">
              <w:rPr>
                <w:color w:val="auto"/>
                <w:szCs w:val="23"/>
              </w:rPr>
              <w:lastRenderedPageBreak/>
              <w:t xml:space="preserve">Actively engage with older consumers and their whānau from all communities and reflect their perspectives in the Aged Care </w:t>
            </w:r>
            <w:r w:rsidRPr="009B2CA8">
              <w:rPr>
                <w:color w:val="auto"/>
                <w:szCs w:val="23"/>
              </w:rPr>
              <w:lastRenderedPageBreak/>
              <w:t xml:space="preserve">Commissioner’s work. Report on number of engagements. </w:t>
            </w:r>
          </w:p>
          <w:p w14:paraId="6A5EADFF" w14:textId="77777777" w:rsidR="006B3D7D" w:rsidRPr="009B2CA8" w:rsidRDefault="006B3D7D" w:rsidP="006B3D7D">
            <w:pPr>
              <w:spacing w:after="0"/>
              <w:jc w:val="left"/>
              <w:rPr>
                <w:color w:val="auto"/>
                <w:szCs w:val="23"/>
              </w:rPr>
            </w:pPr>
          </w:p>
          <w:p w14:paraId="4D45F803" w14:textId="77777777" w:rsidR="006B3D7D" w:rsidRPr="009B2CA8" w:rsidRDefault="006B3D7D" w:rsidP="006B3D7D">
            <w:pPr>
              <w:spacing w:after="0"/>
              <w:jc w:val="left"/>
              <w:rPr>
                <w:color w:val="auto"/>
                <w:szCs w:val="23"/>
              </w:rPr>
            </w:pPr>
            <w:r w:rsidRPr="009B2CA8">
              <w:rPr>
                <w:color w:val="auto"/>
                <w:szCs w:val="23"/>
              </w:rPr>
              <w:t>Make submissions, recommendations, and public statements on issues of relevance to the Aged Care Commissioner’s role.  Report on total number.</w:t>
            </w:r>
          </w:p>
          <w:p w14:paraId="104865E8" w14:textId="77777777" w:rsidR="006B3D7D" w:rsidRPr="009B2CA8" w:rsidRDefault="006B3D7D" w:rsidP="006B3D7D">
            <w:pPr>
              <w:spacing w:after="0"/>
              <w:jc w:val="left"/>
              <w:rPr>
                <w:color w:val="auto"/>
                <w:szCs w:val="23"/>
              </w:rPr>
            </w:pPr>
          </w:p>
          <w:p w14:paraId="447A2E74" w14:textId="77777777" w:rsidR="006B3D7D" w:rsidRPr="009B2CA8" w:rsidRDefault="006B3D7D" w:rsidP="006B3D7D">
            <w:pPr>
              <w:spacing w:after="0"/>
              <w:jc w:val="left"/>
              <w:rPr>
                <w:color w:val="auto"/>
              </w:rPr>
            </w:pPr>
            <w:r w:rsidRPr="009B2CA8">
              <w:rPr>
                <w:color w:val="auto"/>
                <w:szCs w:val="23"/>
              </w:rPr>
              <w:t>Develop meaningful and authentic advocacy partnerships with kaumātua, whānau, hapū, and iwi. Report on activity.</w:t>
            </w:r>
          </w:p>
        </w:tc>
        <w:tc>
          <w:tcPr>
            <w:tcW w:w="3805" w:type="dxa"/>
            <w:tcBorders>
              <w:top w:val="single" w:sz="4" w:space="0" w:color="000000"/>
              <w:left w:val="single" w:sz="4" w:space="0" w:color="000000"/>
              <w:bottom w:val="single" w:sz="4" w:space="0" w:color="000000"/>
              <w:right w:val="single" w:sz="4" w:space="0" w:color="000000"/>
            </w:tcBorders>
          </w:tcPr>
          <w:p w14:paraId="1E54E252" w14:textId="77777777" w:rsidR="006B3D7D" w:rsidRPr="009B2CA8" w:rsidRDefault="006B3D7D" w:rsidP="006B3D7D">
            <w:pPr>
              <w:spacing w:after="0"/>
              <w:jc w:val="left"/>
              <w:rPr>
                <w:color w:val="auto"/>
              </w:rPr>
            </w:pPr>
            <w:r w:rsidRPr="009B2CA8">
              <w:rPr>
                <w:rFonts w:eastAsia="Arial Narrow"/>
                <w:color w:val="auto"/>
              </w:rPr>
              <w:lastRenderedPageBreak/>
              <w:t>N/A</w:t>
            </w:r>
          </w:p>
        </w:tc>
      </w:tr>
      <w:bookmarkEnd w:id="3"/>
      <w:bookmarkEnd w:id="4"/>
      <w:bookmarkEnd w:id="5"/>
      <w:bookmarkEnd w:id="6"/>
      <w:bookmarkEnd w:id="7"/>
      <w:bookmarkEnd w:id="8"/>
      <w:bookmarkEnd w:id="9"/>
      <w:bookmarkEnd w:id="10"/>
      <w:bookmarkEnd w:id="11"/>
    </w:tbl>
    <w:p w14:paraId="3B21DE16" w14:textId="104313C4" w:rsidR="00E56CA4" w:rsidRPr="009B2CA8" w:rsidRDefault="00E56CA4" w:rsidP="003A457B">
      <w:pPr>
        <w:spacing w:after="0"/>
        <w:rPr>
          <w:color w:val="auto"/>
        </w:rPr>
      </w:pPr>
    </w:p>
    <w:p w14:paraId="0CC593C9" w14:textId="77777777" w:rsidR="009247DC" w:rsidRPr="009B2CA8" w:rsidRDefault="00E56CA4">
      <w:pPr>
        <w:autoSpaceDE/>
        <w:autoSpaceDN/>
        <w:adjustRightInd/>
        <w:spacing w:after="200" w:line="276" w:lineRule="auto"/>
        <w:jc w:val="left"/>
        <w:rPr>
          <w:color w:val="auto"/>
        </w:rPr>
        <w:sectPr w:rsidR="009247DC" w:rsidRPr="009B2CA8" w:rsidSect="00F56F85">
          <w:pgSz w:w="16838" w:h="11906" w:orient="landscape" w:code="9"/>
          <w:pgMar w:top="1276" w:right="1276" w:bottom="709" w:left="1276" w:header="720" w:footer="201" w:gutter="0"/>
          <w:cols w:space="720"/>
          <w:docGrid w:linePitch="326"/>
        </w:sectPr>
      </w:pPr>
      <w:r w:rsidRPr="009B2CA8">
        <w:rPr>
          <w:color w:val="auto"/>
        </w:rPr>
        <w:br w:type="page"/>
      </w:r>
    </w:p>
    <w:p w14:paraId="0A3F9638" w14:textId="77777777" w:rsidR="009247DC" w:rsidRPr="009B2CA8" w:rsidRDefault="009247DC" w:rsidP="00942238">
      <w:pPr>
        <w:pStyle w:val="Heading2"/>
      </w:pPr>
      <w:bookmarkStart w:id="46" w:name="_Toc170703457"/>
      <w:bookmarkStart w:id="47" w:name="_Toc194296743"/>
      <w:bookmarkStart w:id="48" w:name="_Toc231360967"/>
      <w:bookmarkStart w:id="49" w:name="_Toc262460026"/>
      <w:bookmarkStart w:id="50" w:name="_Toc410312208"/>
      <w:bookmarkStart w:id="51" w:name="_Toc138852566"/>
      <w:bookmarkStart w:id="52" w:name="_Toc103763153"/>
      <w:bookmarkStart w:id="53" w:name="_Toc131410619"/>
      <w:bookmarkStart w:id="54" w:name="_Toc135460873"/>
      <w:bookmarkStart w:id="55" w:name="_Toc135461748"/>
      <w:r w:rsidRPr="009B2CA8">
        <w:lastRenderedPageBreak/>
        <w:t xml:space="preserve">3.2 </w:t>
      </w:r>
      <w:r w:rsidRPr="009B2CA8">
        <w:tab/>
        <w:t>Reporting</w:t>
      </w:r>
      <w:bookmarkEnd w:id="46"/>
      <w:bookmarkEnd w:id="47"/>
      <w:bookmarkEnd w:id="48"/>
      <w:bookmarkEnd w:id="49"/>
      <w:bookmarkEnd w:id="50"/>
      <w:bookmarkEnd w:id="51"/>
      <w:r w:rsidRPr="009B2CA8">
        <w:t xml:space="preserve"> </w:t>
      </w:r>
    </w:p>
    <w:p w14:paraId="44728B42" w14:textId="77777777" w:rsidR="009247DC" w:rsidRPr="009B2CA8" w:rsidRDefault="009247DC" w:rsidP="0088604E">
      <w:pPr>
        <w:jc w:val="left"/>
        <w:rPr>
          <w:color w:val="auto"/>
        </w:rPr>
      </w:pPr>
      <w:bookmarkStart w:id="56" w:name="_10.0_Financial_Performance"/>
      <w:bookmarkStart w:id="57" w:name="_Toc262460027"/>
      <w:bookmarkEnd w:id="52"/>
      <w:bookmarkEnd w:id="53"/>
      <w:bookmarkEnd w:id="54"/>
      <w:bookmarkEnd w:id="55"/>
      <w:bookmarkEnd w:id="56"/>
      <w:r w:rsidRPr="009B2CA8">
        <w:rPr>
          <w:color w:val="auto"/>
        </w:rPr>
        <w:t>HDC will provide quarterly reports to the Minister of Health that cover:</w:t>
      </w:r>
    </w:p>
    <w:p w14:paraId="79553430" w14:textId="77777777" w:rsidR="009247DC" w:rsidRPr="009B2CA8" w:rsidRDefault="009247DC" w:rsidP="008E478B">
      <w:pPr>
        <w:pStyle w:val="Bullets"/>
        <w:ind w:left="425" w:hanging="425"/>
        <w:jc w:val="both"/>
        <w:rPr>
          <w:color w:val="auto"/>
        </w:rPr>
      </w:pPr>
      <w:r w:rsidRPr="009B2CA8">
        <w:rPr>
          <w:color w:val="auto"/>
        </w:rPr>
        <w:t>Progress on our operations, including commentary on any significant variations from objectives and measures in our Statement of Performance Expectations relevant to the quarter.</w:t>
      </w:r>
    </w:p>
    <w:p w14:paraId="54C00275" w14:textId="77777777" w:rsidR="009247DC" w:rsidRPr="009B2CA8" w:rsidRDefault="009247DC" w:rsidP="009247DC">
      <w:pPr>
        <w:pStyle w:val="Bullets"/>
        <w:ind w:left="426" w:hanging="426"/>
        <w:jc w:val="both"/>
        <w:rPr>
          <w:color w:val="auto"/>
        </w:rPr>
      </w:pPr>
      <w:r w:rsidRPr="009B2CA8">
        <w:rPr>
          <w:color w:val="auto"/>
        </w:rPr>
        <w:t>An update on key operations, identifying any emerging risks and how these are being managed, and providing a commentary on any significant variation from the objectives and measures in the Commissioner’s Statement of Performance Expectations.</w:t>
      </w:r>
    </w:p>
    <w:p w14:paraId="652B276E" w14:textId="77777777" w:rsidR="009247DC" w:rsidRPr="009B2CA8" w:rsidRDefault="009247DC" w:rsidP="009247DC">
      <w:pPr>
        <w:pStyle w:val="Bullets"/>
        <w:spacing w:after="240"/>
        <w:ind w:left="426" w:hanging="426"/>
        <w:jc w:val="both"/>
        <w:rPr>
          <w:color w:val="auto"/>
        </w:rPr>
      </w:pPr>
      <w:r w:rsidRPr="009B2CA8">
        <w:rPr>
          <w:color w:val="auto"/>
        </w:rPr>
        <w:t>Current financial reports in the same format as the agreed Forecast Financial Statements, prepared to align with generally accepted accounting practices.</w:t>
      </w:r>
    </w:p>
    <w:p w14:paraId="43949A80" w14:textId="77777777" w:rsidR="009247DC" w:rsidRPr="009B2CA8" w:rsidRDefault="009247DC" w:rsidP="009247DC">
      <w:pPr>
        <w:jc w:val="left"/>
        <w:rPr>
          <w:color w:val="auto"/>
        </w:rPr>
      </w:pPr>
      <w:r w:rsidRPr="009B2CA8">
        <w:rPr>
          <w:color w:val="auto"/>
        </w:rPr>
        <w:t>Reports will be provided to the Minister by the following dates unless otherwise agreed: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551"/>
      </w:tblGrid>
      <w:tr w:rsidR="009247DC" w:rsidRPr="009B2CA8" w14:paraId="260480A1" w14:textId="77777777" w:rsidTr="00025898">
        <w:tc>
          <w:tcPr>
            <w:tcW w:w="2127" w:type="dxa"/>
            <w:shd w:val="clear" w:color="auto" w:fill="FBD4B4"/>
          </w:tcPr>
          <w:p w14:paraId="36F7FDC9" w14:textId="77777777" w:rsidR="009247DC" w:rsidRPr="009B2CA8" w:rsidRDefault="009247DC" w:rsidP="00025898">
            <w:pPr>
              <w:spacing w:before="120"/>
              <w:jc w:val="left"/>
              <w:rPr>
                <w:b/>
                <w:color w:val="auto"/>
              </w:rPr>
            </w:pPr>
            <w:bookmarkStart w:id="58" w:name="_Toc161649461"/>
            <w:r w:rsidRPr="009B2CA8">
              <w:rPr>
                <w:b/>
                <w:color w:val="auto"/>
              </w:rPr>
              <w:t>Report</w:t>
            </w:r>
            <w:bookmarkEnd w:id="58"/>
          </w:p>
        </w:tc>
        <w:tc>
          <w:tcPr>
            <w:tcW w:w="4536" w:type="dxa"/>
            <w:shd w:val="clear" w:color="auto" w:fill="FBD4B4"/>
          </w:tcPr>
          <w:p w14:paraId="62CFE754" w14:textId="77777777" w:rsidR="009247DC" w:rsidRPr="009B2CA8" w:rsidRDefault="009247DC" w:rsidP="00025898">
            <w:pPr>
              <w:spacing w:before="120"/>
              <w:jc w:val="left"/>
              <w:rPr>
                <w:b/>
                <w:color w:val="auto"/>
              </w:rPr>
            </w:pPr>
            <w:bookmarkStart w:id="59" w:name="_Toc161649462"/>
            <w:r w:rsidRPr="009B2CA8">
              <w:rPr>
                <w:b/>
                <w:color w:val="auto"/>
              </w:rPr>
              <w:t>Period covering</w:t>
            </w:r>
            <w:bookmarkEnd w:id="59"/>
          </w:p>
        </w:tc>
        <w:tc>
          <w:tcPr>
            <w:tcW w:w="2551" w:type="dxa"/>
            <w:shd w:val="clear" w:color="auto" w:fill="FBD4B4"/>
          </w:tcPr>
          <w:p w14:paraId="5CEA5D27" w14:textId="77777777" w:rsidR="009247DC" w:rsidRPr="009B2CA8" w:rsidRDefault="009247DC" w:rsidP="00025898">
            <w:pPr>
              <w:spacing w:before="120"/>
              <w:jc w:val="left"/>
              <w:rPr>
                <w:b/>
                <w:color w:val="auto"/>
              </w:rPr>
            </w:pPr>
            <w:bookmarkStart w:id="60" w:name="_Toc161649463"/>
            <w:r w:rsidRPr="009B2CA8">
              <w:rPr>
                <w:b/>
                <w:color w:val="auto"/>
              </w:rPr>
              <w:t>Due Date</w:t>
            </w:r>
            <w:bookmarkEnd w:id="60"/>
          </w:p>
        </w:tc>
      </w:tr>
      <w:tr w:rsidR="009247DC" w:rsidRPr="009B2CA8" w14:paraId="79D9A201" w14:textId="77777777" w:rsidTr="00025898">
        <w:tc>
          <w:tcPr>
            <w:tcW w:w="2127" w:type="dxa"/>
          </w:tcPr>
          <w:p w14:paraId="15C763B4" w14:textId="77777777" w:rsidR="009247DC" w:rsidRPr="009B2CA8" w:rsidRDefault="009247DC" w:rsidP="00025898">
            <w:pPr>
              <w:jc w:val="left"/>
              <w:rPr>
                <w:b/>
                <w:color w:val="auto"/>
              </w:rPr>
            </w:pPr>
            <w:bookmarkStart w:id="61" w:name="_Toc161649464"/>
            <w:r w:rsidRPr="009B2CA8">
              <w:rPr>
                <w:b/>
                <w:color w:val="auto"/>
              </w:rPr>
              <w:t>Quarter 1</w:t>
            </w:r>
            <w:bookmarkEnd w:id="61"/>
          </w:p>
        </w:tc>
        <w:tc>
          <w:tcPr>
            <w:tcW w:w="4536" w:type="dxa"/>
          </w:tcPr>
          <w:p w14:paraId="1D48A13F" w14:textId="6A0330F6" w:rsidR="009247DC" w:rsidRPr="009B2CA8" w:rsidRDefault="009247DC" w:rsidP="009247DC">
            <w:pPr>
              <w:jc w:val="left"/>
              <w:rPr>
                <w:color w:val="auto"/>
              </w:rPr>
            </w:pPr>
            <w:bookmarkStart w:id="62" w:name="_Toc161649465"/>
            <w:r w:rsidRPr="009B2CA8">
              <w:rPr>
                <w:color w:val="auto"/>
              </w:rPr>
              <w:t>1 July 2023–30 September 20</w:t>
            </w:r>
            <w:bookmarkEnd w:id="62"/>
            <w:r w:rsidRPr="009B2CA8">
              <w:rPr>
                <w:color w:val="auto"/>
              </w:rPr>
              <w:t>23</w:t>
            </w:r>
          </w:p>
        </w:tc>
        <w:tc>
          <w:tcPr>
            <w:tcW w:w="2551" w:type="dxa"/>
          </w:tcPr>
          <w:p w14:paraId="065EB1DA" w14:textId="13EE080E" w:rsidR="009247DC" w:rsidRPr="009B2CA8" w:rsidRDefault="009247DC" w:rsidP="00025898">
            <w:pPr>
              <w:jc w:val="left"/>
              <w:rPr>
                <w:color w:val="auto"/>
              </w:rPr>
            </w:pPr>
            <w:bookmarkStart w:id="63" w:name="_Toc161649466"/>
            <w:r w:rsidRPr="009B2CA8">
              <w:rPr>
                <w:color w:val="auto"/>
              </w:rPr>
              <w:t>31 October 20</w:t>
            </w:r>
            <w:bookmarkEnd w:id="63"/>
            <w:r w:rsidRPr="009B2CA8">
              <w:rPr>
                <w:color w:val="auto"/>
              </w:rPr>
              <w:t>23</w:t>
            </w:r>
          </w:p>
        </w:tc>
      </w:tr>
      <w:tr w:rsidR="009247DC" w:rsidRPr="009B2CA8" w14:paraId="31D58D69" w14:textId="77777777" w:rsidTr="00025898">
        <w:tc>
          <w:tcPr>
            <w:tcW w:w="2127" w:type="dxa"/>
          </w:tcPr>
          <w:p w14:paraId="2D28E7D7" w14:textId="77777777" w:rsidR="009247DC" w:rsidRPr="009B2CA8" w:rsidRDefault="009247DC" w:rsidP="00025898">
            <w:pPr>
              <w:jc w:val="left"/>
              <w:rPr>
                <w:b/>
                <w:color w:val="auto"/>
              </w:rPr>
            </w:pPr>
            <w:bookmarkStart w:id="64" w:name="_Toc161649467"/>
            <w:r w:rsidRPr="009B2CA8">
              <w:rPr>
                <w:b/>
                <w:color w:val="auto"/>
              </w:rPr>
              <w:t>Quarter 2</w:t>
            </w:r>
            <w:bookmarkEnd w:id="64"/>
          </w:p>
        </w:tc>
        <w:tc>
          <w:tcPr>
            <w:tcW w:w="4536" w:type="dxa"/>
          </w:tcPr>
          <w:p w14:paraId="1552F71A" w14:textId="4DD8967C" w:rsidR="009247DC" w:rsidRPr="009B2CA8" w:rsidRDefault="009247DC" w:rsidP="009247DC">
            <w:pPr>
              <w:jc w:val="left"/>
              <w:rPr>
                <w:color w:val="auto"/>
              </w:rPr>
            </w:pPr>
            <w:bookmarkStart w:id="65" w:name="_Toc161649468"/>
            <w:r w:rsidRPr="009B2CA8">
              <w:rPr>
                <w:color w:val="auto"/>
              </w:rPr>
              <w:t>1 October 2023–31 December 20</w:t>
            </w:r>
            <w:bookmarkEnd w:id="65"/>
            <w:r w:rsidRPr="009B2CA8">
              <w:rPr>
                <w:color w:val="auto"/>
              </w:rPr>
              <w:t>23</w:t>
            </w:r>
          </w:p>
        </w:tc>
        <w:tc>
          <w:tcPr>
            <w:tcW w:w="2551" w:type="dxa"/>
          </w:tcPr>
          <w:p w14:paraId="2ADE6BAD" w14:textId="646F4A45" w:rsidR="009247DC" w:rsidRPr="009B2CA8" w:rsidRDefault="009247DC" w:rsidP="009247DC">
            <w:pPr>
              <w:jc w:val="left"/>
              <w:rPr>
                <w:color w:val="auto"/>
              </w:rPr>
            </w:pPr>
            <w:bookmarkStart w:id="66" w:name="_Toc161649469"/>
            <w:r w:rsidRPr="009B2CA8">
              <w:rPr>
                <w:color w:val="auto"/>
              </w:rPr>
              <w:t>31 January 20</w:t>
            </w:r>
            <w:bookmarkEnd w:id="66"/>
            <w:r w:rsidRPr="009B2CA8">
              <w:rPr>
                <w:color w:val="auto"/>
              </w:rPr>
              <w:t>24</w:t>
            </w:r>
          </w:p>
        </w:tc>
      </w:tr>
      <w:tr w:rsidR="009247DC" w:rsidRPr="009B2CA8" w14:paraId="6FD9CFD4" w14:textId="77777777" w:rsidTr="00025898">
        <w:tc>
          <w:tcPr>
            <w:tcW w:w="2127" w:type="dxa"/>
          </w:tcPr>
          <w:p w14:paraId="689ECC82" w14:textId="77777777" w:rsidR="009247DC" w:rsidRPr="009B2CA8" w:rsidRDefault="009247DC" w:rsidP="00025898">
            <w:pPr>
              <w:jc w:val="left"/>
              <w:rPr>
                <w:b/>
                <w:color w:val="auto"/>
              </w:rPr>
            </w:pPr>
            <w:bookmarkStart w:id="67" w:name="_Toc161649470"/>
            <w:r w:rsidRPr="009B2CA8">
              <w:rPr>
                <w:b/>
                <w:color w:val="auto"/>
              </w:rPr>
              <w:t>Quarter 3</w:t>
            </w:r>
            <w:bookmarkEnd w:id="67"/>
          </w:p>
        </w:tc>
        <w:tc>
          <w:tcPr>
            <w:tcW w:w="4536" w:type="dxa"/>
          </w:tcPr>
          <w:p w14:paraId="2F188F7D" w14:textId="3EE4445B" w:rsidR="009247DC" w:rsidRPr="009B2CA8" w:rsidRDefault="009247DC" w:rsidP="009247DC">
            <w:pPr>
              <w:jc w:val="left"/>
              <w:rPr>
                <w:color w:val="auto"/>
              </w:rPr>
            </w:pPr>
            <w:bookmarkStart w:id="68" w:name="_Toc161649471"/>
            <w:r w:rsidRPr="009B2CA8">
              <w:rPr>
                <w:color w:val="auto"/>
              </w:rPr>
              <w:t>1 January 2024–31 March 20</w:t>
            </w:r>
            <w:bookmarkEnd w:id="68"/>
            <w:r w:rsidRPr="009B2CA8">
              <w:rPr>
                <w:color w:val="auto"/>
              </w:rPr>
              <w:t>24</w:t>
            </w:r>
          </w:p>
        </w:tc>
        <w:tc>
          <w:tcPr>
            <w:tcW w:w="2551" w:type="dxa"/>
          </w:tcPr>
          <w:p w14:paraId="5C457657" w14:textId="13719F99" w:rsidR="009247DC" w:rsidRPr="009B2CA8" w:rsidRDefault="009247DC" w:rsidP="00025898">
            <w:pPr>
              <w:jc w:val="left"/>
              <w:rPr>
                <w:color w:val="auto"/>
              </w:rPr>
            </w:pPr>
            <w:bookmarkStart w:id="69" w:name="_Toc161649472"/>
            <w:r w:rsidRPr="009B2CA8">
              <w:rPr>
                <w:color w:val="auto"/>
              </w:rPr>
              <w:t>30 April 20</w:t>
            </w:r>
            <w:bookmarkEnd w:id="69"/>
            <w:r w:rsidRPr="009B2CA8">
              <w:rPr>
                <w:color w:val="auto"/>
              </w:rPr>
              <w:t>24</w:t>
            </w:r>
          </w:p>
        </w:tc>
      </w:tr>
      <w:tr w:rsidR="009247DC" w:rsidRPr="009B2CA8" w14:paraId="7A5E7565" w14:textId="77777777" w:rsidTr="00025898">
        <w:tc>
          <w:tcPr>
            <w:tcW w:w="2127" w:type="dxa"/>
          </w:tcPr>
          <w:p w14:paraId="1206EB42" w14:textId="77777777" w:rsidR="009247DC" w:rsidRPr="009B2CA8" w:rsidRDefault="009247DC" w:rsidP="00025898">
            <w:pPr>
              <w:jc w:val="left"/>
              <w:rPr>
                <w:b/>
                <w:color w:val="auto"/>
              </w:rPr>
            </w:pPr>
            <w:bookmarkStart w:id="70" w:name="_Toc161649473"/>
            <w:r w:rsidRPr="009B2CA8">
              <w:rPr>
                <w:b/>
                <w:color w:val="auto"/>
              </w:rPr>
              <w:t>Quarter 4</w:t>
            </w:r>
            <w:bookmarkEnd w:id="70"/>
          </w:p>
        </w:tc>
        <w:tc>
          <w:tcPr>
            <w:tcW w:w="4536" w:type="dxa"/>
          </w:tcPr>
          <w:p w14:paraId="2E7C048A" w14:textId="117CD97D" w:rsidR="009247DC" w:rsidRPr="009B2CA8" w:rsidRDefault="009247DC" w:rsidP="009247DC">
            <w:pPr>
              <w:jc w:val="left"/>
              <w:rPr>
                <w:color w:val="auto"/>
              </w:rPr>
            </w:pPr>
            <w:bookmarkStart w:id="71" w:name="_Toc161649474"/>
            <w:r w:rsidRPr="009B2CA8">
              <w:rPr>
                <w:color w:val="auto"/>
              </w:rPr>
              <w:t>1 April 2024–30 June 20</w:t>
            </w:r>
            <w:bookmarkEnd w:id="71"/>
            <w:r w:rsidRPr="009B2CA8">
              <w:rPr>
                <w:color w:val="auto"/>
              </w:rPr>
              <w:t>24</w:t>
            </w:r>
          </w:p>
        </w:tc>
        <w:tc>
          <w:tcPr>
            <w:tcW w:w="2551" w:type="dxa"/>
          </w:tcPr>
          <w:p w14:paraId="66C6F97F" w14:textId="3AEFCCA6" w:rsidR="009247DC" w:rsidRPr="009B2CA8" w:rsidRDefault="009247DC" w:rsidP="00025898">
            <w:pPr>
              <w:jc w:val="left"/>
              <w:rPr>
                <w:color w:val="auto"/>
              </w:rPr>
            </w:pPr>
            <w:bookmarkStart w:id="72" w:name="_Toc161649475"/>
            <w:r w:rsidRPr="009B2CA8">
              <w:rPr>
                <w:color w:val="auto"/>
              </w:rPr>
              <w:t>31 July 20</w:t>
            </w:r>
            <w:bookmarkEnd w:id="72"/>
            <w:r w:rsidRPr="009B2CA8">
              <w:rPr>
                <w:color w:val="auto"/>
              </w:rPr>
              <w:t>24</w:t>
            </w:r>
          </w:p>
        </w:tc>
      </w:tr>
      <w:tr w:rsidR="009247DC" w:rsidRPr="009B2CA8" w14:paraId="4BAD769C" w14:textId="77777777" w:rsidTr="00025898">
        <w:tc>
          <w:tcPr>
            <w:tcW w:w="2127" w:type="dxa"/>
          </w:tcPr>
          <w:p w14:paraId="14CA91FD" w14:textId="1D2D5AD9" w:rsidR="009247DC" w:rsidRPr="009B2CA8" w:rsidRDefault="009247DC" w:rsidP="00025898">
            <w:pPr>
              <w:jc w:val="left"/>
              <w:rPr>
                <w:b/>
                <w:color w:val="auto"/>
              </w:rPr>
            </w:pPr>
            <w:bookmarkStart w:id="73" w:name="_Toc161649476"/>
            <w:r w:rsidRPr="009B2CA8">
              <w:rPr>
                <w:b/>
                <w:color w:val="auto"/>
              </w:rPr>
              <w:t>Annual</w:t>
            </w:r>
            <w:bookmarkEnd w:id="73"/>
            <w:r w:rsidR="0048464B" w:rsidRPr="009B2CA8">
              <w:rPr>
                <w:b/>
                <w:color w:val="auto"/>
              </w:rPr>
              <w:t xml:space="preserve"> Report</w:t>
            </w:r>
          </w:p>
        </w:tc>
        <w:tc>
          <w:tcPr>
            <w:tcW w:w="4536" w:type="dxa"/>
          </w:tcPr>
          <w:p w14:paraId="3A4F58C6" w14:textId="03A699BB" w:rsidR="009247DC" w:rsidRPr="009B2CA8" w:rsidRDefault="009247DC" w:rsidP="009247DC">
            <w:pPr>
              <w:jc w:val="left"/>
              <w:rPr>
                <w:color w:val="auto"/>
              </w:rPr>
            </w:pPr>
            <w:bookmarkStart w:id="74" w:name="_Toc161649477"/>
            <w:r w:rsidRPr="009B2CA8">
              <w:rPr>
                <w:color w:val="auto"/>
              </w:rPr>
              <w:t>1 July 2023–30 June 20</w:t>
            </w:r>
            <w:bookmarkEnd w:id="74"/>
            <w:r w:rsidRPr="009B2CA8">
              <w:rPr>
                <w:color w:val="auto"/>
              </w:rPr>
              <w:t>24</w:t>
            </w:r>
          </w:p>
        </w:tc>
        <w:tc>
          <w:tcPr>
            <w:tcW w:w="2551" w:type="dxa"/>
          </w:tcPr>
          <w:p w14:paraId="110D70CF" w14:textId="4503AE1B" w:rsidR="009247DC" w:rsidRPr="009B2CA8" w:rsidRDefault="009247DC" w:rsidP="009247DC">
            <w:pPr>
              <w:rPr>
                <w:color w:val="auto"/>
              </w:rPr>
            </w:pPr>
            <w:bookmarkStart w:id="75" w:name="_Toc161649478"/>
            <w:r w:rsidRPr="009B2CA8">
              <w:rPr>
                <w:color w:val="auto"/>
              </w:rPr>
              <w:t xml:space="preserve">31 October </w:t>
            </w:r>
            <w:bookmarkEnd w:id="75"/>
            <w:r w:rsidRPr="009B2CA8">
              <w:rPr>
                <w:color w:val="auto"/>
              </w:rPr>
              <w:t>2024</w:t>
            </w:r>
          </w:p>
        </w:tc>
      </w:tr>
    </w:tbl>
    <w:p w14:paraId="58AC2E77" w14:textId="77777777" w:rsidR="009247DC" w:rsidRPr="009B2CA8" w:rsidRDefault="009247DC" w:rsidP="009247DC">
      <w:pPr>
        <w:rPr>
          <w:color w:val="auto"/>
          <w:sz w:val="32"/>
          <w:szCs w:val="32"/>
        </w:rPr>
      </w:pPr>
      <w:r w:rsidRPr="009B2CA8">
        <w:rPr>
          <w:color w:val="auto"/>
        </w:rPr>
        <w:br w:type="page"/>
      </w:r>
    </w:p>
    <w:p w14:paraId="1CAE7EC5" w14:textId="77777777" w:rsidR="009247DC" w:rsidRPr="009B2CA8" w:rsidRDefault="009247DC" w:rsidP="00942238">
      <w:pPr>
        <w:pStyle w:val="Heading2"/>
        <w:rPr>
          <w:color w:val="auto"/>
        </w:rPr>
      </w:pPr>
      <w:bookmarkStart w:id="76" w:name="_10.1_Key_Assumptions"/>
      <w:bookmarkStart w:id="77" w:name="_10.2_Prospective_Statement"/>
      <w:bookmarkStart w:id="78" w:name="_Toc49355603"/>
      <w:bookmarkStart w:id="79" w:name="_Toc138852567"/>
      <w:bookmarkStart w:id="80" w:name="_Toc410308183"/>
      <w:bookmarkEnd w:id="57"/>
      <w:bookmarkEnd w:id="76"/>
      <w:bookmarkEnd w:id="77"/>
      <w:r w:rsidRPr="009B2CA8">
        <w:lastRenderedPageBreak/>
        <w:t>3.3</w:t>
      </w:r>
      <w:r w:rsidRPr="009B2CA8">
        <w:tab/>
        <w:t xml:space="preserve">Prospective Financial Statements </w:t>
      </w:r>
      <w:bookmarkEnd w:id="78"/>
      <w:r w:rsidRPr="009B2CA8">
        <w:t>2023/24</w:t>
      </w:r>
      <w:bookmarkEnd w:id="79"/>
    </w:p>
    <w:p w14:paraId="6D420ED9" w14:textId="77777777" w:rsidR="009247DC" w:rsidRPr="009B2CA8" w:rsidRDefault="009247DC" w:rsidP="00AC10F4">
      <w:pPr>
        <w:pStyle w:val="Heading3"/>
      </w:pPr>
      <w:r w:rsidRPr="009B2CA8">
        <w:t>3.3.1</w:t>
      </w:r>
      <w:r w:rsidRPr="009B2CA8">
        <w:tab/>
        <w:t>Key assumptions for Proposed Budget 2023/24</w:t>
      </w:r>
    </w:p>
    <w:p w14:paraId="3C2F3284" w14:textId="54C234DE" w:rsidR="009247DC" w:rsidRPr="009B2CA8" w:rsidRDefault="009247DC" w:rsidP="008E478B">
      <w:r w:rsidRPr="009B2CA8">
        <w:t>The proposed 2023/24 budget reflects the following key assumptions</w:t>
      </w:r>
      <w:r w:rsidR="002E0925">
        <w:t>:</w:t>
      </w:r>
    </w:p>
    <w:p w14:paraId="79B1C977" w14:textId="29EB9219" w:rsidR="009247DC" w:rsidRPr="00582AA9" w:rsidRDefault="00582AA9" w:rsidP="002722A4">
      <w:pPr>
        <w:pStyle w:val="ListParagraph"/>
        <w:numPr>
          <w:ilvl w:val="0"/>
          <w:numId w:val="10"/>
        </w:numPr>
        <w:spacing w:after="200" w:line="276" w:lineRule="auto"/>
        <w:ind w:left="284" w:hanging="284"/>
        <w:rPr>
          <w:color w:val="auto"/>
        </w:rPr>
      </w:pPr>
      <w:r w:rsidRPr="00582AA9">
        <w:rPr>
          <w:color w:val="auto"/>
        </w:rPr>
        <w:t>The receipt of a</w:t>
      </w:r>
      <w:r w:rsidR="009247DC" w:rsidRPr="00582AA9">
        <w:rPr>
          <w:color w:val="auto"/>
        </w:rPr>
        <w:t>n anticipated extra $7</w:t>
      </w:r>
      <w:r w:rsidR="00A97968">
        <w:rPr>
          <w:color w:val="auto"/>
        </w:rPr>
        <w:t>58</w:t>
      </w:r>
      <w:r w:rsidR="009247DC" w:rsidRPr="00582AA9">
        <w:rPr>
          <w:color w:val="auto"/>
        </w:rPr>
        <w:t xml:space="preserve">,000 cost pressure funding </w:t>
      </w:r>
    </w:p>
    <w:p w14:paraId="348AE06E" w14:textId="1C5856DD" w:rsidR="009247DC" w:rsidRPr="00582AA9" w:rsidRDefault="009247DC" w:rsidP="002722A4">
      <w:pPr>
        <w:pStyle w:val="ListParagraph"/>
        <w:numPr>
          <w:ilvl w:val="0"/>
          <w:numId w:val="10"/>
        </w:numPr>
        <w:spacing w:after="200" w:line="276" w:lineRule="auto"/>
        <w:ind w:left="284" w:hanging="284"/>
        <w:rPr>
          <w:color w:val="auto"/>
        </w:rPr>
      </w:pPr>
      <w:r w:rsidRPr="00582AA9">
        <w:rPr>
          <w:color w:val="auto"/>
        </w:rPr>
        <w:t xml:space="preserve">HDC’s resource level at resolving approximately </w:t>
      </w:r>
      <w:r w:rsidRPr="00602374">
        <w:rPr>
          <w:color w:val="auto"/>
        </w:rPr>
        <w:t>2,700–</w:t>
      </w:r>
      <w:r w:rsidR="00582AA9" w:rsidRPr="00602374">
        <w:rPr>
          <w:color w:val="auto"/>
        </w:rPr>
        <w:t>3</w:t>
      </w:r>
      <w:r w:rsidRPr="00602374">
        <w:rPr>
          <w:color w:val="auto"/>
        </w:rPr>
        <w:t>,</w:t>
      </w:r>
      <w:r w:rsidR="00582AA9" w:rsidRPr="00602374">
        <w:rPr>
          <w:color w:val="auto"/>
        </w:rPr>
        <w:t>0</w:t>
      </w:r>
      <w:r w:rsidRPr="00602374">
        <w:rPr>
          <w:color w:val="auto"/>
        </w:rPr>
        <w:t>00</w:t>
      </w:r>
      <w:r w:rsidRPr="00582AA9">
        <w:rPr>
          <w:color w:val="auto"/>
        </w:rPr>
        <w:t xml:space="preserve"> complaints annually</w:t>
      </w:r>
    </w:p>
    <w:p w14:paraId="4ED09BB9" w14:textId="1F673943" w:rsidR="009247DC" w:rsidRPr="00582AA9" w:rsidRDefault="00582AA9" w:rsidP="002722A4">
      <w:pPr>
        <w:pStyle w:val="ListParagraph"/>
        <w:numPr>
          <w:ilvl w:val="0"/>
          <w:numId w:val="10"/>
        </w:numPr>
        <w:spacing w:after="200" w:line="276" w:lineRule="auto"/>
        <w:ind w:left="284" w:hanging="284"/>
        <w:rPr>
          <w:color w:val="auto"/>
        </w:rPr>
      </w:pPr>
      <w:r w:rsidRPr="00582AA9">
        <w:rPr>
          <w:color w:val="auto"/>
        </w:rPr>
        <w:t>T</w:t>
      </w:r>
      <w:r w:rsidR="009247DC" w:rsidRPr="00582AA9">
        <w:rPr>
          <w:color w:val="auto"/>
        </w:rPr>
        <w:t>he</w:t>
      </w:r>
      <w:r w:rsidR="00B3445B">
        <w:rPr>
          <w:color w:val="auto"/>
        </w:rPr>
        <w:t xml:space="preserve"> </w:t>
      </w:r>
      <w:r w:rsidRPr="00582AA9">
        <w:rPr>
          <w:color w:val="auto"/>
        </w:rPr>
        <w:t>HDC</w:t>
      </w:r>
      <w:r w:rsidR="009247DC" w:rsidRPr="00582AA9">
        <w:rPr>
          <w:color w:val="auto"/>
        </w:rPr>
        <w:t xml:space="preserve"> Act and Code review</w:t>
      </w:r>
    </w:p>
    <w:p w14:paraId="0B26B1E2" w14:textId="77777777" w:rsidR="009247DC" w:rsidRPr="00582AA9" w:rsidRDefault="009247DC" w:rsidP="002722A4">
      <w:pPr>
        <w:pStyle w:val="ListParagraph"/>
        <w:numPr>
          <w:ilvl w:val="0"/>
          <w:numId w:val="10"/>
        </w:numPr>
        <w:spacing w:after="200" w:line="276" w:lineRule="auto"/>
        <w:ind w:left="284" w:hanging="284"/>
        <w:rPr>
          <w:color w:val="auto"/>
          <w:lang w:val="mi-NZ"/>
        </w:rPr>
      </w:pPr>
      <w:r w:rsidRPr="00582AA9">
        <w:rPr>
          <w:color w:val="auto"/>
          <w:lang w:val="mi-NZ"/>
        </w:rPr>
        <w:t>Market wage inflation and the HDC’s Pay Gaps Action Plan (Kia Toipoto)</w:t>
      </w:r>
    </w:p>
    <w:p w14:paraId="6682EA0A" w14:textId="7E3604C3" w:rsidR="009247DC" w:rsidRPr="009B2CA8" w:rsidRDefault="009247DC" w:rsidP="002722A4">
      <w:pPr>
        <w:pStyle w:val="ListParagraph"/>
        <w:numPr>
          <w:ilvl w:val="0"/>
          <w:numId w:val="10"/>
        </w:numPr>
        <w:spacing w:after="200" w:line="276" w:lineRule="auto"/>
        <w:ind w:left="284" w:hanging="284"/>
        <w:rPr>
          <w:lang w:val="mi-NZ"/>
        </w:rPr>
      </w:pPr>
      <w:r w:rsidRPr="00582AA9">
        <w:rPr>
          <w:color w:val="auto"/>
          <w:lang w:val="mi-NZ"/>
        </w:rPr>
        <w:t xml:space="preserve">An ability to </w:t>
      </w:r>
      <w:r w:rsidR="00A86419" w:rsidRPr="00582AA9">
        <w:rPr>
          <w:color w:val="auto"/>
          <w:lang w:val="mi-NZ"/>
        </w:rPr>
        <w:t xml:space="preserve">continue to </w:t>
      </w:r>
      <w:r w:rsidRPr="00582AA9">
        <w:rPr>
          <w:color w:val="auto"/>
          <w:lang w:val="mi-NZ"/>
        </w:rPr>
        <w:t xml:space="preserve">progress our commitment under </w:t>
      </w:r>
      <w:r w:rsidRPr="009B2CA8">
        <w:rPr>
          <w:lang w:val="mi-NZ"/>
        </w:rPr>
        <w:t>Te Tiriti o Waitangi</w:t>
      </w:r>
    </w:p>
    <w:p w14:paraId="2E9A56FE" w14:textId="0E67D79C" w:rsidR="00887506" w:rsidRDefault="009247DC" w:rsidP="008E478B">
      <w:r w:rsidRPr="009B2CA8">
        <w:t>The proposed budget reflects a deficit of $</w:t>
      </w:r>
      <w:r w:rsidR="00C131B8" w:rsidRPr="001B30D3">
        <w:t>9</w:t>
      </w:r>
      <w:r w:rsidR="00C642C7">
        <w:t>86</w:t>
      </w:r>
      <w:r w:rsidRPr="001B30D3">
        <w:t>,000 for 2023/24.  The deficit will reduce the HDC’s equity to $</w:t>
      </w:r>
      <w:r w:rsidR="00C131B8" w:rsidRPr="001B30D3">
        <w:t>1,6</w:t>
      </w:r>
      <w:r w:rsidR="00C642C7">
        <w:t>15</w:t>
      </w:r>
      <w:r w:rsidRPr="001B30D3">
        <w:t>,000</w:t>
      </w:r>
      <w:r w:rsidR="00887506" w:rsidRPr="001B30D3">
        <w:t xml:space="preserve"> as</w:t>
      </w:r>
      <w:r w:rsidR="00887506" w:rsidRPr="009B2CA8">
        <w:t xml:space="preserve"> </w:t>
      </w:r>
      <w:r w:rsidR="00CB742E">
        <w:t xml:space="preserve">at </w:t>
      </w:r>
      <w:r w:rsidR="00887506" w:rsidRPr="009B2CA8">
        <w:t>30 June 2024</w:t>
      </w:r>
      <w:r w:rsidRPr="009B2CA8">
        <w:t>.</w:t>
      </w:r>
      <w:r w:rsidR="00DE2569">
        <w:t xml:space="preserve"> This deficit represents the extent to which HDC considers it financially prudent to use existing accumulated surpluses to cover the costs of unfunded resources.</w:t>
      </w:r>
    </w:p>
    <w:p w14:paraId="77E593CE" w14:textId="1613D66A" w:rsidR="003600F3" w:rsidRPr="009B2CA8" w:rsidRDefault="003600F3" w:rsidP="008E478B">
      <w:r w:rsidRPr="00750128">
        <w:t>Despite HDC continu</w:t>
      </w:r>
      <w:r w:rsidR="002722A4" w:rsidRPr="00750128">
        <w:t>ing</w:t>
      </w:r>
      <w:r w:rsidRPr="00750128">
        <w:t xml:space="preserve"> to </w:t>
      </w:r>
      <w:r w:rsidR="00F85EBA" w:rsidRPr="00750128">
        <w:t>streamline</w:t>
      </w:r>
      <w:r w:rsidR="00F85EBA">
        <w:t xml:space="preserve"> its process</w:t>
      </w:r>
      <w:r w:rsidR="001761A4">
        <w:t>es</w:t>
      </w:r>
      <w:r w:rsidR="00F85EBA">
        <w:t xml:space="preserve"> to </w:t>
      </w:r>
      <w:r>
        <w:t>operate as efficiently as possible with</w:t>
      </w:r>
      <w:r w:rsidR="001761A4">
        <w:t>in</w:t>
      </w:r>
      <w:r>
        <w:t xml:space="preserve"> the resources available, </w:t>
      </w:r>
      <w:r w:rsidR="001761A4">
        <w:t xml:space="preserve">since the COVID-19 pandemic </w:t>
      </w:r>
      <w:r w:rsidR="00A86419">
        <w:t>the open complaint</w:t>
      </w:r>
      <w:r w:rsidR="000B4FCD">
        <w:t>s</w:t>
      </w:r>
      <w:r w:rsidR="00A86419">
        <w:t xml:space="preserve"> pool has continued to grow</w:t>
      </w:r>
      <w:r>
        <w:t>.</w:t>
      </w:r>
      <w:r w:rsidR="00F85EBA">
        <w:t xml:space="preserve"> </w:t>
      </w:r>
      <w:r w:rsidR="00A86419">
        <w:t xml:space="preserve">HDC has prioritised its resources to manage the complaints with high risk to the </w:t>
      </w:r>
      <w:r w:rsidR="00602374">
        <w:t>public</w:t>
      </w:r>
      <w:r w:rsidR="00750128">
        <w:t>,</w:t>
      </w:r>
      <w:r w:rsidR="00A86419">
        <w:t xml:space="preserve"> and </w:t>
      </w:r>
      <w:r w:rsidR="0088604E">
        <w:t xml:space="preserve">to </w:t>
      </w:r>
      <w:r w:rsidR="00A86419">
        <w:t xml:space="preserve">start its journey for </w:t>
      </w:r>
      <w:r w:rsidR="00A86419" w:rsidRPr="00A86419">
        <w:t>Te Tiriti o Waitangi</w:t>
      </w:r>
      <w:r w:rsidR="00A86419">
        <w:t xml:space="preserve">. </w:t>
      </w:r>
      <w:r w:rsidR="00F85EBA">
        <w:t>Th</w:t>
      </w:r>
      <w:r w:rsidR="00750128">
        <w:t xml:space="preserve">is </w:t>
      </w:r>
      <w:r w:rsidR="00F85EBA">
        <w:t>ha</w:t>
      </w:r>
      <w:r w:rsidR="00750128">
        <w:t>s</w:t>
      </w:r>
      <w:r w:rsidR="00A86419">
        <w:t xml:space="preserve"> resulted </w:t>
      </w:r>
      <w:r w:rsidR="00750128">
        <w:t xml:space="preserve">in </w:t>
      </w:r>
      <w:r w:rsidR="00A86419">
        <w:t>an</w:t>
      </w:r>
      <w:r w:rsidR="00F85EBA">
        <w:t xml:space="preserve"> aging </w:t>
      </w:r>
      <w:r w:rsidR="00A86419">
        <w:t>complaints profile.</w:t>
      </w:r>
      <w:r w:rsidR="00F85EBA">
        <w:t xml:space="preserve"> </w:t>
      </w:r>
    </w:p>
    <w:p w14:paraId="2E14FB5F" w14:textId="263BAE6D" w:rsidR="00887506" w:rsidRPr="009B2CA8" w:rsidRDefault="00887506" w:rsidP="008E478B">
      <w:r w:rsidRPr="009B2CA8">
        <w:t xml:space="preserve">HDC will continue to work with Manatū Hauora </w:t>
      </w:r>
      <w:r w:rsidR="000B3A28" w:rsidRPr="009B2CA8">
        <w:t xml:space="preserve">to resolve HDC’s </w:t>
      </w:r>
      <w:r w:rsidRPr="009B2CA8">
        <w:t>funding</w:t>
      </w:r>
      <w:r w:rsidR="000B3A28" w:rsidRPr="009B2CA8">
        <w:t xml:space="preserve"> </w:t>
      </w:r>
      <w:r w:rsidR="00DE2569">
        <w:t>requirement</w:t>
      </w:r>
      <w:r w:rsidR="000B3A28" w:rsidRPr="009B2CA8">
        <w:t xml:space="preserve"> via the Budget 24 process. This is critical for</w:t>
      </w:r>
      <w:r w:rsidRPr="009B2CA8">
        <w:t xml:space="preserve"> </w:t>
      </w:r>
      <w:r w:rsidR="009A65A6" w:rsidRPr="009B2CA8">
        <w:t xml:space="preserve">HDC </w:t>
      </w:r>
      <w:r w:rsidR="000B3A28" w:rsidRPr="009B2CA8">
        <w:t xml:space="preserve">to </w:t>
      </w:r>
      <w:r w:rsidR="009A65A6" w:rsidRPr="009B2CA8">
        <w:t>respond sustainably to the growing demand and complexity</w:t>
      </w:r>
      <w:r w:rsidR="00453196">
        <w:t xml:space="preserve"> of complaints</w:t>
      </w:r>
      <w:r w:rsidR="009A65A6" w:rsidRPr="009B2CA8">
        <w:t>.</w:t>
      </w:r>
    </w:p>
    <w:p w14:paraId="6B5A48FB" w14:textId="77777777" w:rsidR="009247DC" w:rsidRPr="009B2CA8" w:rsidRDefault="009247DC" w:rsidP="00AC10F4">
      <w:pPr>
        <w:pStyle w:val="Heading4"/>
      </w:pPr>
      <w:r w:rsidRPr="009B2CA8">
        <w:t>Capital Expenditure Intentions</w:t>
      </w:r>
    </w:p>
    <w:p w14:paraId="01AEB0B6" w14:textId="2D450A36" w:rsidR="009247DC" w:rsidRPr="009B2CA8" w:rsidRDefault="009247DC" w:rsidP="000B4FCD">
      <w:r w:rsidRPr="009B2CA8">
        <w:t>HDC’s capital expenditure will be used to improve operational efficiency and support a hybrid working model.</w:t>
      </w:r>
    </w:p>
    <w:p w14:paraId="4CA57EED" w14:textId="77777777" w:rsidR="009A65A6" w:rsidRPr="009B2CA8" w:rsidRDefault="009A65A6" w:rsidP="009247DC"/>
    <w:p w14:paraId="3B617338" w14:textId="77777777" w:rsidR="009247DC" w:rsidRPr="009B2CA8" w:rsidRDefault="009247DC" w:rsidP="009247DC">
      <w:pPr>
        <w:autoSpaceDE/>
        <w:autoSpaceDN/>
        <w:adjustRightInd/>
        <w:spacing w:after="200" w:line="276" w:lineRule="auto"/>
        <w:jc w:val="left"/>
        <w:rPr>
          <w:color w:val="auto"/>
        </w:rPr>
      </w:pPr>
    </w:p>
    <w:p w14:paraId="248E00CD" w14:textId="6222B6DE" w:rsidR="009247DC" w:rsidRPr="009B2CA8" w:rsidRDefault="009247DC" w:rsidP="009247DC">
      <w:pPr>
        <w:autoSpaceDE/>
        <w:autoSpaceDN/>
        <w:adjustRightInd/>
        <w:spacing w:after="200" w:line="276" w:lineRule="auto"/>
        <w:jc w:val="left"/>
        <w:rPr>
          <w:color w:val="auto"/>
        </w:rPr>
      </w:pPr>
      <w:r w:rsidRPr="009B2CA8">
        <w:rPr>
          <w:color w:val="auto"/>
        </w:rPr>
        <w:br w:type="page"/>
      </w:r>
    </w:p>
    <w:p w14:paraId="76C18559" w14:textId="42899944" w:rsidR="009247DC" w:rsidRPr="009B2CA8" w:rsidRDefault="00C642C7" w:rsidP="009247DC">
      <w:pPr>
        <w:autoSpaceDE/>
        <w:autoSpaceDN/>
        <w:adjustRightInd/>
        <w:spacing w:after="200" w:line="276" w:lineRule="auto"/>
        <w:jc w:val="left"/>
        <w:rPr>
          <w:color w:val="auto"/>
        </w:rPr>
      </w:pPr>
      <w:r w:rsidRPr="00C642C7">
        <w:rPr>
          <w:noProof/>
        </w:rPr>
        <w:lastRenderedPageBreak/>
        <w:drawing>
          <wp:inline distT="0" distB="0" distL="0" distR="0" wp14:anchorId="5481063B" wp14:editId="605BF317">
            <wp:extent cx="5896610" cy="7094220"/>
            <wp:effectExtent l="0" t="0" r="8890" b="0"/>
            <wp:docPr id="378228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6610" cy="7094220"/>
                    </a:xfrm>
                    <a:prstGeom prst="rect">
                      <a:avLst/>
                    </a:prstGeom>
                    <a:noFill/>
                    <a:ln>
                      <a:noFill/>
                    </a:ln>
                  </pic:spPr>
                </pic:pic>
              </a:graphicData>
            </a:graphic>
          </wp:inline>
        </w:drawing>
      </w:r>
    </w:p>
    <w:p w14:paraId="79258F1B" w14:textId="33C98C5D" w:rsidR="009247DC" w:rsidRPr="009B2CA8" w:rsidRDefault="009247DC" w:rsidP="009247DC">
      <w:pPr>
        <w:autoSpaceDE/>
        <w:autoSpaceDN/>
        <w:adjustRightInd/>
        <w:spacing w:after="200" w:line="276" w:lineRule="auto"/>
        <w:jc w:val="left"/>
        <w:rPr>
          <w:color w:val="auto"/>
        </w:rPr>
      </w:pPr>
      <w:r w:rsidRPr="009B2CA8">
        <w:rPr>
          <w:color w:val="auto"/>
        </w:rPr>
        <w:br w:type="page"/>
      </w:r>
    </w:p>
    <w:bookmarkEnd w:id="80"/>
    <w:p w14:paraId="7FA44407" w14:textId="3A0E81A7" w:rsidR="009247DC" w:rsidRPr="009B2CA8" w:rsidRDefault="00A43581" w:rsidP="009247DC">
      <w:pPr>
        <w:autoSpaceDE/>
        <w:autoSpaceDN/>
        <w:adjustRightInd/>
        <w:spacing w:after="200" w:line="276" w:lineRule="auto"/>
        <w:jc w:val="left"/>
        <w:rPr>
          <w:color w:val="auto"/>
        </w:rPr>
      </w:pPr>
      <w:r w:rsidRPr="00A43581">
        <w:rPr>
          <w:noProof/>
        </w:rPr>
        <w:lastRenderedPageBreak/>
        <w:drawing>
          <wp:inline distT="0" distB="0" distL="0" distR="0" wp14:anchorId="35EED0AE" wp14:editId="2750863C">
            <wp:extent cx="5939790" cy="7357110"/>
            <wp:effectExtent l="0" t="0" r="3810" b="0"/>
            <wp:docPr id="1493293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7357110"/>
                    </a:xfrm>
                    <a:prstGeom prst="rect">
                      <a:avLst/>
                    </a:prstGeom>
                    <a:noFill/>
                    <a:ln>
                      <a:noFill/>
                    </a:ln>
                  </pic:spPr>
                </pic:pic>
              </a:graphicData>
            </a:graphic>
          </wp:inline>
        </w:drawing>
      </w:r>
      <w:r w:rsidRPr="00A43581">
        <w:t xml:space="preserve"> </w:t>
      </w:r>
      <w:r w:rsidRPr="00A43581">
        <w:rPr>
          <w:noProof/>
        </w:rPr>
        <w:lastRenderedPageBreak/>
        <w:drawing>
          <wp:inline distT="0" distB="0" distL="0" distR="0" wp14:anchorId="3780218D" wp14:editId="07FE18EA">
            <wp:extent cx="5939790" cy="7162800"/>
            <wp:effectExtent l="0" t="0" r="3810" b="0"/>
            <wp:docPr id="1098558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9790" cy="7162800"/>
                    </a:xfrm>
                    <a:prstGeom prst="rect">
                      <a:avLst/>
                    </a:prstGeom>
                    <a:noFill/>
                    <a:ln>
                      <a:noFill/>
                    </a:ln>
                  </pic:spPr>
                </pic:pic>
              </a:graphicData>
            </a:graphic>
          </wp:inline>
        </w:drawing>
      </w:r>
      <w:r w:rsidRPr="00A43581">
        <w:t xml:space="preserve"> </w:t>
      </w:r>
      <w:r w:rsidR="009247DC" w:rsidRPr="009B2CA8">
        <w:rPr>
          <w:color w:val="auto"/>
        </w:rPr>
        <w:br w:type="page"/>
      </w:r>
    </w:p>
    <w:p w14:paraId="5BD2B0EF" w14:textId="22D4F700" w:rsidR="009247DC" w:rsidRPr="009B2CA8" w:rsidRDefault="00A43581" w:rsidP="009247DC">
      <w:pPr>
        <w:autoSpaceDE/>
        <w:autoSpaceDN/>
        <w:adjustRightInd/>
        <w:spacing w:after="200" w:line="276" w:lineRule="auto"/>
        <w:jc w:val="left"/>
        <w:rPr>
          <w:color w:val="auto"/>
        </w:rPr>
      </w:pPr>
      <w:r w:rsidRPr="00A43581">
        <w:rPr>
          <w:noProof/>
        </w:rPr>
        <w:lastRenderedPageBreak/>
        <w:drawing>
          <wp:inline distT="0" distB="0" distL="0" distR="0" wp14:anchorId="086BFADA" wp14:editId="56BBC546">
            <wp:extent cx="5939790" cy="2938145"/>
            <wp:effectExtent l="0" t="0" r="3810" b="0"/>
            <wp:docPr id="21251384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2938145"/>
                    </a:xfrm>
                    <a:prstGeom prst="rect">
                      <a:avLst/>
                    </a:prstGeom>
                    <a:noFill/>
                    <a:ln>
                      <a:noFill/>
                    </a:ln>
                  </pic:spPr>
                </pic:pic>
              </a:graphicData>
            </a:graphic>
          </wp:inline>
        </w:drawing>
      </w:r>
    </w:p>
    <w:p w14:paraId="3CDAAC59" w14:textId="77777777" w:rsidR="009247DC" w:rsidRPr="009B2CA8" w:rsidRDefault="009247DC" w:rsidP="009247DC">
      <w:pPr>
        <w:autoSpaceDE/>
        <w:autoSpaceDN/>
        <w:adjustRightInd/>
        <w:spacing w:after="200" w:line="276" w:lineRule="auto"/>
        <w:jc w:val="left"/>
        <w:rPr>
          <w:color w:val="auto"/>
        </w:rPr>
      </w:pPr>
      <w:r w:rsidRPr="009B2CA8">
        <w:rPr>
          <w:color w:val="auto"/>
        </w:rPr>
        <w:br w:type="page"/>
      </w:r>
    </w:p>
    <w:p w14:paraId="2C129EE9" w14:textId="77777777" w:rsidR="009247DC" w:rsidRPr="009B2CA8" w:rsidRDefault="009247DC" w:rsidP="00AC10F4">
      <w:pPr>
        <w:pStyle w:val="Heading3"/>
      </w:pPr>
      <w:r w:rsidRPr="009B2CA8">
        <w:lastRenderedPageBreak/>
        <w:t>3.3.6</w:t>
      </w:r>
      <w:r w:rsidRPr="009B2CA8">
        <w:tab/>
        <w:t>Statement of Accounting Policies</w:t>
      </w:r>
    </w:p>
    <w:p w14:paraId="61671C8C" w14:textId="77777777" w:rsidR="009247DC" w:rsidRPr="009B2CA8" w:rsidRDefault="009247DC" w:rsidP="00AC10F4">
      <w:pPr>
        <w:pStyle w:val="Heading4"/>
      </w:pPr>
      <w:r w:rsidRPr="009B2CA8">
        <w:t>Reporting entity</w:t>
      </w:r>
    </w:p>
    <w:p w14:paraId="4BBF00C6" w14:textId="77777777" w:rsidR="009247DC" w:rsidRPr="009B2CA8" w:rsidRDefault="009247DC" w:rsidP="009247DC">
      <w:pPr>
        <w:rPr>
          <w:color w:val="auto"/>
        </w:rPr>
      </w:pPr>
      <w:r w:rsidRPr="009B2CA8">
        <w:rPr>
          <w:color w:val="auto"/>
        </w:rPr>
        <w:t>The Health and Disability Commissioner has designated itself as a public benefit entity (PBE) for financial reporting purposes.</w:t>
      </w:r>
    </w:p>
    <w:p w14:paraId="798D8491" w14:textId="0A17FD72" w:rsidR="009247DC" w:rsidRPr="009B2CA8" w:rsidRDefault="009247DC" w:rsidP="00612BF5">
      <w:pPr>
        <w:rPr>
          <w:color w:val="auto"/>
        </w:rPr>
      </w:pPr>
      <w:r w:rsidRPr="009B2CA8">
        <w:rPr>
          <w:color w:val="auto"/>
        </w:rPr>
        <w:t>These prospective financial statements reflect the operations of the Health and Disability Commissioner only and do not incorporate any other entities. These prospective financial statements are for the year ending 30 June 2024, and were approved by the Commissioner prior to issue. The prospective financial statements cannot be altered after they have been authorised for issue.</w:t>
      </w:r>
    </w:p>
    <w:p w14:paraId="4523AA4F" w14:textId="77777777" w:rsidR="009247DC" w:rsidRPr="009B2CA8" w:rsidRDefault="009247DC" w:rsidP="00AC10F4">
      <w:pPr>
        <w:pStyle w:val="Heading4"/>
      </w:pPr>
      <w:r w:rsidRPr="009B2CA8">
        <w:t>Basis of preparation</w:t>
      </w:r>
    </w:p>
    <w:p w14:paraId="04496774" w14:textId="77777777" w:rsidR="009247DC" w:rsidRPr="009B2CA8" w:rsidRDefault="009247DC" w:rsidP="009247DC">
      <w:pPr>
        <w:rPr>
          <w:color w:val="auto"/>
        </w:rPr>
      </w:pPr>
      <w:r w:rsidRPr="009B2CA8">
        <w:rPr>
          <w:color w:val="auto"/>
        </w:rPr>
        <w:t>The prospective financial statements have been prepared on a going concern basis, and the accounting policies have been applied consistently throughout the period.</w:t>
      </w:r>
    </w:p>
    <w:p w14:paraId="0F127CF3" w14:textId="29952179" w:rsidR="009247DC" w:rsidRPr="009B2CA8" w:rsidRDefault="009247DC" w:rsidP="009247DC">
      <w:pPr>
        <w:rPr>
          <w:color w:val="auto"/>
        </w:rPr>
      </w:pPr>
      <w:r w:rsidRPr="009B2CA8">
        <w:rPr>
          <w:color w:val="auto"/>
        </w:rPr>
        <w:t xml:space="preserve">The opening position of the prospective statements is based on un-audited results for 2022/23. The actual results for the month of June 2023 are unavailable and therefore the balances as at 30 June 2023 have been estimated using the forecast as at 31 </w:t>
      </w:r>
      <w:r w:rsidR="00B876C2">
        <w:rPr>
          <w:color w:val="auto"/>
        </w:rPr>
        <w:t>May</w:t>
      </w:r>
      <w:r w:rsidRPr="009B2CA8">
        <w:rPr>
          <w:color w:val="auto"/>
        </w:rPr>
        <w:t xml:space="preserve"> 2023.</w:t>
      </w:r>
    </w:p>
    <w:p w14:paraId="53502568" w14:textId="77777777" w:rsidR="009247DC" w:rsidRPr="009B2CA8" w:rsidRDefault="009247DC" w:rsidP="00AC10F4">
      <w:pPr>
        <w:pStyle w:val="Heading4"/>
      </w:pPr>
      <w:r w:rsidRPr="009B2CA8">
        <w:t>Statement of compliance</w:t>
      </w:r>
    </w:p>
    <w:p w14:paraId="44B7EA49" w14:textId="77777777" w:rsidR="009247DC" w:rsidRPr="009B2CA8" w:rsidRDefault="009247DC" w:rsidP="009247DC">
      <w:pPr>
        <w:rPr>
          <w:color w:val="auto"/>
        </w:rPr>
      </w:pPr>
      <w:r w:rsidRPr="009B2CA8">
        <w:rPr>
          <w:color w:val="auto"/>
        </w:rPr>
        <w:t>The prospective financial statements of the Health and Disability Commissioner have been prepared in accordance with the requirements of the Crown Entities Act 2004, which includes the requirements to comply with New Zealand generally accepted accounting practice (NZ GAAP).</w:t>
      </w:r>
    </w:p>
    <w:p w14:paraId="5EA3D4C0" w14:textId="77777777" w:rsidR="009247DC" w:rsidRPr="009B2CA8" w:rsidRDefault="009247DC" w:rsidP="009247DC">
      <w:pPr>
        <w:rPr>
          <w:color w:val="auto"/>
        </w:rPr>
      </w:pPr>
      <w:r w:rsidRPr="009B2CA8">
        <w:rPr>
          <w:color w:val="auto"/>
        </w:rPr>
        <w:t xml:space="preserve">The information in these prospective financial statements may not be appropriate for purposes other than those described above. </w:t>
      </w:r>
    </w:p>
    <w:p w14:paraId="4E25A89C" w14:textId="77777777" w:rsidR="009247DC" w:rsidRPr="009B2CA8" w:rsidRDefault="009247DC" w:rsidP="009247DC">
      <w:pPr>
        <w:rPr>
          <w:color w:val="auto"/>
        </w:rPr>
      </w:pPr>
      <w:r w:rsidRPr="009B2CA8">
        <w:rPr>
          <w:color w:val="auto"/>
        </w:rPr>
        <w:t xml:space="preserve">The prospective financial statements have been prepared in accordance with Tier 2 PBE accounting standards and disclosure concessions have been applied. HDC can report in accordance with Tier 2 PBE Standards as HDC does not have public accountability and HDC’s annual expenses are under $30 million. </w:t>
      </w:r>
    </w:p>
    <w:p w14:paraId="15C240DE" w14:textId="77777777" w:rsidR="009247DC" w:rsidRPr="009B2CA8" w:rsidRDefault="009247DC" w:rsidP="009247DC">
      <w:pPr>
        <w:rPr>
          <w:color w:val="auto"/>
        </w:rPr>
      </w:pPr>
      <w:r w:rsidRPr="009B2CA8">
        <w:rPr>
          <w:color w:val="auto"/>
        </w:rPr>
        <w:t>These prospective financial statements comply with PBE FRS 42 Prospective Financial Statements and other applicable Financial Reporting Standards, as appropriate for PBE.</w:t>
      </w:r>
    </w:p>
    <w:p w14:paraId="583F301B" w14:textId="77777777" w:rsidR="009247DC" w:rsidRPr="009B2CA8" w:rsidRDefault="009247DC" w:rsidP="009247DC">
      <w:pPr>
        <w:rPr>
          <w:color w:val="auto"/>
        </w:rPr>
      </w:pPr>
      <w:r w:rsidRPr="009B2CA8">
        <w:rPr>
          <w:color w:val="auto"/>
        </w:rPr>
        <w:t>The prospective financial statements are based on financial assumptions about future events that the Health and Disability Commissioner reasonably expects to occur.  Any subsequent changes to these assumptions will not be reflected in these financial statements.</w:t>
      </w:r>
    </w:p>
    <w:p w14:paraId="0B256323" w14:textId="77777777" w:rsidR="009247DC" w:rsidRPr="009B2CA8" w:rsidRDefault="009247DC" w:rsidP="009247DC">
      <w:pPr>
        <w:rPr>
          <w:color w:val="auto"/>
        </w:rPr>
      </w:pPr>
      <w:r w:rsidRPr="009B2CA8">
        <w:rPr>
          <w:color w:val="auto"/>
        </w:rPr>
        <w:t>Actual financial results achieved for the period covered are likely to vary from the information presented and the variations may be material.</w:t>
      </w:r>
    </w:p>
    <w:p w14:paraId="3458FBB3" w14:textId="77777777" w:rsidR="009247DC" w:rsidRPr="009B2CA8" w:rsidRDefault="009247DC" w:rsidP="00AC10F4">
      <w:pPr>
        <w:pStyle w:val="Heading4"/>
      </w:pPr>
      <w:r w:rsidRPr="009B2CA8">
        <w:t>Presentation currency and rounding</w:t>
      </w:r>
    </w:p>
    <w:p w14:paraId="54BCCE87" w14:textId="77777777" w:rsidR="009247DC" w:rsidRPr="009B2CA8" w:rsidRDefault="009247DC" w:rsidP="009247DC">
      <w:pPr>
        <w:rPr>
          <w:color w:val="auto"/>
        </w:rPr>
      </w:pPr>
      <w:r w:rsidRPr="009B2CA8">
        <w:rPr>
          <w:color w:val="auto"/>
        </w:rPr>
        <w:t xml:space="preserve">The prospective financial statements are presented in New Zealand dollars and all values are rounded to the nearest thousand dollars ($,000). </w:t>
      </w:r>
    </w:p>
    <w:p w14:paraId="6A4BFC57" w14:textId="77777777" w:rsidR="009247DC" w:rsidRPr="009B2CA8" w:rsidRDefault="009247DC" w:rsidP="00AC10F4">
      <w:pPr>
        <w:pStyle w:val="Heading4"/>
      </w:pPr>
      <w:r w:rsidRPr="009B2CA8">
        <w:lastRenderedPageBreak/>
        <w:t>Significant accounting policies</w:t>
      </w:r>
    </w:p>
    <w:p w14:paraId="001C73A5" w14:textId="77777777" w:rsidR="009247DC" w:rsidRPr="009B2CA8" w:rsidRDefault="009247DC" w:rsidP="009247DC">
      <w:pPr>
        <w:keepNext/>
        <w:spacing w:after="0"/>
        <w:jc w:val="left"/>
        <w:rPr>
          <w:i/>
          <w:color w:val="auto"/>
          <w:lang w:val="en-GB"/>
        </w:rPr>
      </w:pPr>
      <w:r w:rsidRPr="009B2CA8">
        <w:rPr>
          <w:i/>
          <w:color w:val="auto"/>
          <w:lang w:val="en-GB"/>
        </w:rPr>
        <w:t>Revenue</w:t>
      </w:r>
    </w:p>
    <w:p w14:paraId="5E8D32D8" w14:textId="77777777" w:rsidR="009247DC" w:rsidRPr="009B2CA8" w:rsidRDefault="009247DC" w:rsidP="009247DC">
      <w:pPr>
        <w:jc w:val="left"/>
        <w:rPr>
          <w:color w:val="auto"/>
          <w:lang w:val="en-GB"/>
        </w:rPr>
      </w:pPr>
      <w:r w:rsidRPr="009B2CA8">
        <w:rPr>
          <w:color w:val="auto"/>
          <w:lang w:val="en-GB"/>
        </w:rPr>
        <w:t>The specific accounting policies for significant revenue items are explained below:</w:t>
      </w:r>
    </w:p>
    <w:p w14:paraId="69E46142" w14:textId="77777777" w:rsidR="009247DC" w:rsidRPr="009B2CA8" w:rsidRDefault="009247DC" w:rsidP="009247DC">
      <w:pPr>
        <w:spacing w:after="0"/>
        <w:jc w:val="left"/>
        <w:rPr>
          <w:i/>
          <w:color w:val="auto"/>
          <w:lang w:val="en-GB"/>
        </w:rPr>
      </w:pPr>
      <w:r w:rsidRPr="009B2CA8">
        <w:rPr>
          <w:i/>
          <w:color w:val="auto"/>
          <w:lang w:val="en-GB"/>
        </w:rPr>
        <w:t>Funding from the Crown (non-exchange revenue)</w:t>
      </w:r>
    </w:p>
    <w:p w14:paraId="79741291" w14:textId="77777777" w:rsidR="009247DC" w:rsidRPr="009B2CA8" w:rsidRDefault="009247DC" w:rsidP="009247DC">
      <w:pPr>
        <w:rPr>
          <w:color w:val="auto"/>
          <w:lang w:val="en-GB"/>
        </w:rPr>
      </w:pPr>
      <w:r w:rsidRPr="009B2CA8">
        <w:rPr>
          <w:color w:val="auto"/>
          <w:lang w:val="en-GB"/>
        </w:rPr>
        <w:t>The Health and Disability Commissioner is primarily funded from the Crown. This funding is restricted in its use for the purpose of the Health and Disability Commissioner meeting the objectives specified in its founding legislation and the scope of the relevant appropriations of the funder.</w:t>
      </w:r>
    </w:p>
    <w:p w14:paraId="74F92C99" w14:textId="77777777" w:rsidR="009247DC" w:rsidRPr="009B2CA8" w:rsidRDefault="009247DC" w:rsidP="009247DC">
      <w:pPr>
        <w:rPr>
          <w:color w:val="auto"/>
          <w:lang w:val="en-GB"/>
        </w:rPr>
      </w:pPr>
      <w:r w:rsidRPr="009B2CA8">
        <w:rPr>
          <w:color w:val="auto"/>
          <w:lang w:val="en-GB"/>
        </w:rPr>
        <w:t>The Health and Disability Commissioner considers that there are no conditions attached to the funding and it is recognised as revenue at the point of entitlement.</w:t>
      </w:r>
    </w:p>
    <w:p w14:paraId="1630E764" w14:textId="77777777" w:rsidR="009247DC" w:rsidRPr="009B2CA8" w:rsidRDefault="009247DC" w:rsidP="009247DC">
      <w:pPr>
        <w:rPr>
          <w:color w:val="auto"/>
          <w:lang w:val="en-GB"/>
        </w:rPr>
      </w:pPr>
      <w:r w:rsidRPr="009B2CA8">
        <w:rPr>
          <w:color w:val="auto"/>
          <w:lang w:val="en-GB"/>
        </w:rPr>
        <w:t>The fair value of revenue from the Crown has been determined to be equivalent to the amounts due in the funding arrangements.</w:t>
      </w:r>
    </w:p>
    <w:p w14:paraId="6D2999E7" w14:textId="77777777" w:rsidR="009247DC" w:rsidRPr="009B2CA8" w:rsidRDefault="009247DC" w:rsidP="009247DC">
      <w:pPr>
        <w:spacing w:after="0"/>
        <w:jc w:val="left"/>
        <w:rPr>
          <w:i/>
          <w:color w:val="auto"/>
          <w:lang w:val="en-GB"/>
        </w:rPr>
      </w:pPr>
      <w:r w:rsidRPr="009B2CA8">
        <w:rPr>
          <w:i/>
          <w:color w:val="auto"/>
          <w:lang w:val="en-GB"/>
        </w:rPr>
        <w:t>Interest revenue</w:t>
      </w:r>
    </w:p>
    <w:p w14:paraId="7002240F" w14:textId="77777777" w:rsidR="009247DC" w:rsidRPr="009B2CA8" w:rsidRDefault="009247DC" w:rsidP="009247DC">
      <w:pPr>
        <w:jc w:val="left"/>
        <w:rPr>
          <w:color w:val="auto"/>
          <w:lang w:val="en-GB"/>
        </w:rPr>
      </w:pPr>
      <w:r w:rsidRPr="009B2CA8">
        <w:rPr>
          <w:color w:val="auto"/>
          <w:lang w:val="en-GB"/>
        </w:rPr>
        <w:t>Interest revenue is recognised using the effective interest method.</w:t>
      </w:r>
    </w:p>
    <w:p w14:paraId="1D2E3815" w14:textId="77777777" w:rsidR="009247DC" w:rsidRPr="009B2CA8" w:rsidRDefault="009247DC" w:rsidP="009247DC">
      <w:pPr>
        <w:spacing w:after="0"/>
        <w:jc w:val="left"/>
        <w:rPr>
          <w:i/>
          <w:color w:val="auto"/>
          <w:lang w:val="en-GB"/>
        </w:rPr>
      </w:pPr>
      <w:r w:rsidRPr="009B2CA8">
        <w:rPr>
          <w:i/>
          <w:color w:val="auto"/>
          <w:lang w:val="en-GB"/>
        </w:rPr>
        <w:t>Sale of publications</w:t>
      </w:r>
    </w:p>
    <w:p w14:paraId="112A2F03" w14:textId="77777777" w:rsidR="009247DC" w:rsidRPr="009B2CA8" w:rsidRDefault="009247DC" w:rsidP="009247DC">
      <w:pPr>
        <w:jc w:val="left"/>
        <w:rPr>
          <w:color w:val="auto"/>
          <w:lang w:val="en-GB"/>
        </w:rPr>
      </w:pPr>
      <w:r w:rsidRPr="009B2CA8">
        <w:rPr>
          <w:color w:val="auto"/>
          <w:lang w:val="en-GB"/>
        </w:rPr>
        <w:t>Sales of publications are recognised when the product is sold to the customer.</w:t>
      </w:r>
    </w:p>
    <w:p w14:paraId="1A5A2E1B" w14:textId="77777777" w:rsidR="009247DC" w:rsidRPr="009B2CA8" w:rsidRDefault="009247DC" w:rsidP="009247DC">
      <w:pPr>
        <w:keepNext/>
        <w:keepLines/>
        <w:spacing w:after="0"/>
        <w:jc w:val="left"/>
        <w:rPr>
          <w:i/>
          <w:color w:val="auto"/>
          <w:lang w:val="en-GB"/>
        </w:rPr>
      </w:pPr>
      <w:r w:rsidRPr="009B2CA8">
        <w:rPr>
          <w:i/>
          <w:color w:val="auto"/>
          <w:lang w:val="en-GB"/>
        </w:rPr>
        <w:t>IT cost contribution</w:t>
      </w:r>
    </w:p>
    <w:p w14:paraId="10A77523" w14:textId="77777777" w:rsidR="009247DC" w:rsidRPr="009B2CA8" w:rsidRDefault="009247DC" w:rsidP="009247DC">
      <w:pPr>
        <w:keepNext/>
        <w:keepLines/>
        <w:rPr>
          <w:color w:val="auto"/>
          <w:lang w:val="en-GB"/>
        </w:rPr>
      </w:pPr>
      <w:r w:rsidRPr="009B2CA8">
        <w:rPr>
          <w:color w:val="auto"/>
          <w:lang w:val="en-GB"/>
        </w:rPr>
        <w:t>IT cost contribution is recognised when services are provided to the National Advocacy Trust by HDC based on mutual agreement.</w:t>
      </w:r>
    </w:p>
    <w:p w14:paraId="03458374" w14:textId="77777777" w:rsidR="009247DC" w:rsidRPr="009B2CA8" w:rsidRDefault="009247DC" w:rsidP="009247DC">
      <w:pPr>
        <w:spacing w:after="0"/>
        <w:jc w:val="left"/>
        <w:rPr>
          <w:i/>
          <w:color w:val="auto"/>
          <w:lang w:val="en-GB"/>
        </w:rPr>
      </w:pPr>
      <w:r w:rsidRPr="009B2CA8">
        <w:rPr>
          <w:i/>
          <w:color w:val="auto"/>
          <w:lang w:val="en-GB"/>
        </w:rPr>
        <w:t xml:space="preserve">Sundry revenue </w:t>
      </w:r>
    </w:p>
    <w:p w14:paraId="1CD0B469" w14:textId="77777777" w:rsidR="009247DC" w:rsidRPr="009B2CA8" w:rsidRDefault="009247DC" w:rsidP="009247DC">
      <w:pPr>
        <w:rPr>
          <w:color w:val="auto"/>
          <w:lang w:val="en-GB"/>
        </w:rPr>
      </w:pPr>
      <w:r w:rsidRPr="009B2CA8">
        <w:rPr>
          <w:color w:val="auto"/>
          <w:lang w:val="en-GB"/>
        </w:rPr>
        <w:t>Services provided to third parties on commercial terms are exchange transactions. Revenue from these services is recognised in proportion to the stage of completion at balance date.</w:t>
      </w:r>
    </w:p>
    <w:p w14:paraId="0DA5EDA0" w14:textId="77777777" w:rsidR="009247DC" w:rsidRPr="009B2CA8" w:rsidRDefault="009247DC" w:rsidP="009247DC">
      <w:pPr>
        <w:spacing w:after="0"/>
        <w:jc w:val="left"/>
        <w:rPr>
          <w:i/>
          <w:color w:val="auto"/>
          <w:lang w:val="en-GB"/>
        </w:rPr>
      </w:pPr>
      <w:r w:rsidRPr="009B2CA8">
        <w:rPr>
          <w:i/>
          <w:color w:val="auto"/>
          <w:lang w:val="en-GB"/>
        </w:rPr>
        <w:t>Foreign currency transactions</w:t>
      </w:r>
    </w:p>
    <w:p w14:paraId="3199D690" w14:textId="77777777" w:rsidR="009247DC" w:rsidRPr="009B2CA8" w:rsidRDefault="009247DC" w:rsidP="009247DC">
      <w:pPr>
        <w:rPr>
          <w:color w:val="auto"/>
          <w:lang w:val="en-GB"/>
        </w:rPr>
      </w:pPr>
      <w:r w:rsidRPr="009B2CA8">
        <w:rPr>
          <w:color w:val="auto"/>
          <w:lang w:val="en-GB"/>
        </w:rPr>
        <w:t>Foreign currency transactions (including those for which forward foreign exchange contracts are held) are translated into NZ$ (the functional currency) using the spot exchange rates at the dates of the transactions. Foreign exchange gains and losses resulting from the settlement of such transactions and from the translation at year end exchange rates of monetary assets and liabilities denominated in foreign currencies are recognised in the surplus or deficit.</w:t>
      </w:r>
    </w:p>
    <w:p w14:paraId="75C91811" w14:textId="77777777" w:rsidR="009247DC" w:rsidRPr="009B2CA8" w:rsidRDefault="009247DC" w:rsidP="009247DC">
      <w:pPr>
        <w:spacing w:after="0"/>
        <w:jc w:val="left"/>
        <w:rPr>
          <w:i/>
          <w:color w:val="auto"/>
          <w:lang w:val="en-GB"/>
        </w:rPr>
      </w:pPr>
      <w:r w:rsidRPr="009B2CA8">
        <w:rPr>
          <w:i/>
          <w:color w:val="auto"/>
          <w:lang w:val="en-GB"/>
        </w:rPr>
        <w:t>Expenditure</w:t>
      </w:r>
    </w:p>
    <w:p w14:paraId="3EAD4880" w14:textId="77777777" w:rsidR="009247DC" w:rsidRPr="009B2CA8" w:rsidRDefault="009247DC" w:rsidP="009247DC">
      <w:pPr>
        <w:rPr>
          <w:color w:val="auto"/>
          <w:lang w:val="en-GB"/>
        </w:rPr>
      </w:pPr>
      <w:r w:rsidRPr="009B2CA8">
        <w:rPr>
          <w:color w:val="auto"/>
          <w:lang w:val="en-GB"/>
        </w:rPr>
        <w:t>Expenses are recognised when goods or services have been delivered, or when there is a present obligation that is expected to result in an outflow of economic benefits.</w:t>
      </w:r>
    </w:p>
    <w:p w14:paraId="18C327F3" w14:textId="77777777" w:rsidR="009247DC" w:rsidRPr="009B2CA8" w:rsidRDefault="009247DC" w:rsidP="009247DC">
      <w:pPr>
        <w:spacing w:after="60"/>
        <w:jc w:val="left"/>
        <w:rPr>
          <w:i/>
          <w:color w:val="auto"/>
          <w:lang w:val="en-GB"/>
        </w:rPr>
      </w:pPr>
      <w:r w:rsidRPr="009B2CA8">
        <w:rPr>
          <w:i/>
          <w:color w:val="auto"/>
          <w:lang w:val="en-GB"/>
        </w:rPr>
        <w:t>Leases</w:t>
      </w:r>
    </w:p>
    <w:p w14:paraId="11E059C4" w14:textId="77777777" w:rsidR="009247DC" w:rsidRPr="009B2CA8" w:rsidRDefault="009247DC" w:rsidP="009247DC">
      <w:pPr>
        <w:spacing w:after="60"/>
        <w:jc w:val="left"/>
        <w:rPr>
          <w:color w:val="auto"/>
          <w:u w:val="single"/>
          <w:lang w:val="en-GB"/>
        </w:rPr>
      </w:pPr>
      <w:r w:rsidRPr="009B2CA8">
        <w:rPr>
          <w:color w:val="auto"/>
          <w:u w:val="single"/>
          <w:lang w:val="en-GB"/>
        </w:rPr>
        <w:t>Operating leases</w:t>
      </w:r>
    </w:p>
    <w:p w14:paraId="66E0686D" w14:textId="77777777" w:rsidR="009247DC" w:rsidRPr="009B2CA8" w:rsidRDefault="009247DC" w:rsidP="009247DC">
      <w:pPr>
        <w:rPr>
          <w:color w:val="auto"/>
          <w:lang w:val="en-GB"/>
        </w:rPr>
      </w:pPr>
      <w:r w:rsidRPr="009B2CA8">
        <w:rPr>
          <w:color w:val="auto"/>
          <w:lang w:val="en-GB"/>
        </w:rPr>
        <w:t>An operating lease is a lease that does not transfer substantially all the risks and rewards incidental to ownership of an asset to the lessee. Lease payments under an operating lease are recognised as an expense on a straight-line basis over the lease term. Lease incentives received are recognised in the surplus or deficit as a reduction of rental expense over the lease term.</w:t>
      </w:r>
    </w:p>
    <w:p w14:paraId="4A130E97" w14:textId="77777777" w:rsidR="009247DC" w:rsidRPr="009B2CA8" w:rsidRDefault="009247DC" w:rsidP="009247DC">
      <w:pPr>
        <w:keepNext/>
        <w:spacing w:after="0"/>
        <w:jc w:val="left"/>
        <w:rPr>
          <w:i/>
          <w:color w:val="auto"/>
          <w:lang w:val="en-GB"/>
        </w:rPr>
      </w:pPr>
      <w:r w:rsidRPr="009B2CA8">
        <w:rPr>
          <w:i/>
          <w:color w:val="auto"/>
          <w:lang w:val="en-GB"/>
        </w:rPr>
        <w:lastRenderedPageBreak/>
        <w:t>Cash and cash equivalents</w:t>
      </w:r>
    </w:p>
    <w:p w14:paraId="58238D66" w14:textId="77777777" w:rsidR="009247DC" w:rsidRPr="009B2CA8" w:rsidRDefault="009247DC" w:rsidP="009247DC">
      <w:pPr>
        <w:rPr>
          <w:color w:val="auto"/>
          <w:lang w:val="en-GB"/>
        </w:rPr>
      </w:pPr>
      <w:r w:rsidRPr="009B2CA8">
        <w:rPr>
          <w:color w:val="auto"/>
          <w:lang w:val="en-GB"/>
        </w:rPr>
        <w:t>Cash and cash equivalents includes cash on hand, deposits held on call with banks, and other short-term highly liquid investments with original maturities of three months or less.</w:t>
      </w:r>
    </w:p>
    <w:p w14:paraId="66F45406" w14:textId="77777777" w:rsidR="009247DC" w:rsidRPr="009B2CA8" w:rsidRDefault="009247DC" w:rsidP="009247DC">
      <w:pPr>
        <w:spacing w:after="0"/>
        <w:jc w:val="left"/>
        <w:rPr>
          <w:i/>
          <w:color w:val="auto"/>
          <w:lang w:val="en-GB"/>
        </w:rPr>
      </w:pPr>
      <w:r w:rsidRPr="009B2CA8">
        <w:rPr>
          <w:i/>
          <w:color w:val="auto"/>
          <w:lang w:val="en-GB"/>
        </w:rPr>
        <w:t>Receivables</w:t>
      </w:r>
    </w:p>
    <w:p w14:paraId="46485F71" w14:textId="77777777" w:rsidR="009247DC" w:rsidRPr="009B2CA8" w:rsidRDefault="009247DC" w:rsidP="009247DC">
      <w:pPr>
        <w:jc w:val="left"/>
        <w:rPr>
          <w:color w:val="auto"/>
          <w:lang w:val="en-GB"/>
        </w:rPr>
      </w:pPr>
      <w:r w:rsidRPr="009B2CA8">
        <w:rPr>
          <w:color w:val="auto"/>
          <w:lang w:val="en-GB"/>
        </w:rPr>
        <w:t>Short-term receivables are recorded at their face value, less any provision for impairment.</w:t>
      </w:r>
    </w:p>
    <w:p w14:paraId="61825627" w14:textId="77777777" w:rsidR="009247DC" w:rsidRPr="009B2CA8" w:rsidRDefault="009247DC" w:rsidP="009247DC">
      <w:pPr>
        <w:rPr>
          <w:color w:val="auto"/>
          <w:lang w:val="en-GB"/>
        </w:rPr>
      </w:pPr>
      <w:r w:rsidRPr="009B2CA8">
        <w:rPr>
          <w:color w:val="auto"/>
          <w:lang w:val="en-GB"/>
        </w:rPr>
        <w:t>A receivable is considered impaired when there is evidence that the Health and Disability Commissioner will not be able to collect the amount due. The amount of the impairment is the difference between the carrying amount of the receivable and the present value of the amounts expected to be collected.</w:t>
      </w:r>
    </w:p>
    <w:p w14:paraId="603009C8" w14:textId="77777777" w:rsidR="009247DC" w:rsidRPr="009B2CA8" w:rsidRDefault="009247DC" w:rsidP="009247DC">
      <w:pPr>
        <w:spacing w:after="60"/>
        <w:jc w:val="left"/>
        <w:rPr>
          <w:i/>
          <w:color w:val="auto"/>
          <w:lang w:val="en-GB"/>
        </w:rPr>
      </w:pPr>
      <w:r w:rsidRPr="009B2CA8">
        <w:rPr>
          <w:i/>
          <w:color w:val="auto"/>
          <w:lang w:val="en-GB"/>
        </w:rPr>
        <w:t>Investments</w:t>
      </w:r>
    </w:p>
    <w:p w14:paraId="2DF421E9" w14:textId="77777777" w:rsidR="009247DC" w:rsidRPr="009B2CA8" w:rsidRDefault="009247DC" w:rsidP="009247DC">
      <w:pPr>
        <w:spacing w:after="60"/>
        <w:jc w:val="left"/>
        <w:rPr>
          <w:color w:val="auto"/>
          <w:u w:val="single"/>
          <w:lang w:val="en-GB"/>
        </w:rPr>
      </w:pPr>
      <w:r w:rsidRPr="009B2CA8">
        <w:rPr>
          <w:color w:val="auto"/>
          <w:u w:val="single"/>
          <w:lang w:val="en-GB"/>
        </w:rPr>
        <w:t>Bank term deposits</w:t>
      </w:r>
    </w:p>
    <w:p w14:paraId="09C5C2D6" w14:textId="77777777" w:rsidR="009247DC" w:rsidRPr="009B2CA8" w:rsidRDefault="009247DC" w:rsidP="009247DC">
      <w:pPr>
        <w:jc w:val="left"/>
        <w:rPr>
          <w:color w:val="auto"/>
          <w:lang w:val="en-GB"/>
        </w:rPr>
      </w:pPr>
      <w:r w:rsidRPr="009B2CA8">
        <w:rPr>
          <w:color w:val="auto"/>
          <w:lang w:val="en-GB"/>
        </w:rPr>
        <w:t>Investments in bank term deposits are initially measured at the amount invested.</w:t>
      </w:r>
    </w:p>
    <w:p w14:paraId="02D04165" w14:textId="77777777" w:rsidR="009247DC" w:rsidRPr="009B2CA8" w:rsidRDefault="009247DC" w:rsidP="009247DC">
      <w:pPr>
        <w:rPr>
          <w:color w:val="auto"/>
          <w:lang w:val="en-GB"/>
        </w:rPr>
      </w:pPr>
      <w:r w:rsidRPr="009B2CA8">
        <w:rPr>
          <w:color w:val="auto"/>
          <w:lang w:val="en-GB"/>
        </w:rPr>
        <w:t>After initial recognition, investments in bank deposits are measured at amortised cost using the effective interest method, less any provision for impairment.</w:t>
      </w:r>
    </w:p>
    <w:p w14:paraId="0A697545" w14:textId="77777777" w:rsidR="009247DC" w:rsidRPr="009B2CA8" w:rsidRDefault="009247DC" w:rsidP="009247DC">
      <w:pPr>
        <w:spacing w:after="0"/>
        <w:jc w:val="left"/>
        <w:rPr>
          <w:i/>
          <w:color w:val="auto"/>
          <w:lang w:val="en-GB"/>
        </w:rPr>
      </w:pPr>
      <w:r w:rsidRPr="009B2CA8">
        <w:rPr>
          <w:i/>
          <w:color w:val="auto"/>
          <w:lang w:val="en-GB"/>
        </w:rPr>
        <w:t>Inventories</w:t>
      </w:r>
      <w:r w:rsidRPr="009B2CA8">
        <w:rPr>
          <w:i/>
          <w:color w:val="auto"/>
          <w:lang w:val="en-GB"/>
        </w:rPr>
        <w:tab/>
      </w:r>
      <w:r w:rsidRPr="009B2CA8">
        <w:rPr>
          <w:i/>
          <w:color w:val="auto"/>
          <w:lang w:val="en-GB"/>
        </w:rPr>
        <w:tab/>
      </w:r>
      <w:r w:rsidRPr="009B2CA8">
        <w:rPr>
          <w:i/>
          <w:color w:val="auto"/>
          <w:lang w:val="en-GB"/>
        </w:rPr>
        <w:tab/>
      </w:r>
    </w:p>
    <w:p w14:paraId="0AC486AD" w14:textId="77777777" w:rsidR="009247DC" w:rsidRPr="009B2CA8" w:rsidRDefault="009247DC" w:rsidP="009247DC">
      <w:pPr>
        <w:rPr>
          <w:color w:val="auto"/>
          <w:lang w:val="en-GB"/>
        </w:rPr>
      </w:pPr>
      <w:r w:rsidRPr="009B2CA8">
        <w:rPr>
          <w:color w:val="auto"/>
          <w:lang w:val="en-GB"/>
        </w:rPr>
        <w:t xml:space="preserve">Inventories held for distribution in the provision of services that are not supplied on a commercial basis are measured at cost (using the FIFO method), adjusted, when applicable, for any loss of service potential. </w:t>
      </w:r>
    </w:p>
    <w:p w14:paraId="306F6492" w14:textId="77777777" w:rsidR="009247DC" w:rsidRPr="009B2CA8" w:rsidRDefault="009247DC" w:rsidP="009247DC">
      <w:pPr>
        <w:rPr>
          <w:color w:val="auto"/>
          <w:lang w:val="en-GB"/>
        </w:rPr>
      </w:pPr>
      <w:r w:rsidRPr="009B2CA8">
        <w:rPr>
          <w:color w:val="auto"/>
          <w:lang w:val="en-GB"/>
        </w:rPr>
        <w:t xml:space="preserve">Inventories acquired through non-exchange transactions are measured at fair value at the date of acquisition. </w:t>
      </w:r>
    </w:p>
    <w:p w14:paraId="3C71F56E" w14:textId="77777777" w:rsidR="009247DC" w:rsidRPr="009B2CA8" w:rsidRDefault="009247DC" w:rsidP="009247DC">
      <w:pPr>
        <w:rPr>
          <w:color w:val="auto"/>
          <w:lang w:val="en-GB"/>
        </w:rPr>
      </w:pPr>
      <w:r w:rsidRPr="009B2CA8">
        <w:rPr>
          <w:color w:val="auto"/>
          <w:lang w:val="en-GB"/>
        </w:rPr>
        <w:t xml:space="preserve">Inventories held for use in the provision of goods and services on a commercial basis are valued at the lower of cost (using the FIFO method) and net realisable value. </w:t>
      </w:r>
    </w:p>
    <w:p w14:paraId="7AE15F57" w14:textId="77777777" w:rsidR="009247DC" w:rsidRPr="009B2CA8" w:rsidRDefault="009247DC" w:rsidP="009247DC">
      <w:pPr>
        <w:rPr>
          <w:color w:val="auto"/>
          <w:lang w:val="en-GB"/>
        </w:rPr>
      </w:pPr>
      <w:r w:rsidRPr="009B2CA8">
        <w:rPr>
          <w:color w:val="auto"/>
          <w:lang w:val="en-GB"/>
        </w:rPr>
        <w:t>The amount of any write-down for the loss of service potential or from cost to net realisable value is recognised in the surplus or deficit in the period of the write-down.</w:t>
      </w:r>
    </w:p>
    <w:p w14:paraId="33137967" w14:textId="77777777" w:rsidR="009247DC" w:rsidRPr="009B2CA8" w:rsidRDefault="009247DC" w:rsidP="009247DC">
      <w:pPr>
        <w:spacing w:after="0"/>
        <w:jc w:val="left"/>
        <w:rPr>
          <w:i/>
          <w:color w:val="auto"/>
          <w:lang w:val="en-GB"/>
        </w:rPr>
      </w:pPr>
      <w:r w:rsidRPr="009B2CA8">
        <w:rPr>
          <w:i/>
          <w:color w:val="auto"/>
          <w:lang w:val="en-GB"/>
        </w:rPr>
        <w:t>Property, plant, and equipment</w:t>
      </w:r>
    </w:p>
    <w:p w14:paraId="0D25345F" w14:textId="77777777" w:rsidR="009247DC" w:rsidRPr="009B2CA8" w:rsidRDefault="009247DC" w:rsidP="009247DC">
      <w:pPr>
        <w:rPr>
          <w:color w:val="auto"/>
          <w:lang w:val="en-GB"/>
        </w:rPr>
      </w:pPr>
      <w:r w:rsidRPr="009B2CA8">
        <w:rPr>
          <w:color w:val="auto"/>
          <w:lang w:val="en-GB"/>
        </w:rPr>
        <w:t>Property, plant, and equipment consist of the following asset classes: computer hardware, communication equipment, furniture and fittings, leasehold improvements, motor vehicles, and office equipment.</w:t>
      </w:r>
    </w:p>
    <w:p w14:paraId="6756CCB8" w14:textId="77777777" w:rsidR="009247DC" w:rsidRPr="009B2CA8" w:rsidRDefault="009247DC" w:rsidP="009247DC">
      <w:pPr>
        <w:rPr>
          <w:color w:val="auto"/>
          <w:lang w:val="en-GB"/>
        </w:rPr>
      </w:pPr>
      <w:r w:rsidRPr="009B2CA8">
        <w:rPr>
          <w:color w:val="auto"/>
          <w:lang w:val="en-GB"/>
        </w:rPr>
        <w:t>Property, plant, and equipment are measured at cost, less accumulated depreciation and impairment losses.</w:t>
      </w:r>
    </w:p>
    <w:p w14:paraId="07F88F21" w14:textId="77777777" w:rsidR="009247DC" w:rsidRPr="009B2CA8" w:rsidRDefault="009247DC" w:rsidP="009247DC">
      <w:pPr>
        <w:spacing w:after="0"/>
        <w:jc w:val="left"/>
        <w:rPr>
          <w:i/>
          <w:color w:val="auto"/>
          <w:lang w:val="en-GB"/>
        </w:rPr>
      </w:pPr>
      <w:r w:rsidRPr="009B2CA8">
        <w:rPr>
          <w:i/>
          <w:color w:val="auto"/>
          <w:lang w:val="en-GB"/>
        </w:rPr>
        <w:t>Additions</w:t>
      </w:r>
    </w:p>
    <w:p w14:paraId="6597A81F" w14:textId="77777777" w:rsidR="009247DC" w:rsidRPr="009B2CA8" w:rsidRDefault="009247DC" w:rsidP="009247DC">
      <w:pPr>
        <w:rPr>
          <w:color w:val="auto"/>
          <w:lang w:val="en-GB"/>
        </w:rPr>
      </w:pPr>
      <w:r w:rsidRPr="009B2CA8">
        <w:rPr>
          <w:color w:val="auto"/>
          <w:lang w:val="en-GB"/>
        </w:rPr>
        <w:t xml:space="preserve">The cost of an item of property, plant, and equipment is recognised as an asset only when it is probable that future economic benefits or service potential associated with the item will flow to HDC and the cost of the item can be measured reliably. </w:t>
      </w:r>
    </w:p>
    <w:p w14:paraId="0619A3E1" w14:textId="77777777" w:rsidR="009247DC" w:rsidRPr="009B2CA8" w:rsidRDefault="009247DC" w:rsidP="009247DC">
      <w:pPr>
        <w:rPr>
          <w:color w:val="auto"/>
          <w:lang w:val="en-GB"/>
        </w:rPr>
      </w:pPr>
      <w:r w:rsidRPr="009B2CA8">
        <w:rPr>
          <w:color w:val="auto"/>
          <w:lang w:val="en-GB"/>
        </w:rPr>
        <w:t>Work in progress is recognised at cost less impairment and is not depreciated.</w:t>
      </w:r>
    </w:p>
    <w:p w14:paraId="20B09075" w14:textId="77777777" w:rsidR="009247DC" w:rsidRPr="009B2CA8" w:rsidRDefault="009247DC" w:rsidP="009247DC">
      <w:pPr>
        <w:rPr>
          <w:color w:val="auto"/>
          <w:lang w:val="en-GB"/>
        </w:rPr>
      </w:pPr>
      <w:r w:rsidRPr="009B2CA8">
        <w:rPr>
          <w:color w:val="auto"/>
          <w:lang w:val="en-GB"/>
        </w:rPr>
        <w:lastRenderedPageBreak/>
        <w:t>In most instances, an item of property, plant, and equipment is initially recognised at its cost. Where an asset is acquired through a non-exchange transaction, it is recognised at its fair value as at the date of acquisition.</w:t>
      </w:r>
    </w:p>
    <w:p w14:paraId="30A2A84E" w14:textId="77777777" w:rsidR="009247DC" w:rsidRPr="009B2CA8" w:rsidRDefault="009247DC" w:rsidP="009247DC">
      <w:pPr>
        <w:spacing w:after="0"/>
        <w:jc w:val="left"/>
        <w:rPr>
          <w:i/>
          <w:color w:val="auto"/>
          <w:lang w:val="en-GB"/>
        </w:rPr>
      </w:pPr>
      <w:r w:rsidRPr="009B2CA8">
        <w:rPr>
          <w:i/>
          <w:color w:val="auto"/>
          <w:lang w:val="en-GB"/>
        </w:rPr>
        <w:t>Disposals</w:t>
      </w:r>
    </w:p>
    <w:p w14:paraId="6B1F7CF8" w14:textId="77777777" w:rsidR="009247DC" w:rsidRPr="009B2CA8" w:rsidRDefault="009247DC" w:rsidP="009247DC">
      <w:pPr>
        <w:rPr>
          <w:color w:val="auto"/>
          <w:lang w:val="en-GB"/>
        </w:rPr>
      </w:pPr>
      <w:r w:rsidRPr="009B2CA8">
        <w:rPr>
          <w:color w:val="auto"/>
          <w:lang w:val="en-GB"/>
        </w:rPr>
        <w:t>Gains and losses on disposals are determined by comparing the proceeds with the carrying amount of the asset. Gains and losses on disposals are included in the surplus or deficit.</w:t>
      </w:r>
    </w:p>
    <w:p w14:paraId="320A1E9F" w14:textId="77777777" w:rsidR="009247DC" w:rsidRPr="009B2CA8" w:rsidRDefault="009247DC" w:rsidP="009247DC">
      <w:pPr>
        <w:keepNext/>
        <w:spacing w:after="0"/>
        <w:jc w:val="left"/>
        <w:rPr>
          <w:i/>
          <w:color w:val="auto"/>
          <w:lang w:val="en-GB"/>
        </w:rPr>
      </w:pPr>
      <w:r w:rsidRPr="009B2CA8">
        <w:rPr>
          <w:i/>
          <w:color w:val="auto"/>
          <w:lang w:val="en-GB"/>
        </w:rPr>
        <w:t>Subsequent costs</w:t>
      </w:r>
    </w:p>
    <w:p w14:paraId="49457C39" w14:textId="77777777" w:rsidR="009247DC" w:rsidRPr="009B2CA8" w:rsidRDefault="009247DC" w:rsidP="009247DC">
      <w:pPr>
        <w:rPr>
          <w:color w:val="auto"/>
          <w:lang w:val="en-GB"/>
        </w:rPr>
      </w:pPr>
      <w:r w:rsidRPr="009B2CA8">
        <w:rPr>
          <w:color w:val="auto"/>
          <w:lang w:val="en-GB"/>
        </w:rPr>
        <w:t xml:space="preserve">Costs incurred subsequent to initial acquisition are capitalised only when it is probable that future economic benefits or service potential associated with the item will flow to HDC and the cost of the item can be measured reliably. </w:t>
      </w:r>
    </w:p>
    <w:p w14:paraId="09BB74F8" w14:textId="77777777" w:rsidR="009247DC" w:rsidRPr="009B2CA8" w:rsidRDefault="009247DC" w:rsidP="009247DC">
      <w:pPr>
        <w:rPr>
          <w:color w:val="auto"/>
          <w:lang w:val="en-GB"/>
        </w:rPr>
      </w:pPr>
      <w:r w:rsidRPr="009B2CA8">
        <w:rPr>
          <w:color w:val="auto"/>
          <w:lang w:val="en-GB"/>
        </w:rPr>
        <w:t>The costs of day-to-day servicing of property, plant, and equipment are recognised in the surplus or deficit as they are incurred.</w:t>
      </w:r>
    </w:p>
    <w:p w14:paraId="778314E6" w14:textId="77777777" w:rsidR="009247DC" w:rsidRPr="009B2CA8" w:rsidRDefault="009247DC" w:rsidP="009247DC">
      <w:pPr>
        <w:spacing w:after="0"/>
        <w:jc w:val="left"/>
        <w:rPr>
          <w:i/>
          <w:color w:val="auto"/>
          <w:lang w:val="en-GB"/>
        </w:rPr>
      </w:pPr>
      <w:r w:rsidRPr="009B2CA8">
        <w:rPr>
          <w:i/>
          <w:color w:val="auto"/>
          <w:lang w:val="en-GB"/>
        </w:rPr>
        <w:t>Depreciation</w:t>
      </w:r>
    </w:p>
    <w:p w14:paraId="7AC5AE57" w14:textId="77777777" w:rsidR="009247DC" w:rsidRPr="009B2CA8" w:rsidRDefault="009247DC" w:rsidP="009247DC">
      <w:pPr>
        <w:rPr>
          <w:color w:val="auto"/>
          <w:lang w:val="en-GB"/>
        </w:rPr>
      </w:pPr>
      <w:r w:rsidRPr="009B2CA8">
        <w:rPr>
          <w:color w:val="auto"/>
          <w:lang w:val="en-GB"/>
        </w:rPr>
        <w:t>Depreciation is provided on a straight-line basis on all property, plant, and equipment at rates that will write off the cost of the assets to their estimated residual values over their useful lives. The useful lives and associated depreciation rates of major classes of assets have been estimated as follows:</w:t>
      </w:r>
    </w:p>
    <w:p w14:paraId="0CBE4A4D" w14:textId="77777777" w:rsidR="009247DC" w:rsidRPr="009B2CA8" w:rsidRDefault="009247DC" w:rsidP="009247DC">
      <w:pPr>
        <w:spacing w:after="120"/>
        <w:jc w:val="left"/>
        <w:rPr>
          <w:color w:val="auto"/>
          <w:lang w:val="en-GB"/>
        </w:rPr>
      </w:pPr>
      <w:r w:rsidRPr="009B2CA8">
        <w:rPr>
          <w:color w:val="auto"/>
          <w:lang w:val="en-GB"/>
        </w:rPr>
        <w:t>Leasehold improvements</w:t>
      </w:r>
      <w:r w:rsidRPr="009B2CA8">
        <w:rPr>
          <w:color w:val="auto"/>
          <w:lang w:val="en-GB"/>
        </w:rPr>
        <w:tab/>
        <w:t>3 years</w:t>
      </w:r>
      <w:r w:rsidRPr="009B2CA8">
        <w:rPr>
          <w:color w:val="auto"/>
          <w:lang w:val="en-GB"/>
        </w:rPr>
        <w:tab/>
        <w:t>(33%)</w:t>
      </w:r>
    </w:p>
    <w:p w14:paraId="7B3527D6" w14:textId="77777777" w:rsidR="009247DC" w:rsidRPr="009B2CA8" w:rsidRDefault="009247DC" w:rsidP="009247DC">
      <w:pPr>
        <w:spacing w:after="120"/>
        <w:jc w:val="left"/>
        <w:rPr>
          <w:color w:val="auto"/>
          <w:lang w:val="en-GB"/>
        </w:rPr>
      </w:pPr>
      <w:r w:rsidRPr="009B2CA8">
        <w:rPr>
          <w:color w:val="auto"/>
          <w:lang w:val="en-GB"/>
        </w:rPr>
        <w:t>Furniture and fittings</w:t>
      </w:r>
      <w:r w:rsidRPr="009B2CA8">
        <w:rPr>
          <w:color w:val="auto"/>
          <w:lang w:val="en-GB"/>
        </w:rPr>
        <w:tab/>
      </w:r>
      <w:r w:rsidRPr="009B2CA8">
        <w:rPr>
          <w:color w:val="auto"/>
          <w:lang w:val="en-GB"/>
        </w:rPr>
        <w:tab/>
        <w:t>5 years</w:t>
      </w:r>
      <w:r w:rsidRPr="009B2CA8">
        <w:rPr>
          <w:color w:val="auto"/>
          <w:lang w:val="en-GB"/>
        </w:rPr>
        <w:tab/>
        <w:t>(20%)</w:t>
      </w:r>
    </w:p>
    <w:p w14:paraId="414641F7" w14:textId="77777777" w:rsidR="009247DC" w:rsidRPr="009B2CA8" w:rsidRDefault="009247DC" w:rsidP="009247DC">
      <w:pPr>
        <w:spacing w:after="120"/>
        <w:jc w:val="left"/>
        <w:rPr>
          <w:color w:val="auto"/>
          <w:lang w:val="en-GB"/>
        </w:rPr>
      </w:pPr>
      <w:r w:rsidRPr="009B2CA8">
        <w:rPr>
          <w:color w:val="auto"/>
          <w:lang w:val="en-GB"/>
        </w:rPr>
        <w:t>Office equipment</w:t>
      </w:r>
      <w:r w:rsidRPr="009B2CA8">
        <w:rPr>
          <w:color w:val="auto"/>
          <w:lang w:val="en-GB"/>
        </w:rPr>
        <w:tab/>
      </w:r>
      <w:r w:rsidRPr="009B2CA8">
        <w:rPr>
          <w:color w:val="auto"/>
          <w:lang w:val="en-GB"/>
        </w:rPr>
        <w:tab/>
        <w:t>5 years</w:t>
      </w:r>
      <w:r w:rsidRPr="009B2CA8">
        <w:rPr>
          <w:color w:val="auto"/>
          <w:lang w:val="en-GB"/>
        </w:rPr>
        <w:tab/>
        <w:t>(20%)</w:t>
      </w:r>
    </w:p>
    <w:p w14:paraId="3F5D7912" w14:textId="77777777" w:rsidR="009247DC" w:rsidRPr="009B2CA8" w:rsidRDefault="009247DC" w:rsidP="009247DC">
      <w:pPr>
        <w:spacing w:after="120"/>
        <w:jc w:val="left"/>
        <w:rPr>
          <w:color w:val="auto"/>
          <w:lang w:val="en-GB"/>
        </w:rPr>
      </w:pPr>
      <w:r w:rsidRPr="009B2CA8">
        <w:rPr>
          <w:color w:val="auto"/>
          <w:lang w:val="en-GB"/>
        </w:rPr>
        <w:t>Motor vehicles</w:t>
      </w:r>
      <w:r w:rsidRPr="009B2CA8">
        <w:rPr>
          <w:color w:val="auto"/>
          <w:lang w:val="en-GB"/>
        </w:rPr>
        <w:tab/>
      </w:r>
      <w:r w:rsidRPr="009B2CA8">
        <w:rPr>
          <w:color w:val="auto"/>
          <w:lang w:val="en-GB"/>
        </w:rPr>
        <w:tab/>
        <w:t>5 years</w:t>
      </w:r>
      <w:r w:rsidRPr="009B2CA8">
        <w:rPr>
          <w:color w:val="auto"/>
          <w:lang w:val="en-GB"/>
        </w:rPr>
        <w:tab/>
        <w:t>(20%)</w:t>
      </w:r>
    </w:p>
    <w:p w14:paraId="7FFA874B" w14:textId="77777777" w:rsidR="009247DC" w:rsidRPr="009B2CA8" w:rsidRDefault="009247DC" w:rsidP="009247DC">
      <w:pPr>
        <w:spacing w:after="120"/>
        <w:jc w:val="left"/>
        <w:rPr>
          <w:color w:val="auto"/>
          <w:lang w:val="en-GB"/>
        </w:rPr>
      </w:pPr>
      <w:r w:rsidRPr="009B2CA8">
        <w:rPr>
          <w:color w:val="auto"/>
          <w:lang w:val="en-GB"/>
        </w:rPr>
        <w:t>Computer hardware</w:t>
      </w:r>
      <w:r w:rsidRPr="009B2CA8">
        <w:rPr>
          <w:color w:val="auto"/>
          <w:lang w:val="en-GB"/>
        </w:rPr>
        <w:tab/>
      </w:r>
      <w:r w:rsidRPr="009B2CA8">
        <w:rPr>
          <w:color w:val="auto"/>
          <w:lang w:val="en-GB"/>
        </w:rPr>
        <w:tab/>
        <w:t>4 years</w:t>
      </w:r>
      <w:r w:rsidRPr="009B2CA8">
        <w:rPr>
          <w:color w:val="auto"/>
          <w:lang w:val="en-GB"/>
        </w:rPr>
        <w:tab/>
        <w:t>(25%)</w:t>
      </w:r>
    </w:p>
    <w:p w14:paraId="49254DB1" w14:textId="77777777" w:rsidR="009247DC" w:rsidRPr="009B2CA8" w:rsidRDefault="009247DC" w:rsidP="009247DC">
      <w:pPr>
        <w:jc w:val="left"/>
        <w:rPr>
          <w:color w:val="auto"/>
          <w:lang w:val="en-GB"/>
        </w:rPr>
      </w:pPr>
      <w:r w:rsidRPr="009B2CA8">
        <w:rPr>
          <w:color w:val="auto"/>
          <w:lang w:val="en-GB"/>
        </w:rPr>
        <w:t>Communication equipment</w:t>
      </w:r>
      <w:r w:rsidRPr="009B2CA8">
        <w:rPr>
          <w:color w:val="auto"/>
          <w:lang w:val="en-GB"/>
        </w:rPr>
        <w:tab/>
        <w:t>4 years</w:t>
      </w:r>
      <w:r w:rsidRPr="009B2CA8">
        <w:rPr>
          <w:color w:val="auto"/>
          <w:lang w:val="en-GB"/>
        </w:rPr>
        <w:tab/>
        <w:t>(25%)</w:t>
      </w:r>
    </w:p>
    <w:p w14:paraId="37226C79" w14:textId="77777777" w:rsidR="009247DC" w:rsidRPr="009B2CA8" w:rsidRDefault="009247DC" w:rsidP="009247DC">
      <w:pPr>
        <w:rPr>
          <w:color w:val="auto"/>
          <w:lang w:val="en-GB"/>
        </w:rPr>
      </w:pPr>
      <w:r w:rsidRPr="009B2CA8">
        <w:rPr>
          <w:color w:val="auto"/>
          <w:lang w:val="en-GB"/>
        </w:rPr>
        <w:t>Leasehold improvements are depreciated over the unexpired period of the lease or the estimated remaining useful lives of the improvements, whichever is the shorter.</w:t>
      </w:r>
    </w:p>
    <w:p w14:paraId="3EA82A62" w14:textId="77777777" w:rsidR="009247DC" w:rsidRPr="009B2CA8" w:rsidRDefault="009247DC" w:rsidP="009247DC">
      <w:pPr>
        <w:rPr>
          <w:color w:val="auto"/>
          <w:lang w:val="en-GB"/>
        </w:rPr>
      </w:pPr>
      <w:r w:rsidRPr="009B2CA8">
        <w:rPr>
          <w:color w:val="auto"/>
          <w:lang w:val="en-GB"/>
        </w:rPr>
        <w:t>The residual value and useful life of an asset is reviewed, and adjusted if applicable, at each financial year end.</w:t>
      </w:r>
    </w:p>
    <w:p w14:paraId="546ED5EE" w14:textId="77777777" w:rsidR="009247DC" w:rsidRPr="009B2CA8" w:rsidRDefault="009247DC" w:rsidP="009247DC">
      <w:pPr>
        <w:spacing w:after="60"/>
        <w:jc w:val="left"/>
        <w:rPr>
          <w:i/>
          <w:color w:val="auto"/>
          <w:lang w:val="en-GB"/>
        </w:rPr>
      </w:pPr>
      <w:r w:rsidRPr="009B2CA8">
        <w:rPr>
          <w:i/>
          <w:color w:val="auto"/>
          <w:lang w:val="en-GB"/>
        </w:rPr>
        <w:t>Intangible assets</w:t>
      </w:r>
    </w:p>
    <w:p w14:paraId="3B11ED9E" w14:textId="77777777" w:rsidR="009247DC" w:rsidRPr="009B2CA8" w:rsidRDefault="009247DC" w:rsidP="009247DC">
      <w:pPr>
        <w:spacing w:after="60"/>
        <w:jc w:val="left"/>
        <w:rPr>
          <w:color w:val="auto"/>
          <w:u w:val="single"/>
          <w:lang w:val="en-GB"/>
        </w:rPr>
      </w:pPr>
      <w:r w:rsidRPr="009B2CA8">
        <w:rPr>
          <w:color w:val="auto"/>
          <w:u w:val="single"/>
          <w:lang w:val="en-GB"/>
        </w:rPr>
        <w:t>Software acquisition and development</w:t>
      </w:r>
    </w:p>
    <w:p w14:paraId="39D59E4A" w14:textId="77777777" w:rsidR="009247DC" w:rsidRPr="009B2CA8" w:rsidRDefault="009247DC" w:rsidP="009247DC">
      <w:pPr>
        <w:rPr>
          <w:color w:val="auto"/>
          <w:lang w:val="en-GB"/>
        </w:rPr>
      </w:pPr>
      <w:r w:rsidRPr="009B2CA8">
        <w:rPr>
          <w:color w:val="auto"/>
          <w:lang w:val="en-GB"/>
        </w:rPr>
        <w:t>Acquired computer software licences are capitalised on the basis of the costs incurred to acquire and bring to use the specific software.</w:t>
      </w:r>
    </w:p>
    <w:p w14:paraId="53265932" w14:textId="77777777" w:rsidR="009247DC" w:rsidRPr="009B2CA8" w:rsidRDefault="009247DC" w:rsidP="009247DC">
      <w:pPr>
        <w:rPr>
          <w:color w:val="auto"/>
          <w:lang w:val="en-GB"/>
        </w:rPr>
      </w:pPr>
      <w:r w:rsidRPr="009B2CA8">
        <w:rPr>
          <w:color w:val="auto"/>
          <w:lang w:val="en-GB"/>
        </w:rPr>
        <w:t>Costs that are directly associated with the development of software for internal use are recognised as an intangible asset. Direct costs include software development, employee costs, and an appropriate portion of relevant overheads.</w:t>
      </w:r>
    </w:p>
    <w:p w14:paraId="0138A49E" w14:textId="77777777" w:rsidR="009247DC" w:rsidRPr="009B2CA8" w:rsidRDefault="009247DC" w:rsidP="009247DC">
      <w:pPr>
        <w:rPr>
          <w:color w:val="auto"/>
          <w:lang w:val="en-GB"/>
        </w:rPr>
      </w:pPr>
      <w:r w:rsidRPr="009B2CA8">
        <w:rPr>
          <w:color w:val="auto"/>
          <w:lang w:val="en-GB"/>
        </w:rPr>
        <w:t>Staff training costs are recognised as an expense when incurred.</w:t>
      </w:r>
    </w:p>
    <w:p w14:paraId="750FDF84" w14:textId="77777777" w:rsidR="009247DC" w:rsidRPr="009B2CA8" w:rsidRDefault="009247DC" w:rsidP="009247DC">
      <w:pPr>
        <w:rPr>
          <w:color w:val="auto"/>
          <w:lang w:val="en-GB"/>
        </w:rPr>
      </w:pPr>
      <w:r w:rsidRPr="009B2CA8">
        <w:rPr>
          <w:color w:val="auto"/>
          <w:lang w:val="en-GB"/>
        </w:rPr>
        <w:t>Costs associated with maintaining computer software are recognised as an expense when incurred.</w:t>
      </w:r>
    </w:p>
    <w:p w14:paraId="7CFECBE7" w14:textId="77777777" w:rsidR="009247DC" w:rsidRPr="009B2CA8" w:rsidRDefault="009247DC" w:rsidP="009247DC">
      <w:pPr>
        <w:rPr>
          <w:color w:val="auto"/>
          <w:lang w:val="en-GB"/>
        </w:rPr>
      </w:pPr>
      <w:r w:rsidRPr="009B2CA8">
        <w:rPr>
          <w:color w:val="auto"/>
          <w:lang w:val="en-GB"/>
        </w:rPr>
        <w:lastRenderedPageBreak/>
        <w:t>Costs associated with the maintenance of HDC’s website are recognised as an expense when incurred.</w:t>
      </w:r>
    </w:p>
    <w:p w14:paraId="55E15986" w14:textId="77777777" w:rsidR="009247DC" w:rsidRPr="009B2CA8" w:rsidRDefault="009247DC" w:rsidP="009247DC">
      <w:pPr>
        <w:spacing w:after="60"/>
        <w:jc w:val="left"/>
        <w:rPr>
          <w:color w:val="auto"/>
          <w:u w:val="single"/>
          <w:lang w:val="en-GB"/>
        </w:rPr>
      </w:pPr>
      <w:r w:rsidRPr="009B2CA8">
        <w:rPr>
          <w:color w:val="auto"/>
          <w:u w:val="single"/>
          <w:lang w:val="en-GB"/>
        </w:rPr>
        <w:t>Amortisation</w:t>
      </w:r>
    </w:p>
    <w:p w14:paraId="41344637" w14:textId="77777777" w:rsidR="009247DC" w:rsidRPr="009B2CA8" w:rsidRDefault="009247DC" w:rsidP="009247DC">
      <w:pPr>
        <w:rPr>
          <w:color w:val="auto"/>
          <w:lang w:val="en-GB"/>
        </w:rPr>
      </w:pPr>
      <w:r w:rsidRPr="009B2CA8">
        <w:rPr>
          <w:color w:val="auto"/>
          <w:lang w:val="en-GB"/>
        </w:rPr>
        <w:t>The carrying value of an intangible asset with a finite life is amortised on a straight-line basis over its useful life. Amortisation begins when the asset is available for use and ceases at the date that the asset is derecognised. The amortisation charge for each period is recognised in the surplus or deficit.</w:t>
      </w:r>
    </w:p>
    <w:p w14:paraId="0D769256" w14:textId="77777777" w:rsidR="009247DC" w:rsidRPr="009B2CA8" w:rsidRDefault="009247DC" w:rsidP="009247DC">
      <w:pPr>
        <w:rPr>
          <w:color w:val="auto"/>
          <w:lang w:val="en-GB"/>
        </w:rPr>
      </w:pPr>
      <w:r w:rsidRPr="009B2CA8">
        <w:rPr>
          <w:color w:val="auto"/>
          <w:lang w:val="en-GB"/>
        </w:rPr>
        <w:t>The useful lives and associated amortisation rates of major classes of intangible assets have been estimated as follows:</w:t>
      </w:r>
    </w:p>
    <w:p w14:paraId="18D8A55E" w14:textId="77777777" w:rsidR="009247DC" w:rsidRPr="009B2CA8" w:rsidRDefault="009247DC" w:rsidP="009247DC">
      <w:pPr>
        <w:spacing w:after="120"/>
        <w:jc w:val="left"/>
        <w:rPr>
          <w:color w:val="auto"/>
          <w:lang w:val="en-GB"/>
        </w:rPr>
      </w:pPr>
      <w:r w:rsidRPr="009B2CA8">
        <w:rPr>
          <w:color w:val="auto"/>
          <w:lang w:val="en-GB"/>
        </w:rPr>
        <w:t>Acquired computer software</w:t>
      </w:r>
      <w:r w:rsidRPr="009B2CA8">
        <w:rPr>
          <w:color w:val="auto"/>
          <w:lang w:val="en-GB"/>
        </w:rPr>
        <w:tab/>
      </w:r>
      <w:r w:rsidRPr="009B2CA8">
        <w:rPr>
          <w:color w:val="auto"/>
          <w:lang w:val="en-GB"/>
        </w:rPr>
        <w:tab/>
        <w:t>3 years</w:t>
      </w:r>
      <w:r w:rsidRPr="009B2CA8">
        <w:rPr>
          <w:color w:val="auto"/>
          <w:lang w:val="en-GB"/>
        </w:rPr>
        <w:tab/>
        <w:t>(33%)</w:t>
      </w:r>
    </w:p>
    <w:p w14:paraId="4A4CBC7F" w14:textId="77777777" w:rsidR="009247DC" w:rsidRPr="009B2CA8" w:rsidRDefault="009247DC" w:rsidP="009247DC">
      <w:pPr>
        <w:jc w:val="left"/>
        <w:rPr>
          <w:color w:val="auto"/>
          <w:lang w:val="en-GB"/>
        </w:rPr>
      </w:pPr>
      <w:r w:rsidRPr="009B2CA8">
        <w:rPr>
          <w:color w:val="auto"/>
          <w:lang w:val="en-GB"/>
        </w:rPr>
        <w:t>Developed computer software</w:t>
      </w:r>
      <w:r w:rsidRPr="009B2CA8">
        <w:rPr>
          <w:color w:val="auto"/>
          <w:lang w:val="en-GB"/>
        </w:rPr>
        <w:tab/>
        <w:t>3 years</w:t>
      </w:r>
      <w:r w:rsidRPr="009B2CA8">
        <w:rPr>
          <w:color w:val="auto"/>
          <w:lang w:val="en-GB"/>
        </w:rPr>
        <w:tab/>
        <w:t>(33%)</w:t>
      </w:r>
    </w:p>
    <w:p w14:paraId="7CE83A8F" w14:textId="77777777" w:rsidR="009247DC" w:rsidRPr="009B2CA8" w:rsidRDefault="009247DC" w:rsidP="009247DC">
      <w:pPr>
        <w:spacing w:after="0"/>
        <w:jc w:val="left"/>
        <w:rPr>
          <w:i/>
          <w:color w:val="auto"/>
          <w:lang w:val="en-GB"/>
        </w:rPr>
      </w:pPr>
      <w:r w:rsidRPr="009B2CA8">
        <w:rPr>
          <w:i/>
          <w:color w:val="auto"/>
          <w:lang w:val="en-GB"/>
        </w:rPr>
        <w:t>Impairment of property, plant, and equipment and intangible assets</w:t>
      </w:r>
    </w:p>
    <w:p w14:paraId="741B8BC3" w14:textId="77777777" w:rsidR="009247DC" w:rsidRPr="009B2CA8" w:rsidRDefault="009247DC" w:rsidP="009247DC">
      <w:pPr>
        <w:rPr>
          <w:color w:val="auto"/>
          <w:lang w:val="en-GB"/>
        </w:rPr>
      </w:pPr>
      <w:r w:rsidRPr="009B2CA8">
        <w:rPr>
          <w:color w:val="auto"/>
          <w:lang w:val="en-GB"/>
        </w:rPr>
        <w:t>The Health and Disability Commissioner does not hold any cash-generating assets. Assets are considered cash-generating where their primary objective is to generate a commercial return.</w:t>
      </w:r>
    </w:p>
    <w:p w14:paraId="5FCDB5F1" w14:textId="77777777" w:rsidR="009247DC" w:rsidRPr="009B2CA8" w:rsidRDefault="009247DC" w:rsidP="009247DC">
      <w:pPr>
        <w:spacing w:after="0"/>
        <w:jc w:val="left"/>
        <w:rPr>
          <w:i/>
          <w:color w:val="auto"/>
          <w:lang w:val="en-GB"/>
        </w:rPr>
      </w:pPr>
      <w:r w:rsidRPr="009B2CA8">
        <w:rPr>
          <w:i/>
          <w:color w:val="auto"/>
          <w:lang w:val="en-GB"/>
        </w:rPr>
        <w:t>Non-cash-generating assets</w:t>
      </w:r>
    </w:p>
    <w:p w14:paraId="71C9D35C" w14:textId="77777777" w:rsidR="009247DC" w:rsidRPr="009B2CA8" w:rsidRDefault="009247DC" w:rsidP="009247DC">
      <w:pPr>
        <w:rPr>
          <w:color w:val="auto"/>
          <w:lang w:val="en-GB"/>
        </w:rPr>
      </w:pPr>
      <w:r w:rsidRPr="009B2CA8">
        <w:rPr>
          <w:color w:val="auto"/>
          <w:lang w:val="en-GB"/>
        </w:rPr>
        <w:t>Property, plant, and equipment and intangible assets held at cost that have a finite useful life are reviewed for impairment whenever events or changes in circumstances indicate that the carrying amount may not be recoverable. An impairment loss is recognised for the amount by which the asset’s carrying amount exceeds its recoverable service amount. The recoverable service amount is the higher of an asset’s fair value less costs to sell and value in use.</w:t>
      </w:r>
    </w:p>
    <w:p w14:paraId="66BE7771" w14:textId="77777777" w:rsidR="009247DC" w:rsidRPr="009B2CA8" w:rsidRDefault="009247DC" w:rsidP="009247DC">
      <w:pPr>
        <w:rPr>
          <w:color w:val="auto"/>
          <w:lang w:val="en-GB"/>
        </w:rPr>
      </w:pPr>
      <w:r w:rsidRPr="009B2CA8">
        <w:rPr>
          <w:color w:val="auto"/>
          <w:lang w:val="en-GB"/>
        </w:rPr>
        <w:t>Value in use is determined using an approach based on either a depreciated replacement cost approach, restoration cost approach, or a service units approach. The most appropriate approach used to measure value in use depends on the nature of the impairment and availability of information.</w:t>
      </w:r>
    </w:p>
    <w:p w14:paraId="33F9102E" w14:textId="77777777" w:rsidR="009247DC" w:rsidRPr="009B2CA8" w:rsidRDefault="009247DC" w:rsidP="009247DC">
      <w:pPr>
        <w:rPr>
          <w:color w:val="auto"/>
          <w:lang w:val="en-GB"/>
        </w:rPr>
      </w:pPr>
      <w:r w:rsidRPr="009B2CA8">
        <w:rPr>
          <w:color w:val="auto"/>
          <w:lang w:val="en-GB"/>
        </w:rPr>
        <w:t>If an asset’s carrying amount exceeds its recoverable service amount, the asset is regarded as impaired and the carrying amount is written down to the recoverable amount. The total impairment loss is recognised in the surplus or deficit.</w:t>
      </w:r>
    </w:p>
    <w:p w14:paraId="74EE7E4A" w14:textId="77777777" w:rsidR="009247DC" w:rsidRPr="009B2CA8" w:rsidRDefault="009247DC" w:rsidP="009247DC">
      <w:pPr>
        <w:jc w:val="left"/>
        <w:rPr>
          <w:color w:val="auto"/>
          <w:lang w:val="en-GB"/>
        </w:rPr>
      </w:pPr>
      <w:r w:rsidRPr="009B2CA8">
        <w:rPr>
          <w:color w:val="auto"/>
          <w:lang w:val="en-GB"/>
        </w:rPr>
        <w:t>The reversal of an impairment loss is recognised in the surplus or deficit.</w:t>
      </w:r>
    </w:p>
    <w:p w14:paraId="7C6FC4F4" w14:textId="77777777" w:rsidR="009247DC" w:rsidRPr="009B2CA8" w:rsidRDefault="009247DC" w:rsidP="009247DC">
      <w:pPr>
        <w:spacing w:after="0"/>
        <w:jc w:val="left"/>
        <w:rPr>
          <w:i/>
          <w:color w:val="auto"/>
          <w:lang w:val="en-GB"/>
        </w:rPr>
      </w:pPr>
      <w:r w:rsidRPr="009B2CA8">
        <w:rPr>
          <w:i/>
          <w:color w:val="auto"/>
          <w:lang w:val="en-GB"/>
        </w:rPr>
        <w:t>Payables</w:t>
      </w:r>
    </w:p>
    <w:p w14:paraId="66E3D061" w14:textId="77777777" w:rsidR="009247DC" w:rsidRPr="009B2CA8" w:rsidRDefault="009247DC" w:rsidP="009247DC">
      <w:pPr>
        <w:jc w:val="left"/>
        <w:rPr>
          <w:color w:val="auto"/>
          <w:lang w:val="en-GB"/>
        </w:rPr>
      </w:pPr>
      <w:r w:rsidRPr="009B2CA8">
        <w:rPr>
          <w:color w:val="auto"/>
          <w:lang w:val="en-GB"/>
        </w:rPr>
        <w:t>Short-term payables are recorded at their face value.</w:t>
      </w:r>
    </w:p>
    <w:p w14:paraId="4CBE104D" w14:textId="77777777" w:rsidR="009247DC" w:rsidRPr="009B2CA8" w:rsidRDefault="009247DC" w:rsidP="009247DC">
      <w:pPr>
        <w:spacing w:after="60"/>
        <w:jc w:val="left"/>
        <w:rPr>
          <w:i/>
          <w:color w:val="auto"/>
          <w:lang w:val="en-GB"/>
        </w:rPr>
      </w:pPr>
      <w:r w:rsidRPr="009B2CA8">
        <w:rPr>
          <w:i/>
          <w:color w:val="auto"/>
          <w:lang w:val="en-GB"/>
        </w:rPr>
        <w:t>Employee entitlements</w:t>
      </w:r>
    </w:p>
    <w:p w14:paraId="32842580" w14:textId="77777777" w:rsidR="009247DC" w:rsidRPr="009B2CA8" w:rsidRDefault="009247DC" w:rsidP="009247DC">
      <w:pPr>
        <w:spacing w:after="60"/>
        <w:jc w:val="left"/>
        <w:rPr>
          <w:color w:val="auto"/>
          <w:u w:val="single"/>
          <w:lang w:val="en-GB"/>
        </w:rPr>
      </w:pPr>
      <w:r w:rsidRPr="009B2CA8">
        <w:rPr>
          <w:color w:val="auto"/>
          <w:u w:val="single"/>
          <w:lang w:val="en-GB"/>
        </w:rPr>
        <w:t>Short-term employee entitlements</w:t>
      </w:r>
    </w:p>
    <w:p w14:paraId="129F7CF0" w14:textId="77777777" w:rsidR="009247DC" w:rsidRPr="009B2CA8" w:rsidRDefault="009247DC" w:rsidP="009247DC">
      <w:pPr>
        <w:rPr>
          <w:color w:val="auto"/>
          <w:lang w:val="en-GB"/>
        </w:rPr>
      </w:pPr>
      <w:r w:rsidRPr="009B2CA8">
        <w:rPr>
          <w:color w:val="auto"/>
          <w:lang w:val="en-GB"/>
        </w:rPr>
        <w:t>Employee benefits that are due to be settled within 12 months after the end of the period in which the employee renders the related service are measured based on accrued entitlements at current rates of pay. These include salaries and wages accrued up to balance date, annual leave earned but not yet taken at balance date, and sick leave.</w:t>
      </w:r>
    </w:p>
    <w:p w14:paraId="0B88CA13" w14:textId="77777777" w:rsidR="009247DC" w:rsidRPr="009B2CA8" w:rsidRDefault="009247DC" w:rsidP="009247DC">
      <w:pPr>
        <w:keepNext/>
        <w:spacing w:after="60"/>
        <w:jc w:val="left"/>
        <w:rPr>
          <w:i/>
          <w:color w:val="auto"/>
          <w:lang w:val="en-GB"/>
        </w:rPr>
      </w:pPr>
      <w:r w:rsidRPr="009B2CA8">
        <w:rPr>
          <w:i/>
          <w:color w:val="auto"/>
          <w:lang w:val="en-GB"/>
        </w:rPr>
        <w:lastRenderedPageBreak/>
        <w:t>Superannuation schemes</w:t>
      </w:r>
    </w:p>
    <w:p w14:paraId="19BCE7F0" w14:textId="77777777" w:rsidR="009247DC" w:rsidRPr="009B2CA8" w:rsidRDefault="009247DC" w:rsidP="009247DC">
      <w:pPr>
        <w:keepNext/>
        <w:spacing w:after="60"/>
        <w:jc w:val="left"/>
        <w:rPr>
          <w:color w:val="auto"/>
          <w:u w:val="single"/>
          <w:lang w:val="en-GB"/>
        </w:rPr>
      </w:pPr>
      <w:r w:rsidRPr="009B2CA8">
        <w:rPr>
          <w:color w:val="auto"/>
          <w:u w:val="single"/>
          <w:lang w:val="en-GB"/>
        </w:rPr>
        <w:t>Defined contribution schemes</w:t>
      </w:r>
    </w:p>
    <w:p w14:paraId="7F1A9C07" w14:textId="77777777" w:rsidR="009247DC" w:rsidRPr="009B2CA8" w:rsidRDefault="009247DC" w:rsidP="009247DC">
      <w:pPr>
        <w:rPr>
          <w:color w:val="auto"/>
          <w:lang w:val="en-GB"/>
        </w:rPr>
      </w:pPr>
      <w:r w:rsidRPr="009B2CA8">
        <w:rPr>
          <w:color w:val="auto"/>
          <w:lang w:val="en-GB"/>
        </w:rPr>
        <w:t>Obligations for contributions to KiwiSaver and the Government Superannuation Fund are accounted for as defined contribution superannuation schemes and are recognised as an expense in the surplus or deficit as incurred.</w:t>
      </w:r>
    </w:p>
    <w:p w14:paraId="3AE0C170" w14:textId="77777777" w:rsidR="009247DC" w:rsidRPr="009B2CA8" w:rsidRDefault="009247DC" w:rsidP="009247DC">
      <w:pPr>
        <w:keepNext/>
        <w:spacing w:after="0"/>
        <w:jc w:val="left"/>
        <w:rPr>
          <w:i/>
          <w:color w:val="auto"/>
          <w:lang w:val="en-GB"/>
        </w:rPr>
      </w:pPr>
      <w:r w:rsidRPr="009B2CA8">
        <w:rPr>
          <w:i/>
          <w:color w:val="auto"/>
          <w:lang w:val="en-GB"/>
        </w:rPr>
        <w:t>Equity</w:t>
      </w:r>
    </w:p>
    <w:p w14:paraId="5B69BA21" w14:textId="77777777" w:rsidR="009247DC" w:rsidRPr="009B2CA8" w:rsidRDefault="009247DC" w:rsidP="009247DC">
      <w:pPr>
        <w:spacing w:after="120"/>
        <w:rPr>
          <w:color w:val="auto"/>
          <w:lang w:val="en-GB"/>
        </w:rPr>
      </w:pPr>
      <w:r w:rsidRPr="009B2CA8">
        <w:rPr>
          <w:color w:val="auto"/>
          <w:lang w:val="en-GB"/>
        </w:rPr>
        <w:t>Equity is measured as the difference between total assets and total liabilities. Equity is disaggregated and classified into the following components:</w:t>
      </w:r>
    </w:p>
    <w:p w14:paraId="02167908" w14:textId="77777777" w:rsidR="009247DC" w:rsidRPr="009B2CA8" w:rsidRDefault="009247DC" w:rsidP="009247DC">
      <w:pPr>
        <w:pStyle w:val="Bullets"/>
        <w:numPr>
          <w:ilvl w:val="0"/>
          <w:numId w:val="0"/>
        </w:numPr>
        <w:ind w:left="284" w:hanging="284"/>
        <w:rPr>
          <w:color w:val="auto"/>
        </w:rPr>
      </w:pPr>
      <w:r w:rsidRPr="009B2CA8">
        <w:rPr>
          <w:color w:val="auto"/>
        </w:rPr>
        <w:t xml:space="preserve">• </w:t>
      </w:r>
      <w:r w:rsidRPr="009B2CA8">
        <w:rPr>
          <w:color w:val="auto"/>
        </w:rPr>
        <w:tab/>
        <w:t>contributed capital; and</w:t>
      </w:r>
    </w:p>
    <w:p w14:paraId="332DD0BE" w14:textId="77777777" w:rsidR="009247DC" w:rsidRPr="009B2CA8" w:rsidRDefault="009247DC" w:rsidP="009247DC">
      <w:pPr>
        <w:pStyle w:val="Bullets"/>
        <w:numPr>
          <w:ilvl w:val="0"/>
          <w:numId w:val="0"/>
        </w:numPr>
        <w:spacing w:after="240"/>
        <w:ind w:left="284" w:hanging="284"/>
        <w:rPr>
          <w:color w:val="auto"/>
        </w:rPr>
      </w:pPr>
      <w:r w:rsidRPr="009B2CA8">
        <w:rPr>
          <w:color w:val="auto"/>
        </w:rPr>
        <w:t xml:space="preserve">• </w:t>
      </w:r>
      <w:r w:rsidRPr="009B2CA8">
        <w:rPr>
          <w:color w:val="auto"/>
        </w:rPr>
        <w:tab/>
        <w:t>accumulated surplus or deficit.</w:t>
      </w:r>
    </w:p>
    <w:p w14:paraId="7FADE2A3" w14:textId="77777777" w:rsidR="009247DC" w:rsidRPr="009B2CA8" w:rsidRDefault="009247DC" w:rsidP="009247DC">
      <w:pPr>
        <w:spacing w:after="0"/>
        <w:jc w:val="left"/>
        <w:rPr>
          <w:i/>
          <w:color w:val="auto"/>
          <w:lang w:val="en-GB"/>
        </w:rPr>
      </w:pPr>
      <w:r w:rsidRPr="009B2CA8">
        <w:rPr>
          <w:i/>
          <w:color w:val="auto"/>
          <w:lang w:val="en-GB"/>
        </w:rPr>
        <w:t>Goods and services tax (GST)</w:t>
      </w:r>
    </w:p>
    <w:p w14:paraId="4CDC8159" w14:textId="77777777" w:rsidR="009247DC" w:rsidRPr="009B2CA8" w:rsidRDefault="009247DC" w:rsidP="009247DC">
      <w:pPr>
        <w:rPr>
          <w:color w:val="auto"/>
          <w:lang w:val="en-GB"/>
        </w:rPr>
      </w:pPr>
      <w:r w:rsidRPr="009B2CA8">
        <w:rPr>
          <w:color w:val="auto"/>
          <w:lang w:val="en-GB"/>
        </w:rPr>
        <w:t xml:space="preserve">All items in the </w:t>
      </w:r>
      <w:r w:rsidRPr="009B2CA8">
        <w:rPr>
          <w:rStyle w:val="FinancialTextLight"/>
          <w:rFonts w:asciiTheme="minorHAnsi" w:hAnsiTheme="minorHAnsi"/>
          <w:bCs w:val="0"/>
          <w:color w:val="auto"/>
          <w:sz w:val="24"/>
          <w:szCs w:val="24"/>
        </w:rPr>
        <w:t>prospective</w:t>
      </w:r>
      <w:r w:rsidRPr="009B2CA8">
        <w:rPr>
          <w:rStyle w:val="FinancialTextLight"/>
          <w:rFonts w:asciiTheme="minorHAnsi" w:hAnsiTheme="minorHAnsi"/>
          <w:bCs w:val="0"/>
          <w:color w:val="auto"/>
        </w:rPr>
        <w:t xml:space="preserve"> </w:t>
      </w:r>
      <w:r w:rsidRPr="009B2CA8">
        <w:rPr>
          <w:color w:val="auto"/>
          <w:lang w:val="en-GB"/>
        </w:rPr>
        <w:t>financial statements are presented exclusive of GST, except for receivables and payables, which are presented on a GST-inclusive basis. Where GST is not recoverable as input tax, it is recognised as part of the related asset or expense.</w:t>
      </w:r>
    </w:p>
    <w:p w14:paraId="425B102B" w14:textId="77777777" w:rsidR="009247DC" w:rsidRPr="009B2CA8" w:rsidRDefault="009247DC" w:rsidP="009247DC">
      <w:pPr>
        <w:rPr>
          <w:color w:val="auto"/>
          <w:lang w:val="en-GB"/>
        </w:rPr>
      </w:pPr>
      <w:r w:rsidRPr="009B2CA8">
        <w:rPr>
          <w:color w:val="auto"/>
          <w:lang w:val="en-GB"/>
        </w:rPr>
        <w:t>The net amount of GST recoverable from, or payable to, the IRD is included as part of receivables or payables in the statement of financial position.</w:t>
      </w:r>
    </w:p>
    <w:p w14:paraId="3A881D7C" w14:textId="77777777" w:rsidR="009247DC" w:rsidRPr="009B2CA8" w:rsidRDefault="009247DC" w:rsidP="009247DC">
      <w:pPr>
        <w:rPr>
          <w:color w:val="auto"/>
          <w:lang w:val="en-GB"/>
        </w:rPr>
      </w:pPr>
      <w:r w:rsidRPr="009B2CA8">
        <w:rPr>
          <w:color w:val="auto"/>
          <w:lang w:val="en-GB"/>
        </w:rPr>
        <w:t>The net GST paid to, or received from, the IRD, including the GST relating to investing and financing activities, is classified as a net operating cash flow in the statement of cash flows.</w:t>
      </w:r>
    </w:p>
    <w:p w14:paraId="12DFEC0D" w14:textId="77777777" w:rsidR="009247DC" w:rsidRPr="009B2CA8" w:rsidRDefault="009247DC" w:rsidP="009247DC">
      <w:pPr>
        <w:rPr>
          <w:color w:val="auto"/>
          <w:lang w:val="en-GB"/>
        </w:rPr>
      </w:pPr>
      <w:r w:rsidRPr="009B2CA8">
        <w:rPr>
          <w:color w:val="auto"/>
          <w:lang w:val="en-GB"/>
        </w:rPr>
        <w:t>Commitments and contingencies are disclosed exclusive of GST.</w:t>
      </w:r>
    </w:p>
    <w:p w14:paraId="336F6592" w14:textId="77777777" w:rsidR="009247DC" w:rsidRPr="009B2CA8" w:rsidRDefault="009247DC" w:rsidP="009247DC">
      <w:pPr>
        <w:spacing w:after="0"/>
        <w:jc w:val="left"/>
        <w:rPr>
          <w:i/>
          <w:color w:val="auto"/>
          <w:lang w:val="en-GB"/>
        </w:rPr>
      </w:pPr>
      <w:r w:rsidRPr="009B2CA8">
        <w:rPr>
          <w:i/>
          <w:color w:val="auto"/>
          <w:lang w:val="en-GB"/>
        </w:rPr>
        <w:t>Income tax</w:t>
      </w:r>
    </w:p>
    <w:p w14:paraId="53986A61" w14:textId="77777777" w:rsidR="009247DC" w:rsidRPr="009B2CA8" w:rsidRDefault="009247DC" w:rsidP="009247DC">
      <w:pPr>
        <w:rPr>
          <w:color w:val="auto"/>
          <w:lang w:val="en-GB"/>
        </w:rPr>
      </w:pPr>
      <w:r w:rsidRPr="009B2CA8">
        <w:rPr>
          <w:color w:val="auto"/>
          <w:lang w:val="en-GB"/>
        </w:rPr>
        <w:t>The Health and Disability Commissioner is a public authority and consequently is exempt from the payment of income tax.  Accordingly, no provision has been made for income tax.</w:t>
      </w:r>
    </w:p>
    <w:p w14:paraId="1935EB00" w14:textId="77777777" w:rsidR="009247DC" w:rsidRPr="009B2CA8" w:rsidRDefault="009247DC" w:rsidP="009247DC">
      <w:pPr>
        <w:spacing w:after="0"/>
        <w:jc w:val="left"/>
        <w:rPr>
          <w:i/>
          <w:color w:val="auto"/>
          <w:lang w:val="en-GB"/>
        </w:rPr>
      </w:pPr>
      <w:r w:rsidRPr="009B2CA8">
        <w:rPr>
          <w:i/>
          <w:color w:val="auto"/>
          <w:lang w:val="en-GB"/>
        </w:rPr>
        <w:t>Cost allocation</w:t>
      </w:r>
    </w:p>
    <w:p w14:paraId="448517B9" w14:textId="77777777" w:rsidR="009247DC" w:rsidRPr="009B2CA8" w:rsidRDefault="009247DC" w:rsidP="009247DC">
      <w:pPr>
        <w:rPr>
          <w:color w:val="auto"/>
          <w:lang w:val="en-GB"/>
        </w:rPr>
      </w:pPr>
      <w:r w:rsidRPr="009B2CA8">
        <w:rPr>
          <w:color w:val="auto"/>
          <w:lang w:val="en-GB"/>
        </w:rPr>
        <w:t>The cost of outputs is determined using the cost allocation system outlined below.</w:t>
      </w:r>
    </w:p>
    <w:p w14:paraId="40EBDAF1" w14:textId="77777777" w:rsidR="009247DC" w:rsidRPr="009B2CA8" w:rsidRDefault="009247DC" w:rsidP="009247DC">
      <w:pPr>
        <w:rPr>
          <w:color w:val="auto"/>
          <w:lang w:val="en-GB"/>
        </w:rPr>
      </w:pPr>
      <w:r w:rsidRPr="009B2CA8">
        <w:rPr>
          <w:color w:val="auto"/>
          <w:lang w:val="en-GB"/>
        </w:rPr>
        <w:t>Direct costs are those costs directly attributed to an output. Indirect costs are those costs that cannot be identified in an economically feasible manner with a specific output. Direct costs are charged directly to outputs. Indirect costs are charged to outputs based on cost drivers and related activity or usage information. Indirect personnel costs are charged on the basis of estimated time incurred. Other indirect costs are assigned to outputs based on the proportion of direct staff headcount for each output.</w:t>
      </w:r>
    </w:p>
    <w:p w14:paraId="333B1503" w14:textId="77777777" w:rsidR="009247DC" w:rsidRPr="009B2CA8" w:rsidRDefault="009247DC" w:rsidP="009247DC">
      <w:pPr>
        <w:rPr>
          <w:color w:val="auto"/>
          <w:lang w:val="en-GB"/>
        </w:rPr>
      </w:pPr>
      <w:r w:rsidRPr="009B2CA8">
        <w:rPr>
          <w:color w:val="auto"/>
          <w:lang w:val="en-GB"/>
        </w:rPr>
        <w:t>There have been no changes to the cost allocation methodology since the date of the last audited financial statements.</w:t>
      </w:r>
    </w:p>
    <w:p w14:paraId="7CA1D62C" w14:textId="77777777" w:rsidR="009247DC" w:rsidRPr="009B2CA8" w:rsidRDefault="009247DC" w:rsidP="009247DC">
      <w:pPr>
        <w:spacing w:after="0"/>
        <w:jc w:val="left"/>
        <w:rPr>
          <w:i/>
          <w:color w:val="auto"/>
          <w:lang w:val="en-GB"/>
        </w:rPr>
      </w:pPr>
      <w:r w:rsidRPr="009B2CA8">
        <w:rPr>
          <w:i/>
          <w:color w:val="auto"/>
          <w:lang w:val="en-GB"/>
        </w:rPr>
        <w:t>Critical accounting estimates and assumptions</w:t>
      </w:r>
    </w:p>
    <w:p w14:paraId="67A25E21" w14:textId="77777777" w:rsidR="009247DC" w:rsidRPr="009B2CA8" w:rsidRDefault="009247DC" w:rsidP="009247DC">
      <w:pPr>
        <w:rPr>
          <w:color w:val="auto"/>
          <w:lang w:val="en-GB"/>
        </w:rPr>
      </w:pPr>
      <w:r w:rsidRPr="009B2CA8">
        <w:rPr>
          <w:color w:val="auto"/>
          <w:lang w:val="en-GB"/>
        </w:rPr>
        <w:t xml:space="preserve">In preparing these </w:t>
      </w:r>
      <w:r w:rsidRPr="009B2CA8">
        <w:rPr>
          <w:rStyle w:val="FinancialTextLight"/>
          <w:rFonts w:asciiTheme="minorHAnsi" w:hAnsiTheme="minorHAnsi"/>
          <w:bCs w:val="0"/>
          <w:color w:val="auto"/>
          <w:sz w:val="24"/>
          <w:szCs w:val="24"/>
        </w:rPr>
        <w:t>prospective</w:t>
      </w:r>
      <w:r w:rsidRPr="009B2CA8">
        <w:rPr>
          <w:rStyle w:val="FinancialTextLight"/>
          <w:rFonts w:asciiTheme="minorHAnsi" w:hAnsiTheme="minorHAnsi"/>
          <w:bCs w:val="0"/>
          <w:color w:val="auto"/>
        </w:rPr>
        <w:t xml:space="preserve"> </w:t>
      </w:r>
      <w:r w:rsidRPr="009B2CA8">
        <w:rPr>
          <w:color w:val="auto"/>
          <w:lang w:val="en-GB"/>
        </w:rPr>
        <w:t xml:space="preserve">financial statements, the Health and Disability Commissioner has made estimates and assumptions concerning the future. These estimates and assumptions may differ from the subsequent actual results. Estimates and assumptions are continually evaluated and are based on historical experience and other factors, including expectations of future events that are believed to be reasonable under the circumstances. The estimates and assumptions that </w:t>
      </w:r>
      <w:r w:rsidRPr="009B2CA8">
        <w:rPr>
          <w:color w:val="auto"/>
          <w:lang w:val="en-GB"/>
        </w:rPr>
        <w:lastRenderedPageBreak/>
        <w:t>have a significant risk of causing a material adjustment to the carrying amounts of assets and liabilities within the next financial year are discussed below.</w:t>
      </w:r>
    </w:p>
    <w:p w14:paraId="5B01F379" w14:textId="77777777" w:rsidR="009247DC" w:rsidRPr="009B2CA8" w:rsidRDefault="009247DC" w:rsidP="009247DC">
      <w:pPr>
        <w:spacing w:after="0"/>
        <w:jc w:val="left"/>
        <w:rPr>
          <w:i/>
          <w:color w:val="auto"/>
          <w:lang w:val="en-GB"/>
        </w:rPr>
      </w:pPr>
      <w:r w:rsidRPr="009B2CA8">
        <w:rPr>
          <w:i/>
          <w:color w:val="auto"/>
          <w:lang w:val="en-GB"/>
        </w:rPr>
        <w:t>Estimating useful lives and residual values of property, plant, and equipment</w:t>
      </w:r>
    </w:p>
    <w:p w14:paraId="74E660D7" w14:textId="77777777" w:rsidR="009247DC" w:rsidRPr="009B2CA8" w:rsidRDefault="009247DC" w:rsidP="009247DC">
      <w:pPr>
        <w:rPr>
          <w:color w:val="auto"/>
          <w:lang w:val="en-GB"/>
        </w:rPr>
      </w:pPr>
      <w:r w:rsidRPr="009B2CA8">
        <w:rPr>
          <w:color w:val="auto"/>
          <w:lang w:val="en-GB"/>
        </w:rPr>
        <w:t>At each balance date the Health and Disability Commissioner reviews the useful lives and residual values of its property, plant, and equipment. Assessing the appropriateness of useful life and residual value estimates of property, plant, and equipment requires the Health and Disability Commissioner to consider a number of factors such as the physical condition of the asset, expected period of use of the asset by the Health and Disability Commissioner, and expected disposal proceeds from the future sale of the asset.</w:t>
      </w:r>
    </w:p>
    <w:p w14:paraId="451E09EC" w14:textId="77777777" w:rsidR="009247DC" w:rsidRPr="009B2CA8" w:rsidRDefault="009247DC" w:rsidP="009247DC">
      <w:pPr>
        <w:spacing w:after="120"/>
        <w:rPr>
          <w:color w:val="auto"/>
          <w:lang w:val="en-GB"/>
        </w:rPr>
      </w:pPr>
      <w:r w:rsidRPr="009B2CA8">
        <w:rPr>
          <w:color w:val="auto"/>
          <w:lang w:val="en-GB"/>
        </w:rPr>
        <w:t>An incorrect estimate of the useful life or residual value will impact the depreciation expense recognised in the surplus or deficit, and carrying amount of the asset in the statement of financial position. The Health and Disability Commissioner minimises the risk of this estimation uncertainty by:</w:t>
      </w:r>
    </w:p>
    <w:p w14:paraId="2C6F7947" w14:textId="77777777" w:rsidR="009247DC" w:rsidRPr="009B2CA8" w:rsidRDefault="009247DC" w:rsidP="009247DC">
      <w:pPr>
        <w:pStyle w:val="Bullets"/>
        <w:numPr>
          <w:ilvl w:val="0"/>
          <w:numId w:val="0"/>
        </w:numPr>
        <w:rPr>
          <w:color w:val="auto"/>
        </w:rPr>
      </w:pPr>
      <w:r w:rsidRPr="009B2CA8">
        <w:rPr>
          <w:color w:val="auto"/>
        </w:rPr>
        <w:t>•   physical inspection of assets; and</w:t>
      </w:r>
    </w:p>
    <w:p w14:paraId="4B8C6AC4" w14:textId="77777777" w:rsidR="009247DC" w:rsidRPr="009B2CA8" w:rsidRDefault="009247DC" w:rsidP="009247DC">
      <w:pPr>
        <w:pStyle w:val="Bullets"/>
        <w:numPr>
          <w:ilvl w:val="0"/>
          <w:numId w:val="0"/>
        </w:numPr>
        <w:spacing w:after="240"/>
        <w:rPr>
          <w:color w:val="auto"/>
        </w:rPr>
      </w:pPr>
      <w:r w:rsidRPr="009B2CA8">
        <w:rPr>
          <w:color w:val="auto"/>
        </w:rPr>
        <w:t>•   asset replacement programmes.</w:t>
      </w:r>
    </w:p>
    <w:p w14:paraId="64E8B01A" w14:textId="77777777" w:rsidR="009247DC" w:rsidRPr="009B2CA8" w:rsidRDefault="009247DC" w:rsidP="009247DC">
      <w:pPr>
        <w:rPr>
          <w:color w:val="auto"/>
          <w:lang w:val="en-GB"/>
        </w:rPr>
      </w:pPr>
      <w:r w:rsidRPr="009B2CA8">
        <w:rPr>
          <w:color w:val="auto"/>
          <w:lang w:val="en-GB"/>
        </w:rPr>
        <w:t>The Health and Disability Commissioner has not made significant changes to past assumptions concerning useful lives and residual values. The carrying amounts of property, plant, and equipment are disclosed.</w:t>
      </w:r>
    </w:p>
    <w:p w14:paraId="4DB8B98D" w14:textId="77777777" w:rsidR="009247DC" w:rsidRPr="009B2CA8" w:rsidRDefault="009247DC" w:rsidP="009247DC">
      <w:pPr>
        <w:spacing w:after="0"/>
        <w:jc w:val="left"/>
        <w:rPr>
          <w:i/>
          <w:color w:val="auto"/>
          <w:lang w:val="en-GB"/>
        </w:rPr>
      </w:pPr>
      <w:r w:rsidRPr="009B2CA8">
        <w:rPr>
          <w:i/>
          <w:color w:val="auto"/>
          <w:lang w:val="en-GB"/>
        </w:rPr>
        <w:t>Critical judgements in applying accounting policies</w:t>
      </w:r>
    </w:p>
    <w:p w14:paraId="42B32379" w14:textId="77777777" w:rsidR="009247DC" w:rsidRPr="009B2CA8" w:rsidRDefault="009247DC" w:rsidP="009247DC">
      <w:pPr>
        <w:rPr>
          <w:color w:val="auto"/>
          <w:lang w:val="en-GB"/>
        </w:rPr>
      </w:pPr>
      <w:r w:rsidRPr="009B2CA8">
        <w:rPr>
          <w:color w:val="auto"/>
          <w:lang w:val="en-GB"/>
        </w:rPr>
        <w:t xml:space="preserve">Management has exercised the following critical judgements in applying accounting policies </w:t>
      </w:r>
      <w:r w:rsidRPr="009B2CA8">
        <w:rPr>
          <w:rStyle w:val="FinancialTextLight"/>
          <w:rFonts w:asciiTheme="minorHAnsi" w:hAnsiTheme="minorHAnsi"/>
          <w:bCs w:val="0"/>
          <w:color w:val="auto"/>
          <w:sz w:val="24"/>
          <w:szCs w:val="24"/>
        </w:rPr>
        <w:t>at each balance date</w:t>
      </w:r>
      <w:r w:rsidRPr="009B2CA8">
        <w:rPr>
          <w:color w:val="auto"/>
          <w:lang w:val="en-GB"/>
        </w:rPr>
        <w:t>:</w:t>
      </w:r>
    </w:p>
    <w:p w14:paraId="6D64BD35" w14:textId="77777777" w:rsidR="009247DC" w:rsidRPr="009B2CA8" w:rsidRDefault="009247DC" w:rsidP="009247DC">
      <w:pPr>
        <w:spacing w:after="0"/>
        <w:jc w:val="left"/>
        <w:rPr>
          <w:color w:val="auto"/>
          <w:u w:val="single"/>
          <w:lang w:val="en-GB"/>
        </w:rPr>
      </w:pPr>
      <w:r w:rsidRPr="009B2CA8">
        <w:rPr>
          <w:color w:val="auto"/>
          <w:u w:val="single"/>
          <w:lang w:val="en-GB"/>
        </w:rPr>
        <w:t>Lease classification</w:t>
      </w:r>
    </w:p>
    <w:p w14:paraId="4CBB9BCE" w14:textId="77777777" w:rsidR="009247DC" w:rsidRPr="009B2CA8" w:rsidRDefault="009247DC" w:rsidP="009247DC">
      <w:pPr>
        <w:rPr>
          <w:color w:val="auto"/>
          <w:lang w:val="en-GB"/>
        </w:rPr>
      </w:pPr>
      <w:r w:rsidRPr="009B2CA8">
        <w:rPr>
          <w:color w:val="auto"/>
          <w:lang w:val="en-GB"/>
        </w:rPr>
        <w:t>Determining whether a lease agreement is a finance lease or an operating lease requires judgement as to whether the agreement transfers substantially all the risks and rewards of ownership to the Health and Disability Commissioner.</w:t>
      </w:r>
    </w:p>
    <w:p w14:paraId="545509EC" w14:textId="77777777" w:rsidR="009247DC" w:rsidRPr="009B2CA8" w:rsidRDefault="009247DC" w:rsidP="009247DC">
      <w:pPr>
        <w:rPr>
          <w:color w:val="auto"/>
          <w:lang w:val="en-GB"/>
        </w:rPr>
      </w:pPr>
      <w:r w:rsidRPr="009B2CA8">
        <w:rPr>
          <w:color w:val="auto"/>
          <w:lang w:val="en-GB"/>
        </w:rPr>
        <w:t>Judgement is required on various aspects that include, but are not limited to, the fair value of the leased asset, the economic life of the leased asset, whether or not to include renewal options in the lease term, and determining an appropriate discount rate to calculate the present value of the minimum lease payments. Classification as a finance lease means the asset is recognised in the statement of financial position as property, plant, and equipment, whereas for an operating lease no such asset is recognised.</w:t>
      </w:r>
    </w:p>
    <w:p w14:paraId="5D6A85A3" w14:textId="77777777" w:rsidR="009247DC" w:rsidRPr="009B2CA8" w:rsidRDefault="009247DC" w:rsidP="009247DC">
      <w:pPr>
        <w:rPr>
          <w:color w:val="auto"/>
          <w:lang w:val="en-GB"/>
        </w:rPr>
      </w:pPr>
      <w:r w:rsidRPr="009B2CA8">
        <w:rPr>
          <w:color w:val="auto"/>
          <w:lang w:val="en-GB"/>
        </w:rPr>
        <w:t>The Health and Disability Commissioner has exercised its judgement on the appropriate classification of equipment leases, and has determined that no lease arrangements are finance leases.</w:t>
      </w:r>
    </w:p>
    <w:p w14:paraId="5A95B56D" w14:textId="77777777" w:rsidR="009247DC" w:rsidRPr="009B2CA8" w:rsidRDefault="009247DC" w:rsidP="009247DC">
      <w:pPr>
        <w:rPr>
          <w:color w:val="auto"/>
          <w:lang w:val="en-GB"/>
        </w:rPr>
      </w:pPr>
      <w:r w:rsidRPr="009B2CA8">
        <w:rPr>
          <w:color w:val="auto"/>
          <w:lang w:val="en-GB"/>
        </w:rPr>
        <w:t>Lease incentives received are recognised in the surplus or deficit over the lease term as an integral part of the lease expense.</w:t>
      </w:r>
    </w:p>
    <w:p w14:paraId="3C5DF010" w14:textId="77777777" w:rsidR="009247DC" w:rsidRPr="009B2CA8" w:rsidRDefault="009247DC" w:rsidP="009247DC">
      <w:pPr>
        <w:spacing w:after="0"/>
        <w:jc w:val="left"/>
        <w:rPr>
          <w:i/>
          <w:color w:val="auto"/>
        </w:rPr>
      </w:pPr>
      <w:r w:rsidRPr="009B2CA8">
        <w:rPr>
          <w:i/>
          <w:color w:val="auto"/>
        </w:rPr>
        <w:t>Statement of changes in accounting policies</w:t>
      </w:r>
    </w:p>
    <w:p w14:paraId="7ACF6B01" w14:textId="77777777" w:rsidR="009247DC" w:rsidRPr="009B2CA8" w:rsidRDefault="009247DC" w:rsidP="009247DC">
      <w:pPr>
        <w:rPr>
          <w:color w:val="auto"/>
          <w:lang w:val="en-GB"/>
        </w:rPr>
      </w:pPr>
      <w:r w:rsidRPr="009B2CA8">
        <w:rPr>
          <w:color w:val="auto"/>
        </w:rPr>
        <w:t xml:space="preserve">There have been no changes in existing accounting policies. </w:t>
      </w:r>
    </w:p>
    <w:p w14:paraId="31571264" w14:textId="77777777" w:rsidR="003B22F5" w:rsidRPr="009B2CA8" w:rsidRDefault="003B22F5" w:rsidP="003A457B">
      <w:pPr>
        <w:spacing w:after="0"/>
        <w:rPr>
          <w:color w:val="auto"/>
        </w:rPr>
      </w:pPr>
    </w:p>
    <w:sectPr w:rsidR="003B22F5" w:rsidRPr="009B2CA8" w:rsidSect="009247DC">
      <w:pgSz w:w="11906" w:h="16838" w:code="9"/>
      <w:pgMar w:top="1276" w:right="1276" w:bottom="1276"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B15F" w14:textId="77777777" w:rsidR="00612BF5" w:rsidRDefault="00612BF5" w:rsidP="00E76939">
      <w:r>
        <w:separator/>
      </w:r>
    </w:p>
  </w:endnote>
  <w:endnote w:type="continuationSeparator" w:id="0">
    <w:p w14:paraId="5C89944C" w14:textId="77777777" w:rsidR="00612BF5" w:rsidRDefault="00612BF5" w:rsidP="00E76939">
      <w:r>
        <w:continuationSeparator/>
      </w:r>
    </w:p>
  </w:endnote>
  <w:endnote w:type="continuationNotice" w:id="1">
    <w:p w14:paraId="3445F34D" w14:textId="77777777" w:rsidR="00612BF5" w:rsidRDefault="00612BF5" w:rsidP="00E7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lliard">
    <w:panose1 w:val="00000000000000000000"/>
    <w:charset w:val="00"/>
    <w:family w:val="roman"/>
    <w:notTrueType/>
    <w:pitch w:val="variable"/>
    <w:sig w:usb0="00000003" w:usb1="00000000" w:usb2="00000000" w:usb3="00000000" w:csb0="00000001" w:csb1="00000000"/>
  </w:font>
  <w:font w:name="TheSans B4 SemiLight">
    <w:panose1 w:val="00000000000000000000"/>
    <w:charset w:val="00"/>
    <w:family w:val="swiss"/>
    <w:notTrueType/>
    <w:pitch w:val="variable"/>
    <w:sig w:usb0="00000083" w:usb1="00000000" w:usb2="00000000" w:usb3="00000000" w:csb0="00000009" w:csb1="00000000"/>
  </w:font>
  <w:font w:name="TheSans B6 SemiBold">
    <w:altName w:val="Arial"/>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he Sans Semi Bold- Bold Plain">
    <w:panose1 w:val="00000000000000000000"/>
    <w:charset w:val="00"/>
    <w:family w:val="auto"/>
    <w:notTrueType/>
    <w:pitch w:val="default"/>
    <w:sig w:usb0="00000003" w:usb1="00000000" w:usb2="00000000" w:usb3="00000000" w:csb0="00000001" w:csb1="00000000"/>
  </w:font>
  <w:font w:name="TheSans-B4SemiLight">
    <w:altName w:val="Calibri"/>
    <w:panose1 w:val="00000000000000000000"/>
    <w:charset w:val="00"/>
    <w:family w:val="auto"/>
    <w:notTrueType/>
    <w:pitch w:val="default"/>
    <w:sig w:usb0="00000003" w:usb1="00000000" w:usb2="00000000" w:usb3="00000000" w:csb0="00000001" w:csb1="00000000"/>
  </w:font>
  <w:font w:name="TheSans-B7Bold">
    <w:panose1 w:val="00000000000000000000"/>
    <w:charset w:val="00"/>
    <w:family w:val="auto"/>
    <w:notTrueType/>
    <w:pitch w:val="default"/>
    <w:sig w:usb0="00000003" w:usb1="00000000" w:usb2="00000000" w:usb3="00000000" w:csb0="00000001" w:csb1="00000000"/>
  </w:font>
  <w:font w:name="TheSans-B6SemiBoldItalic">
    <w:panose1 w:val="00000000000000000000"/>
    <w:charset w:val="00"/>
    <w:family w:val="auto"/>
    <w:notTrueType/>
    <w:pitch w:val="default"/>
    <w:sig w:usb0="00000003" w:usb1="00000000" w:usb2="00000000" w:usb3="00000000" w:csb0="00000001" w:csb1="00000000"/>
  </w:font>
  <w:font w:name="TheSansSemiBold">
    <w:altName w:val="Times New Roman"/>
    <w:charset w:val="00"/>
    <w:family w:val="auto"/>
    <w:pitch w:val="variable"/>
    <w:sig w:usb0="00000083" w:usb1="00000000" w:usb2="00000000" w:usb3="00000000" w:csb0="00000009" w:csb1="00000000"/>
  </w:font>
  <w:font w:name="SourceSansVariable-Roman">
    <w:altName w:val="MS Gothic"/>
    <w:panose1 w:val="00000000000000000000"/>
    <w:charset w:val="80"/>
    <w:family w:val="swiss"/>
    <w:notTrueType/>
    <w:pitch w:val="default"/>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97E9" w14:textId="77777777" w:rsidR="00612BF5" w:rsidRDefault="00612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08D1" w14:textId="77777777" w:rsidR="00612BF5" w:rsidRDefault="00612BF5" w:rsidP="00FA6A9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CF7B" w14:textId="77777777" w:rsidR="00612BF5" w:rsidRDefault="00612B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8CDF" w14:textId="148CB45E" w:rsidR="00612BF5" w:rsidRPr="007A35EE" w:rsidRDefault="00612BF5">
    <w:pPr>
      <w:pStyle w:val="Footer"/>
      <w:rPr>
        <w:sz w:val="22"/>
        <w:szCs w:val="22"/>
      </w:rPr>
    </w:pPr>
    <w:r w:rsidRPr="007A35EE">
      <w:rPr>
        <w:sz w:val="22"/>
        <w:szCs w:val="22"/>
      </w:rPr>
      <w:fldChar w:fldCharType="begin"/>
    </w:r>
    <w:r w:rsidRPr="007A35EE">
      <w:rPr>
        <w:sz w:val="22"/>
        <w:szCs w:val="22"/>
      </w:rPr>
      <w:instrText xml:space="preserve"> PAGE   \* MERGEFORMAT </w:instrText>
    </w:r>
    <w:r w:rsidRPr="007A35EE">
      <w:rPr>
        <w:sz w:val="22"/>
        <w:szCs w:val="22"/>
      </w:rPr>
      <w:fldChar w:fldCharType="separate"/>
    </w:r>
    <w:r>
      <w:rPr>
        <w:noProof/>
        <w:sz w:val="22"/>
        <w:szCs w:val="22"/>
      </w:rPr>
      <w:t>2</w:t>
    </w:r>
    <w:r w:rsidRPr="007A35EE">
      <w:rPr>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575629456"/>
      <w:docPartObj>
        <w:docPartGallery w:val="Page Numbers (Bottom of Page)"/>
        <w:docPartUnique/>
      </w:docPartObj>
    </w:sdtPr>
    <w:sdtEndPr>
      <w:rPr>
        <w:sz w:val="24"/>
        <w:szCs w:val="24"/>
      </w:rPr>
    </w:sdtEndPr>
    <w:sdtContent>
      <w:p w14:paraId="762F8164" w14:textId="38EEF0B2" w:rsidR="00612BF5" w:rsidRDefault="00612BF5" w:rsidP="00FA6A94">
        <w:pPr>
          <w:pStyle w:val="Footer"/>
          <w:jc w:val="right"/>
        </w:pPr>
        <w:r w:rsidRPr="00EC34E8">
          <w:rPr>
            <w:sz w:val="22"/>
            <w:szCs w:val="22"/>
          </w:rPr>
          <w:fldChar w:fldCharType="begin"/>
        </w:r>
        <w:r w:rsidRPr="00EC34E8">
          <w:rPr>
            <w:sz w:val="22"/>
            <w:szCs w:val="22"/>
          </w:rPr>
          <w:instrText xml:space="preserve"> PAGE   \* MERGEFORMAT </w:instrText>
        </w:r>
        <w:r w:rsidRPr="00EC34E8">
          <w:rPr>
            <w:sz w:val="22"/>
            <w:szCs w:val="22"/>
          </w:rPr>
          <w:fldChar w:fldCharType="separate"/>
        </w:r>
        <w:r w:rsidR="00AD1CF1">
          <w:rPr>
            <w:noProof/>
            <w:sz w:val="22"/>
            <w:szCs w:val="22"/>
          </w:rPr>
          <w:t>6</w:t>
        </w:r>
        <w:r w:rsidRPr="00EC34E8">
          <w:rPr>
            <w:noProof/>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A79" w14:textId="05A2CFBD" w:rsidR="00612BF5" w:rsidRPr="007A35EE" w:rsidRDefault="00612BF5">
    <w:pPr>
      <w:pStyle w:val="Footer"/>
      <w:rPr>
        <w:sz w:val="22"/>
        <w:szCs w:val="22"/>
      </w:rPr>
    </w:pPr>
    <w:r w:rsidRPr="007A35EE">
      <w:rPr>
        <w:sz w:val="22"/>
        <w:szCs w:val="22"/>
      </w:rPr>
      <w:fldChar w:fldCharType="begin"/>
    </w:r>
    <w:r w:rsidRPr="007A35EE">
      <w:rPr>
        <w:sz w:val="22"/>
        <w:szCs w:val="22"/>
      </w:rPr>
      <w:instrText xml:space="preserve"> PAGE   \* MERGEFORMAT </w:instrText>
    </w:r>
    <w:r w:rsidRPr="007A35EE">
      <w:rPr>
        <w:sz w:val="22"/>
        <w:szCs w:val="22"/>
      </w:rPr>
      <w:fldChar w:fldCharType="separate"/>
    </w:r>
    <w:r>
      <w:rPr>
        <w:noProof/>
        <w:sz w:val="22"/>
        <w:szCs w:val="22"/>
      </w:rPr>
      <w:t>26</w:t>
    </w:r>
    <w:r w:rsidRPr="007A35EE">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247419193"/>
      <w:docPartObj>
        <w:docPartGallery w:val="Page Numbers (Bottom of Page)"/>
        <w:docPartUnique/>
      </w:docPartObj>
    </w:sdtPr>
    <w:sdtEndPr>
      <w:rPr>
        <w:sz w:val="24"/>
        <w:szCs w:val="24"/>
      </w:rPr>
    </w:sdtEndPr>
    <w:sdtContent>
      <w:p w14:paraId="011B989D" w14:textId="307B3E5F" w:rsidR="00612BF5" w:rsidRDefault="00612BF5" w:rsidP="00FA6A94">
        <w:pPr>
          <w:pStyle w:val="Footer"/>
          <w:jc w:val="right"/>
        </w:pPr>
        <w:r w:rsidRPr="00EC34E8">
          <w:rPr>
            <w:sz w:val="22"/>
            <w:szCs w:val="22"/>
          </w:rPr>
          <w:fldChar w:fldCharType="begin"/>
        </w:r>
        <w:r w:rsidRPr="00EC34E8">
          <w:rPr>
            <w:sz w:val="22"/>
            <w:szCs w:val="22"/>
          </w:rPr>
          <w:instrText xml:space="preserve"> PAGE   \* MERGEFORMAT </w:instrText>
        </w:r>
        <w:r w:rsidRPr="00EC34E8">
          <w:rPr>
            <w:sz w:val="22"/>
            <w:szCs w:val="22"/>
          </w:rPr>
          <w:fldChar w:fldCharType="separate"/>
        </w:r>
        <w:r w:rsidR="00AD1CF1">
          <w:rPr>
            <w:noProof/>
            <w:sz w:val="22"/>
            <w:szCs w:val="22"/>
          </w:rPr>
          <w:t>38</w:t>
        </w:r>
        <w:r w:rsidRPr="00EC34E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430A" w14:textId="77777777" w:rsidR="00612BF5" w:rsidRDefault="00612BF5" w:rsidP="00E76939">
      <w:r>
        <w:separator/>
      </w:r>
    </w:p>
  </w:footnote>
  <w:footnote w:type="continuationSeparator" w:id="0">
    <w:p w14:paraId="3C7074B3" w14:textId="77777777" w:rsidR="00612BF5" w:rsidRDefault="00612BF5" w:rsidP="00E76939">
      <w:r>
        <w:continuationSeparator/>
      </w:r>
    </w:p>
  </w:footnote>
  <w:footnote w:type="continuationNotice" w:id="1">
    <w:p w14:paraId="6305DB32" w14:textId="77777777" w:rsidR="00612BF5" w:rsidRDefault="00612BF5" w:rsidP="00E76939"/>
  </w:footnote>
  <w:footnote w:id="2">
    <w:p w14:paraId="07A1461C" w14:textId="4D393F80" w:rsidR="00612BF5" w:rsidRPr="0080611E" w:rsidRDefault="00612BF5" w:rsidP="003C5139">
      <w:pPr>
        <w:pStyle w:val="FootnoteText"/>
        <w:spacing w:after="0"/>
        <w:rPr>
          <w:sz w:val="20"/>
          <w:szCs w:val="20"/>
          <w:lang w:val="en-US"/>
        </w:rPr>
      </w:pPr>
      <w:r w:rsidRPr="0080611E">
        <w:rPr>
          <w:rStyle w:val="FootnoteReference"/>
          <w:sz w:val="20"/>
          <w:szCs w:val="20"/>
        </w:rPr>
        <w:footnoteRef/>
      </w:r>
      <w:r w:rsidRPr="0080611E">
        <w:rPr>
          <w:sz w:val="20"/>
          <w:szCs w:val="20"/>
        </w:rPr>
        <w:t xml:space="preserve"> </w:t>
      </w:r>
      <w:r w:rsidRPr="0080611E">
        <w:rPr>
          <w:sz w:val="20"/>
          <w:szCs w:val="20"/>
          <w:lang w:val="en-US"/>
        </w:rPr>
        <w:t>HDC has changed its timeliness measure to focus on time to closure rather than age of open complaints</w:t>
      </w:r>
      <w:r>
        <w:rPr>
          <w:sz w:val="20"/>
          <w:szCs w:val="20"/>
          <w:lang w:val="en-US"/>
        </w:rPr>
        <w:t>,</w:t>
      </w:r>
      <w:r w:rsidRPr="0080611E">
        <w:rPr>
          <w:sz w:val="20"/>
          <w:szCs w:val="20"/>
          <w:lang w:val="en-US"/>
        </w:rPr>
        <w:t xml:space="preserve"> as it better captures HDC’s focus on early resolution and that investigations can take up to two years to close. </w:t>
      </w:r>
      <w:r>
        <w:rPr>
          <w:sz w:val="20"/>
          <w:szCs w:val="20"/>
          <w:lang w:val="en-US"/>
        </w:rPr>
        <w:t xml:space="preserve">HDC has retained a target in regard to age of open complaints over 24 months old, as this takes into consideration the time to closure for investigations. </w:t>
      </w:r>
      <w:r w:rsidRPr="0080611E">
        <w:rPr>
          <w:sz w:val="20"/>
          <w:szCs w:val="20"/>
          <w:lang w:val="en-US"/>
        </w:rPr>
        <w:t xml:space="preserve">HDC will </w:t>
      </w:r>
      <w:r>
        <w:rPr>
          <w:sz w:val="20"/>
          <w:szCs w:val="20"/>
          <w:lang w:val="en-US"/>
        </w:rPr>
        <w:t>also continue to monitor, report, and publish</w:t>
      </w:r>
      <w:r w:rsidRPr="0080611E">
        <w:rPr>
          <w:sz w:val="20"/>
          <w:szCs w:val="20"/>
          <w:lang w:val="en-US"/>
        </w:rPr>
        <w:t xml:space="preserve"> the age of open files in its annual report.  </w:t>
      </w:r>
    </w:p>
  </w:footnote>
  <w:footnote w:id="3">
    <w:p w14:paraId="7F8791C7" w14:textId="03BBFB84" w:rsidR="00E85C55" w:rsidRPr="00942238" w:rsidRDefault="00E85C55">
      <w:pPr>
        <w:pStyle w:val="FootnoteText"/>
        <w:rPr>
          <w:sz w:val="18"/>
          <w:szCs w:val="18"/>
          <w:lang w:val="en-US"/>
        </w:rPr>
      </w:pPr>
      <w:r w:rsidRPr="00942238">
        <w:rPr>
          <w:rStyle w:val="FootnoteReference"/>
          <w:sz w:val="18"/>
          <w:szCs w:val="18"/>
        </w:rPr>
        <w:footnoteRef/>
      </w:r>
      <w:r w:rsidRPr="00942238">
        <w:rPr>
          <w:sz w:val="18"/>
          <w:szCs w:val="18"/>
        </w:rPr>
        <w:t xml:space="preserve"> </w:t>
      </w:r>
      <w:r w:rsidR="00942238" w:rsidRPr="00942238">
        <w:rPr>
          <w:sz w:val="18"/>
          <w:szCs w:val="18"/>
        </w:rPr>
        <w:t>In 2023/24, HDC removed the quantitative measure, i.e. the success rate, which does not represent the nuanced nature of proceedings or how decisions are made by various tribunals.</w:t>
      </w:r>
    </w:p>
  </w:footnote>
  <w:footnote w:id="4">
    <w:p w14:paraId="76625F07" w14:textId="6C2F97F3" w:rsidR="00612BF5" w:rsidRPr="00F70760" w:rsidRDefault="00612BF5" w:rsidP="008E478B">
      <w:pPr>
        <w:pStyle w:val="FootnoteText"/>
        <w:tabs>
          <w:tab w:val="left" w:pos="11054"/>
        </w:tabs>
        <w:rPr>
          <w:sz w:val="16"/>
          <w:szCs w:val="16"/>
          <w:lang w:val="en-US"/>
        </w:rPr>
      </w:pPr>
      <w:r>
        <w:rPr>
          <w:rStyle w:val="FootnoteReference"/>
        </w:rPr>
        <w:footnoteRef/>
      </w:r>
      <w:r>
        <w:t xml:space="preserve"> </w:t>
      </w:r>
      <w:r>
        <w:rPr>
          <w:sz w:val="16"/>
          <w:szCs w:val="16"/>
        </w:rPr>
        <w:t xml:space="preserve">This is a new performance indicator for 2023/24 and was selected as it better represents Advocacy Services’ activities in relation to this appropriation.  </w:t>
      </w:r>
      <w:r>
        <w:rPr>
          <w:sz w:val="16"/>
          <w:szCs w:val="16"/>
        </w:rPr>
        <w:tab/>
      </w:r>
    </w:p>
  </w:footnote>
  <w:footnote w:id="5">
    <w:p w14:paraId="64E056AF" w14:textId="77777777" w:rsidR="00612BF5" w:rsidRDefault="00612BF5" w:rsidP="008022E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6ACC" w14:textId="77777777" w:rsidR="00612BF5" w:rsidRDefault="00612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3B49" w14:textId="77777777" w:rsidR="00612BF5" w:rsidRDefault="00612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A2CB" w14:textId="77777777" w:rsidR="00612BF5" w:rsidRDefault="00612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CB35" w14:textId="77777777" w:rsidR="00612BF5" w:rsidRDefault="00612B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62F3" w14:textId="77777777" w:rsidR="00612BF5" w:rsidRDefault="00612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3B5"/>
    <w:multiLevelType w:val="hybridMultilevel"/>
    <w:tmpl w:val="C31A53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704ADB"/>
    <w:multiLevelType w:val="hybridMultilevel"/>
    <w:tmpl w:val="E7704C0A"/>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2612736"/>
    <w:multiLevelType w:val="hybridMultilevel"/>
    <w:tmpl w:val="F04408B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3C32777F"/>
    <w:multiLevelType w:val="hybridMultilevel"/>
    <w:tmpl w:val="41A6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D192729"/>
    <w:multiLevelType w:val="hybridMultilevel"/>
    <w:tmpl w:val="E60E63A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86102F"/>
    <w:multiLevelType w:val="hybridMultilevel"/>
    <w:tmpl w:val="FA30A85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A80594"/>
    <w:multiLevelType w:val="hybridMultilevel"/>
    <w:tmpl w:val="624C9538"/>
    <w:lvl w:ilvl="0" w:tplc="EFC6349E">
      <w:start w:val="1"/>
      <w:numFmt w:val="bullet"/>
      <w:pStyle w:val="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62A0E80"/>
    <w:multiLevelType w:val="hybridMultilevel"/>
    <w:tmpl w:val="D0EEC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777E74"/>
    <w:multiLevelType w:val="hybridMultilevel"/>
    <w:tmpl w:val="D36C5F42"/>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9" w15:restartNumberingAfterBreak="0">
    <w:nsid w:val="4B070AA0"/>
    <w:multiLevelType w:val="hybridMultilevel"/>
    <w:tmpl w:val="794235EE"/>
    <w:lvl w:ilvl="0" w:tplc="01DCB31E">
      <w:numFmt w:val="bullet"/>
      <w:lvlText w:val="—"/>
      <w:lvlJc w:val="left"/>
      <w:pPr>
        <w:ind w:left="1232" w:hanging="360"/>
      </w:pPr>
      <w:rPr>
        <w:rFonts w:ascii="Calibri" w:eastAsiaTheme="minorHAnsi" w:hAnsi="Calibri" w:cs="Calibri" w:hint="default"/>
        <w:b w:val="0"/>
      </w:rPr>
    </w:lvl>
    <w:lvl w:ilvl="1" w:tplc="14090003">
      <w:start w:val="1"/>
      <w:numFmt w:val="bullet"/>
      <w:lvlText w:val="o"/>
      <w:lvlJc w:val="left"/>
      <w:pPr>
        <w:ind w:left="1952" w:hanging="360"/>
      </w:pPr>
      <w:rPr>
        <w:rFonts w:ascii="Courier New" w:hAnsi="Courier New" w:cs="Courier New" w:hint="default"/>
      </w:rPr>
    </w:lvl>
    <w:lvl w:ilvl="2" w:tplc="14090005" w:tentative="1">
      <w:start w:val="1"/>
      <w:numFmt w:val="bullet"/>
      <w:lvlText w:val=""/>
      <w:lvlJc w:val="left"/>
      <w:pPr>
        <w:ind w:left="2672" w:hanging="360"/>
      </w:pPr>
      <w:rPr>
        <w:rFonts w:ascii="Wingdings" w:hAnsi="Wingdings" w:hint="default"/>
      </w:rPr>
    </w:lvl>
    <w:lvl w:ilvl="3" w:tplc="14090001" w:tentative="1">
      <w:start w:val="1"/>
      <w:numFmt w:val="bullet"/>
      <w:lvlText w:val=""/>
      <w:lvlJc w:val="left"/>
      <w:pPr>
        <w:ind w:left="3392" w:hanging="360"/>
      </w:pPr>
      <w:rPr>
        <w:rFonts w:ascii="Symbol" w:hAnsi="Symbol" w:hint="default"/>
      </w:rPr>
    </w:lvl>
    <w:lvl w:ilvl="4" w:tplc="14090003" w:tentative="1">
      <w:start w:val="1"/>
      <w:numFmt w:val="bullet"/>
      <w:lvlText w:val="o"/>
      <w:lvlJc w:val="left"/>
      <w:pPr>
        <w:ind w:left="4112" w:hanging="360"/>
      </w:pPr>
      <w:rPr>
        <w:rFonts w:ascii="Courier New" w:hAnsi="Courier New" w:cs="Courier New" w:hint="default"/>
      </w:rPr>
    </w:lvl>
    <w:lvl w:ilvl="5" w:tplc="14090005" w:tentative="1">
      <w:start w:val="1"/>
      <w:numFmt w:val="bullet"/>
      <w:lvlText w:val=""/>
      <w:lvlJc w:val="left"/>
      <w:pPr>
        <w:ind w:left="4832" w:hanging="360"/>
      </w:pPr>
      <w:rPr>
        <w:rFonts w:ascii="Wingdings" w:hAnsi="Wingdings" w:hint="default"/>
      </w:rPr>
    </w:lvl>
    <w:lvl w:ilvl="6" w:tplc="14090001" w:tentative="1">
      <w:start w:val="1"/>
      <w:numFmt w:val="bullet"/>
      <w:lvlText w:val=""/>
      <w:lvlJc w:val="left"/>
      <w:pPr>
        <w:ind w:left="5552" w:hanging="360"/>
      </w:pPr>
      <w:rPr>
        <w:rFonts w:ascii="Symbol" w:hAnsi="Symbol" w:hint="default"/>
      </w:rPr>
    </w:lvl>
    <w:lvl w:ilvl="7" w:tplc="14090003" w:tentative="1">
      <w:start w:val="1"/>
      <w:numFmt w:val="bullet"/>
      <w:lvlText w:val="o"/>
      <w:lvlJc w:val="left"/>
      <w:pPr>
        <w:ind w:left="6272" w:hanging="360"/>
      </w:pPr>
      <w:rPr>
        <w:rFonts w:ascii="Courier New" w:hAnsi="Courier New" w:cs="Courier New" w:hint="default"/>
      </w:rPr>
    </w:lvl>
    <w:lvl w:ilvl="8" w:tplc="14090005" w:tentative="1">
      <w:start w:val="1"/>
      <w:numFmt w:val="bullet"/>
      <w:lvlText w:val=""/>
      <w:lvlJc w:val="left"/>
      <w:pPr>
        <w:ind w:left="6992" w:hanging="360"/>
      </w:pPr>
      <w:rPr>
        <w:rFonts w:ascii="Wingdings" w:hAnsi="Wingdings" w:hint="default"/>
      </w:rPr>
    </w:lvl>
  </w:abstractNum>
  <w:abstractNum w:abstractNumId="10" w15:restartNumberingAfterBreak="0">
    <w:nsid w:val="5C5B529C"/>
    <w:multiLevelType w:val="hybridMultilevel"/>
    <w:tmpl w:val="F8AC7742"/>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E0406E8"/>
    <w:multiLevelType w:val="hybridMultilevel"/>
    <w:tmpl w:val="4B72C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4A1547"/>
    <w:multiLevelType w:val="hybridMultilevel"/>
    <w:tmpl w:val="D152D42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A0D42F7"/>
    <w:multiLevelType w:val="multilevel"/>
    <w:tmpl w:val="812ACAE6"/>
    <w:lvl w:ilvl="0">
      <w:start w:val="1"/>
      <w:numFmt w:val="decimal"/>
      <w:pStyle w:val="ARHeading1"/>
      <w:lvlText w:val="%1.0"/>
      <w:lvlJc w:val="left"/>
      <w:pPr>
        <w:ind w:left="720" w:hanging="720"/>
      </w:pPr>
      <w:rPr>
        <w:rFonts w:hint="default"/>
        <w:b/>
        <w:sz w:val="40"/>
        <w:szCs w:val="40"/>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4" w15:restartNumberingAfterBreak="0">
    <w:nsid w:val="6A6A4337"/>
    <w:multiLevelType w:val="hybridMultilevel"/>
    <w:tmpl w:val="0D7E09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42F74F6"/>
    <w:multiLevelType w:val="hybridMultilevel"/>
    <w:tmpl w:val="B58EB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4064962">
    <w:abstractNumId w:val="13"/>
  </w:num>
  <w:num w:numId="2" w16cid:durableId="101187602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605903">
    <w:abstractNumId w:val="0"/>
  </w:num>
  <w:num w:numId="4" w16cid:durableId="1866213667">
    <w:abstractNumId w:val="14"/>
  </w:num>
  <w:num w:numId="5" w16cid:durableId="1803115249">
    <w:abstractNumId w:val="3"/>
  </w:num>
  <w:num w:numId="6" w16cid:durableId="1675186120">
    <w:abstractNumId w:val="8"/>
  </w:num>
  <w:num w:numId="7" w16cid:durableId="1715688024">
    <w:abstractNumId w:val="1"/>
  </w:num>
  <w:num w:numId="8" w16cid:durableId="1472988241">
    <w:abstractNumId w:val="12"/>
  </w:num>
  <w:num w:numId="9" w16cid:durableId="1689410776">
    <w:abstractNumId w:val="7"/>
  </w:num>
  <w:num w:numId="10" w16cid:durableId="306013461">
    <w:abstractNumId w:val="11"/>
  </w:num>
  <w:num w:numId="11" w16cid:durableId="179710651">
    <w:abstractNumId w:val="5"/>
  </w:num>
  <w:num w:numId="12" w16cid:durableId="1365205448">
    <w:abstractNumId w:val="9"/>
  </w:num>
  <w:num w:numId="13" w16cid:durableId="1111128067">
    <w:abstractNumId w:val="10"/>
  </w:num>
  <w:num w:numId="14" w16cid:durableId="1052313417">
    <w:abstractNumId w:val="2"/>
  </w:num>
  <w:num w:numId="15" w16cid:durableId="1386950067">
    <w:abstractNumId w:val="15"/>
  </w:num>
  <w:num w:numId="16" w16cid:durableId="11941733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NZ"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yMTYzNzUzNjEwMDNU0lEKTi0uzszPAykwNagFAATkngYtAAAA"/>
  </w:docVars>
  <w:rsids>
    <w:rsidRoot w:val="00610B25"/>
    <w:rsid w:val="00001930"/>
    <w:rsid w:val="0000449D"/>
    <w:rsid w:val="00004B74"/>
    <w:rsid w:val="00006912"/>
    <w:rsid w:val="00010201"/>
    <w:rsid w:val="00012817"/>
    <w:rsid w:val="000131D2"/>
    <w:rsid w:val="000133DC"/>
    <w:rsid w:val="00013486"/>
    <w:rsid w:val="000135CF"/>
    <w:rsid w:val="0001559F"/>
    <w:rsid w:val="00015FDE"/>
    <w:rsid w:val="00016074"/>
    <w:rsid w:val="00020234"/>
    <w:rsid w:val="0002179D"/>
    <w:rsid w:val="000219D0"/>
    <w:rsid w:val="000219D4"/>
    <w:rsid w:val="00021C79"/>
    <w:rsid w:val="00022011"/>
    <w:rsid w:val="000222DA"/>
    <w:rsid w:val="0002232E"/>
    <w:rsid w:val="000228EC"/>
    <w:rsid w:val="00022CA1"/>
    <w:rsid w:val="00022F48"/>
    <w:rsid w:val="000232BB"/>
    <w:rsid w:val="000234F2"/>
    <w:rsid w:val="00023B30"/>
    <w:rsid w:val="00023DE2"/>
    <w:rsid w:val="00024792"/>
    <w:rsid w:val="00024D3C"/>
    <w:rsid w:val="00025294"/>
    <w:rsid w:val="00025898"/>
    <w:rsid w:val="000273DE"/>
    <w:rsid w:val="00030117"/>
    <w:rsid w:val="00030B95"/>
    <w:rsid w:val="00030F50"/>
    <w:rsid w:val="00030F60"/>
    <w:rsid w:val="00031D13"/>
    <w:rsid w:val="00031D52"/>
    <w:rsid w:val="00031DA2"/>
    <w:rsid w:val="00033249"/>
    <w:rsid w:val="00033E06"/>
    <w:rsid w:val="0003440D"/>
    <w:rsid w:val="00034E95"/>
    <w:rsid w:val="00036032"/>
    <w:rsid w:val="00036188"/>
    <w:rsid w:val="00041081"/>
    <w:rsid w:val="00041C06"/>
    <w:rsid w:val="000422CE"/>
    <w:rsid w:val="000422E8"/>
    <w:rsid w:val="00042B3D"/>
    <w:rsid w:val="00042BB0"/>
    <w:rsid w:val="000435D2"/>
    <w:rsid w:val="00043ABF"/>
    <w:rsid w:val="00044062"/>
    <w:rsid w:val="00044F5B"/>
    <w:rsid w:val="00046669"/>
    <w:rsid w:val="000468A2"/>
    <w:rsid w:val="00046F3B"/>
    <w:rsid w:val="00047381"/>
    <w:rsid w:val="000475CA"/>
    <w:rsid w:val="00050A04"/>
    <w:rsid w:val="00050EBE"/>
    <w:rsid w:val="0005143E"/>
    <w:rsid w:val="0005223B"/>
    <w:rsid w:val="00052407"/>
    <w:rsid w:val="0005314D"/>
    <w:rsid w:val="000548F3"/>
    <w:rsid w:val="000555E0"/>
    <w:rsid w:val="00055B92"/>
    <w:rsid w:val="000561FE"/>
    <w:rsid w:val="00056882"/>
    <w:rsid w:val="000578A9"/>
    <w:rsid w:val="00057D84"/>
    <w:rsid w:val="0006084A"/>
    <w:rsid w:val="00061F21"/>
    <w:rsid w:val="00063011"/>
    <w:rsid w:val="00063880"/>
    <w:rsid w:val="00063926"/>
    <w:rsid w:val="00064C11"/>
    <w:rsid w:val="00065519"/>
    <w:rsid w:val="00066484"/>
    <w:rsid w:val="00066570"/>
    <w:rsid w:val="00067779"/>
    <w:rsid w:val="000710D0"/>
    <w:rsid w:val="0007146B"/>
    <w:rsid w:val="000721EC"/>
    <w:rsid w:val="000749C7"/>
    <w:rsid w:val="00076099"/>
    <w:rsid w:val="000765C9"/>
    <w:rsid w:val="00076B6E"/>
    <w:rsid w:val="00076C21"/>
    <w:rsid w:val="000774BF"/>
    <w:rsid w:val="000778D2"/>
    <w:rsid w:val="00080150"/>
    <w:rsid w:val="00080A11"/>
    <w:rsid w:val="00080C2F"/>
    <w:rsid w:val="00081307"/>
    <w:rsid w:val="00081626"/>
    <w:rsid w:val="00081AFB"/>
    <w:rsid w:val="00081C2C"/>
    <w:rsid w:val="00081E7D"/>
    <w:rsid w:val="00082B1C"/>
    <w:rsid w:val="000832F6"/>
    <w:rsid w:val="00083E14"/>
    <w:rsid w:val="000842D0"/>
    <w:rsid w:val="00085B32"/>
    <w:rsid w:val="0008611B"/>
    <w:rsid w:val="000875BB"/>
    <w:rsid w:val="00090A9B"/>
    <w:rsid w:val="00090B5C"/>
    <w:rsid w:val="00090E85"/>
    <w:rsid w:val="00092E7C"/>
    <w:rsid w:val="000948A0"/>
    <w:rsid w:val="000955CE"/>
    <w:rsid w:val="000965F3"/>
    <w:rsid w:val="00096F49"/>
    <w:rsid w:val="00097425"/>
    <w:rsid w:val="000977A6"/>
    <w:rsid w:val="00097924"/>
    <w:rsid w:val="000A022F"/>
    <w:rsid w:val="000A0261"/>
    <w:rsid w:val="000A19DB"/>
    <w:rsid w:val="000A229B"/>
    <w:rsid w:val="000A2F50"/>
    <w:rsid w:val="000A382E"/>
    <w:rsid w:val="000A3B4D"/>
    <w:rsid w:val="000A3E0E"/>
    <w:rsid w:val="000A6C56"/>
    <w:rsid w:val="000A6EC6"/>
    <w:rsid w:val="000B27F3"/>
    <w:rsid w:val="000B2E0F"/>
    <w:rsid w:val="000B3A28"/>
    <w:rsid w:val="000B4FCD"/>
    <w:rsid w:val="000B5346"/>
    <w:rsid w:val="000B6E5C"/>
    <w:rsid w:val="000B6F0B"/>
    <w:rsid w:val="000B7C66"/>
    <w:rsid w:val="000B7DBD"/>
    <w:rsid w:val="000C0C0C"/>
    <w:rsid w:val="000C0D59"/>
    <w:rsid w:val="000C0D99"/>
    <w:rsid w:val="000C1072"/>
    <w:rsid w:val="000C172D"/>
    <w:rsid w:val="000C17F5"/>
    <w:rsid w:val="000C1D14"/>
    <w:rsid w:val="000C2CA9"/>
    <w:rsid w:val="000C4072"/>
    <w:rsid w:val="000C4710"/>
    <w:rsid w:val="000C4CA1"/>
    <w:rsid w:val="000C58DB"/>
    <w:rsid w:val="000C5EDB"/>
    <w:rsid w:val="000C600D"/>
    <w:rsid w:val="000C6225"/>
    <w:rsid w:val="000C6248"/>
    <w:rsid w:val="000C7F51"/>
    <w:rsid w:val="000D0857"/>
    <w:rsid w:val="000D0D17"/>
    <w:rsid w:val="000D14F4"/>
    <w:rsid w:val="000D2512"/>
    <w:rsid w:val="000D2D71"/>
    <w:rsid w:val="000D2E26"/>
    <w:rsid w:val="000D34A2"/>
    <w:rsid w:val="000D3B7A"/>
    <w:rsid w:val="000D477C"/>
    <w:rsid w:val="000D6895"/>
    <w:rsid w:val="000D769B"/>
    <w:rsid w:val="000D7879"/>
    <w:rsid w:val="000E03B7"/>
    <w:rsid w:val="000E0450"/>
    <w:rsid w:val="000E33D9"/>
    <w:rsid w:val="000E47B8"/>
    <w:rsid w:val="000E4D06"/>
    <w:rsid w:val="000E4FAD"/>
    <w:rsid w:val="000E6BC2"/>
    <w:rsid w:val="000E6C20"/>
    <w:rsid w:val="000E7C10"/>
    <w:rsid w:val="000F00CE"/>
    <w:rsid w:val="000F0638"/>
    <w:rsid w:val="000F153E"/>
    <w:rsid w:val="000F16E5"/>
    <w:rsid w:val="000F173A"/>
    <w:rsid w:val="000F5657"/>
    <w:rsid w:val="000F6624"/>
    <w:rsid w:val="000F680F"/>
    <w:rsid w:val="000F7AE5"/>
    <w:rsid w:val="001000C9"/>
    <w:rsid w:val="001007C7"/>
    <w:rsid w:val="00100986"/>
    <w:rsid w:val="00100F66"/>
    <w:rsid w:val="0010115D"/>
    <w:rsid w:val="00101BDD"/>
    <w:rsid w:val="00102541"/>
    <w:rsid w:val="00103739"/>
    <w:rsid w:val="0010418B"/>
    <w:rsid w:val="001047F4"/>
    <w:rsid w:val="00104ACD"/>
    <w:rsid w:val="001053FC"/>
    <w:rsid w:val="00106618"/>
    <w:rsid w:val="00106855"/>
    <w:rsid w:val="00107D73"/>
    <w:rsid w:val="00107ED3"/>
    <w:rsid w:val="001104D2"/>
    <w:rsid w:val="00110739"/>
    <w:rsid w:val="001111D2"/>
    <w:rsid w:val="00111599"/>
    <w:rsid w:val="00112257"/>
    <w:rsid w:val="001122EE"/>
    <w:rsid w:val="001127F2"/>
    <w:rsid w:val="0011360C"/>
    <w:rsid w:val="00114171"/>
    <w:rsid w:val="00114A5B"/>
    <w:rsid w:val="00114BDD"/>
    <w:rsid w:val="00115B24"/>
    <w:rsid w:val="00115BFD"/>
    <w:rsid w:val="00115C4F"/>
    <w:rsid w:val="00115E13"/>
    <w:rsid w:val="001162BB"/>
    <w:rsid w:val="0011678F"/>
    <w:rsid w:val="0011733D"/>
    <w:rsid w:val="001174F3"/>
    <w:rsid w:val="00117EB8"/>
    <w:rsid w:val="00117F21"/>
    <w:rsid w:val="001204E5"/>
    <w:rsid w:val="00120D0E"/>
    <w:rsid w:val="00121BC0"/>
    <w:rsid w:val="0012210F"/>
    <w:rsid w:val="0012221C"/>
    <w:rsid w:val="00122EF5"/>
    <w:rsid w:val="00123394"/>
    <w:rsid w:val="001238AA"/>
    <w:rsid w:val="0012396A"/>
    <w:rsid w:val="001239F5"/>
    <w:rsid w:val="00123DF4"/>
    <w:rsid w:val="0012469A"/>
    <w:rsid w:val="0012474A"/>
    <w:rsid w:val="00124F68"/>
    <w:rsid w:val="00126DEA"/>
    <w:rsid w:val="001275A0"/>
    <w:rsid w:val="00127B9E"/>
    <w:rsid w:val="00127E1D"/>
    <w:rsid w:val="00134623"/>
    <w:rsid w:val="001357F3"/>
    <w:rsid w:val="001359D5"/>
    <w:rsid w:val="001375C2"/>
    <w:rsid w:val="0014117D"/>
    <w:rsid w:val="001412C5"/>
    <w:rsid w:val="001416D2"/>
    <w:rsid w:val="00141E45"/>
    <w:rsid w:val="001435D0"/>
    <w:rsid w:val="00143C5F"/>
    <w:rsid w:val="00144184"/>
    <w:rsid w:val="0014431A"/>
    <w:rsid w:val="0014438D"/>
    <w:rsid w:val="0014573C"/>
    <w:rsid w:val="00145A63"/>
    <w:rsid w:val="0014602D"/>
    <w:rsid w:val="00150196"/>
    <w:rsid w:val="00150D29"/>
    <w:rsid w:val="001511B1"/>
    <w:rsid w:val="001529C3"/>
    <w:rsid w:val="00153343"/>
    <w:rsid w:val="00153417"/>
    <w:rsid w:val="00155F74"/>
    <w:rsid w:val="00156431"/>
    <w:rsid w:val="0015675D"/>
    <w:rsid w:val="00156D92"/>
    <w:rsid w:val="00157121"/>
    <w:rsid w:val="00160E39"/>
    <w:rsid w:val="00161B68"/>
    <w:rsid w:val="00163D3E"/>
    <w:rsid w:val="00165127"/>
    <w:rsid w:val="0016663C"/>
    <w:rsid w:val="00166F29"/>
    <w:rsid w:val="001678E5"/>
    <w:rsid w:val="00167B69"/>
    <w:rsid w:val="00167C5F"/>
    <w:rsid w:val="00170946"/>
    <w:rsid w:val="00170D25"/>
    <w:rsid w:val="00172FE1"/>
    <w:rsid w:val="0017441E"/>
    <w:rsid w:val="001761A4"/>
    <w:rsid w:val="001767F0"/>
    <w:rsid w:val="00181228"/>
    <w:rsid w:val="00181545"/>
    <w:rsid w:val="00181836"/>
    <w:rsid w:val="0018287B"/>
    <w:rsid w:val="00183A2F"/>
    <w:rsid w:val="00183ED7"/>
    <w:rsid w:val="00183F57"/>
    <w:rsid w:val="0018422A"/>
    <w:rsid w:val="001847CD"/>
    <w:rsid w:val="0018482A"/>
    <w:rsid w:val="001854D2"/>
    <w:rsid w:val="00185E9E"/>
    <w:rsid w:val="00186069"/>
    <w:rsid w:val="00186172"/>
    <w:rsid w:val="0018619F"/>
    <w:rsid w:val="00186604"/>
    <w:rsid w:val="001867A3"/>
    <w:rsid w:val="00186E2B"/>
    <w:rsid w:val="00186E2D"/>
    <w:rsid w:val="00186FE6"/>
    <w:rsid w:val="00187042"/>
    <w:rsid w:val="00187260"/>
    <w:rsid w:val="00187934"/>
    <w:rsid w:val="00187F3B"/>
    <w:rsid w:val="00190201"/>
    <w:rsid w:val="00191FE5"/>
    <w:rsid w:val="00192180"/>
    <w:rsid w:val="001926D7"/>
    <w:rsid w:val="00193D98"/>
    <w:rsid w:val="00193DD0"/>
    <w:rsid w:val="0019463F"/>
    <w:rsid w:val="001949BF"/>
    <w:rsid w:val="00194CBF"/>
    <w:rsid w:val="001951B6"/>
    <w:rsid w:val="0019560F"/>
    <w:rsid w:val="00195B89"/>
    <w:rsid w:val="001960A1"/>
    <w:rsid w:val="0019684E"/>
    <w:rsid w:val="001A0A01"/>
    <w:rsid w:val="001A1830"/>
    <w:rsid w:val="001A2212"/>
    <w:rsid w:val="001A406A"/>
    <w:rsid w:val="001A40F1"/>
    <w:rsid w:val="001A4C4B"/>
    <w:rsid w:val="001A4F25"/>
    <w:rsid w:val="001A5B61"/>
    <w:rsid w:val="001A5CBF"/>
    <w:rsid w:val="001A6820"/>
    <w:rsid w:val="001A6BAA"/>
    <w:rsid w:val="001A6DE0"/>
    <w:rsid w:val="001A7515"/>
    <w:rsid w:val="001A7628"/>
    <w:rsid w:val="001B063C"/>
    <w:rsid w:val="001B0706"/>
    <w:rsid w:val="001B1967"/>
    <w:rsid w:val="001B2224"/>
    <w:rsid w:val="001B30D3"/>
    <w:rsid w:val="001B3431"/>
    <w:rsid w:val="001B5E1D"/>
    <w:rsid w:val="001B5ECF"/>
    <w:rsid w:val="001C0115"/>
    <w:rsid w:val="001C165D"/>
    <w:rsid w:val="001C3571"/>
    <w:rsid w:val="001C49AB"/>
    <w:rsid w:val="001C5582"/>
    <w:rsid w:val="001C598B"/>
    <w:rsid w:val="001C6576"/>
    <w:rsid w:val="001C7260"/>
    <w:rsid w:val="001C775B"/>
    <w:rsid w:val="001C7CB2"/>
    <w:rsid w:val="001D0EC4"/>
    <w:rsid w:val="001D169C"/>
    <w:rsid w:val="001D1AFF"/>
    <w:rsid w:val="001D279B"/>
    <w:rsid w:val="001D27E1"/>
    <w:rsid w:val="001D44BF"/>
    <w:rsid w:val="001D480C"/>
    <w:rsid w:val="001D48E9"/>
    <w:rsid w:val="001D4D6A"/>
    <w:rsid w:val="001D52B6"/>
    <w:rsid w:val="001D5B24"/>
    <w:rsid w:val="001D6492"/>
    <w:rsid w:val="001E0A54"/>
    <w:rsid w:val="001E1B08"/>
    <w:rsid w:val="001E1F00"/>
    <w:rsid w:val="001E29CD"/>
    <w:rsid w:val="001E2A44"/>
    <w:rsid w:val="001E38F2"/>
    <w:rsid w:val="001E532E"/>
    <w:rsid w:val="001E55C5"/>
    <w:rsid w:val="001E7357"/>
    <w:rsid w:val="001F0D5E"/>
    <w:rsid w:val="001F1560"/>
    <w:rsid w:val="001F45A8"/>
    <w:rsid w:val="001F6C73"/>
    <w:rsid w:val="00200AEE"/>
    <w:rsid w:val="00201655"/>
    <w:rsid w:val="00202987"/>
    <w:rsid w:val="00202D7E"/>
    <w:rsid w:val="00203B91"/>
    <w:rsid w:val="002047B8"/>
    <w:rsid w:val="00205626"/>
    <w:rsid w:val="002059D2"/>
    <w:rsid w:val="002066BD"/>
    <w:rsid w:val="00206722"/>
    <w:rsid w:val="00206AE1"/>
    <w:rsid w:val="00206CFB"/>
    <w:rsid w:val="002112E8"/>
    <w:rsid w:val="00211E2D"/>
    <w:rsid w:val="00213324"/>
    <w:rsid w:val="002135E1"/>
    <w:rsid w:val="00213714"/>
    <w:rsid w:val="00214224"/>
    <w:rsid w:val="00214C6A"/>
    <w:rsid w:val="00214FB2"/>
    <w:rsid w:val="002165DB"/>
    <w:rsid w:val="002171DD"/>
    <w:rsid w:val="00217F58"/>
    <w:rsid w:val="00220576"/>
    <w:rsid w:val="002205EB"/>
    <w:rsid w:val="00221520"/>
    <w:rsid w:val="0022469B"/>
    <w:rsid w:val="00225318"/>
    <w:rsid w:val="002259A3"/>
    <w:rsid w:val="00226040"/>
    <w:rsid w:val="0022673A"/>
    <w:rsid w:val="00227937"/>
    <w:rsid w:val="00232A3B"/>
    <w:rsid w:val="002335B1"/>
    <w:rsid w:val="002336FF"/>
    <w:rsid w:val="00235070"/>
    <w:rsid w:val="00235C25"/>
    <w:rsid w:val="00236C30"/>
    <w:rsid w:val="002372F5"/>
    <w:rsid w:val="0023731B"/>
    <w:rsid w:val="00237B32"/>
    <w:rsid w:val="00240CA3"/>
    <w:rsid w:val="00240D15"/>
    <w:rsid w:val="00241051"/>
    <w:rsid w:val="00242011"/>
    <w:rsid w:val="002431EF"/>
    <w:rsid w:val="00243D95"/>
    <w:rsid w:val="00243F2A"/>
    <w:rsid w:val="00244246"/>
    <w:rsid w:val="00245013"/>
    <w:rsid w:val="00245BF4"/>
    <w:rsid w:val="0025099D"/>
    <w:rsid w:val="00251ECA"/>
    <w:rsid w:val="0025267D"/>
    <w:rsid w:val="00252B90"/>
    <w:rsid w:val="00252F77"/>
    <w:rsid w:val="00255310"/>
    <w:rsid w:val="00256A67"/>
    <w:rsid w:val="00256B65"/>
    <w:rsid w:val="00257998"/>
    <w:rsid w:val="00257DD0"/>
    <w:rsid w:val="00257E34"/>
    <w:rsid w:val="002603E3"/>
    <w:rsid w:val="00260470"/>
    <w:rsid w:val="0026063D"/>
    <w:rsid w:val="00261133"/>
    <w:rsid w:val="00261439"/>
    <w:rsid w:val="0026217F"/>
    <w:rsid w:val="002623CE"/>
    <w:rsid w:val="00262727"/>
    <w:rsid w:val="00262D2F"/>
    <w:rsid w:val="002641F5"/>
    <w:rsid w:val="00264E4A"/>
    <w:rsid w:val="002652CD"/>
    <w:rsid w:val="00266B94"/>
    <w:rsid w:val="00266DC5"/>
    <w:rsid w:val="00267579"/>
    <w:rsid w:val="00267BEF"/>
    <w:rsid w:val="0027019C"/>
    <w:rsid w:val="00271540"/>
    <w:rsid w:val="00271A08"/>
    <w:rsid w:val="00271D5A"/>
    <w:rsid w:val="002722A4"/>
    <w:rsid w:val="0027414C"/>
    <w:rsid w:val="0027631D"/>
    <w:rsid w:val="0027639D"/>
    <w:rsid w:val="002763B0"/>
    <w:rsid w:val="002767F0"/>
    <w:rsid w:val="00276C8D"/>
    <w:rsid w:val="00277806"/>
    <w:rsid w:val="00277822"/>
    <w:rsid w:val="00280406"/>
    <w:rsid w:val="00281059"/>
    <w:rsid w:val="00282998"/>
    <w:rsid w:val="00282A6F"/>
    <w:rsid w:val="00282E6D"/>
    <w:rsid w:val="002832E3"/>
    <w:rsid w:val="002833B4"/>
    <w:rsid w:val="002846A3"/>
    <w:rsid w:val="00284897"/>
    <w:rsid w:val="00285225"/>
    <w:rsid w:val="002877FC"/>
    <w:rsid w:val="0029022D"/>
    <w:rsid w:val="002904C3"/>
    <w:rsid w:val="00290A98"/>
    <w:rsid w:val="002913A8"/>
    <w:rsid w:val="00291C84"/>
    <w:rsid w:val="002920B9"/>
    <w:rsid w:val="00292A5A"/>
    <w:rsid w:val="00293A5C"/>
    <w:rsid w:val="00293E5E"/>
    <w:rsid w:val="002941A4"/>
    <w:rsid w:val="002946DD"/>
    <w:rsid w:val="00294CFA"/>
    <w:rsid w:val="00295639"/>
    <w:rsid w:val="00295A3C"/>
    <w:rsid w:val="00295E40"/>
    <w:rsid w:val="00297D9D"/>
    <w:rsid w:val="002A0583"/>
    <w:rsid w:val="002A0D4C"/>
    <w:rsid w:val="002A2A64"/>
    <w:rsid w:val="002A2DB3"/>
    <w:rsid w:val="002A3194"/>
    <w:rsid w:val="002A3400"/>
    <w:rsid w:val="002A4FD4"/>
    <w:rsid w:val="002A50BC"/>
    <w:rsid w:val="002A6027"/>
    <w:rsid w:val="002A6077"/>
    <w:rsid w:val="002A643E"/>
    <w:rsid w:val="002B081C"/>
    <w:rsid w:val="002B0EAD"/>
    <w:rsid w:val="002B0F0C"/>
    <w:rsid w:val="002B144F"/>
    <w:rsid w:val="002B1905"/>
    <w:rsid w:val="002B2911"/>
    <w:rsid w:val="002B4A1F"/>
    <w:rsid w:val="002B4CD3"/>
    <w:rsid w:val="002B4E22"/>
    <w:rsid w:val="002B5DC1"/>
    <w:rsid w:val="002B5F27"/>
    <w:rsid w:val="002B6252"/>
    <w:rsid w:val="002B6B74"/>
    <w:rsid w:val="002B7253"/>
    <w:rsid w:val="002B7517"/>
    <w:rsid w:val="002B76EF"/>
    <w:rsid w:val="002B7B38"/>
    <w:rsid w:val="002C0A36"/>
    <w:rsid w:val="002C0D02"/>
    <w:rsid w:val="002C159A"/>
    <w:rsid w:val="002C1B98"/>
    <w:rsid w:val="002C1BEB"/>
    <w:rsid w:val="002C2E85"/>
    <w:rsid w:val="002C370D"/>
    <w:rsid w:val="002C3957"/>
    <w:rsid w:val="002C3F11"/>
    <w:rsid w:val="002C4830"/>
    <w:rsid w:val="002C4921"/>
    <w:rsid w:val="002C518C"/>
    <w:rsid w:val="002C591A"/>
    <w:rsid w:val="002C5A61"/>
    <w:rsid w:val="002C614D"/>
    <w:rsid w:val="002C6488"/>
    <w:rsid w:val="002C6583"/>
    <w:rsid w:val="002C6F4A"/>
    <w:rsid w:val="002C776F"/>
    <w:rsid w:val="002D0511"/>
    <w:rsid w:val="002D1992"/>
    <w:rsid w:val="002D1A73"/>
    <w:rsid w:val="002D365D"/>
    <w:rsid w:val="002D38E1"/>
    <w:rsid w:val="002D442A"/>
    <w:rsid w:val="002D62E0"/>
    <w:rsid w:val="002D7755"/>
    <w:rsid w:val="002E0317"/>
    <w:rsid w:val="002E07D2"/>
    <w:rsid w:val="002E0925"/>
    <w:rsid w:val="002E0963"/>
    <w:rsid w:val="002E11FA"/>
    <w:rsid w:val="002E1EAA"/>
    <w:rsid w:val="002E40C6"/>
    <w:rsid w:val="002E6010"/>
    <w:rsid w:val="002E6FF1"/>
    <w:rsid w:val="002E76B3"/>
    <w:rsid w:val="002F04AA"/>
    <w:rsid w:val="002F077C"/>
    <w:rsid w:val="002F136B"/>
    <w:rsid w:val="002F1812"/>
    <w:rsid w:val="002F2AFD"/>
    <w:rsid w:val="002F2C45"/>
    <w:rsid w:val="002F2F8C"/>
    <w:rsid w:val="002F3102"/>
    <w:rsid w:val="002F36CA"/>
    <w:rsid w:val="002F39EC"/>
    <w:rsid w:val="002F410F"/>
    <w:rsid w:val="002F4535"/>
    <w:rsid w:val="002F488F"/>
    <w:rsid w:val="002F4FFD"/>
    <w:rsid w:val="002F552C"/>
    <w:rsid w:val="002F58D8"/>
    <w:rsid w:val="002F59C0"/>
    <w:rsid w:val="002F67D7"/>
    <w:rsid w:val="002F6EFA"/>
    <w:rsid w:val="002F77CE"/>
    <w:rsid w:val="0030056A"/>
    <w:rsid w:val="003008BF"/>
    <w:rsid w:val="00300B70"/>
    <w:rsid w:val="00300E5D"/>
    <w:rsid w:val="00301DDB"/>
    <w:rsid w:val="00301F9C"/>
    <w:rsid w:val="00302317"/>
    <w:rsid w:val="00302609"/>
    <w:rsid w:val="00302984"/>
    <w:rsid w:val="0030315B"/>
    <w:rsid w:val="003041BB"/>
    <w:rsid w:val="00304337"/>
    <w:rsid w:val="00304A5E"/>
    <w:rsid w:val="00307113"/>
    <w:rsid w:val="00310270"/>
    <w:rsid w:val="003117C9"/>
    <w:rsid w:val="00312486"/>
    <w:rsid w:val="00314993"/>
    <w:rsid w:val="003168BD"/>
    <w:rsid w:val="003170FC"/>
    <w:rsid w:val="00317C3E"/>
    <w:rsid w:val="00320C11"/>
    <w:rsid w:val="0032186B"/>
    <w:rsid w:val="00321B61"/>
    <w:rsid w:val="00322FE7"/>
    <w:rsid w:val="0032403A"/>
    <w:rsid w:val="00324261"/>
    <w:rsid w:val="00324725"/>
    <w:rsid w:val="00324EF5"/>
    <w:rsid w:val="00324F37"/>
    <w:rsid w:val="0032564B"/>
    <w:rsid w:val="00325E20"/>
    <w:rsid w:val="00325E2F"/>
    <w:rsid w:val="00326425"/>
    <w:rsid w:val="003264F8"/>
    <w:rsid w:val="00326814"/>
    <w:rsid w:val="00330182"/>
    <w:rsid w:val="0033074D"/>
    <w:rsid w:val="00330EAB"/>
    <w:rsid w:val="00330FB2"/>
    <w:rsid w:val="00331700"/>
    <w:rsid w:val="00332F11"/>
    <w:rsid w:val="00332F9F"/>
    <w:rsid w:val="00334D97"/>
    <w:rsid w:val="0033559B"/>
    <w:rsid w:val="0034087C"/>
    <w:rsid w:val="00340B02"/>
    <w:rsid w:val="003420E4"/>
    <w:rsid w:val="00342C94"/>
    <w:rsid w:val="00343434"/>
    <w:rsid w:val="003448D5"/>
    <w:rsid w:val="003466EC"/>
    <w:rsid w:val="00346DEF"/>
    <w:rsid w:val="00347283"/>
    <w:rsid w:val="0035041B"/>
    <w:rsid w:val="00351949"/>
    <w:rsid w:val="00351B9B"/>
    <w:rsid w:val="00352CBF"/>
    <w:rsid w:val="00354CA5"/>
    <w:rsid w:val="0035536A"/>
    <w:rsid w:val="00355406"/>
    <w:rsid w:val="003573C8"/>
    <w:rsid w:val="003600F3"/>
    <w:rsid w:val="00360E21"/>
    <w:rsid w:val="003613F3"/>
    <w:rsid w:val="00361529"/>
    <w:rsid w:val="003626E0"/>
    <w:rsid w:val="003629AB"/>
    <w:rsid w:val="00362EA0"/>
    <w:rsid w:val="0036352E"/>
    <w:rsid w:val="003639AC"/>
    <w:rsid w:val="003640C4"/>
    <w:rsid w:val="00364154"/>
    <w:rsid w:val="0036490F"/>
    <w:rsid w:val="00364A87"/>
    <w:rsid w:val="00364C5F"/>
    <w:rsid w:val="0036570A"/>
    <w:rsid w:val="003673BC"/>
    <w:rsid w:val="003673D8"/>
    <w:rsid w:val="00367B11"/>
    <w:rsid w:val="003703C4"/>
    <w:rsid w:val="00371471"/>
    <w:rsid w:val="003714F7"/>
    <w:rsid w:val="00371F61"/>
    <w:rsid w:val="003723B8"/>
    <w:rsid w:val="003729E3"/>
    <w:rsid w:val="00372C7E"/>
    <w:rsid w:val="00373535"/>
    <w:rsid w:val="00373578"/>
    <w:rsid w:val="00374079"/>
    <w:rsid w:val="00374BCD"/>
    <w:rsid w:val="00375F4B"/>
    <w:rsid w:val="00376DC4"/>
    <w:rsid w:val="003774BF"/>
    <w:rsid w:val="003778B9"/>
    <w:rsid w:val="00381311"/>
    <w:rsid w:val="003827FE"/>
    <w:rsid w:val="0038284A"/>
    <w:rsid w:val="00383423"/>
    <w:rsid w:val="00383BE3"/>
    <w:rsid w:val="003842AF"/>
    <w:rsid w:val="003851F7"/>
    <w:rsid w:val="00385C5D"/>
    <w:rsid w:val="00385E9F"/>
    <w:rsid w:val="0038798A"/>
    <w:rsid w:val="00390A69"/>
    <w:rsid w:val="00391260"/>
    <w:rsid w:val="00391FF7"/>
    <w:rsid w:val="00393CF3"/>
    <w:rsid w:val="003947AB"/>
    <w:rsid w:val="00395723"/>
    <w:rsid w:val="00395BD9"/>
    <w:rsid w:val="00396289"/>
    <w:rsid w:val="00396CDA"/>
    <w:rsid w:val="00397176"/>
    <w:rsid w:val="003A05DC"/>
    <w:rsid w:val="003A1745"/>
    <w:rsid w:val="003A1963"/>
    <w:rsid w:val="003A1B8D"/>
    <w:rsid w:val="003A1F0B"/>
    <w:rsid w:val="003A24C0"/>
    <w:rsid w:val="003A2730"/>
    <w:rsid w:val="003A2930"/>
    <w:rsid w:val="003A2E2C"/>
    <w:rsid w:val="003A30C9"/>
    <w:rsid w:val="003A457B"/>
    <w:rsid w:val="003A48AE"/>
    <w:rsid w:val="003A48FC"/>
    <w:rsid w:val="003A4C08"/>
    <w:rsid w:val="003A5473"/>
    <w:rsid w:val="003A7911"/>
    <w:rsid w:val="003A7CE5"/>
    <w:rsid w:val="003A7ECF"/>
    <w:rsid w:val="003B03AF"/>
    <w:rsid w:val="003B19DA"/>
    <w:rsid w:val="003B22F5"/>
    <w:rsid w:val="003B270A"/>
    <w:rsid w:val="003B3474"/>
    <w:rsid w:val="003B3D5D"/>
    <w:rsid w:val="003B406F"/>
    <w:rsid w:val="003B4F52"/>
    <w:rsid w:val="003B53D1"/>
    <w:rsid w:val="003B5C37"/>
    <w:rsid w:val="003B6B12"/>
    <w:rsid w:val="003B728D"/>
    <w:rsid w:val="003C2DD5"/>
    <w:rsid w:val="003C310A"/>
    <w:rsid w:val="003C40AF"/>
    <w:rsid w:val="003C41A9"/>
    <w:rsid w:val="003C4CDD"/>
    <w:rsid w:val="003C4E7A"/>
    <w:rsid w:val="003C5139"/>
    <w:rsid w:val="003C555B"/>
    <w:rsid w:val="003C576B"/>
    <w:rsid w:val="003C5DA7"/>
    <w:rsid w:val="003C69DC"/>
    <w:rsid w:val="003C78F2"/>
    <w:rsid w:val="003D0D38"/>
    <w:rsid w:val="003D154B"/>
    <w:rsid w:val="003D18C6"/>
    <w:rsid w:val="003D2B94"/>
    <w:rsid w:val="003D5691"/>
    <w:rsid w:val="003D5C69"/>
    <w:rsid w:val="003D631C"/>
    <w:rsid w:val="003D6586"/>
    <w:rsid w:val="003D738A"/>
    <w:rsid w:val="003D7617"/>
    <w:rsid w:val="003E06D5"/>
    <w:rsid w:val="003E0938"/>
    <w:rsid w:val="003E0FF4"/>
    <w:rsid w:val="003E126A"/>
    <w:rsid w:val="003E3085"/>
    <w:rsid w:val="003E3BD7"/>
    <w:rsid w:val="003E3C7A"/>
    <w:rsid w:val="003E3CE6"/>
    <w:rsid w:val="003E4357"/>
    <w:rsid w:val="003E4557"/>
    <w:rsid w:val="003E4FB2"/>
    <w:rsid w:val="003E6065"/>
    <w:rsid w:val="003E6937"/>
    <w:rsid w:val="003E6DCC"/>
    <w:rsid w:val="003E6E61"/>
    <w:rsid w:val="003E7C03"/>
    <w:rsid w:val="003E7E0D"/>
    <w:rsid w:val="003F045D"/>
    <w:rsid w:val="003F1AB5"/>
    <w:rsid w:val="003F1C86"/>
    <w:rsid w:val="003F2153"/>
    <w:rsid w:val="003F2DF7"/>
    <w:rsid w:val="003F33DC"/>
    <w:rsid w:val="003F49A0"/>
    <w:rsid w:val="003F584B"/>
    <w:rsid w:val="003F5AE3"/>
    <w:rsid w:val="003F728F"/>
    <w:rsid w:val="003F7CD1"/>
    <w:rsid w:val="00401115"/>
    <w:rsid w:val="00401FA6"/>
    <w:rsid w:val="00404939"/>
    <w:rsid w:val="00404F3E"/>
    <w:rsid w:val="00405BD3"/>
    <w:rsid w:val="00405C8A"/>
    <w:rsid w:val="004078F8"/>
    <w:rsid w:val="00407A46"/>
    <w:rsid w:val="00407C6A"/>
    <w:rsid w:val="004105E6"/>
    <w:rsid w:val="00411D05"/>
    <w:rsid w:val="00412C64"/>
    <w:rsid w:val="00412D13"/>
    <w:rsid w:val="00413B02"/>
    <w:rsid w:val="00413B90"/>
    <w:rsid w:val="0041537F"/>
    <w:rsid w:val="004174C0"/>
    <w:rsid w:val="00417EB0"/>
    <w:rsid w:val="00417EC5"/>
    <w:rsid w:val="00421867"/>
    <w:rsid w:val="00425285"/>
    <w:rsid w:val="0042576D"/>
    <w:rsid w:val="004278C5"/>
    <w:rsid w:val="004303AB"/>
    <w:rsid w:val="00431A50"/>
    <w:rsid w:val="00431AFF"/>
    <w:rsid w:val="00432367"/>
    <w:rsid w:val="00433D76"/>
    <w:rsid w:val="00434146"/>
    <w:rsid w:val="00435752"/>
    <w:rsid w:val="00435BD9"/>
    <w:rsid w:val="0043604D"/>
    <w:rsid w:val="00436CEF"/>
    <w:rsid w:val="004402E0"/>
    <w:rsid w:val="00440A80"/>
    <w:rsid w:val="00441181"/>
    <w:rsid w:val="00441FE4"/>
    <w:rsid w:val="004425CD"/>
    <w:rsid w:val="004429E7"/>
    <w:rsid w:val="004429ED"/>
    <w:rsid w:val="00443104"/>
    <w:rsid w:val="0044437D"/>
    <w:rsid w:val="00445024"/>
    <w:rsid w:val="004461F3"/>
    <w:rsid w:val="004467AC"/>
    <w:rsid w:val="00447A7B"/>
    <w:rsid w:val="0045030C"/>
    <w:rsid w:val="00452A0B"/>
    <w:rsid w:val="00452F1D"/>
    <w:rsid w:val="0045315A"/>
    <w:rsid w:val="00453196"/>
    <w:rsid w:val="004539B3"/>
    <w:rsid w:val="00453A15"/>
    <w:rsid w:val="00454F89"/>
    <w:rsid w:val="0045568B"/>
    <w:rsid w:val="004560E2"/>
    <w:rsid w:val="00456981"/>
    <w:rsid w:val="00456A61"/>
    <w:rsid w:val="00457E44"/>
    <w:rsid w:val="00460578"/>
    <w:rsid w:val="00462751"/>
    <w:rsid w:val="00464BE0"/>
    <w:rsid w:val="00464DA1"/>
    <w:rsid w:val="00464EA9"/>
    <w:rsid w:val="00465C18"/>
    <w:rsid w:val="00465FA1"/>
    <w:rsid w:val="00467D13"/>
    <w:rsid w:val="00467EA7"/>
    <w:rsid w:val="004709E1"/>
    <w:rsid w:val="00471CF3"/>
    <w:rsid w:val="00472166"/>
    <w:rsid w:val="00472843"/>
    <w:rsid w:val="00472EF4"/>
    <w:rsid w:val="0047466B"/>
    <w:rsid w:val="0047488E"/>
    <w:rsid w:val="00476AE6"/>
    <w:rsid w:val="00480EA3"/>
    <w:rsid w:val="00482614"/>
    <w:rsid w:val="0048278E"/>
    <w:rsid w:val="00482A5F"/>
    <w:rsid w:val="00482D31"/>
    <w:rsid w:val="00482DDF"/>
    <w:rsid w:val="00483592"/>
    <w:rsid w:val="0048464B"/>
    <w:rsid w:val="00485262"/>
    <w:rsid w:val="004853D8"/>
    <w:rsid w:val="004858A6"/>
    <w:rsid w:val="00485B9B"/>
    <w:rsid w:val="004872A2"/>
    <w:rsid w:val="004907DD"/>
    <w:rsid w:val="004908D3"/>
    <w:rsid w:val="00490A28"/>
    <w:rsid w:val="004918CA"/>
    <w:rsid w:val="00491FFF"/>
    <w:rsid w:val="0049255E"/>
    <w:rsid w:val="00492A70"/>
    <w:rsid w:val="0049343B"/>
    <w:rsid w:val="0049354F"/>
    <w:rsid w:val="00494173"/>
    <w:rsid w:val="00494538"/>
    <w:rsid w:val="00494A2B"/>
    <w:rsid w:val="004959C9"/>
    <w:rsid w:val="00495CF5"/>
    <w:rsid w:val="00495FDF"/>
    <w:rsid w:val="00497929"/>
    <w:rsid w:val="004A041E"/>
    <w:rsid w:val="004A0C57"/>
    <w:rsid w:val="004A177E"/>
    <w:rsid w:val="004A18C5"/>
    <w:rsid w:val="004A1DC0"/>
    <w:rsid w:val="004A232B"/>
    <w:rsid w:val="004A3364"/>
    <w:rsid w:val="004A33F8"/>
    <w:rsid w:val="004A3534"/>
    <w:rsid w:val="004A3C8A"/>
    <w:rsid w:val="004A3D3C"/>
    <w:rsid w:val="004A4254"/>
    <w:rsid w:val="004A4CDA"/>
    <w:rsid w:val="004A50A1"/>
    <w:rsid w:val="004A52B2"/>
    <w:rsid w:val="004A5457"/>
    <w:rsid w:val="004A56ED"/>
    <w:rsid w:val="004A765F"/>
    <w:rsid w:val="004B0D37"/>
    <w:rsid w:val="004B1910"/>
    <w:rsid w:val="004B20EF"/>
    <w:rsid w:val="004B2524"/>
    <w:rsid w:val="004B33FF"/>
    <w:rsid w:val="004B369F"/>
    <w:rsid w:val="004B44B1"/>
    <w:rsid w:val="004B4746"/>
    <w:rsid w:val="004B47BB"/>
    <w:rsid w:val="004B49C3"/>
    <w:rsid w:val="004B5670"/>
    <w:rsid w:val="004B6A55"/>
    <w:rsid w:val="004C0271"/>
    <w:rsid w:val="004C16C0"/>
    <w:rsid w:val="004C2384"/>
    <w:rsid w:val="004C31A1"/>
    <w:rsid w:val="004C40C4"/>
    <w:rsid w:val="004C4799"/>
    <w:rsid w:val="004C4B41"/>
    <w:rsid w:val="004C5A62"/>
    <w:rsid w:val="004C5E82"/>
    <w:rsid w:val="004C6506"/>
    <w:rsid w:val="004C7C81"/>
    <w:rsid w:val="004C7FEF"/>
    <w:rsid w:val="004D0396"/>
    <w:rsid w:val="004D03FE"/>
    <w:rsid w:val="004D0C99"/>
    <w:rsid w:val="004D14A0"/>
    <w:rsid w:val="004D1A85"/>
    <w:rsid w:val="004D2282"/>
    <w:rsid w:val="004D3668"/>
    <w:rsid w:val="004D4CC2"/>
    <w:rsid w:val="004D4FC7"/>
    <w:rsid w:val="004D5276"/>
    <w:rsid w:val="004D6309"/>
    <w:rsid w:val="004D6464"/>
    <w:rsid w:val="004D67BB"/>
    <w:rsid w:val="004D6AB3"/>
    <w:rsid w:val="004D7287"/>
    <w:rsid w:val="004D77F4"/>
    <w:rsid w:val="004E1073"/>
    <w:rsid w:val="004E2388"/>
    <w:rsid w:val="004E2A17"/>
    <w:rsid w:val="004E39A8"/>
    <w:rsid w:val="004E577D"/>
    <w:rsid w:val="004F017C"/>
    <w:rsid w:val="004F0A4E"/>
    <w:rsid w:val="004F31D8"/>
    <w:rsid w:val="004F3993"/>
    <w:rsid w:val="004F3BD0"/>
    <w:rsid w:val="004F4175"/>
    <w:rsid w:val="004F4229"/>
    <w:rsid w:val="004F4307"/>
    <w:rsid w:val="004F6686"/>
    <w:rsid w:val="0050192C"/>
    <w:rsid w:val="00501C38"/>
    <w:rsid w:val="00502DDE"/>
    <w:rsid w:val="00503762"/>
    <w:rsid w:val="00505AA0"/>
    <w:rsid w:val="00506678"/>
    <w:rsid w:val="00507DDD"/>
    <w:rsid w:val="00507F74"/>
    <w:rsid w:val="00510072"/>
    <w:rsid w:val="00510AB8"/>
    <w:rsid w:val="00510FE1"/>
    <w:rsid w:val="00511BEA"/>
    <w:rsid w:val="00511C8F"/>
    <w:rsid w:val="0051204A"/>
    <w:rsid w:val="00512355"/>
    <w:rsid w:val="00512B80"/>
    <w:rsid w:val="00512F8D"/>
    <w:rsid w:val="00514358"/>
    <w:rsid w:val="00514E93"/>
    <w:rsid w:val="005151C3"/>
    <w:rsid w:val="00515721"/>
    <w:rsid w:val="00516091"/>
    <w:rsid w:val="00516871"/>
    <w:rsid w:val="005177CD"/>
    <w:rsid w:val="005179DF"/>
    <w:rsid w:val="0052005F"/>
    <w:rsid w:val="0052021C"/>
    <w:rsid w:val="00520450"/>
    <w:rsid w:val="0052071C"/>
    <w:rsid w:val="00521097"/>
    <w:rsid w:val="0052133B"/>
    <w:rsid w:val="00523F1A"/>
    <w:rsid w:val="00524180"/>
    <w:rsid w:val="005250C4"/>
    <w:rsid w:val="00526BA1"/>
    <w:rsid w:val="00526E77"/>
    <w:rsid w:val="00527F6F"/>
    <w:rsid w:val="0053204D"/>
    <w:rsid w:val="0053266F"/>
    <w:rsid w:val="005328C3"/>
    <w:rsid w:val="00532B85"/>
    <w:rsid w:val="005361AC"/>
    <w:rsid w:val="005362E4"/>
    <w:rsid w:val="005377EE"/>
    <w:rsid w:val="00540EF9"/>
    <w:rsid w:val="005416E9"/>
    <w:rsid w:val="00543179"/>
    <w:rsid w:val="0054398C"/>
    <w:rsid w:val="00543D39"/>
    <w:rsid w:val="00544261"/>
    <w:rsid w:val="00544955"/>
    <w:rsid w:val="0054526A"/>
    <w:rsid w:val="005452F0"/>
    <w:rsid w:val="005458EB"/>
    <w:rsid w:val="005474AE"/>
    <w:rsid w:val="0055091F"/>
    <w:rsid w:val="005517E2"/>
    <w:rsid w:val="00551A1A"/>
    <w:rsid w:val="00551F82"/>
    <w:rsid w:val="00551FE0"/>
    <w:rsid w:val="005521AC"/>
    <w:rsid w:val="00552DBC"/>
    <w:rsid w:val="00552DC1"/>
    <w:rsid w:val="005539B8"/>
    <w:rsid w:val="0055456B"/>
    <w:rsid w:val="00554972"/>
    <w:rsid w:val="00555583"/>
    <w:rsid w:val="00557AA0"/>
    <w:rsid w:val="0056159E"/>
    <w:rsid w:val="00562927"/>
    <w:rsid w:val="00563567"/>
    <w:rsid w:val="0056393D"/>
    <w:rsid w:val="00563C45"/>
    <w:rsid w:val="005646E8"/>
    <w:rsid w:val="00564999"/>
    <w:rsid w:val="00564CEC"/>
    <w:rsid w:val="00565036"/>
    <w:rsid w:val="0056577D"/>
    <w:rsid w:val="00565D0C"/>
    <w:rsid w:val="00566B42"/>
    <w:rsid w:val="005672A5"/>
    <w:rsid w:val="00567415"/>
    <w:rsid w:val="00567855"/>
    <w:rsid w:val="00567A23"/>
    <w:rsid w:val="00567F88"/>
    <w:rsid w:val="005700E0"/>
    <w:rsid w:val="0057027B"/>
    <w:rsid w:val="00570862"/>
    <w:rsid w:val="005708C2"/>
    <w:rsid w:val="00572451"/>
    <w:rsid w:val="0057252B"/>
    <w:rsid w:val="00572F1E"/>
    <w:rsid w:val="00573789"/>
    <w:rsid w:val="00573AD9"/>
    <w:rsid w:val="0057476A"/>
    <w:rsid w:val="00574D23"/>
    <w:rsid w:val="00575B47"/>
    <w:rsid w:val="005779F2"/>
    <w:rsid w:val="00577E4F"/>
    <w:rsid w:val="00577F13"/>
    <w:rsid w:val="005808B5"/>
    <w:rsid w:val="00580FA4"/>
    <w:rsid w:val="005817BA"/>
    <w:rsid w:val="00582AA9"/>
    <w:rsid w:val="00583311"/>
    <w:rsid w:val="005835D1"/>
    <w:rsid w:val="005836B1"/>
    <w:rsid w:val="00583904"/>
    <w:rsid w:val="00583DCA"/>
    <w:rsid w:val="005868A7"/>
    <w:rsid w:val="0059015D"/>
    <w:rsid w:val="00590356"/>
    <w:rsid w:val="0059101C"/>
    <w:rsid w:val="0059146E"/>
    <w:rsid w:val="00591643"/>
    <w:rsid w:val="00591DAE"/>
    <w:rsid w:val="005921C6"/>
    <w:rsid w:val="005930C3"/>
    <w:rsid w:val="0059441B"/>
    <w:rsid w:val="005947DA"/>
    <w:rsid w:val="00594B54"/>
    <w:rsid w:val="00594CE1"/>
    <w:rsid w:val="005950A1"/>
    <w:rsid w:val="00595731"/>
    <w:rsid w:val="00596782"/>
    <w:rsid w:val="0059779E"/>
    <w:rsid w:val="005A2B7D"/>
    <w:rsid w:val="005A40D7"/>
    <w:rsid w:val="005A422C"/>
    <w:rsid w:val="005A5A90"/>
    <w:rsid w:val="005A73E9"/>
    <w:rsid w:val="005B01B9"/>
    <w:rsid w:val="005B1622"/>
    <w:rsid w:val="005B35BE"/>
    <w:rsid w:val="005B39E7"/>
    <w:rsid w:val="005B3B28"/>
    <w:rsid w:val="005B54C3"/>
    <w:rsid w:val="005B6BE3"/>
    <w:rsid w:val="005B6D83"/>
    <w:rsid w:val="005B7507"/>
    <w:rsid w:val="005B7811"/>
    <w:rsid w:val="005B7B8D"/>
    <w:rsid w:val="005C087C"/>
    <w:rsid w:val="005C2F51"/>
    <w:rsid w:val="005C44FB"/>
    <w:rsid w:val="005C4977"/>
    <w:rsid w:val="005C534A"/>
    <w:rsid w:val="005C5BFB"/>
    <w:rsid w:val="005C5F8A"/>
    <w:rsid w:val="005C64E8"/>
    <w:rsid w:val="005C72D7"/>
    <w:rsid w:val="005C7D77"/>
    <w:rsid w:val="005D032E"/>
    <w:rsid w:val="005D0818"/>
    <w:rsid w:val="005D09C7"/>
    <w:rsid w:val="005D0AF2"/>
    <w:rsid w:val="005D1276"/>
    <w:rsid w:val="005D1C09"/>
    <w:rsid w:val="005D237D"/>
    <w:rsid w:val="005D23CC"/>
    <w:rsid w:val="005D2E8C"/>
    <w:rsid w:val="005D3ACF"/>
    <w:rsid w:val="005D3CA4"/>
    <w:rsid w:val="005D3D1D"/>
    <w:rsid w:val="005D4050"/>
    <w:rsid w:val="005D47EE"/>
    <w:rsid w:val="005D5601"/>
    <w:rsid w:val="005D590D"/>
    <w:rsid w:val="005D5F39"/>
    <w:rsid w:val="005D719D"/>
    <w:rsid w:val="005D725A"/>
    <w:rsid w:val="005D78FC"/>
    <w:rsid w:val="005D7C96"/>
    <w:rsid w:val="005E05D1"/>
    <w:rsid w:val="005E0770"/>
    <w:rsid w:val="005E285E"/>
    <w:rsid w:val="005E3718"/>
    <w:rsid w:val="005E4159"/>
    <w:rsid w:val="005E4188"/>
    <w:rsid w:val="005E4645"/>
    <w:rsid w:val="005E50A3"/>
    <w:rsid w:val="005E51C0"/>
    <w:rsid w:val="005E7B62"/>
    <w:rsid w:val="005F1AC7"/>
    <w:rsid w:val="005F1E11"/>
    <w:rsid w:val="005F2418"/>
    <w:rsid w:val="005F2905"/>
    <w:rsid w:val="005F2D2B"/>
    <w:rsid w:val="005F36D7"/>
    <w:rsid w:val="005F4231"/>
    <w:rsid w:val="005F4A38"/>
    <w:rsid w:val="005F50B6"/>
    <w:rsid w:val="005F5E20"/>
    <w:rsid w:val="005F5F38"/>
    <w:rsid w:val="005F7448"/>
    <w:rsid w:val="005F7A63"/>
    <w:rsid w:val="00600882"/>
    <w:rsid w:val="0060174D"/>
    <w:rsid w:val="0060203A"/>
    <w:rsid w:val="00602374"/>
    <w:rsid w:val="00603207"/>
    <w:rsid w:val="006041DF"/>
    <w:rsid w:val="00605433"/>
    <w:rsid w:val="00606BEF"/>
    <w:rsid w:val="00606E47"/>
    <w:rsid w:val="006103FF"/>
    <w:rsid w:val="00610B25"/>
    <w:rsid w:val="00610F1E"/>
    <w:rsid w:val="0061112F"/>
    <w:rsid w:val="006112EB"/>
    <w:rsid w:val="0061172E"/>
    <w:rsid w:val="0061249D"/>
    <w:rsid w:val="00612A5A"/>
    <w:rsid w:val="00612BF5"/>
    <w:rsid w:val="00613B78"/>
    <w:rsid w:val="00613F20"/>
    <w:rsid w:val="006140CD"/>
    <w:rsid w:val="006140D4"/>
    <w:rsid w:val="0061418A"/>
    <w:rsid w:val="00614A85"/>
    <w:rsid w:val="00615A89"/>
    <w:rsid w:val="00615F32"/>
    <w:rsid w:val="00616210"/>
    <w:rsid w:val="00616228"/>
    <w:rsid w:val="006205C1"/>
    <w:rsid w:val="006208CF"/>
    <w:rsid w:val="00621491"/>
    <w:rsid w:val="00621680"/>
    <w:rsid w:val="00622073"/>
    <w:rsid w:val="00622697"/>
    <w:rsid w:val="00622F7C"/>
    <w:rsid w:val="00622FE1"/>
    <w:rsid w:val="00624607"/>
    <w:rsid w:val="00624B0C"/>
    <w:rsid w:val="00624CA4"/>
    <w:rsid w:val="006255C5"/>
    <w:rsid w:val="006257C4"/>
    <w:rsid w:val="006257E2"/>
    <w:rsid w:val="006266C9"/>
    <w:rsid w:val="0062721D"/>
    <w:rsid w:val="0063048A"/>
    <w:rsid w:val="0063077B"/>
    <w:rsid w:val="00630A95"/>
    <w:rsid w:val="00631F5B"/>
    <w:rsid w:val="00632064"/>
    <w:rsid w:val="00632342"/>
    <w:rsid w:val="006328C4"/>
    <w:rsid w:val="00632B4D"/>
    <w:rsid w:val="00633DAB"/>
    <w:rsid w:val="00634984"/>
    <w:rsid w:val="006358F1"/>
    <w:rsid w:val="00637E24"/>
    <w:rsid w:val="00641143"/>
    <w:rsid w:val="006415BA"/>
    <w:rsid w:val="006418E9"/>
    <w:rsid w:val="006419F0"/>
    <w:rsid w:val="0064248F"/>
    <w:rsid w:val="00642847"/>
    <w:rsid w:val="006428F0"/>
    <w:rsid w:val="00643123"/>
    <w:rsid w:val="006436C8"/>
    <w:rsid w:val="006440E7"/>
    <w:rsid w:val="00644A91"/>
    <w:rsid w:val="00644D3C"/>
    <w:rsid w:val="00645D4F"/>
    <w:rsid w:val="00645E33"/>
    <w:rsid w:val="006460A1"/>
    <w:rsid w:val="00646E76"/>
    <w:rsid w:val="00647511"/>
    <w:rsid w:val="00647B9C"/>
    <w:rsid w:val="006507AF"/>
    <w:rsid w:val="00651800"/>
    <w:rsid w:val="0065201E"/>
    <w:rsid w:val="00653B5C"/>
    <w:rsid w:val="00653F7C"/>
    <w:rsid w:val="0065403D"/>
    <w:rsid w:val="00654124"/>
    <w:rsid w:val="00654543"/>
    <w:rsid w:val="006546AB"/>
    <w:rsid w:val="00657143"/>
    <w:rsid w:val="00657188"/>
    <w:rsid w:val="00657294"/>
    <w:rsid w:val="0066095E"/>
    <w:rsid w:val="00661FB0"/>
    <w:rsid w:val="00662296"/>
    <w:rsid w:val="006622DF"/>
    <w:rsid w:val="00662609"/>
    <w:rsid w:val="00662A27"/>
    <w:rsid w:val="00662CBF"/>
    <w:rsid w:val="006639F9"/>
    <w:rsid w:val="00664145"/>
    <w:rsid w:val="00664C8B"/>
    <w:rsid w:val="006650DD"/>
    <w:rsid w:val="00665641"/>
    <w:rsid w:val="0066570B"/>
    <w:rsid w:val="00666600"/>
    <w:rsid w:val="00666E46"/>
    <w:rsid w:val="00667AA1"/>
    <w:rsid w:val="00667DE7"/>
    <w:rsid w:val="0067000C"/>
    <w:rsid w:val="00672BA4"/>
    <w:rsid w:val="00672BB2"/>
    <w:rsid w:val="00674B22"/>
    <w:rsid w:val="006754A2"/>
    <w:rsid w:val="00680B1B"/>
    <w:rsid w:val="0068101B"/>
    <w:rsid w:val="006812BF"/>
    <w:rsid w:val="00681A4C"/>
    <w:rsid w:val="00682D84"/>
    <w:rsid w:val="006852C5"/>
    <w:rsid w:val="00690B0E"/>
    <w:rsid w:val="00690C18"/>
    <w:rsid w:val="00691C0A"/>
    <w:rsid w:val="00692042"/>
    <w:rsid w:val="006921A6"/>
    <w:rsid w:val="0069316A"/>
    <w:rsid w:val="006938D9"/>
    <w:rsid w:val="0069390A"/>
    <w:rsid w:val="006942C6"/>
    <w:rsid w:val="006944FA"/>
    <w:rsid w:val="00694FA2"/>
    <w:rsid w:val="00695B87"/>
    <w:rsid w:val="00695B91"/>
    <w:rsid w:val="00696113"/>
    <w:rsid w:val="006965F8"/>
    <w:rsid w:val="0069788E"/>
    <w:rsid w:val="006A04DE"/>
    <w:rsid w:val="006A13EC"/>
    <w:rsid w:val="006A149E"/>
    <w:rsid w:val="006A16FB"/>
    <w:rsid w:val="006A1854"/>
    <w:rsid w:val="006A1FD9"/>
    <w:rsid w:val="006A26E4"/>
    <w:rsid w:val="006A2CB9"/>
    <w:rsid w:val="006A3C87"/>
    <w:rsid w:val="006A3CB1"/>
    <w:rsid w:val="006A4C71"/>
    <w:rsid w:val="006A52B8"/>
    <w:rsid w:val="006A60CD"/>
    <w:rsid w:val="006A6B6A"/>
    <w:rsid w:val="006A7385"/>
    <w:rsid w:val="006B05B2"/>
    <w:rsid w:val="006B07FE"/>
    <w:rsid w:val="006B0DAF"/>
    <w:rsid w:val="006B36C5"/>
    <w:rsid w:val="006B38A9"/>
    <w:rsid w:val="006B38B3"/>
    <w:rsid w:val="006B3A46"/>
    <w:rsid w:val="006B3D7D"/>
    <w:rsid w:val="006B421C"/>
    <w:rsid w:val="006B52CB"/>
    <w:rsid w:val="006B700E"/>
    <w:rsid w:val="006B713A"/>
    <w:rsid w:val="006B7A92"/>
    <w:rsid w:val="006C2062"/>
    <w:rsid w:val="006C2726"/>
    <w:rsid w:val="006C3BD1"/>
    <w:rsid w:val="006C4DA3"/>
    <w:rsid w:val="006C5DB6"/>
    <w:rsid w:val="006C6660"/>
    <w:rsid w:val="006C769C"/>
    <w:rsid w:val="006C7ED4"/>
    <w:rsid w:val="006D004C"/>
    <w:rsid w:val="006D052A"/>
    <w:rsid w:val="006D0ED1"/>
    <w:rsid w:val="006D17F9"/>
    <w:rsid w:val="006D194E"/>
    <w:rsid w:val="006D2809"/>
    <w:rsid w:val="006D3714"/>
    <w:rsid w:val="006D3724"/>
    <w:rsid w:val="006D376D"/>
    <w:rsid w:val="006D3C59"/>
    <w:rsid w:val="006D4E10"/>
    <w:rsid w:val="006D6741"/>
    <w:rsid w:val="006D67FD"/>
    <w:rsid w:val="006D7263"/>
    <w:rsid w:val="006D76E6"/>
    <w:rsid w:val="006D76FD"/>
    <w:rsid w:val="006E24A9"/>
    <w:rsid w:val="006E2534"/>
    <w:rsid w:val="006E32DD"/>
    <w:rsid w:val="006E3323"/>
    <w:rsid w:val="006E3977"/>
    <w:rsid w:val="006E4C5F"/>
    <w:rsid w:val="006E4C80"/>
    <w:rsid w:val="006F1325"/>
    <w:rsid w:val="006F2578"/>
    <w:rsid w:val="006F36B3"/>
    <w:rsid w:val="006F60C7"/>
    <w:rsid w:val="006F617E"/>
    <w:rsid w:val="006F6F39"/>
    <w:rsid w:val="006F6FA4"/>
    <w:rsid w:val="006F7139"/>
    <w:rsid w:val="006F7430"/>
    <w:rsid w:val="006F75E4"/>
    <w:rsid w:val="006F7AF2"/>
    <w:rsid w:val="00700E91"/>
    <w:rsid w:val="00701A39"/>
    <w:rsid w:val="007025B1"/>
    <w:rsid w:val="0070281A"/>
    <w:rsid w:val="0070286E"/>
    <w:rsid w:val="00703492"/>
    <w:rsid w:val="0070363E"/>
    <w:rsid w:val="007037B2"/>
    <w:rsid w:val="00704564"/>
    <w:rsid w:val="00705D64"/>
    <w:rsid w:val="007060B5"/>
    <w:rsid w:val="00706229"/>
    <w:rsid w:val="007064F6"/>
    <w:rsid w:val="0070684C"/>
    <w:rsid w:val="0070756D"/>
    <w:rsid w:val="00707E16"/>
    <w:rsid w:val="00710A35"/>
    <w:rsid w:val="007111DD"/>
    <w:rsid w:val="00711B32"/>
    <w:rsid w:val="007121F5"/>
    <w:rsid w:val="00715B63"/>
    <w:rsid w:val="00716A35"/>
    <w:rsid w:val="007178A4"/>
    <w:rsid w:val="00717ACF"/>
    <w:rsid w:val="00721C77"/>
    <w:rsid w:val="00721FC3"/>
    <w:rsid w:val="007226B0"/>
    <w:rsid w:val="00722A6C"/>
    <w:rsid w:val="007230F9"/>
    <w:rsid w:val="00723528"/>
    <w:rsid w:val="00723850"/>
    <w:rsid w:val="00723D17"/>
    <w:rsid w:val="007242AA"/>
    <w:rsid w:val="00724AD6"/>
    <w:rsid w:val="007258B4"/>
    <w:rsid w:val="00726E14"/>
    <w:rsid w:val="00727496"/>
    <w:rsid w:val="007276A3"/>
    <w:rsid w:val="00727E54"/>
    <w:rsid w:val="007323D3"/>
    <w:rsid w:val="00732CFE"/>
    <w:rsid w:val="00733254"/>
    <w:rsid w:val="0073468C"/>
    <w:rsid w:val="00734D40"/>
    <w:rsid w:val="007350C7"/>
    <w:rsid w:val="00736D44"/>
    <w:rsid w:val="0073726D"/>
    <w:rsid w:val="00737817"/>
    <w:rsid w:val="007400EE"/>
    <w:rsid w:val="007406DE"/>
    <w:rsid w:val="00740B9F"/>
    <w:rsid w:val="00741E3C"/>
    <w:rsid w:val="00742EA2"/>
    <w:rsid w:val="00743854"/>
    <w:rsid w:val="00744AD7"/>
    <w:rsid w:val="00745148"/>
    <w:rsid w:val="007455F2"/>
    <w:rsid w:val="00746BF6"/>
    <w:rsid w:val="0074786F"/>
    <w:rsid w:val="00747E5D"/>
    <w:rsid w:val="00750128"/>
    <w:rsid w:val="00750C7A"/>
    <w:rsid w:val="0075168B"/>
    <w:rsid w:val="00751E90"/>
    <w:rsid w:val="00754360"/>
    <w:rsid w:val="00754975"/>
    <w:rsid w:val="00755B06"/>
    <w:rsid w:val="0075622E"/>
    <w:rsid w:val="00756DAD"/>
    <w:rsid w:val="00757D34"/>
    <w:rsid w:val="00757FCB"/>
    <w:rsid w:val="00760C8C"/>
    <w:rsid w:val="00760E48"/>
    <w:rsid w:val="00760F41"/>
    <w:rsid w:val="00761D79"/>
    <w:rsid w:val="00764984"/>
    <w:rsid w:val="007649E5"/>
    <w:rsid w:val="00764E0A"/>
    <w:rsid w:val="00764EFA"/>
    <w:rsid w:val="007657FD"/>
    <w:rsid w:val="00766BCF"/>
    <w:rsid w:val="00766DE3"/>
    <w:rsid w:val="00766F44"/>
    <w:rsid w:val="00767056"/>
    <w:rsid w:val="007678B5"/>
    <w:rsid w:val="00767C05"/>
    <w:rsid w:val="007703AC"/>
    <w:rsid w:val="00771C47"/>
    <w:rsid w:val="007723DC"/>
    <w:rsid w:val="007726E4"/>
    <w:rsid w:val="0077323D"/>
    <w:rsid w:val="007739BF"/>
    <w:rsid w:val="007746A8"/>
    <w:rsid w:val="0077512F"/>
    <w:rsid w:val="00775868"/>
    <w:rsid w:val="007804D5"/>
    <w:rsid w:val="007813B1"/>
    <w:rsid w:val="0078147C"/>
    <w:rsid w:val="00782654"/>
    <w:rsid w:val="00782C82"/>
    <w:rsid w:val="00782F79"/>
    <w:rsid w:val="00783176"/>
    <w:rsid w:val="00783A3A"/>
    <w:rsid w:val="007846E7"/>
    <w:rsid w:val="00785011"/>
    <w:rsid w:val="0078585A"/>
    <w:rsid w:val="00785A28"/>
    <w:rsid w:val="00785B0E"/>
    <w:rsid w:val="00785B2A"/>
    <w:rsid w:val="007863D2"/>
    <w:rsid w:val="007865E5"/>
    <w:rsid w:val="00787809"/>
    <w:rsid w:val="00787DA9"/>
    <w:rsid w:val="007900C8"/>
    <w:rsid w:val="00790718"/>
    <w:rsid w:val="0079126D"/>
    <w:rsid w:val="007916AB"/>
    <w:rsid w:val="00791DDB"/>
    <w:rsid w:val="00792856"/>
    <w:rsid w:val="00792CDD"/>
    <w:rsid w:val="00793246"/>
    <w:rsid w:val="00793C5B"/>
    <w:rsid w:val="00793D73"/>
    <w:rsid w:val="00793E1B"/>
    <w:rsid w:val="00794BB4"/>
    <w:rsid w:val="0079582F"/>
    <w:rsid w:val="0079590A"/>
    <w:rsid w:val="00795E71"/>
    <w:rsid w:val="007960D4"/>
    <w:rsid w:val="007966E8"/>
    <w:rsid w:val="00796D4F"/>
    <w:rsid w:val="0079738B"/>
    <w:rsid w:val="007A036B"/>
    <w:rsid w:val="007A03C8"/>
    <w:rsid w:val="007A0CBA"/>
    <w:rsid w:val="007A0EBA"/>
    <w:rsid w:val="007A2E1C"/>
    <w:rsid w:val="007A2E44"/>
    <w:rsid w:val="007A35EE"/>
    <w:rsid w:val="007A437B"/>
    <w:rsid w:val="007A6089"/>
    <w:rsid w:val="007A7241"/>
    <w:rsid w:val="007A7D05"/>
    <w:rsid w:val="007B07EB"/>
    <w:rsid w:val="007B1791"/>
    <w:rsid w:val="007B2037"/>
    <w:rsid w:val="007B21AA"/>
    <w:rsid w:val="007B2A4F"/>
    <w:rsid w:val="007B2D03"/>
    <w:rsid w:val="007B30EE"/>
    <w:rsid w:val="007B3A3F"/>
    <w:rsid w:val="007B3F27"/>
    <w:rsid w:val="007B42D1"/>
    <w:rsid w:val="007B4FE8"/>
    <w:rsid w:val="007B5F0F"/>
    <w:rsid w:val="007B6295"/>
    <w:rsid w:val="007B731D"/>
    <w:rsid w:val="007C01D4"/>
    <w:rsid w:val="007C0943"/>
    <w:rsid w:val="007C0AC1"/>
    <w:rsid w:val="007C1321"/>
    <w:rsid w:val="007C15E8"/>
    <w:rsid w:val="007C20A5"/>
    <w:rsid w:val="007C406D"/>
    <w:rsid w:val="007C4796"/>
    <w:rsid w:val="007C6D82"/>
    <w:rsid w:val="007C6E1F"/>
    <w:rsid w:val="007C7CD4"/>
    <w:rsid w:val="007D0BF8"/>
    <w:rsid w:val="007D1171"/>
    <w:rsid w:val="007D1324"/>
    <w:rsid w:val="007D159C"/>
    <w:rsid w:val="007D1664"/>
    <w:rsid w:val="007D1745"/>
    <w:rsid w:val="007D1F38"/>
    <w:rsid w:val="007D22BA"/>
    <w:rsid w:val="007D4595"/>
    <w:rsid w:val="007D4A56"/>
    <w:rsid w:val="007D50A6"/>
    <w:rsid w:val="007D54E7"/>
    <w:rsid w:val="007D5678"/>
    <w:rsid w:val="007D71EF"/>
    <w:rsid w:val="007D7E1F"/>
    <w:rsid w:val="007E002B"/>
    <w:rsid w:val="007E09B0"/>
    <w:rsid w:val="007E0E07"/>
    <w:rsid w:val="007E0FF2"/>
    <w:rsid w:val="007E1B26"/>
    <w:rsid w:val="007E28CA"/>
    <w:rsid w:val="007E2C21"/>
    <w:rsid w:val="007E2D04"/>
    <w:rsid w:val="007E2DD0"/>
    <w:rsid w:val="007E412B"/>
    <w:rsid w:val="007E4676"/>
    <w:rsid w:val="007E476C"/>
    <w:rsid w:val="007E4EC4"/>
    <w:rsid w:val="007E5957"/>
    <w:rsid w:val="007E783B"/>
    <w:rsid w:val="007E7E3F"/>
    <w:rsid w:val="007F238E"/>
    <w:rsid w:val="007F418E"/>
    <w:rsid w:val="007F5076"/>
    <w:rsid w:val="007F6205"/>
    <w:rsid w:val="007F6830"/>
    <w:rsid w:val="008004D5"/>
    <w:rsid w:val="00801D54"/>
    <w:rsid w:val="00801F4D"/>
    <w:rsid w:val="008022E1"/>
    <w:rsid w:val="00802BD9"/>
    <w:rsid w:val="00803159"/>
    <w:rsid w:val="00803689"/>
    <w:rsid w:val="0080396F"/>
    <w:rsid w:val="0080510F"/>
    <w:rsid w:val="00805610"/>
    <w:rsid w:val="00805B44"/>
    <w:rsid w:val="0080611E"/>
    <w:rsid w:val="00806CA4"/>
    <w:rsid w:val="0080716B"/>
    <w:rsid w:val="00807221"/>
    <w:rsid w:val="008111EB"/>
    <w:rsid w:val="00811498"/>
    <w:rsid w:val="00811B1A"/>
    <w:rsid w:val="008122C0"/>
    <w:rsid w:val="00812327"/>
    <w:rsid w:val="0081249E"/>
    <w:rsid w:val="008127BA"/>
    <w:rsid w:val="00812B66"/>
    <w:rsid w:val="00814938"/>
    <w:rsid w:val="00814C23"/>
    <w:rsid w:val="00815169"/>
    <w:rsid w:val="0081549F"/>
    <w:rsid w:val="008157A7"/>
    <w:rsid w:val="00815F94"/>
    <w:rsid w:val="00816596"/>
    <w:rsid w:val="00817296"/>
    <w:rsid w:val="00817408"/>
    <w:rsid w:val="00821243"/>
    <w:rsid w:val="00822B2C"/>
    <w:rsid w:val="00823BFA"/>
    <w:rsid w:val="00824339"/>
    <w:rsid w:val="008257AF"/>
    <w:rsid w:val="00825E2B"/>
    <w:rsid w:val="00826275"/>
    <w:rsid w:val="00826DDA"/>
    <w:rsid w:val="008270D3"/>
    <w:rsid w:val="008278E4"/>
    <w:rsid w:val="00830C46"/>
    <w:rsid w:val="008320C1"/>
    <w:rsid w:val="00832196"/>
    <w:rsid w:val="008325F7"/>
    <w:rsid w:val="0083263C"/>
    <w:rsid w:val="008334D3"/>
    <w:rsid w:val="00834E82"/>
    <w:rsid w:val="008350C7"/>
    <w:rsid w:val="00835AA2"/>
    <w:rsid w:val="00835F04"/>
    <w:rsid w:val="00836692"/>
    <w:rsid w:val="00837181"/>
    <w:rsid w:val="00837294"/>
    <w:rsid w:val="008372A9"/>
    <w:rsid w:val="00837892"/>
    <w:rsid w:val="00837997"/>
    <w:rsid w:val="008379E9"/>
    <w:rsid w:val="00837EFC"/>
    <w:rsid w:val="00840BA9"/>
    <w:rsid w:val="0084230A"/>
    <w:rsid w:val="00842552"/>
    <w:rsid w:val="00843325"/>
    <w:rsid w:val="00843612"/>
    <w:rsid w:val="00843F96"/>
    <w:rsid w:val="00843FDB"/>
    <w:rsid w:val="00844B0A"/>
    <w:rsid w:val="008452A7"/>
    <w:rsid w:val="008473C9"/>
    <w:rsid w:val="008475F8"/>
    <w:rsid w:val="008478BB"/>
    <w:rsid w:val="00847A87"/>
    <w:rsid w:val="00847AA7"/>
    <w:rsid w:val="00850991"/>
    <w:rsid w:val="00850CBB"/>
    <w:rsid w:val="00851115"/>
    <w:rsid w:val="008522AD"/>
    <w:rsid w:val="008529E8"/>
    <w:rsid w:val="00852C0E"/>
    <w:rsid w:val="0085310B"/>
    <w:rsid w:val="00853430"/>
    <w:rsid w:val="0085402D"/>
    <w:rsid w:val="00854CC7"/>
    <w:rsid w:val="00855506"/>
    <w:rsid w:val="0085560A"/>
    <w:rsid w:val="008556E2"/>
    <w:rsid w:val="008557FE"/>
    <w:rsid w:val="008575DA"/>
    <w:rsid w:val="00860F34"/>
    <w:rsid w:val="00861759"/>
    <w:rsid w:val="00861D38"/>
    <w:rsid w:val="00866401"/>
    <w:rsid w:val="00866537"/>
    <w:rsid w:val="00866AE6"/>
    <w:rsid w:val="0086774D"/>
    <w:rsid w:val="008678DF"/>
    <w:rsid w:val="008679CF"/>
    <w:rsid w:val="00867CF1"/>
    <w:rsid w:val="008708B2"/>
    <w:rsid w:val="00871134"/>
    <w:rsid w:val="008711FB"/>
    <w:rsid w:val="0087298E"/>
    <w:rsid w:val="00872DCA"/>
    <w:rsid w:val="0087559F"/>
    <w:rsid w:val="0087597D"/>
    <w:rsid w:val="0087599D"/>
    <w:rsid w:val="00875FF7"/>
    <w:rsid w:val="00876179"/>
    <w:rsid w:val="00877E28"/>
    <w:rsid w:val="008803BD"/>
    <w:rsid w:val="0088083B"/>
    <w:rsid w:val="008808FD"/>
    <w:rsid w:val="00880F8A"/>
    <w:rsid w:val="008817A1"/>
    <w:rsid w:val="00881E7C"/>
    <w:rsid w:val="00882C74"/>
    <w:rsid w:val="0088345C"/>
    <w:rsid w:val="00883686"/>
    <w:rsid w:val="00885078"/>
    <w:rsid w:val="0088578C"/>
    <w:rsid w:val="00885FE8"/>
    <w:rsid w:val="0088604E"/>
    <w:rsid w:val="008860BF"/>
    <w:rsid w:val="00886751"/>
    <w:rsid w:val="0088677C"/>
    <w:rsid w:val="00886DCD"/>
    <w:rsid w:val="00887506"/>
    <w:rsid w:val="00887C2E"/>
    <w:rsid w:val="00890005"/>
    <w:rsid w:val="00890CF0"/>
    <w:rsid w:val="00891F41"/>
    <w:rsid w:val="00892100"/>
    <w:rsid w:val="0089237B"/>
    <w:rsid w:val="00892AC3"/>
    <w:rsid w:val="008935F5"/>
    <w:rsid w:val="00894216"/>
    <w:rsid w:val="00894C5E"/>
    <w:rsid w:val="00894CF6"/>
    <w:rsid w:val="00895C73"/>
    <w:rsid w:val="008966F3"/>
    <w:rsid w:val="008977AE"/>
    <w:rsid w:val="008A0716"/>
    <w:rsid w:val="008A07BB"/>
    <w:rsid w:val="008A1198"/>
    <w:rsid w:val="008A2339"/>
    <w:rsid w:val="008A3DA8"/>
    <w:rsid w:val="008A3E6D"/>
    <w:rsid w:val="008A5E47"/>
    <w:rsid w:val="008A6CED"/>
    <w:rsid w:val="008A784D"/>
    <w:rsid w:val="008A7D1F"/>
    <w:rsid w:val="008A7FAD"/>
    <w:rsid w:val="008B0459"/>
    <w:rsid w:val="008B0839"/>
    <w:rsid w:val="008B182A"/>
    <w:rsid w:val="008B186B"/>
    <w:rsid w:val="008B215F"/>
    <w:rsid w:val="008B2777"/>
    <w:rsid w:val="008B282B"/>
    <w:rsid w:val="008B28CC"/>
    <w:rsid w:val="008B32FA"/>
    <w:rsid w:val="008B4141"/>
    <w:rsid w:val="008B4802"/>
    <w:rsid w:val="008B5522"/>
    <w:rsid w:val="008B553A"/>
    <w:rsid w:val="008B5ADD"/>
    <w:rsid w:val="008B6EDA"/>
    <w:rsid w:val="008B7619"/>
    <w:rsid w:val="008B7659"/>
    <w:rsid w:val="008B7B47"/>
    <w:rsid w:val="008C26D9"/>
    <w:rsid w:val="008C26DA"/>
    <w:rsid w:val="008C2F65"/>
    <w:rsid w:val="008C4854"/>
    <w:rsid w:val="008C49A3"/>
    <w:rsid w:val="008C60DE"/>
    <w:rsid w:val="008C6A7D"/>
    <w:rsid w:val="008C7732"/>
    <w:rsid w:val="008D0679"/>
    <w:rsid w:val="008D078F"/>
    <w:rsid w:val="008D1AB9"/>
    <w:rsid w:val="008D1D3D"/>
    <w:rsid w:val="008D1E14"/>
    <w:rsid w:val="008D221F"/>
    <w:rsid w:val="008D29CB"/>
    <w:rsid w:val="008D35F0"/>
    <w:rsid w:val="008D3882"/>
    <w:rsid w:val="008D41F5"/>
    <w:rsid w:val="008D4352"/>
    <w:rsid w:val="008D45F6"/>
    <w:rsid w:val="008D6CC6"/>
    <w:rsid w:val="008D768F"/>
    <w:rsid w:val="008D7F41"/>
    <w:rsid w:val="008E2AFA"/>
    <w:rsid w:val="008E319B"/>
    <w:rsid w:val="008E4158"/>
    <w:rsid w:val="008E478B"/>
    <w:rsid w:val="008E5650"/>
    <w:rsid w:val="008E5818"/>
    <w:rsid w:val="008E642A"/>
    <w:rsid w:val="008E64B4"/>
    <w:rsid w:val="008E6764"/>
    <w:rsid w:val="008E6F30"/>
    <w:rsid w:val="008F176A"/>
    <w:rsid w:val="008F38A4"/>
    <w:rsid w:val="008F3F8A"/>
    <w:rsid w:val="008F4CEC"/>
    <w:rsid w:val="008F5F92"/>
    <w:rsid w:val="008F6534"/>
    <w:rsid w:val="008F69C8"/>
    <w:rsid w:val="008F7A1A"/>
    <w:rsid w:val="008F7E81"/>
    <w:rsid w:val="00900B59"/>
    <w:rsid w:val="00901B45"/>
    <w:rsid w:val="00901B96"/>
    <w:rsid w:val="0090247A"/>
    <w:rsid w:val="00902865"/>
    <w:rsid w:val="00902C03"/>
    <w:rsid w:val="00903335"/>
    <w:rsid w:val="0090457D"/>
    <w:rsid w:val="00904BFB"/>
    <w:rsid w:val="00904EF5"/>
    <w:rsid w:val="00905E59"/>
    <w:rsid w:val="00906068"/>
    <w:rsid w:val="009064E4"/>
    <w:rsid w:val="00906FB2"/>
    <w:rsid w:val="00907FC6"/>
    <w:rsid w:val="00910DF2"/>
    <w:rsid w:val="0091120D"/>
    <w:rsid w:val="0091182C"/>
    <w:rsid w:val="00911CD6"/>
    <w:rsid w:val="00912337"/>
    <w:rsid w:val="00913409"/>
    <w:rsid w:val="00913961"/>
    <w:rsid w:val="009150CB"/>
    <w:rsid w:val="00915B75"/>
    <w:rsid w:val="0091701C"/>
    <w:rsid w:val="00920412"/>
    <w:rsid w:val="00920489"/>
    <w:rsid w:val="009206DA"/>
    <w:rsid w:val="00921191"/>
    <w:rsid w:val="0092152E"/>
    <w:rsid w:val="009217C5"/>
    <w:rsid w:val="009222C4"/>
    <w:rsid w:val="009224D3"/>
    <w:rsid w:val="00922525"/>
    <w:rsid w:val="00923863"/>
    <w:rsid w:val="00924760"/>
    <w:rsid w:val="009247DC"/>
    <w:rsid w:val="009249C1"/>
    <w:rsid w:val="009253BB"/>
    <w:rsid w:val="00925AB9"/>
    <w:rsid w:val="00926DCA"/>
    <w:rsid w:val="009274E9"/>
    <w:rsid w:val="0092757D"/>
    <w:rsid w:val="00927CCE"/>
    <w:rsid w:val="009317E3"/>
    <w:rsid w:val="00931E3F"/>
    <w:rsid w:val="009326C9"/>
    <w:rsid w:val="00933858"/>
    <w:rsid w:val="00933928"/>
    <w:rsid w:val="00934525"/>
    <w:rsid w:val="009353E6"/>
    <w:rsid w:val="00935533"/>
    <w:rsid w:val="00936055"/>
    <w:rsid w:val="00936181"/>
    <w:rsid w:val="009376C5"/>
    <w:rsid w:val="0094027D"/>
    <w:rsid w:val="00942238"/>
    <w:rsid w:val="009423C7"/>
    <w:rsid w:val="0094316F"/>
    <w:rsid w:val="00943374"/>
    <w:rsid w:val="0094343D"/>
    <w:rsid w:val="00944299"/>
    <w:rsid w:val="0094577D"/>
    <w:rsid w:val="00945D10"/>
    <w:rsid w:val="00946DC7"/>
    <w:rsid w:val="0094707B"/>
    <w:rsid w:val="009472B8"/>
    <w:rsid w:val="009501C5"/>
    <w:rsid w:val="00951230"/>
    <w:rsid w:val="00951C52"/>
    <w:rsid w:val="00951D55"/>
    <w:rsid w:val="009521C7"/>
    <w:rsid w:val="0095310F"/>
    <w:rsid w:val="0095320A"/>
    <w:rsid w:val="00954D7C"/>
    <w:rsid w:val="00954FDC"/>
    <w:rsid w:val="00956214"/>
    <w:rsid w:val="00957125"/>
    <w:rsid w:val="00957F9D"/>
    <w:rsid w:val="00957FA3"/>
    <w:rsid w:val="00962320"/>
    <w:rsid w:val="009629CC"/>
    <w:rsid w:val="00962B13"/>
    <w:rsid w:val="00963C12"/>
    <w:rsid w:val="0096484E"/>
    <w:rsid w:val="0096486A"/>
    <w:rsid w:val="00964D13"/>
    <w:rsid w:val="009654F0"/>
    <w:rsid w:val="00965A0A"/>
    <w:rsid w:val="0096797A"/>
    <w:rsid w:val="00970DA4"/>
    <w:rsid w:val="009718E1"/>
    <w:rsid w:val="00973A98"/>
    <w:rsid w:val="00974EA6"/>
    <w:rsid w:val="00975C65"/>
    <w:rsid w:val="00977653"/>
    <w:rsid w:val="00977A4D"/>
    <w:rsid w:val="00980A8F"/>
    <w:rsid w:val="00981E97"/>
    <w:rsid w:val="00982D76"/>
    <w:rsid w:val="00983DF2"/>
    <w:rsid w:val="009853D2"/>
    <w:rsid w:val="0098616E"/>
    <w:rsid w:val="00986728"/>
    <w:rsid w:val="00987B11"/>
    <w:rsid w:val="00987D37"/>
    <w:rsid w:val="00987D45"/>
    <w:rsid w:val="00990960"/>
    <w:rsid w:val="00991383"/>
    <w:rsid w:val="0099292E"/>
    <w:rsid w:val="00993ACA"/>
    <w:rsid w:val="0099462A"/>
    <w:rsid w:val="0099752A"/>
    <w:rsid w:val="00997775"/>
    <w:rsid w:val="009978DF"/>
    <w:rsid w:val="009A0B5B"/>
    <w:rsid w:val="009A1348"/>
    <w:rsid w:val="009A13F6"/>
    <w:rsid w:val="009A153A"/>
    <w:rsid w:val="009A23FF"/>
    <w:rsid w:val="009A322E"/>
    <w:rsid w:val="009A3698"/>
    <w:rsid w:val="009A5A4B"/>
    <w:rsid w:val="009A65A6"/>
    <w:rsid w:val="009A7153"/>
    <w:rsid w:val="009A754F"/>
    <w:rsid w:val="009B05E9"/>
    <w:rsid w:val="009B0B69"/>
    <w:rsid w:val="009B1686"/>
    <w:rsid w:val="009B1CC6"/>
    <w:rsid w:val="009B220B"/>
    <w:rsid w:val="009B262B"/>
    <w:rsid w:val="009B2CA8"/>
    <w:rsid w:val="009B307D"/>
    <w:rsid w:val="009B4B1E"/>
    <w:rsid w:val="009B5470"/>
    <w:rsid w:val="009B55A1"/>
    <w:rsid w:val="009B796B"/>
    <w:rsid w:val="009C0881"/>
    <w:rsid w:val="009C0FF5"/>
    <w:rsid w:val="009C292D"/>
    <w:rsid w:val="009C2C5B"/>
    <w:rsid w:val="009C2CFE"/>
    <w:rsid w:val="009C35D7"/>
    <w:rsid w:val="009C40D6"/>
    <w:rsid w:val="009C4144"/>
    <w:rsid w:val="009C439E"/>
    <w:rsid w:val="009C47EB"/>
    <w:rsid w:val="009C4D09"/>
    <w:rsid w:val="009C53C7"/>
    <w:rsid w:val="009C7ABE"/>
    <w:rsid w:val="009D0B67"/>
    <w:rsid w:val="009D1619"/>
    <w:rsid w:val="009D389C"/>
    <w:rsid w:val="009D3C68"/>
    <w:rsid w:val="009D3E95"/>
    <w:rsid w:val="009D4B31"/>
    <w:rsid w:val="009D5EA0"/>
    <w:rsid w:val="009D5EDB"/>
    <w:rsid w:val="009D71F2"/>
    <w:rsid w:val="009E01C8"/>
    <w:rsid w:val="009E02AD"/>
    <w:rsid w:val="009E1340"/>
    <w:rsid w:val="009E2B6F"/>
    <w:rsid w:val="009E3122"/>
    <w:rsid w:val="009E4D9C"/>
    <w:rsid w:val="009E5C10"/>
    <w:rsid w:val="009E61FB"/>
    <w:rsid w:val="009F2923"/>
    <w:rsid w:val="009F3390"/>
    <w:rsid w:val="009F4F3D"/>
    <w:rsid w:val="009F5B2A"/>
    <w:rsid w:val="009F5BCB"/>
    <w:rsid w:val="009F6987"/>
    <w:rsid w:val="009F7514"/>
    <w:rsid w:val="00A01D14"/>
    <w:rsid w:val="00A03128"/>
    <w:rsid w:val="00A032C1"/>
    <w:rsid w:val="00A04500"/>
    <w:rsid w:val="00A06EAD"/>
    <w:rsid w:val="00A0724A"/>
    <w:rsid w:val="00A0738F"/>
    <w:rsid w:val="00A076E0"/>
    <w:rsid w:val="00A07E95"/>
    <w:rsid w:val="00A110ED"/>
    <w:rsid w:val="00A116D3"/>
    <w:rsid w:val="00A117D8"/>
    <w:rsid w:val="00A11956"/>
    <w:rsid w:val="00A11F50"/>
    <w:rsid w:val="00A120EB"/>
    <w:rsid w:val="00A14C0D"/>
    <w:rsid w:val="00A155D3"/>
    <w:rsid w:val="00A22BC8"/>
    <w:rsid w:val="00A22D65"/>
    <w:rsid w:val="00A22DD4"/>
    <w:rsid w:val="00A23568"/>
    <w:rsid w:val="00A2443E"/>
    <w:rsid w:val="00A263B9"/>
    <w:rsid w:val="00A2663F"/>
    <w:rsid w:val="00A26D46"/>
    <w:rsid w:val="00A302A0"/>
    <w:rsid w:val="00A30C3F"/>
    <w:rsid w:val="00A30C86"/>
    <w:rsid w:val="00A30CFE"/>
    <w:rsid w:val="00A31F32"/>
    <w:rsid w:val="00A32024"/>
    <w:rsid w:val="00A32A0E"/>
    <w:rsid w:val="00A33284"/>
    <w:rsid w:val="00A3390B"/>
    <w:rsid w:val="00A33EE4"/>
    <w:rsid w:val="00A358B8"/>
    <w:rsid w:val="00A36731"/>
    <w:rsid w:val="00A36F07"/>
    <w:rsid w:val="00A370FD"/>
    <w:rsid w:val="00A3798C"/>
    <w:rsid w:val="00A37A89"/>
    <w:rsid w:val="00A4018F"/>
    <w:rsid w:val="00A402F4"/>
    <w:rsid w:val="00A404FB"/>
    <w:rsid w:val="00A41A3B"/>
    <w:rsid w:val="00A42169"/>
    <w:rsid w:val="00A421BA"/>
    <w:rsid w:val="00A425F8"/>
    <w:rsid w:val="00A42F44"/>
    <w:rsid w:val="00A43581"/>
    <w:rsid w:val="00A43956"/>
    <w:rsid w:val="00A4512C"/>
    <w:rsid w:val="00A4520F"/>
    <w:rsid w:val="00A458C3"/>
    <w:rsid w:val="00A4726F"/>
    <w:rsid w:val="00A5030A"/>
    <w:rsid w:val="00A50891"/>
    <w:rsid w:val="00A50908"/>
    <w:rsid w:val="00A50B25"/>
    <w:rsid w:val="00A50EBA"/>
    <w:rsid w:val="00A51B39"/>
    <w:rsid w:val="00A51C9F"/>
    <w:rsid w:val="00A5223E"/>
    <w:rsid w:val="00A535D4"/>
    <w:rsid w:val="00A541CD"/>
    <w:rsid w:val="00A54E04"/>
    <w:rsid w:val="00A55E15"/>
    <w:rsid w:val="00A565CB"/>
    <w:rsid w:val="00A569E4"/>
    <w:rsid w:val="00A57BA0"/>
    <w:rsid w:val="00A624CB"/>
    <w:rsid w:val="00A6326A"/>
    <w:rsid w:val="00A63AF5"/>
    <w:rsid w:val="00A63DC7"/>
    <w:rsid w:val="00A648CC"/>
    <w:rsid w:val="00A6502A"/>
    <w:rsid w:val="00A70F69"/>
    <w:rsid w:val="00A710D3"/>
    <w:rsid w:val="00A72553"/>
    <w:rsid w:val="00A72AA7"/>
    <w:rsid w:val="00A72AF3"/>
    <w:rsid w:val="00A73FD3"/>
    <w:rsid w:val="00A7457A"/>
    <w:rsid w:val="00A7499F"/>
    <w:rsid w:val="00A75C02"/>
    <w:rsid w:val="00A76024"/>
    <w:rsid w:val="00A76371"/>
    <w:rsid w:val="00A76EFA"/>
    <w:rsid w:val="00A77D88"/>
    <w:rsid w:val="00A77E67"/>
    <w:rsid w:val="00A80AC3"/>
    <w:rsid w:val="00A81FB4"/>
    <w:rsid w:val="00A84D67"/>
    <w:rsid w:val="00A85169"/>
    <w:rsid w:val="00A859C5"/>
    <w:rsid w:val="00A863AC"/>
    <w:rsid w:val="00A86419"/>
    <w:rsid w:val="00A87599"/>
    <w:rsid w:val="00A90883"/>
    <w:rsid w:val="00A90B00"/>
    <w:rsid w:val="00A910D5"/>
    <w:rsid w:val="00A9334B"/>
    <w:rsid w:val="00A933E5"/>
    <w:rsid w:val="00A93CD3"/>
    <w:rsid w:val="00A94B7B"/>
    <w:rsid w:val="00A95221"/>
    <w:rsid w:val="00A9690B"/>
    <w:rsid w:val="00A96B9E"/>
    <w:rsid w:val="00A9752C"/>
    <w:rsid w:val="00A97968"/>
    <w:rsid w:val="00AA0917"/>
    <w:rsid w:val="00AA129A"/>
    <w:rsid w:val="00AA172F"/>
    <w:rsid w:val="00AA1DDB"/>
    <w:rsid w:val="00AA31E5"/>
    <w:rsid w:val="00AA38B3"/>
    <w:rsid w:val="00AA446C"/>
    <w:rsid w:val="00AA4AA7"/>
    <w:rsid w:val="00AA4D7E"/>
    <w:rsid w:val="00AA4DFC"/>
    <w:rsid w:val="00AA6C63"/>
    <w:rsid w:val="00AA6D17"/>
    <w:rsid w:val="00AA6F00"/>
    <w:rsid w:val="00AA715E"/>
    <w:rsid w:val="00AB22AD"/>
    <w:rsid w:val="00AB26E3"/>
    <w:rsid w:val="00AB5B78"/>
    <w:rsid w:val="00AB7073"/>
    <w:rsid w:val="00AB70D7"/>
    <w:rsid w:val="00AB771C"/>
    <w:rsid w:val="00AC0DEB"/>
    <w:rsid w:val="00AC10F4"/>
    <w:rsid w:val="00AC11B4"/>
    <w:rsid w:val="00AC1CDA"/>
    <w:rsid w:val="00AC2A16"/>
    <w:rsid w:val="00AC2E85"/>
    <w:rsid w:val="00AC3BDD"/>
    <w:rsid w:val="00AC408F"/>
    <w:rsid w:val="00AC6903"/>
    <w:rsid w:val="00AC7601"/>
    <w:rsid w:val="00AC7B9B"/>
    <w:rsid w:val="00AD0BBA"/>
    <w:rsid w:val="00AD1ADE"/>
    <w:rsid w:val="00AD1CF1"/>
    <w:rsid w:val="00AD31AC"/>
    <w:rsid w:val="00AD491A"/>
    <w:rsid w:val="00AD49E1"/>
    <w:rsid w:val="00AD52E2"/>
    <w:rsid w:val="00AD5B1D"/>
    <w:rsid w:val="00AD607F"/>
    <w:rsid w:val="00AD62D4"/>
    <w:rsid w:val="00AD7531"/>
    <w:rsid w:val="00AD75FC"/>
    <w:rsid w:val="00AE00A9"/>
    <w:rsid w:val="00AE10A2"/>
    <w:rsid w:val="00AE37AF"/>
    <w:rsid w:val="00AE39D6"/>
    <w:rsid w:val="00AE3F15"/>
    <w:rsid w:val="00AE45FE"/>
    <w:rsid w:val="00AE4742"/>
    <w:rsid w:val="00AE4A33"/>
    <w:rsid w:val="00AE51A9"/>
    <w:rsid w:val="00AE64B2"/>
    <w:rsid w:val="00AF0167"/>
    <w:rsid w:val="00AF0F12"/>
    <w:rsid w:val="00AF11EB"/>
    <w:rsid w:val="00AF196C"/>
    <w:rsid w:val="00AF297A"/>
    <w:rsid w:val="00AF2B98"/>
    <w:rsid w:val="00AF3738"/>
    <w:rsid w:val="00AF3A04"/>
    <w:rsid w:val="00AF46AA"/>
    <w:rsid w:val="00AF4832"/>
    <w:rsid w:val="00AF5733"/>
    <w:rsid w:val="00AF5D84"/>
    <w:rsid w:val="00AF7775"/>
    <w:rsid w:val="00B007B0"/>
    <w:rsid w:val="00B01B74"/>
    <w:rsid w:val="00B02164"/>
    <w:rsid w:val="00B0277C"/>
    <w:rsid w:val="00B02D49"/>
    <w:rsid w:val="00B03976"/>
    <w:rsid w:val="00B048A3"/>
    <w:rsid w:val="00B0600C"/>
    <w:rsid w:val="00B06719"/>
    <w:rsid w:val="00B071BD"/>
    <w:rsid w:val="00B07592"/>
    <w:rsid w:val="00B10138"/>
    <w:rsid w:val="00B1438A"/>
    <w:rsid w:val="00B14D0D"/>
    <w:rsid w:val="00B15015"/>
    <w:rsid w:val="00B15211"/>
    <w:rsid w:val="00B159BD"/>
    <w:rsid w:val="00B15DAA"/>
    <w:rsid w:val="00B161D9"/>
    <w:rsid w:val="00B1678A"/>
    <w:rsid w:val="00B16F8C"/>
    <w:rsid w:val="00B177D1"/>
    <w:rsid w:val="00B17EDF"/>
    <w:rsid w:val="00B228F4"/>
    <w:rsid w:val="00B233EE"/>
    <w:rsid w:val="00B23DFC"/>
    <w:rsid w:val="00B248A6"/>
    <w:rsid w:val="00B2582B"/>
    <w:rsid w:val="00B2605E"/>
    <w:rsid w:val="00B260AD"/>
    <w:rsid w:val="00B26B9F"/>
    <w:rsid w:val="00B26C1A"/>
    <w:rsid w:val="00B270D3"/>
    <w:rsid w:val="00B301E8"/>
    <w:rsid w:val="00B3102B"/>
    <w:rsid w:val="00B310D5"/>
    <w:rsid w:val="00B3156F"/>
    <w:rsid w:val="00B31837"/>
    <w:rsid w:val="00B327DD"/>
    <w:rsid w:val="00B3326A"/>
    <w:rsid w:val="00B33CC8"/>
    <w:rsid w:val="00B3445B"/>
    <w:rsid w:val="00B34718"/>
    <w:rsid w:val="00B34916"/>
    <w:rsid w:val="00B3664F"/>
    <w:rsid w:val="00B370D3"/>
    <w:rsid w:val="00B415C4"/>
    <w:rsid w:val="00B41C50"/>
    <w:rsid w:val="00B4252E"/>
    <w:rsid w:val="00B42606"/>
    <w:rsid w:val="00B42FBB"/>
    <w:rsid w:val="00B43125"/>
    <w:rsid w:val="00B45E45"/>
    <w:rsid w:val="00B47522"/>
    <w:rsid w:val="00B47E48"/>
    <w:rsid w:val="00B52358"/>
    <w:rsid w:val="00B5333A"/>
    <w:rsid w:val="00B5437D"/>
    <w:rsid w:val="00B5475A"/>
    <w:rsid w:val="00B552C2"/>
    <w:rsid w:val="00B56240"/>
    <w:rsid w:val="00B56375"/>
    <w:rsid w:val="00B568F3"/>
    <w:rsid w:val="00B56BA0"/>
    <w:rsid w:val="00B571C9"/>
    <w:rsid w:val="00B60143"/>
    <w:rsid w:val="00B609B0"/>
    <w:rsid w:val="00B6101E"/>
    <w:rsid w:val="00B61D83"/>
    <w:rsid w:val="00B61DBA"/>
    <w:rsid w:val="00B62662"/>
    <w:rsid w:val="00B62E3F"/>
    <w:rsid w:val="00B62F1E"/>
    <w:rsid w:val="00B638A9"/>
    <w:rsid w:val="00B63A08"/>
    <w:rsid w:val="00B63CFB"/>
    <w:rsid w:val="00B64909"/>
    <w:rsid w:val="00B64FE8"/>
    <w:rsid w:val="00B653A9"/>
    <w:rsid w:val="00B65986"/>
    <w:rsid w:val="00B67875"/>
    <w:rsid w:val="00B67A88"/>
    <w:rsid w:val="00B7016E"/>
    <w:rsid w:val="00B705AD"/>
    <w:rsid w:val="00B70918"/>
    <w:rsid w:val="00B7109C"/>
    <w:rsid w:val="00B72B47"/>
    <w:rsid w:val="00B73770"/>
    <w:rsid w:val="00B741CC"/>
    <w:rsid w:val="00B74823"/>
    <w:rsid w:val="00B75061"/>
    <w:rsid w:val="00B7518D"/>
    <w:rsid w:val="00B76323"/>
    <w:rsid w:val="00B767B1"/>
    <w:rsid w:val="00B767BB"/>
    <w:rsid w:val="00B76D84"/>
    <w:rsid w:val="00B76E37"/>
    <w:rsid w:val="00B80199"/>
    <w:rsid w:val="00B80450"/>
    <w:rsid w:val="00B809B4"/>
    <w:rsid w:val="00B819DD"/>
    <w:rsid w:val="00B8212C"/>
    <w:rsid w:val="00B85507"/>
    <w:rsid w:val="00B85B37"/>
    <w:rsid w:val="00B86008"/>
    <w:rsid w:val="00B8628F"/>
    <w:rsid w:val="00B871DB"/>
    <w:rsid w:val="00B876C2"/>
    <w:rsid w:val="00B87AF1"/>
    <w:rsid w:val="00B87EE1"/>
    <w:rsid w:val="00B91F8C"/>
    <w:rsid w:val="00B92FE6"/>
    <w:rsid w:val="00B93427"/>
    <w:rsid w:val="00B9372F"/>
    <w:rsid w:val="00B93945"/>
    <w:rsid w:val="00B93B8C"/>
    <w:rsid w:val="00B93C77"/>
    <w:rsid w:val="00B94291"/>
    <w:rsid w:val="00B94BE2"/>
    <w:rsid w:val="00B94F15"/>
    <w:rsid w:val="00B95604"/>
    <w:rsid w:val="00B957BE"/>
    <w:rsid w:val="00B95E71"/>
    <w:rsid w:val="00B96328"/>
    <w:rsid w:val="00B9704F"/>
    <w:rsid w:val="00B97408"/>
    <w:rsid w:val="00B97951"/>
    <w:rsid w:val="00BA045B"/>
    <w:rsid w:val="00BA151C"/>
    <w:rsid w:val="00BA3375"/>
    <w:rsid w:val="00BA3616"/>
    <w:rsid w:val="00BA4AF0"/>
    <w:rsid w:val="00BA5270"/>
    <w:rsid w:val="00BA5496"/>
    <w:rsid w:val="00BA59CC"/>
    <w:rsid w:val="00BA5A19"/>
    <w:rsid w:val="00BA5C3D"/>
    <w:rsid w:val="00BA5FD6"/>
    <w:rsid w:val="00BA7355"/>
    <w:rsid w:val="00BB13BF"/>
    <w:rsid w:val="00BB15F0"/>
    <w:rsid w:val="00BB3227"/>
    <w:rsid w:val="00BB35C3"/>
    <w:rsid w:val="00BB3660"/>
    <w:rsid w:val="00BB3C5F"/>
    <w:rsid w:val="00BB427C"/>
    <w:rsid w:val="00BB5093"/>
    <w:rsid w:val="00BB5276"/>
    <w:rsid w:val="00BB7629"/>
    <w:rsid w:val="00BC05DF"/>
    <w:rsid w:val="00BC06DF"/>
    <w:rsid w:val="00BC0B94"/>
    <w:rsid w:val="00BC1034"/>
    <w:rsid w:val="00BC1A8B"/>
    <w:rsid w:val="00BC281F"/>
    <w:rsid w:val="00BC30AC"/>
    <w:rsid w:val="00BC4111"/>
    <w:rsid w:val="00BC4886"/>
    <w:rsid w:val="00BC5693"/>
    <w:rsid w:val="00BC5BC2"/>
    <w:rsid w:val="00BC6B78"/>
    <w:rsid w:val="00BC7BD8"/>
    <w:rsid w:val="00BD02C2"/>
    <w:rsid w:val="00BD0743"/>
    <w:rsid w:val="00BD0E03"/>
    <w:rsid w:val="00BD175C"/>
    <w:rsid w:val="00BD1903"/>
    <w:rsid w:val="00BD2013"/>
    <w:rsid w:val="00BD213F"/>
    <w:rsid w:val="00BD2A40"/>
    <w:rsid w:val="00BD3433"/>
    <w:rsid w:val="00BD38FA"/>
    <w:rsid w:val="00BD39A1"/>
    <w:rsid w:val="00BD3CF7"/>
    <w:rsid w:val="00BD429C"/>
    <w:rsid w:val="00BD5401"/>
    <w:rsid w:val="00BD6B74"/>
    <w:rsid w:val="00BD6ECB"/>
    <w:rsid w:val="00BD7B94"/>
    <w:rsid w:val="00BE0D80"/>
    <w:rsid w:val="00BE0F36"/>
    <w:rsid w:val="00BE31D3"/>
    <w:rsid w:val="00BE3B7E"/>
    <w:rsid w:val="00BE41E0"/>
    <w:rsid w:val="00BE44E1"/>
    <w:rsid w:val="00BE6805"/>
    <w:rsid w:val="00BE77E6"/>
    <w:rsid w:val="00BE7E36"/>
    <w:rsid w:val="00BF13B6"/>
    <w:rsid w:val="00BF26C7"/>
    <w:rsid w:val="00BF292A"/>
    <w:rsid w:val="00BF38CD"/>
    <w:rsid w:val="00BF39ED"/>
    <w:rsid w:val="00BF401E"/>
    <w:rsid w:val="00BF4175"/>
    <w:rsid w:val="00BF4E3F"/>
    <w:rsid w:val="00BF59C4"/>
    <w:rsid w:val="00C011DD"/>
    <w:rsid w:val="00C01277"/>
    <w:rsid w:val="00C0303A"/>
    <w:rsid w:val="00C038D0"/>
    <w:rsid w:val="00C04C46"/>
    <w:rsid w:val="00C04CF8"/>
    <w:rsid w:val="00C05EDD"/>
    <w:rsid w:val="00C060FF"/>
    <w:rsid w:val="00C06AB6"/>
    <w:rsid w:val="00C06B76"/>
    <w:rsid w:val="00C06DF6"/>
    <w:rsid w:val="00C06E4E"/>
    <w:rsid w:val="00C074AA"/>
    <w:rsid w:val="00C07A20"/>
    <w:rsid w:val="00C07DF9"/>
    <w:rsid w:val="00C11A02"/>
    <w:rsid w:val="00C11F1D"/>
    <w:rsid w:val="00C131B8"/>
    <w:rsid w:val="00C13B14"/>
    <w:rsid w:val="00C1600A"/>
    <w:rsid w:val="00C17318"/>
    <w:rsid w:val="00C20556"/>
    <w:rsid w:val="00C21719"/>
    <w:rsid w:val="00C2233F"/>
    <w:rsid w:val="00C22755"/>
    <w:rsid w:val="00C227A6"/>
    <w:rsid w:val="00C23945"/>
    <w:rsid w:val="00C23A24"/>
    <w:rsid w:val="00C23BAA"/>
    <w:rsid w:val="00C24E87"/>
    <w:rsid w:val="00C25BBF"/>
    <w:rsid w:val="00C2617B"/>
    <w:rsid w:val="00C275F8"/>
    <w:rsid w:val="00C27A07"/>
    <w:rsid w:val="00C30464"/>
    <w:rsid w:val="00C30ACA"/>
    <w:rsid w:val="00C31762"/>
    <w:rsid w:val="00C32847"/>
    <w:rsid w:val="00C32B04"/>
    <w:rsid w:val="00C32CDB"/>
    <w:rsid w:val="00C33BCD"/>
    <w:rsid w:val="00C34617"/>
    <w:rsid w:val="00C349D5"/>
    <w:rsid w:val="00C365CF"/>
    <w:rsid w:val="00C36D95"/>
    <w:rsid w:val="00C371D4"/>
    <w:rsid w:val="00C37C2C"/>
    <w:rsid w:val="00C37ED7"/>
    <w:rsid w:val="00C41675"/>
    <w:rsid w:val="00C440D5"/>
    <w:rsid w:val="00C454B5"/>
    <w:rsid w:val="00C4582D"/>
    <w:rsid w:val="00C458F8"/>
    <w:rsid w:val="00C4763C"/>
    <w:rsid w:val="00C47E72"/>
    <w:rsid w:val="00C50143"/>
    <w:rsid w:val="00C5021E"/>
    <w:rsid w:val="00C50603"/>
    <w:rsid w:val="00C506A1"/>
    <w:rsid w:val="00C50FDD"/>
    <w:rsid w:val="00C51407"/>
    <w:rsid w:val="00C51B23"/>
    <w:rsid w:val="00C52667"/>
    <w:rsid w:val="00C535E3"/>
    <w:rsid w:val="00C5416C"/>
    <w:rsid w:val="00C5519C"/>
    <w:rsid w:val="00C55B78"/>
    <w:rsid w:val="00C56C34"/>
    <w:rsid w:val="00C5752D"/>
    <w:rsid w:val="00C577EF"/>
    <w:rsid w:val="00C60C55"/>
    <w:rsid w:val="00C60F65"/>
    <w:rsid w:val="00C610DE"/>
    <w:rsid w:val="00C6115B"/>
    <w:rsid w:val="00C621D4"/>
    <w:rsid w:val="00C62EDC"/>
    <w:rsid w:val="00C63141"/>
    <w:rsid w:val="00C64205"/>
    <w:rsid w:val="00C642C7"/>
    <w:rsid w:val="00C643FD"/>
    <w:rsid w:val="00C64EAD"/>
    <w:rsid w:val="00C66FAB"/>
    <w:rsid w:val="00C67D7C"/>
    <w:rsid w:val="00C70854"/>
    <w:rsid w:val="00C70A21"/>
    <w:rsid w:val="00C70E1A"/>
    <w:rsid w:val="00C71430"/>
    <w:rsid w:val="00C71FAA"/>
    <w:rsid w:val="00C72347"/>
    <w:rsid w:val="00C72688"/>
    <w:rsid w:val="00C72691"/>
    <w:rsid w:val="00C73A80"/>
    <w:rsid w:val="00C73DA7"/>
    <w:rsid w:val="00C7433D"/>
    <w:rsid w:val="00C748F9"/>
    <w:rsid w:val="00C74A09"/>
    <w:rsid w:val="00C757A3"/>
    <w:rsid w:val="00C75844"/>
    <w:rsid w:val="00C7717C"/>
    <w:rsid w:val="00C7745A"/>
    <w:rsid w:val="00C774BB"/>
    <w:rsid w:val="00C80338"/>
    <w:rsid w:val="00C8080A"/>
    <w:rsid w:val="00C8098A"/>
    <w:rsid w:val="00C80E51"/>
    <w:rsid w:val="00C81E26"/>
    <w:rsid w:val="00C825D1"/>
    <w:rsid w:val="00C830FC"/>
    <w:rsid w:val="00C838B0"/>
    <w:rsid w:val="00C83BF3"/>
    <w:rsid w:val="00C84303"/>
    <w:rsid w:val="00C8447C"/>
    <w:rsid w:val="00C850A9"/>
    <w:rsid w:val="00C85EF2"/>
    <w:rsid w:val="00C869E2"/>
    <w:rsid w:val="00C87B1E"/>
    <w:rsid w:val="00C901F7"/>
    <w:rsid w:val="00C90962"/>
    <w:rsid w:val="00C91107"/>
    <w:rsid w:val="00C91166"/>
    <w:rsid w:val="00C91323"/>
    <w:rsid w:val="00C9158C"/>
    <w:rsid w:val="00C932DD"/>
    <w:rsid w:val="00C93826"/>
    <w:rsid w:val="00C93A8B"/>
    <w:rsid w:val="00C95781"/>
    <w:rsid w:val="00C963C2"/>
    <w:rsid w:val="00C96AA3"/>
    <w:rsid w:val="00C9723C"/>
    <w:rsid w:val="00C975D6"/>
    <w:rsid w:val="00C97A04"/>
    <w:rsid w:val="00CA0100"/>
    <w:rsid w:val="00CA07DF"/>
    <w:rsid w:val="00CA13D2"/>
    <w:rsid w:val="00CA1DBB"/>
    <w:rsid w:val="00CA3C60"/>
    <w:rsid w:val="00CA486B"/>
    <w:rsid w:val="00CA499F"/>
    <w:rsid w:val="00CA4B03"/>
    <w:rsid w:val="00CA5196"/>
    <w:rsid w:val="00CA6095"/>
    <w:rsid w:val="00CA66B9"/>
    <w:rsid w:val="00CA6877"/>
    <w:rsid w:val="00CA7422"/>
    <w:rsid w:val="00CA7B72"/>
    <w:rsid w:val="00CA7FAE"/>
    <w:rsid w:val="00CB00DB"/>
    <w:rsid w:val="00CB01A6"/>
    <w:rsid w:val="00CB025A"/>
    <w:rsid w:val="00CB1179"/>
    <w:rsid w:val="00CB299B"/>
    <w:rsid w:val="00CB2D1C"/>
    <w:rsid w:val="00CB3E5B"/>
    <w:rsid w:val="00CB5C74"/>
    <w:rsid w:val="00CB60C8"/>
    <w:rsid w:val="00CB617B"/>
    <w:rsid w:val="00CB6393"/>
    <w:rsid w:val="00CB7347"/>
    <w:rsid w:val="00CB742E"/>
    <w:rsid w:val="00CC02CF"/>
    <w:rsid w:val="00CC0B9D"/>
    <w:rsid w:val="00CC15EE"/>
    <w:rsid w:val="00CC2136"/>
    <w:rsid w:val="00CC23B9"/>
    <w:rsid w:val="00CC3171"/>
    <w:rsid w:val="00CC3287"/>
    <w:rsid w:val="00CC34A7"/>
    <w:rsid w:val="00CC37C1"/>
    <w:rsid w:val="00CC3C8F"/>
    <w:rsid w:val="00CC4B76"/>
    <w:rsid w:val="00CC527C"/>
    <w:rsid w:val="00CC527D"/>
    <w:rsid w:val="00CC52D8"/>
    <w:rsid w:val="00CC69F0"/>
    <w:rsid w:val="00CC70EF"/>
    <w:rsid w:val="00CD0C3B"/>
    <w:rsid w:val="00CD126C"/>
    <w:rsid w:val="00CD14A5"/>
    <w:rsid w:val="00CD3563"/>
    <w:rsid w:val="00CD4A7C"/>
    <w:rsid w:val="00CD57C8"/>
    <w:rsid w:val="00CD5B9D"/>
    <w:rsid w:val="00CD654F"/>
    <w:rsid w:val="00CE07B0"/>
    <w:rsid w:val="00CE0F90"/>
    <w:rsid w:val="00CE10DE"/>
    <w:rsid w:val="00CE1387"/>
    <w:rsid w:val="00CE2A01"/>
    <w:rsid w:val="00CE3C54"/>
    <w:rsid w:val="00CE4A78"/>
    <w:rsid w:val="00CE5362"/>
    <w:rsid w:val="00CE5680"/>
    <w:rsid w:val="00CE614D"/>
    <w:rsid w:val="00CE7E2E"/>
    <w:rsid w:val="00CF0F33"/>
    <w:rsid w:val="00CF1202"/>
    <w:rsid w:val="00CF19C0"/>
    <w:rsid w:val="00CF205F"/>
    <w:rsid w:val="00CF21C1"/>
    <w:rsid w:val="00CF3D0B"/>
    <w:rsid w:val="00CF3DFE"/>
    <w:rsid w:val="00CF43C5"/>
    <w:rsid w:val="00CF4FA8"/>
    <w:rsid w:val="00CF6DFD"/>
    <w:rsid w:val="00CF7F1C"/>
    <w:rsid w:val="00D00449"/>
    <w:rsid w:val="00D00929"/>
    <w:rsid w:val="00D00CCD"/>
    <w:rsid w:val="00D01B4A"/>
    <w:rsid w:val="00D02AC7"/>
    <w:rsid w:val="00D030BA"/>
    <w:rsid w:val="00D0413E"/>
    <w:rsid w:val="00D04CAD"/>
    <w:rsid w:val="00D062AE"/>
    <w:rsid w:val="00D06568"/>
    <w:rsid w:val="00D0764B"/>
    <w:rsid w:val="00D1029D"/>
    <w:rsid w:val="00D10466"/>
    <w:rsid w:val="00D111DB"/>
    <w:rsid w:val="00D136BA"/>
    <w:rsid w:val="00D14865"/>
    <w:rsid w:val="00D14A60"/>
    <w:rsid w:val="00D14D4F"/>
    <w:rsid w:val="00D14F4D"/>
    <w:rsid w:val="00D15A34"/>
    <w:rsid w:val="00D162AC"/>
    <w:rsid w:val="00D1672F"/>
    <w:rsid w:val="00D16BA6"/>
    <w:rsid w:val="00D16BE9"/>
    <w:rsid w:val="00D17A27"/>
    <w:rsid w:val="00D17F19"/>
    <w:rsid w:val="00D17F1B"/>
    <w:rsid w:val="00D207B1"/>
    <w:rsid w:val="00D22F72"/>
    <w:rsid w:val="00D24F4B"/>
    <w:rsid w:val="00D253DC"/>
    <w:rsid w:val="00D25BDD"/>
    <w:rsid w:val="00D25E97"/>
    <w:rsid w:val="00D27E64"/>
    <w:rsid w:val="00D306B7"/>
    <w:rsid w:val="00D3179E"/>
    <w:rsid w:val="00D332E6"/>
    <w:rsid w:val="00D339A8"/>
    <w:rsid w:val="00D348D6"/>
    <w:rsid w:val="00D35901"/>
    <w:rsid w:val="00D35B69"/>
    <w:rsid w:val="00D35C15"/>
    <w:rsid w:val="00D367C1"/>
    <w:rsid w:val="00D37114"/>
    <w:rsid w:val="00D37689"/>
    <w:rsid w:val="00D4031C"/>
    <w:rsid w:val="00D408A6"/>
    <w:rsid w:val="00D4117E"/>
    <w:rsid w:val="00D41257"/>
    <w:rsid w:val="00D42E8D"/>
    <w:rsid w:val="00D4302E"/>
    <w:rsid w:val="00D431CC"/>
    <w:rsid w:val="00D432BC"/>
    <w:rsid w:val="00D43911"/>
    <w:rsid w:val="00D43F94"/>
    <w:rsid w:val="00D442FB"/>
    <w:rsid w:val="00D44A08"/>
    <w:rsid w:val="00D44D97"/>
    <w:rsid w:val="00D44ED7"/>
    <w:rsid w:val="00D44F2E"/>
    <w:rsid w:val="00D45738"/>
    <w:rsid w:val="00D46AEC"/>
    <w:rsid w:val="00D50219"/>
    <w:rsid w:val="00D5078E"/>
    <w:rsid w:val="00D5351B"/>
    <w:rsid w:val="00D53BBC"/>
    <w:rsid w:val="00D53D3A"/>
    <w:rsid w:val="00D5449A"/>
    <w:rsid w:val="00D54BF2"/>
    <w:rsid w:val="00D55A7B"/>
    <w:rsid w:val="00D5602C"/>
    <w:rsid w:val="00D565B4"/>
    <w:rsid w:val="00D565EE"/>
    <w:rsid w:val="00D57226"/>
    <w:rsid w:val="00D57BA5"/>
    <w:rsid w:val="00D57D18"/>
    <w:rsid w:val="00D6000B"/>
    <w:rsid w:val="00D606E9"/>
    <w:rsid w:val="00D60BE6"/>
    <w:rsid w:val="00D61FE4"/>
    <w:rsid w:val="00D62FDD"/>
    <w:rsid w:val="00D63879"/>
    <w:rsid w:val="00D638B4"/>
    <w:rsid w:val="00D639CE"/>
    <w:rsid w:val="00D64D24"/>
    <w:rsid w:val="00D66868"/>
    <w:rsid w:val="00D66D56"/>
    <w:rsid w:val="00D67600"/>
    <w:rsid w:val="00D708CB"/>
    <w:rsid w:val="00D70AD8"/>
    <w:rsid w:val="00D714B7"/>
    <w:rsid w:val="00D716E9"/>
    <w:rsid w:val="00D7197D"/>
    <w:rsid w:val="00D71AB8"/>
    <w:rsid w:val="00D71FCD"/>
    <w:rsid w:val="00D72BC3"/>
    <w:rsid w:val="00D730E9"/>
    <w:rsid w:val="00D732E1"/>
    <w:rsid w:val="00D73699"/>
    <w:rsid w:val="00D744A1"/>
    <w:rsid w:val="00D74B80"/>
    <w:rsid w:val="00D7625C"/>
    <w:rsid w:val="00D76E67"/>
    <w:rsid w:val="00D7754B"/>
    <w:rsid w:val="00D80005"/>
    <w:rsid w:val="00D8052F"/>
    <w:rsid w:val="00D80607"/>
    <w:rsid w:val="00D80DB0"/>
    <w:rsid w:val="00D810EA"/>
    <w:rsid w:val="00D811C0"/>
    <w:rsid w:val="00D811E0"/>
    <w:rsid w:val="00D81FA9"/>
    <w:rsid w:val="00D82392"/>
    <w:rsid w:val="00D82C43"/>
    <w:rsid w:val="00D83781"/>
    <w:rsid w:val="00D83D76"/>
    <w:rsid w:val="00D8407A"/>
    <w:rsid w:val="00D8626D"/>
    <w:rsid w:val="00D86AF0"/>
    <w:rsid w:val="00D87CBD"/>
    <w:rsid w:val="00D90D9E"/>
    <w:rsid w:val="00D915A9"/>
    <w:rsid w:val="00D91A68"/>
    <w:rsid w:val="00D92123"/>
    <w:rsid w:val="00D9246F"/>
    <w:rsid w:val="00D93A15"/>
    <w:rsid w:val="00D94275"/>
    <w:rsid w:val="00D9497A"/>
    <w:rsid w:val="00D95A2B"/>
    <w:rsid w:val="00D95DEB"/>
    <w:rsid w:val="00D9613F"/>
    <w:rsid w:val="00D96297"/>
    <w:rsid w:val="00D9653E"/>
    <w:rsid w:val="00D96E90"/>
    <w:rsid w:val="00D97688"/>
    <w:rsid w:val="00D97B98"/>
    <w:rsid w:val="00DA152C"/>
    <w:rsid w:val="00DA1AC8"/>
    <w:rsid w:val="00DA26CA"/>
    <w:rsid w:val="00DA2915"/>
    <w:rsid w:val="00DA3093"/>
    <w:rsid w:val="00DA4AB1"/>
    <w:rsid w:val="00DA5A84"/>
    <w:rsid w:val="00DA6B36"/>
    <w:rsid w:val="00DA74C7"/>
    <w:rsid w:val="00DA7F76"/>
    <w:rsid w:val="00DB0570"/>
    <w:rsid w:val="00DB08B7"/>
    <w:rsid w:val="00DB0CA3"/>
    <w:rsid w:val="00DB0F64"/>
    <w:rsid w:val="00DB16B5"/>
    <w:rsid w:val="00DB2133"/>
    <w:rsid w:val="00DB24F6"/>
    <w:rsid w:val="00DB27EC"/>
    <w:rsid w:val="00DB3BC6"/>
    <w:rsid w:val="00DB4554"/>
    <w:rsid w:val="00DB4EDD"/>
    <w:rsid w:val="00DB501F"/>
    <w:rsid w:val="00DB6A01"/>
    <w:rsid w:val="00DB7230"/>
    <w:rsid w:val="00DB7F1A"/>
    <w:rsid w:val="00DC17C4"/>
    <w:rsid w:val="00DC2359"/>
    <w:rsid w:val="00DC2838"/>
    <w:rsid w:val="00DC2EAD"/>
    <w:rsid w:val="00DC3103"/>
    <w:rsid w:val="00DC318C"/>
    <w:rsid w:val="00DC452B"/>
    <w:rsid w:val="00DC4E66"/>
    <w:rsid w:val="00DC505C"/>
    <w:rsid w:val="00DC56DE"/>
    <w:rsid w:val="00DC5707"/>
    <w:rsid w:val="00DC5746"/>
    <w:rsid w:val="00DC6884"/>
    <w:rsid w:val="00DC698C"/>
    <w:rsid w:val="00DC7812"/>
    <w:rsid w:val="00DC7D50"/>
    <w:rsid w:val="00DD27BD"/>
    <w:rsid w:val="00DD3CC8"/>
    <w:rsid w:val="00DD555F"/>
    <w:rsid w:val="00DD5BE5"/>
    <w:rsid w:val="00DD6F37"/>
    <w:rsid w:val="00DD6FBD"/>
    <w:rsid w:val="00DD73DD"/>
    <w:rsid w:val="00DE0C23"/>
    <w:rsid w:val="00DE2569"/>
    <w:rsid w:val="00DE2A1D"/>
    <w:rsid w:val="00DE3A2C"/>
    <w:rsid w:val="00DE404F"/>
    <w:rsid w:val="00DE415A"/>
    <w:rsid w:val="00DE465D"/>
    <w:rsid w:val="00DE489F"/>
    <w:rsid w:val="00DE5B82"/>
    <w:rsid w:val="00DE7BDB"/>
    <w:rsid w:val="00DF06C5"/>
    <w:rsid w:val="00DF0DE6"/>
    <w:rsid w:val="00DF17B3"/>
    <w:rsid w:val="00DF1A31"/>
    <w:rsid w:val="00DF1AF2"/>
    <w:rsid w:val="00DF2157"/>
    <w:rsid w:val="00DF3E6F"/>
    <w:rsid w:val="00DF4937"/>
    <w:rsid w:val="00DF532E"/>
    <w:rsid w:val="00DF580C"/>
    <w:rsid w:val="00DF63C8"/>
    <w:rsid w:val="00DF6690"/>
    <w:rsid w:val="00DF67B3"/>
    <w:rsid w:val="00DF6C02"/>
    <w:rsid w:val="00DF78E4"/>
    <w:rsid w:val="00DF7D32"/>
    <w:rsid w:val="00DF7FBB"/>
    <w:rsid w:val="00E0087B"/>
    <w:rsid w:val="00E00B52"/>
    <w:rsid w:val="00E01AAC"/>
    <w:rsid w:val="00E01D61"/>
    <w:rsid w:val="00E02A16"/>
    <w:rsid w:val="00E02CEB"/>
    <w:rsid w:val="00E03328"/>
    <w:rsid w:val="00E03CA6"/>
    <w:rsid w:val="00E042F8"/>
    <w:rsid w:val="00E0499C"/>
    <w:rsid w:val="00E071AB"/>
    <w:rsid w:val="00E07D4F"/>
    <w:rsid w:val="00E10B57"/>
    <w:rsid w:val="00E12328"/>
    <w:rsid w:val="00E13050"/>
    <w:rsid w:val="00E1334D"/>
    <w:rsid w:val="00E13587"/>
    <w:rsid w:val="00E14ABF"/>
    <w:rsid w:val="00E156AA"/>
    <w:rsid w:val="00E166BD"/>
    <w:rsid w:val="00E17D53"/>
    <w:rsid w:val="00E20072"/>
    <w:rsid w:val="00E20CF2"/>
    <w:rsid w:val="00E21C8B"/>
    <w:rsid w:val="00E235B9"/>
    <w:rsid w:val="00E23863"/>
    <w:rsid w:val="00E23A16"/>
    <w:rsid w:val="00E23AF0"/>
    <w:rsid w:val="00E24C79"/>
    <w:rsid w:val="00E2549D"/>
    <w:rsid w:val="00E25E51"/>
    <w:rsid w:val="00E273D4"/>
    <w:rsid w:val="00E27ABB"/>
    <w:rsid w:val="00E30488"/>
    <w:rsid w:val="00E31088"/>
    <w:rsid w:val="00E31508"/>
    <w:rsid w:val="00E31B68"/>
    <w:rsid w:val="00E3265F"/>
    <w:rsid w:val="00E32E0F"/>
    <w:rsid w:val="00E33C65"/>
    <w:rsid w:val="00E34600"/>
    <w:rsid w:val="00E35144"/>
    <w:rsid w:val="00E35AB4"/>
    <w:rsid w:val="00E362FB"/>
    <w:rsid w:val="00E3757F"/>
    <w:rsid w:val="00E40FCC"/>
    <w:rsid w:val="00E416D9"/>
    <w:rsid w:val="00E419FE"/>
    <w:rsid w:val="00E41AA6"/>
    <w:rsid w:val="00E41F10"/>
    <w:rsid w:val="00E422CB"/>
    <w:rsid w:val="00E42B21"/>
    <w:rsid w:val="00E4395E"/>
    <w:rsid w:val="00E43B9A"/>
    <w:rsid w:val="00E45361"/>
    <w:rsid w:val="00E4596E"/>
    <w:rsid w:val="00E46C3D"/>
    <w:rsid w:val="00E474FE"/>
    <w:rsid w:val="00E47A30"/>
    <w:rsid w:val="00E5020D"/>
    <w:rsid w:val="00E50287"/>
    <w:rsid w:val="00E50709"/>
    <w:rsid w:val="00E50912"/>
    <w:rsid w:val="00E50FDC"/>
    <w:rsid w:val="00E518EF"/>
    <w:rsid w:val="00E51DAC"/>
    <w:rsid w:val="00E53276"/>
    <w:rsid w:val="00E53391"/>
    <w:rsid w:val="00E53E2B"/>
    <w:rsid w:val="00E54FAB"/>
    <w:rsid w:val="00E55D4B"/>
    <w:rsid w:val="00E55E50"/>
    <w:rsid w:val="00E56ACE"/>
    <w:rsid w:val="00E56CA4"/>
    <w:rsid w:val="00E56EB7"/>
    <w:rsid w:val="00E56F42"/>
    <w:rsid w:val="00E57242"/>
    <w:rsid w:val="00E57627"/>
    <w:rsid w:val="00E5774E"/>
    <w:rsid w:val="00E6017B"/>
    <w:rsid w:val="00E60349"/>
    <w:rsid w:val="00E6063D"/>
    <w:rsid w:val="00E61F81"/>
    <w:rsid w:val="00E63566"/>
    <w:rsid w:val="00E636C8"/>
    <w:rsid w:val="00E63A1D"/>
    <w:rsid w:val="00E65D01"/>
    <w:rsid w:val="00E66506"/>
    <w:rsid w:val="00E70AA8"/>
    <w:rsid w:val="00E70EF6"/>
    <w:rsid w:val="00E748FB"/>
    <w:rsid w:val="00E7547A"/>
    <w:rsid w:val="00E76939"/>
    <w:rsid w:val="00E76E88"/>
    <w:rsid w:val="00E7714E"/>
    <w:rsid w:val="00E7747C"/>
    <w:rsid w:val="00E804AA"/>
    <w:rsid w:val="00E80650"/>
    <w:rsid w:val="00E80FA7"/>
    <w:rsid w:val="00E823D4"/>
    <w:rsid w:val="00E83116"/>
    <w:rsid w:val="00E850D6"/>
    <w:rsid w:val="00E852EE"/>
    <w:rsid w:val="00E85C55"/>
    <w:rsid w:val="00E85C9E"/>
    <w:rsid w:val="00E85EAF"/>
    <w:rsid w:val="00E86F08"/>
    <w:rsid w:val="00E87D73"/>
    <w:rsid w:val="00E87DF1"/>
    <w:rsid w:val="00E90292"/>
    <w:rsid w:val="00E910CE"/>
    <w:rsid w:val="00E91890"/>
    <w:rsid w:val="00E92255"/>
    <w:rsid w:val="00E92932"/>
    <w:rsid w:val="00E9523C"/>
    <w:rsid w:val="00E95B17"/>
    <w:rsid w:val="00E95B61"/>
    <w:rsid w:val="00E969AC"/>
    <w:rsid w:val="00EA11A9"/>
    <w:rsid w:val="00EA1220"/>
    <w:rsid w:val="00EA13DE"/>
    <w:rsid w:val="00EA28F7"/>
    <w:rsid w:val="00EA2D1D"/>
    <w:rsid w:val="00EA55B5"/>
    <w:rsid w:val="00EA5E9B"/>
    <w:rsid w:val="00EA7D4C"/>
    <w:rsid w:val="00EB02B6"/>
    <w:rsid w:val="00EB035D"/>
    <w:rsid w:val="00EB039C"/>
    <w:rsid w:val="00EB0BB4"/>
    <w:rsid w:val="00EB1175"/>
    <w:rsid w:val="00EB11E8"/>
    <w:rsid w:val="00EB124A"/>
    <w:rsid w:val="00EB1C5A"/>
    <w:rsid w:val="00EB24FE"/>
    <w:rsid w:val="00EB28CC"/>
    <w:rsid w:val="00EB3407"/>
    <w:rsid w:val="00EB40A3"/>
    <w:rsid w:val="00EB43F1"/>
    <w:rsid w:val="00EB562F"/>
    <w:rsid w:val="00EB57E4"/>
    <w:rsid w:val="00EB68FB"/>
    <w:rsid w:val="00EB6BD7"/>
    <w:rsid w:val="00EB6F3D"/>
    <w:rsid w:val="00EB7E98"/>
    <w:rsid w:val="00EC0129"/>
    <w:rsid w:val="00EC0304"/>
    <w:rsid w:val="00EC0F9E"/>
    <w:rsid w:val="00EC228F"/>
    <w:rsid w:val="00EC25B9"/>
    <w:rsid w:val="00EC2A89"/>
    <w:rsid w:val="00EC34E8"/>
    <w:rsid w:val="00EC47E9"/>
    <w:rsid w:val="00EC5287"/>
    <w:rsid w:val="00EC5317"/>
    <w:rsid w:val="00EC5374"/>
    <w:rsid w:val="00EC54B6"/>
    <w:rsid w:val="00EC59BA"/>
    <w:rsid w:val="00EC5E82"/>
    <w:rsid w:val="00EC725B"/>
    <w:rsid w:val="00EC7928"/>
    <w:rsid w:val="00EC7F54"/>
    <w:rsid w:val="00ED0A7A"/>
    <w:rsid w:val="00ED1BCA"/>
    <w:rsid w:val="00ED3989"/>
    <w:rsid w:val="00ED484B"/>
    <w:rsid w:val="00ED563E"/>
    <w:rsid w:val="00ED5762"/>
    <w:rsid w:val="00ED6114"/>
    <w:rsid w:val="00ED65D2"/>
    <w:rsid w:val="00ED6E43"/>
    <w:rsid w:val="00ED6F95"/>
    <w:rsid w:val="00ED7041"/>
    <w:rsid w:val="00ED7A49"/>
    <w:rsid w:val="00EE0320"/>
    <w:rsid w:val="00EE04AD"/>
    <w:rsid w:val="00EE060E"/>
    <w:rsid w:val="00EE2F93"/>
    <w:rsid w:val="00EE322C"/>
    <w:rsid w:val="00EE431B"/>
    <w:rsid w:val="00EE4F94"/>
    <w:rsid w:val="00EE5243"/>
    <w:rsid w:val="00EE5379"/>
    <w:rsid w:val="00EE631E"/>
    <w:rsid w:val="00EF03CD"/>
    <w:rsid w:val="00EF14CD"/>
    <w:rsid w:val="00EF2612"/>
    <w:rsid w:val="00EF3CCE"/>
    <w:rsid w:val="00EF4472"/>
    <w:rsid w:val="00EF4C45"/>
    <w:rsid w:val="00EF55BE"/>
    <w:rsid w:val="00EF5D25"/>
    <w:rsid w:val="00EF6577"/>
    <w:rsid w:val="00EF657A"/>
    <w:rsid w:val="00EF6BC0"/>
    <w:rsid w:val="00EF7306"/>
    <w:rsid w:val="00F00177"/>
    <w:rsid w:val="00F00546"/>
    <w:rsid w:val="00F00643"/>
    <w:rsid w:val="00F00E1D"/>
    <w:rsid w:val="00F01EC7"/>
    <w:rsid w:val="00F02588"/>
    <w:rsid w:val="00F029DA"/>
    <w:rsid w:val="00F02CD2"/>
    <w:rsid w:val="00F02D0E"/>
    <w:rsid w:val="00F0336D"/>
    <w:rsid w:val="00F0363A"/>
    <w:rsid w:val="00F03991"/>
    <w:rsid w:val="00F03A5A"/>
    <w:rsid w:val="00F043EB"/>
    <w:rsid w:val="00F05791"/>
    <w:rsid w:val="00F05AAE"/>
    <w:rsid w:val="00F0615C"/>
    <w:rsid w:val="00F06F13"/>
    <w:rsid w:val="00F07484"/>
    <w:rsid w:val="00F1115F"/>
    <w:rsid w:val="00F11617"/>
    <w:rsid w:val="00F12B97"/>
    <w:rsid w:val="00F13323"/>
    <w:rsid w:val="00F14D64"/>
    <w:rsid w:val="00F1563A"/>
    <w:rsid w:val="00F1570A"/>
    <w:rsid w:val="00F15AAE"/>
    <w:rsid w:val="00F161EC"/>
    <w:rsid w:val="00F1628D"/>
    <w:rsid w:val="00F16380"/>
    <w:rsid w:val="00F17467"/>
    <w:rsid w:val="00F17686"/>
    <w:rsid w:val="00F1778F"/>
    <w:rsid w:val="00F17E48"/>
    <w:rsid w:val="00F20322"/>
    <w:rsid w:val="00F21615"/>
    <w:rsid w:val="00F21683"/>
    <w:rsid w:val="00F239F3"/>
    <w:rsid w:val="00F244EE"/>
    <w:rsid w:val="00F24A1E"/>
    <w:rsid w:val="00F24B62"/>
    <w:rsid w:val="00F24CFB"/>
    <w:rsid w:val="00F24DA3"/>
    <w:rsid w:val="00F25418"/>
    <w:rsid w:val="00F262E4"/>
    <w:rsid w:val="00F2662E"/>
    <w:rsid w:val="00F26A8D"/>
    <w:rsid w:val="00F27EEA"/>
    <w:rsid w:val="00F30BCF"/>
    <w:rsid w:val="00F30C51"/>
    <w:rsid w:val="00F3184F"/>
    <w:rsid w:val="00F31D98"/>
    <w:rsid w:val="00F31DB0"/>
    <w:rsid w:val="00F321E6"/>
    <w:rsid w:val="00F323CE"/>
    <w:rsid w:val="00F327A7"/>
    <w:rsid w:val="00F32ACA"/>
    <w:rsid w:val="00F3352E"/>
    <w:rsid w:val="00F337D8"/>
    <w:rsid w:val="00F35927"/>
    <w:rsid w:val="00F359FE"/>
    <w:rsid w:val="00F3641E"/>
    <w:rsid w:val="00F365E8"/>
    <w:rsid w:val="00F36735"/>
    <w:rsid w:val="00F401FB"/>
    <w:rsid w:val="00F40F53"/>
    <w:rsid w:val="00F427FF"/>
    <w:rsid w:val="00F42C39"/>
    <w:rsid w:val="00F461C7"/>
    <w:rsid w:val="00F4625E"/>
    <w:rsid w:val="00F46F22"/>
    <w:rsid w:val="00F47044"/>
    <w:rsid w:val="00F471AF"/>
    <w:rsid w:val="00F47839"/>
    <w:rsid w:val="00F47A09"/>
    <w:rsid w:val="00F512D1"/>
    <w:rsid w:val="00F5159D"/>
    <w:rsid w:val="00F5321F"/>
    <w:rsid w:val="00F53661"/>
    <w:rsid w:val="00F559FF"/>
    <w:rsid w:val="00F55C07"/>
    <w:rsid w:val="00F56092"/>
    <w:rsid w:val="00F56731"/>
    <w:rsid w:val="00F56F85"/>
    <w:rsid w:val="00F609CD"/>
    <w:rsid w:val="00F60C01"/>
    <w:rsid w:val="00F61133"/>
    <w:rsid w:val="00F6117A"/>
    <w:rsid w:val="00F622E7"/>
    <w:rsid w:val="00F6358A"/>
    <w:rsid w:val="00F638FF"/>
    <w:rsid w:val="00F64503"/>
    <w:rsid w:val="00F658BD"/>
    <w:rsid w:val="00F65FA1"/>
    <w:rsid w:val="00F66304"/>
    <w:rsid w:val="00F66689"/>
    <w:rsid w:val="00F66822"/>
    <w:rsid w:val="00F679D7"/>
    <w:rsid w:val="00F70166"/>
    <w:rsid w:val="00F70430"/>
    <w:rsid w:val="00F70760"/>
    <w:rsid w:val="00F70881"/>
    <w:rsid w:val="00F708E2"/>
    <w:rsid w:val="00F74884"/>
    <w:rsid w:val="00F75758"/>
    <w:rsid w:val="00F75F76"/>
    <w:rsid w:val="00F772EC"/>
    <w:rsid w:val="00F77A24"/>
    <w:rsid w:val="00F77B8D"/>
    <w:rsid w:val="00F77D24"/>
    <w:rsid w:val="00F80A3C"/>
    <w:rsid w:val="00F80ACC"/>
    <w:rsid w:val="00F80ADF"/>
    <w:rsid w:val="00F81DAA"/>
    <w:rsid w:val="00F824F4"/>
    <w:rsid w:val="00F847E6"/>
    <w:rsid w:val="00F8596F"/>
    <w:rsid w:val="00F85D44"/>
    <w:rsid w:val="00F85EBA"/>
    <w:rsid w:val="00F86AC3"/>
    <w:rsid w:val="00F87263"/>
    <w:rsid w:val="00F90710"/>
    <w:rsid w:val="00F90E26"/>
    <w:rsid w:val="00F91350"/>
    <w:rsid w:val="00F91361"/>
    <w:rsid w:val="00F91D33"/>
    <w:rsid w:val="00F92005"/>
    <w:rsid w:val="00F923E7"/>
    <w:rsid w:val="00F93E4F"/>
    <w:rsid w:val="00F94166"/>
    <w:rsid w:val="00F94D15"/>
    <w:rsid w:val="00F94FEA"/>
    <w:rsid w:val="00F95373"/>
    <w:rsid w:val="00F95F6F"/>
    <w:rsid w:val="00F963DD"/>
    <w:rsid w:val="00F96E08"/>
    <w:rsid w:val="00F97861"/>
    <w:rsid w:val="00F97B91"/>
    <w:rsid w:val="00FA19FE"/>
    <w:rsid w:val="00FA1C49"/>
    <w:rsid w:val="00FA1D09"/>
    <w:rsid w:val="00FA1D9C"/>
    <w:rsid w:val="00FA1F49"/>
    <w:rsid w:val="00FA1FB8"/>
    <w:rsid w:val="00FA249F"/>
    <w:rsid w:val="00FA2E9C"/>
    <w:rsid w:val="00FA435E"/>
    <w:rsid w:val="00FA4D2F"/>
    <w:rsid w:val="00FA4F5B"/>
    <w:rsid w:val="00FA65EA"/>
    <w:rsid w:val="00FA6A94"/>
    <w:rsid w:val="00FA6BFC"/>
    <w:rsid w:val="00FB008E"/>
    <w:rsid w:val="00FB084A"/>
    <w:rsid w:val="00FB0D7D"/>
    <w:rsid w:val="00FB0F74"/>
    <w:rsid w:val="00FB191F"/>
    <w:rsid w:val="00FB2EA5"/>
    <w:rsid w:val="00FB2FBF"/>
    <w:rsid w:val="00FB36DB"/>
    <w:rsid w:val="00FB3D27"/>
    <w:rsid w:val="00FB4F5F"/>
    <w:rsid w:val="00FB5516"/>
    <w:rsid w:val="00FB5A2D"/>
    <w:rsid w:val="00FB5B9F"/>
    <w:rsid w:val="00FB602C"/>
    <w:rsid w:val="00FB61DC"/>
    <w:rsid w:val="00FB6C4A"/>
    <w:rsid w:val="00FB6D94"/>
    <w:rsid w:val="00FC0337"/>
    <w:rsid w:val="00FC1198"/>
    <w:rsid w:val="00FC1F92"/>
    <w:rsid w:val="00FC2024"/>
    <w:rsid w:val="00FC246A"/>
    <w:rsid w:val="00FC261B"/>
    <w:rsid w:val="00FC5DBF"/>
    <w:rsid w:val="00FC65CE"/>
    <w:rsid w:val="00FC6B7A"/>
    <w:rsid w:val="00FD035F"/>
    <w:rsid w:val="00FD0872"/>
    <w:rsid w:val="00FD1A0A"/>
    <w:rsid w:val="00FD2347"/>
    <w:rsid w:val="00FD250C"/>
    <w:rsid w:val="00FD3C87"/>
    <w:rsid w:val="00FD3FB8"/>
    <w:rsid w:val="00FD40A7"/>
    <w:rsid w:val="00FD4223"/>
    <w:rsid w:val="00FD4714"/>
    <w:rsid w:val="00FD476A"/>
    <w:rsid w:val="00FD5D54"/>
    <w:rsid w:val="00FD6CFC"/>
    <w:rsid w:val="00FD7201"/>
    <w:rsid w:val="00FE0D28"/>
    <w:rsid w:val="00FE18F2"/>
    <w:rsid w:val="00FE1A4E"/>
    <w:rsid w:val="00FE25DD"/>
    <w:rsid w:val="00FE3B98"/>
    <w:rsid w:val="00FE3F40"/>
    <w:rsid w:val="00FE6161"/>
    <w:rsid w:val="00FE6E18"/>
    <w:rsid w:val="00FF0225"/>
    <w:rsid w:val="00FF08F4"/>
    <w:rsid w:val="00FF0C55"/>
    <w:rsid w:val="00FF16C3"/>
    <w:rsid w:val="00FF17ED"/>
    <w:rsid w:val="00FF1BB9"/>
    <w:rsid w:val="00FF209B"/>
    <w:rsid w:val="00FF2B30"/>
    <w:rsid w:val="00FF312D"/>
    <w:rsid w:val="00FF46B5"/>
    <w:rsid w:val="00FF50B3"/>
    <w:rsid w:val="00FF50E0"/>
    <w:rsid w:val="00FF5221"/>
    <w:rsid w:val="00FF5CA2"/>
    <w:rsid w:val="00FF690A"/>
    <w:rsid w:val="00FF7D7E"/>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FF3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D7"/>
    <w:pPr>
      <w:autoSpaceDE w:val="0"/>
      <w:autoSpaceDN w:val="0"/>
      <w:adjustRightInd w:val="0"/>
      <w:spacing w:after="240" w:line="240" w:lineRule="auto"/>
      <w:jc w:val="both"/>
    </w:pPr>
    <w:rPr>
      <w:rFonts w:eastAsia="Calibri" w:cs="Times New Roman"/>
      <w:bCs/>
      <w:color w:val="000000" w:themeColor="text1"/>
      <w:sz w:val="24"/>
      <w:szCs w:val="24"/>
    </w:rPr>
  </w:style>
  <w:style w:type="paragraph" w:styleId="Heading1">
    <w:name w:val="heading 1"/>
    <w:basedOn w:val="ARHeading1"/>
    <w:next w:val="Normal"/>
    <w:link w:val="Heading1Char"/>
    <w:autoRedefine/>
    <w:uiPriority w:val="99"/>
    <w:qFormat/>
    <w:rsid w:val="00B957BE"/>
    <w:pPr>
      <w:numPr>
        <w:numId w:val="0"/>
      </w:numPr>
      <w:spacing w:after="120"/>
      <w:outlineLvl w:val="0"/>
    </w:pPr>
    <w:rPr>
      <w:color w:val="A6192E"/>
    </w:rPr>
  </w:style>
  <w:style w:type="paragraph" w:styleId="Heading2">
    <w:name w:val="heading 2"/>
    <w:basedOn w:val="Normal"/>
    <w:next w:val="Normal"/>
    <w:link w:val="Heading2Char"/>
    <w:autoRedefine/>
    <w:uiPriority w:val="99"/>
    <w:qFormat/>
    <w:rsid w:val="00942238"/>
    <w:pPr>
      <w:keepNext/>
      <w:tabs>
        <w:tab w:val="left" w:pos="480"/>
      </w:tabs>
      <w:spacing w:after="120"/>
      <w:outlineLvl w:val="1"/>
    </w:pPr>
    <w:rPr>
      <w:b/>
      <w:noProof/>
      <w:sz w:val="28"/>
    </w:rPr>
  </w:style>
  <w:style w:type="paragraph" w:styleId="Heading3">
    <w:name w:val="heading 3"/>
    <w:basedOn w:val="Normal"/>
    <w:next w:val="Normal"/>
    <w:link w:val="Heading3Char"/>
    <w:uiPriority w:val="99"/>
    <w:qFormat/>
    <w:rsid w:val="00E76939"/>
    <w:pPr>
      <w:spacing w:before="240" w:after="60"/>
      <w:ind w:left="851" w:hanging="851"/>
      <w:outlineLvl w:val="2"/>
    </w:pPr>
    <w:rPr>
      <w:b/>
    </w:rPr>
  </w:style>
  <w:style w:type="paragraph" w:styleId="Heading4">
    <w:name w:val="heading 4"/>
    <w:basedOn w:val="Normal"/>
    <w:next w:val="Normal"/>
    <w:link w:val="Heading4Char"/>
    <w:uiPriority w:val="99"/>
    <w:qFormat/>
    <w:rsid w:val="002D0511"/>
    <w:pPr>
      <w:keepNext/>
      <w:tabs>
        <w:tab w:val="left" w:pos="851"/>
        <w:tab w:val="left" w:pos="1021"/>
        <w:tab w:val="left" w:pos="1134"/>
      </w:tabs>
      <w:spacing w:before="120" w:after="60"/>
      <w:outlineLvl w:val="3"/>
    </w:pPr>
    <w:rPr>
      <w:b/>
      <w:smallCaps/>
      <w:lang w:val="en-GB"/>
    </w:rPr>
  </w:style>
  <w:style w:type="paragraph" w:styleId="Heading5">
    <w:name w:val="heading 5"/>
    <w:basedOn w:val="Normal"/>
    <w:next w:val="Normal"/>
    <w:link w:val="Heading5Char"/>
    <w:unhideWhenUsed/>
    <w:qFormat/>
    <w:rsid w:val="00610B25"/>
    <w:pPr>
      <w:keepNext/>
      <w:outlineLvl w:val="4"/>
    </w:pPr>
    <w:rPr>
      <w:rFonts w:eastAsia="Times New Roman"/>
      <w:b/>
      <w:bCs w:val="0"/>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57BE"/>
    <w:rPr>
      <w:rFonts w:cs="Arial"/>
      <w:b/>
      <w:bCs/>
      <w:color w:val="A6192E"/>
      <w:spacing w:val="2"/>
      <w:sz w:val="36"/>
      <w:szCs w:val="30"/>
      <w:lang w:val="en-GB"/>
    </w:rPr>
  </w:style>
  <w:style w:type="character" w:customStyle="1" w:styleId="Heading2Char">
    <w:name w:val="Heading 2 Char"/>
    <w:basedOn w:val="DefaultParagraphFont"/>
    <w:link w:val="Heading2"/>
    <w:uiPriority w:val="99"/>
    <w:rsid w:val="00942238"/>
    <w:rPr>
      <w:rFonts w:eastAsia="Calibri" w:cs="Times New Roman"/>
      <w:b/>
      <w:bCs/>
      <w:noProof/>
      <w:color w:val="000000" w:themeColor="text1"/>
      <w:sz w:val="28"/>
      <w:szCs w:val="24"/>
    </w:rPr>
  </w:style>
  <w:style w:type="character" w:customStyle="1" w:styleId="Heading3Char">
    <w:name w:val="Heading 3 Char"/>
    <w:basedOn w:val="DefaultParagraphFont"/>
    <w:link w:val="Heading3"/>
    <w:uiPriority w:val="99"/>
    <w:rsid w:val="00E76939"/>
    <w:rPr>
      <w:rFonts w:eastAsia="Calibri" w:cs="Times New Roman"/>
      <w:b/>
      <w:bCs/>
      <w:color w:val="000000" w:themeColor="text1"/>
      <w:sz w:val="24"/>
      <w:szCs w:val="24"/>
      <w:lang w:val="en-US"/>
    </w:rPr>
  </w:style>
  <w:style w:type="character" w:customStyle="1" w:styleId="Heading4Char">
    <w:name w:val="Heading 4 Char"/>
    <w:basedOn w:val="DefaultParagraphFont"/>
    <w:link w:val="Heading4"/>
    <w:uiPriority w:val="99"/>
    <w:rsid w:val="002D0511"/>
    <w:rPr>
      <w:rFonts w:eastAsia="Calibri" w:cs="Times New Roman"/>
      <w:b/>
      <w:bCs/>
      <w:smallCaps/>
      <w:color w:val="000000" w:themeColor="text1"/>
      <w:sz w:val="24"/>
      <w:szCs w:val="24"/>
      <w:lang w:val="en-GB"/>
    </w:rPr>
  </w:style>
  <w:style w:type="character" w:customStyle="1" w:styleId="Heading5Char">
    <w:name w:val="Heading 5 Char"/>
    <w:basedOn w:val="DefaultParagraphFont"/>
    <w:link w:val="Heading5"/>
    <w:rsid w:val="00610B25"/>
    <w:rPr>
      <w:rFonts w:ascii="Times New Roman" w:eastAsia="Times New Roman" w:hAnsi="Times New Roman" w:cs="Times New Roman"/>
      <w:b/>
      <w:bCs/>
      <w:iCs/>
      <w:sz w:val="24"/>
      <w:szCs w:val="26"/>
      <w:lang w:val="en-US" w:eastAsia="zh-CN"/>
    </w:rPr>
  </w:style>
  <w:style w:type="paragraph" w:styleId="NormalWeb">
    <w:name w:val="Normal (Web)"/>
    <w:basedOn w:val="Normal"/>
    <w:link w:val="NormalWebChar"/>
    <w:uiPriority w:val="99"/>
    <w:rsid w:val="00610B25"/>
    <w:pPr>
      <w:spacing w:before="100" w:beforeAutospacing="1" w:after="100" w:afterAutospacing="1"/>
    </w:pPr>
  </w:style>
  <w:style w:type="paragraph" w:styleId="BodyText">
    <w:name w:val="Body Text"/>
    <w:basedOn w:val="Normal"/>
    <w:link w:val="BodyTextChar"/>
    <w:uiPriority w:val="99"/>
    <w:rsid w:val="00610B25"/>
  </w:style>
  <w:style w:type="character" w:customStyle="1" w:styleId="BodyTextChar">
    <w:name w:val="Body Text Char"/>
    <w:basedOn w:val="DefaultParagraphFont"/>
    <w:link w:val="BodyText"/>
    <w:uiPriority w:val="99"/>
    <w:rsid w:val="00610B25"/>
    <w:rPr>
      <w:rFonts w:ascii="Times New Roman" w:eastAsia="SimSun" w:hAnsi="Times New Roman" w:cs="Times New Roman"/>
      <w:sz w:val="24"/>
      <w:szCs w:val="24"/>
      <w:lang w:val="en-US" w:eastAsia="zh-CN"/>
    </w:rPr>
  </w:style>
  <w:style w:type="paragraph" w:styleId="Header">
    <w:name w:val="header"/>
    <w:basedOn w:val="Normal"/>
    <w:link w:val="HeaderChar"/>
    <w:rsid w:val="00610B25"/>
    <w:pPr>
      <w:tabs>
        <w:tab w:val="center" w:pos="4320"/>
        <w:tab w:val="right" w:pos="8640"/>
      </w:tabs>
    </w:pPr>
  </w:style>
  <w:style w:type="character" w:customStyle="1" w:styleId="HeaderChar">
    <w:name w:val="Header Char"/>
    <w:basedOn w:val="DefaultParagraphFont"/>
    <w:link w:val="Header"/>
    <w:rsid w:val="00610B25"/>
    <w:rPr>
      <w:rFonts w:ascii="Times New Roman" w:eastAsia="SimSun" w:hAnsi="Times New Roman" w:cs="Times New Roman"/>
      <w:sz w:val="20"/>
      <w:szCs w:val="20"/>
      <w:lang w:val="en-US" w:eastAsia="zh-CN"/>
    </w:rPr>
  </w:style>
  <w:style w:type="paragraph" w:styleId="Footer">
    <w:name w:val="footer"/>
    <w:basedOn w:val="Normal"/>
    <w:link w:val="FooterChar"/>
    <w:rsid w:val="00610B25"/>
    <w:pPr>
      <w:tabs>
        <w:tab w:val="center" w:pos="4320"/>
        <w:tab w:val="right" w:pos="8640"/>
      </w:tabs>
    </w:pPr>
  </w:style>
  <w:style w:type="character" w:customStyle="1" w:styleId="FooterChar">
    <w:name w:val="Footer Char"/>
    <w:basedOn w:val="DefaultParagraphFont"/>
    <w:link w:val="Footer"/>
    <w:rsid w:val="00610B25"/>
    <w:rPr>
      <w:rFonts w:ascii="Times New Roman" w:eastAsia="SimSun" w:hAnsi="Times New Roman" w:cs="Times New Roman"/>
      <w:sz w:val="20"/>
      <w:szCs w:val="20"/>
      <w:lang w:val="en-US" w:eastAsia="zh-CN"/>
    </w:rPr>
  </w:style>
  <w:style w:type="character" w:styleId="PageNumber">
    <w:name w:val="page number"/>
    <w:rsid w:val="00610B25"/>
    <w:rPr>
      <w:rFonts w:cs="Times New Roman"/>
    </w:rPr>
  </w:style>
  <w:style w:type="paragraph" w:customStyle="1" w:styleId="Body">
    <w:name w:val="Body"/>
    <w:basedOn w:val="Normal"/>
    <w:uiPriority w:val="99"/>
    <w:rsid w:val="00610B25"/>
    <w:pPr>
      <w:tabs>
        <w:tab w:val="left" w:pos="340"/>
      </w:tabs>
      <w:spacing w:line="336" w:lineRule="atLeast"/>
    </w:pPr>
    <w:rPr>
      <w:rFonts w:ascii="Galliard" w:eastAsia="Times New Roman" w:hAnsi="Galliard" w:cs="Galliard"/>
    </w:rPr>
  </w:style>
  <w:style w:type="paragraph" w:styleId="BodyText2">
    <w:name w:val="Body Text 2"/>
    <w:basedOn w:val="Normal"/>
    <w:link w:val="BodyText2Char"/>
    <w:uiPriority w:val="99"/>
    <w:rsid w:val="00610B25"/>
    <w:pPr>
      <w:jc w:val="center"/>
    </w:pPr>
  </w:style>
  <w:style w:type="character" w:customStyle="1" w:styleId="BodyText2Char">
    <w:name w:val="Body Text 2 Char"/>
    <w:basedOn w:val="DefaultParagraphFont"/>
    <w:link w:val="BodyText2"/>
    <w:uiPriority w:val="99"/>
    <w:rsid w:val="00610B25"/>
    <w:rPr>
      <w:rFonts w:ascii="Times New Roman" w:eastAsia="SimSun" w:hAnsi="Times New Roman" w:cs="Times New Roman"/>
      <w:sz w:val="20"/>
      <w:szCs w:val="20"/>
      <w:lang w:val="en-US" w:eastAsia="zh-CN"/>
    </w:rPr>
  </w:style>
  <w:style w:type="paragraph" w:customStyle="1" w:styleId="SOI0607Heading1">
    <w:name w:val="SOI06/07 Heading 1"/>
    <w:basedOn w:val="Heading1"/>
    <w:link w:val="SOI0607Heading1Char"/>
    <w:uiPriority w:val="99"/>
    <w:rsid w:val="00610B25"/>
    <w:pPr>
      <w:spacing w:before="120" w:line="360" w:lineRule="auto"/>
    </w:pPr>
  </w:style>
  <w:style w:type="character" w:customStyle="1" w:styleId="SOI0607Heading1Char">
    <w:name w:val="SOI06/07 Heading 1 Char"/>
    <w:basedOn w:val="Heading1Char"/>
    <w:link w:val="SOI0607Heading1"/>
    <w:uiPriority w:val="99"/>
    <w:locked/>
    <w:rsid w:val="00610B25"/>
    <w:rPr>
      <w:rFonts w:ascii="Times New Roman" w:eastAsia="SimSun" w:hAnsi="Times New Roman" w:cs="Times New Roman"/>
      <w:b/>
      <w:bCs/>
      <w:noProof/>
      <w:color w:val="000000" w:themeColor="text1"/>
      <w:spacing w:val="2"/>
      <w:sz w:val="32"/>
      <w:szCs w:val="32"/>
      <w:lang w:val="en-US" w:eastAsia="zh-CN"/>
    </w:rPr>
  </w:style>
  <w:style w:type="character" w:customStyle="1" w:styleId="FootnoteTextChar">
    <w:name w:val="Footnote Text Char"/>
    <w:basedOn w:val="DefaultParagraphFont"/>
    <w:link w:val="FootnoteText"/>
    <w:uiPriority w:val="99"/>
    <w:semiHidden/>
    <w:rsid w:val="00610B25"/>
    <w:rPr>
      <w:rFonts w:ascii="Times New Roman" w:eastAsia="SimSun" w:hAnsi="Times New Roman" w:cs="Times New Roman"/>
      <w:sz w:val="20"/>
      <w:szCs w:val="20"/>
      <w:lang w:val="en-US" w:eastAsia="zh-CN"/>
    </w:rPr>
  </w:style>
  <w:style w:type="paragraph" w:styleId="FootnoteText">
    <w:name w:val="footnote text"/>
    <w:basedOn w:val="Normal"/>
    <w:link w:val="FootnoteTextChar"/>
    <w:uiPriority w:val="99"/>
    <w:semiHidden/>
    <w:rsid w:val="00610B25"/>
  </w:style>
  <w:style w:type="character" w:customStyle="1" w:styleId="FootnoteTextChar1">
    <w:name w:val="Footnote Text Char1"/>
    <w:basedOn w:val="DefaultParagraphFont"/>
    <w:uiPriority w:val="99"/>
    <w:semiHidden/>
    <w:rsid w:val="00610B25"/>
    <w:rPr>
      <w:rFonts w:ascii="Times New Roman" w:eastAsia="SimSun" w:hAnsi="Times New Roman" w:cs="Times New Roman"/>
      <w:sz w:val="20"/>
      <w:szCs w:val="20"/>
      <w:lang w:val="en-US" w:eastAsia="zh-CN"/>
    </w:rPr>
  </w:style>
  <w:style w:type="character" w:styleId="FootnoteReference">
    <w:name w:val="footnote reference"/>
    <w:uiPriority w:val="99"/>
    <w:semiHidden/>
    <w:rsid w:val="00610B25"/>
    <w:rPr>
      <w:rFonts w:cs="Times New Roman"/>
      <w:vertAlign w:val="superscript"/>
    </w:rPr>
  </w:style>
  <w:style w:type="paragraph" w:customStyle="1" w:styleId="BodyText1">
    <w:name w:val="Body Text1"/>
    <w:basedOn w:val="Normal"/>
    <w:link w:val="BodytextChar0"/>
    <w:uiPriority w:val="99"/>
    <w:rsid w:val="00610B25"/>
    <w:pPr>
      <w:tabs>
        <w:tab w:val="left" w:pos="227"/>
        <w:tab w:val="left" w:pos="454"/>
      </w:tabs>
      <w:suppressAutoHyphens/>
      <w:spacing w:after="130" w:line="260" w:lineRule="atLeast"/>
      <w:textAlignment w:val="center"/>
    </w:pPr>
    <w:rPr>
      <w:rFonts w:ascii="TheSans B4 SemiLight" w:eastAsia="Times New Roman" w:hAnsi="TheSans B4 SemiLight" w:cs="TheSans B4 SemiLight"/>
      <w:color w:val="000000"/>
    </w:rPr>
  </w:style>
  <w:style w:type="character" w:customStyle="1" w:styleId="BodytextChar0">
    <w:name w:val="Body text Char"/>
    <w:link w:val="BodyText1"/>
    <w:uiPriority w:val="99"/>
    <w:locked/>
    <w:rsid w:val="00610B25"/>
    <w:rPr>
      <w:rFonts w:ascii="TheSans B4 SemiLight" w:eastAsia="Times New Roman" w:hAnsi="TheSans B4 SemiLight" w:cs="TheSans B4 SemiLight"/>
      <w:color w:val="000000"/>
      <w:sz w:val="20"/>
      <w:szCs w:val="20"/>
      <w:lang w:val="en-US"/>
    </w:rPr>
  </w:style>
  <w:style w:type="character" w:customStyle="1" w:styleId="TextHeading2">
    <w:name w:val="Text Heading 2"/>
    <w:uiPriority w:val="99"/>
    <w:rsid w:val="00610B25"/>
    <w:rPr>
      <w:rFonts w:ascii="TheSans B6 SemiBold" w:hAnsi="TheSans B6 SemiBold"/>
      <w:b/>
      <w:color w:val="FC7A00"/>
      <w:sz w:val="20"/>
      <w:lang w:val="en-GB"/>
    </w:rPr>
  </w:style>
  <w:style w:type="character" w:customStyle="1" w:styleId="TextHeading3">
    <w:name w:val="Text Heading 3"/>
    <w:uiPriority w:val="99"/>
    <w:rsid w:val="00610B25"/>
    <w:rPr>
      <w:rFonts w:ascii="TheSans B6 SemiBold" w:hAnsi="TheSans B6 SemiBold"/>
      <w:b/>
      <w:sz w:val="20"/>
      <w:lang w:val="en-GB"/>
    </w:rPr>
  </w:style>
  <w:style w:type="character" w:styleId="Hyperlink">
    <w:name w:val="Hyperlink"/>
    <w:uiPriority w:val="99"/>
    <w:rsid w:val="00610B25"/>
    <w:rPr>
      <w:rFonts w:cs="Times New Roman"/>
      <w:color w:val="0000FF"/>
      <w:u w:val="single"/>
    </w:rPr>
  </w:style>
  <w:style w:type="paragraph" w:styleId="TOC1">
    <w:name w:val="toc 1"/>
    <w:basedOn w:val="Normal"/>
    <w:next w:val="Normal"/>
    <w:autoRedefine/>
    <w:uiPriority w:val="39"/>
    <w:rsid w:val="00602374"/>
    <w:pPr>
      <w:tabs>
        <w:tab w:val="left" w:pos="567"/>
        <w:tab w:val="left" w:pos="1134"/>
        <w:tab w:val="right" w:leader="dot" w:pos="9214"/>
      </w:tabs>
      <w:spacing w:after="60"/>
    </w:pPr>
    <w:rPr>
      <w:rFonts w:cs="Arial"/>
      <w:bCs w:val="0"/>
      <w:iCs/>
      <w:noProof/>
    </w:rPr>
  </w:style>
  <w:style w:type="paragraph" w:styleId="TOC2">
    <w:name w:val="toc 2"/>
    <w:basedOn w:val="Normal"/>
    <w:next w:val="Normal"/>
    <w:autoRedefine/>
    <w:uiPriority w:val="39"/>
    <w:rsid w:val="00602374"/>
    <w:pPr>
      <w:tabs>
        <w:tab w:val="left" w:pos="567"/>
        <w:tab w:val="left" w:leader="dot" w:pos="1134"/>
        <w:tab w:val="right" w:leader="dot" w:pos="9214"/>
      </w:tabs>
      <w:spacing w:after="60"/>
    </w:pPr>
    <w:rPr>
      <w:iCs/>
      <w:noProof/>
    </w:rPr>
  </w:style>
  <w:style w:type="character" w:styleId="Strong">
    <w:name w:val="Strong"/>
    <w:uiPriority w:val="22"/>
    <w:qFormat/>
    <w:rsid w:val="00610B25"/>
    <w:rPr>
      <w:rFonts w:cs="Times New Roman"/>
      <w:b/>
      <w:bCs/>
    </w:rPr>
  </w:style>
  <w:style w:type="paragraph" w:customStyle="1" w:styleId="Bnormal">
    <w:name w:val="Bnormal"/>
    <w:basedOn w:val="Normal"/>
    <w:uiPriority w:val="99"/>
    <w:rsid w:val="00610B25"/>
    <w:pPr>
      <w:keepNext/>
      <w:keepLines/>
    </w:pPr>
  </w:style>
  <w:style w:type="paragraph" w:customStyle="1" w:styleId="Text1">
    <w:name w:val="Text1"/>
    <w:basedOn w:val="Normal"/>
    <w:link w:val="Text1Char"/>
    <w:uiPriority w:val="99"/>
    <w:rsid w:val="00610B25"/>
    <w:pPr>
      <w:ind w:left="720"/>
    </w:pPr>
    <w:rPr>
      <w:rFonts w:eastAsia="Times New Roman"/>
      <w:lang w:val="en-AU"/>
    </w:rPr>
  </w:style>
  <w:style w:type="character" w:customStyle="1" w:styleId="Text1Char">
    <w:name w:val="Text1 Char"/>
    <w:link w:val="Text1"/>
    <w:uiPriority w:val="99"/>
    <w:locked/>
    <w:rsid w:val="00610B25"/>
    <w:rPr>
      <w:rFonts w:ascii="Times New Roman" w:eastAsia="Times New Roman" w:hAnsi="Times New Roman" w:cs="Times New Roman"/>
      <w:sz w:val="24"/>
      <w:szCs w:val="24"/>
      <w:lang w:val="en-AU"/>
    </w:rPr>
  </w:style>
  <w:style w:type="character" w:customStyle="1" w:styleId="Char1">
    <w:name w:val="Char1"/>
    <w:uiPriority w:val="99"/>
    <w:rsid w:val="00610B25"/>
    <w:rPr>
      <w:rFonts w:eastAsia="SimSun" w:cs="Times New Roman"/>
      <w:b/>
      <w:sz w:val="24"/>
      <w:szCs w:val="24"/>
      <w:lang w:val="en-US" w:eastAsia="zh-CN" w:bidi="ar-SA"/>
    </w:rPr>
  </w:style>
  <w:style w:type="character" w:customStyle="1" w:styleId="Char">
    <w:name w:val="Char"/>
    <w:uiPriority w:val="99"/>
    <w:rsid w:val="00610B25"/>
    <w:rPr>
      <w:rFonts w:ascii="Arial" w:eastAsia="SimSun" w:hAnsi="Arial" w:cs="Arial"/>
      <w:b/>
      <w:bCs/>
      <w:i/>
      <w:iCs/>
      <w:sz w:val="28"/>
      <w:szCs w:val="28"/>
      <w:lang w:val="en-US" w:eastAsia="zh-CN" w:bidi="ar-SA"/>
    </w:rPr>
  </w:style>
  <w:style w:type="paragraph" w:customStyle="1" w:styleId="Headingnormal">
    <w:name w:val="Headingnormal"/>
    <w:basedOn w:val="Heading2"/>
    <w:uiPriority w:val="99"/>
    <w:rsid w:val="00610B25"/>
  </w:style>
  <w:style w:type="paragraph" w:customStyle="1" w:styleId="Default">
    <w:name w:val="Default"/>
    <w:rsid w:val="00610B25"/>
    <w:pPr>
      <w:autoSpaceDE w:val="0"/>
      <w:autoSpaceDN w:val="0"/>
      <w:adjustRightInd w:val="0"/>
      <w:spacing w:after="0" w:line="240" w:lineRule="auto"/>
    </w:pPr>
    <w:rPr>
      <w:rFonts w:ascii="Arial" w:eastAsia="Times New Roman" w:hAnsi="Arial" w:cs="Arial"/>
      <w:color w:val="000000"/>
      <w:sz w:val="24"/>
      <w:szCs w:val="24"/>
      <w:lang w:eastAsia="en-NZ"/>
    </w:rPr>
  </w:style>
  <w:style w:type="paragraph" w:customStyle="1" w:styleId="StyleBefore5ptAfter5pt">
    <w:name w:val="Style Before:  5 pt After:  5 pt"/>
    <w:basedOn w:val="Normal"/>
    <w:uiPriority w:val="99"/>
    <w:rsid w:val="00610B25"/>
    <w:pPr>
      <w:spacing w:before="100" w:after="100"/>
    </w:pPr>
    <w:rPr>
      <w:rFonts w:ascii="Arial" w:eastAsia="Times New Roman" w:hAnsi="Arial"/>
      <w:sz w:val="28"/>
    </w:rPr>
  </w:style>
  <w:style w:type="character" w:customStyle="1" w:styleId="BalloonTextChar">
    <w:name w:val="Balloon Text Char"/>
    <w:basedOn w:val="DefaultParagraphFont"/>
    <w:link w:val="BalloonText"/>
    <w:uiPriority w:val="99"/>
    <w:semiHidden/>
    <w:rsid w:val="00610B25"/>
    <w:rPr>
      <w:rFonts w:ascii="Times New Roman" w:eastAsia="SimSun" w:hAnsi="Times New Roman" w:cs="Times New Roman"/>
      <w:sz w:val="20"/>
      <w:szCs w:val="20"/>
      <w:lang w:val="en-US" w:eastAsia="zh-CN"/>
    </w:rPr>
  </w:style>
  <w:style w:type="paragraph" w:styleId="BalloonText">
    <w:name w:val="Balloon Text"/>
    <w:basedOn w:val="Normal"/>
    <w:link w:val="BalloonTextChar"/>
    <w:uiPriority w:val="99"/>
    <w:semiHidden/>
    <w:rsid w:val="00610B25"/>
  </w:style>
  <w:style w:type="character" w:customStyle="1" w:styleId="BalloonTextChar1">
    <w:name w:val="Balloon Text Char1"/>
    <w:basedOn w:val="DefaultParagraphFont"/>
    <w:uiPriority w:val="99"/>
    <w:semiHidden/>
    <w:rsid w:val="00610B25"/>
    <w:rPr>
      <w:rFonts w:ascii="Tahoma" w:eastAsia="SimSun" w:hAnsi="Tahoma" w:cs="Tahoma"/>
      <w:sz w:val="16"/>
      <w:szCs w:val="16"/>
      <w:lang w:val="en-US" w:eastAsia="zh-CN"/>
    </w:rPr>
  </w:style>
  <w:style w:type="character" w:customStyle="1" w:styleId="CommentTextChar">
    <w:name w:val="Comment Text Char"/>
    <w:basedOn w:val="DefaultParagraphFont"/>
    <w:link w:val="CommentText"/>
    <w:uiPriority w:val="99"/>
    <w:rsid w:val="00610B25"/>
    <w:rPr>
      <w:rFonts w:ascii="Times New Roman" w:eastAsia="SimSun" w:hAnsi="Times New Roman" w:cs="Times New Roman"/>
      <w:sz w:val="20"/>
      <w:szCs w:val="20"/>
      <w:lang w:val="en-US" w:eastAsia="zh-CN"/>
    </w:rPr>
  </w:style>
  <w:style w:type="paragraph" w:styleId="CommentText">
    <w:name w:val="annotation text"/>
    <w:basedOn w:val="Normal"/>
    <w:link w:val="CommentTextChar"/>
    <w:uiPriority w:val="99"/>
    <w:rsid w:val="00610B25"/>
  </w:style>
  <w:style w:type="character" w:customStyle="1" w:styleId="CommentTextChar1">
    <w:name w:val="Comment Text Char1"/>
    <w:basedOn w:val="DefaultParagraphFont"/>
    <w:uiPriority w:val="99"/>
    <w:semiHidden/>
    <w:rsid w:val="00610B25"/>
    <w:rPr>
      <w:rFonts w:ascii="Times New Roman" w:eastAsia="SimSun" w:hAnsi="Times New Roman" w:cs="Times New Roman"/>
      <w:sz w:val="20"/>
      <w:szCs w:val="20"/>
      <w:lang w:val="en-US" w:eastAsia="zh-CN"/>
    </w:rPr>
  </w:style>
  <w:style w:type="character" w:customStyle="1" w:styleId="CommentSubjectChar">
    <w:name w:val="Comment Subject Char"/>
    <w:basedOn w:val="CommentTextChar"/>
    <w:link w:val="CommentSubject"/>
    <w:uiPriority w:val="99"/>
    <w:semiHidden/>
    <w:rsid w:val="00610B25"/>
    <w:rPr>
      <w:rFonts w:ascii="Times New Roman" w:eastAsia="SimSun" w:hAnsi="Times New Roman" w:cs="Times New Roman"/>
      <w:b/>
      <w:bCs/>
      <w:sz w:val="20"/>
      <w:szCs w:val="20"/>
      <w:lang w:val="en-US" w:eastAsia="zh-CN"/>
    </w:rPr>
  </w:style>
  <w:style w:type="paragraph" w:styleId="CommentSubject">
    <w:name w:val="annotation subject"/>
    <w:basedOn w:val="CommentText"/>
    <w:next w:val="CommentText"/>
    <w:link w:val="CommentSubjectChar"/>
    <w:uiPriority w:val="99"/>
    <w:semiHidden/>
    <w:rsid w:val="00610B25"/>
    <w:rPr>
      <w:b/>
      <w:bCs w:val="0"/>
    </w:rPr>
  </w:style>
  <w:style w:type="character" w:customStyle="1" w:styleId="CommentSubjectChar1">
    <w:name w:val="Comment Subject Char1"/>
    <w:basedOn w:val="CommentTextChar1"/>
    <w:uiPriority w:val="99"/>
    <w:semiHidden/>
    <w:rsid w:val="00610B25"/>
    <w:rPr>
      <w:rFonts w:ascii="Times New Roman" w:eastAsia="SimSun" w:hAnsi="Times New Roman" w:cs="Times New Roman"/>
      <w:b/>
      <w:bCs/>
      <w:sz w:val="20"/>
      <w:szCs w:val="20"/>
      <w:lang w:val="en-US" w:eastAsia="zh-CN"/>
    </w:rPr>
  </w:style>
  <w:style w:type="paragraph" w:styleId="Caption">
    <w:name w:val="caption"/>
    <w:basedOn w:val="Normal"/>
    <w:next w:val="Normal"/>
    <w:uiPriority w:val="99"/>
    <w:qFormat/>
    <w:rsid w:val="00610B25"/>
    <w:rPr>
      <w:b/>
      <w:bCs w:val="0"/>
      <w:color w:val="4F81BD"/>
      <w:sz w:val="18"/>
      <w:szCs w:val="18"/>
    </w:rPr>
  </w:style>
  <w:style w:type="paragraph" w:styleId="ListParagraph">
    <w:name w:val="List Paragraph"/>
    <w:aliases w:val="SJ No.Paras"/>
    <w:basedOn w:val="Normal"/>
    <w:link w:val="ListParagraphChar"/>
    <w:uiPriority w:val="34"/>
    <w:qFormat/>
    <w:rsid w:val="00610B25"/>
    <w:pPr>
      <w:spacing w:after="120"/>
      <w:ind w:left="720"/>
      <w:contextualSpacing/>
    </w:pPr>
  </w:style>
  <w:style w:type="paragraph" w:styleId="TOCHeading">
    <w:name w:val="TOC Heading"/>
    <w:basedOn w:val="Heading1"/>
    <w:next w:val="Normal"/>
    <w:uiPriority w:val="39"/>
    <w:qFormat/>
    <w:rsid w:val="00610B25"/>
    <w:pPr>
      <w:spacing w:before="480" w:line="276" w:lineRule="auto"/>
      <w:outlineLvl w:val="9"/>
    </w:pPr>
    <w:rPr>
      <w:rFonts w:ascii="Cambria" w:eastAsia="Times New Roman" w:hAnsi="Cambria"/>
      <w:bCs w:val="0"/>
      <w:color w:val="365F91"/>
    </w:rPr>
  </w:style>
  <w:style w:type="paragraph" w:styleId="TOC3">
    <w:name w:val="toc 3"/>
    <w:basedOn w:val="Normal"/>
    <w:next w:val="Normal"/>
    <w:autoRedefine/>
    <w:uiPriority w:val="39"/>
    <w:rsid w:val="00674B22"/>
    <w:pPr>
      <w:tabs>
        <w:tab w:val="left" w:pos="9356"/>
        <w:tab w:val="left" w:pos="9498"/>
      </w:tabs>
      <w:spacing w:after="0"/>
      <w:ind w:left="442"/>
    </w:pPr>
    <w:rPr>
      <w:rFonts w:ascii="Calibri" w:eastAsia="Times New Roman" w:hAnsi="Calibri"/>
      <w:sz w:val="22"/>
      <w:szCs w:val="22"/>
    </w:rPr>
  </w:style>
  <w:style w:type="paragraph" w:styleId="TOC4">
    <w:name w:val="toc 4"/>
    <w:basedOn w:val="Normal"/>
    <w:next w:val="Normal"/>
    <w:autoRedefine/>
    <w:uiPriority w:val="39"/>
    <w:unhideWhenUsed/>
    <w:rsid w:val="00610B25"/>
    <w:pPr>
      <w:spacing w:after="100"/>
      <w:ind w:left="660"/>
    </w:pPr>
    <w:rPr>
      <w:rFonts w:ascii="Calibri" w:eastAsia="Times New Roman" w:hAnsi="Calibri"/>
      <w:sz w:val="22"/>
      <w:szCs w:val="22"/>
      <w:lang w:eastAsia="en-NZ"/>
    </w:rPr>
  </w:style>
  <w:style w:type="paragraph" w:styleId="TOC5">
    <w:name w:val="toc 5"/>
    <w:basedOn w:val="Normal"/>
    <w:next w:val="Normal"/>
    <w:autoRedefine/>
    <w:uiPriority w:val="39"/>
    <w:unhideWhenUsed/>
    <w:rsid w:val="00610B25"/>
    <w:pPr>
      <w:spacing w:after="100"/>
      <w:ind w:left="880"/>
    </w:pPr>
    <w:rPr>
      <w:rFonts w:ascii="Calibri" w:eastAsia="Times New Roman" w:hAnsi="Calibri"/>
      <w:sz w:val="22"/>
      <w:szCs w:val="22"/>
      <w:lang w:eastAsia="en-NZ"/>
    </w:rPr>
  </w:style>
  <w:style w:type="paragraph" w:styleId="TOC6">
    <w:name w:val="toc 6"/>
    <w:basedOn w:val="Normal"/>
    <w:next w:val="Normal"/>
    <w:autoRedefine/>
    <w:uiPriority w:val="39"/>
    <w:unhideWhenUsed/>
    <w:rsid w:val="00610B25"/>
    <w:pPr>
      <w:spacing w:after="100"/>
      <w:ind w:left="1100"/>
    </w:pPr>
    <w:rPr>
      <w:rFonts w:ascii="Calibri" w:eastAsia="Times New Roman" w:hAnsi="Calibri"/>
      <w:sz w:val="22"/>
      <w:szCs w:val="22"/>
      <w:lang w:eastAsia="en-NZ"/>
    </w:rPr>
  </w:style>
  <w:style w:type="paragraph" w:styleId="TOC7">
    <w:name w:val="toc 7"/>
    <w:basedOn w:val="Normal"/>
    <w:next w:val="Normal"/>
    <w:autoRedefine/>
    <w:uiPriority w:val="39"/>
    <w:unhideWhenUsed/>
    <w:rsid w:val="00610B25"/>
    <w:pPr>
      <w:spacing w:after="100"/>
      <w:ind w:left="1320"/>
    </w:pPr>
    <w:rPr>
      <w:rFonts w:ascii="Calibri" w:eastAsia="Times New Roman" w:hAnsi="Calibri"/>
      <w:sz w:val="22"/>
      <w:szCs w:val="22"/>
      <w:lang w:eastAsia="en-NZ"/>
    </w:rPr>
  </w:style>
  <w:style w:type="paragraph" w:styleId="TOC8">
    <w:name w:val="toc 8"/>
    <w:basedOn w:val="Normal"/>
    <w:next w:val="Normal"/>
    <w:autoRedefine/>
    <w:uiPriority w:val="39"/>
    <w:unhideWhenUsed/>
    <w:rsid w:val="00610B25"/>
    <w:pPr>
      <w:spacing w:after="100"/>
      <w:ind w:left="1540"/>
    </w:pPr>
    <w:rPr>
      <w:rFonts w:ascii="Calibri" w:eastAsia="Times New Roman" w:hAnsi="Calibri"/>
      <w:sz w:val="22"/>
      <w:szCs w:val="22"/>
      <w:lang w:eastAsia="en-NZ"/>
    </w:rPr>
  </w:style>
  <w:style w:type="paragraph" w:styleId="TOC9">
    <w:name w:val="toc 9"/>
    <w:basedOn w:val="Normal"/>
    <w:next w:val="Normal"/>
    <w:autoRedefine/>
    <w:uiPriority w:val="39"/>
    <w:unhideWhenUsed/>
    <w:rsid w:val="00610B25"/>
    <w:pPr>
      <w:spacing w:after="100"/>
      <w:ind w:left="1760"/>
    </w:pPr>
    <w:rPr>
      <w:rFonts w:ascii="Calibri" w:eastAsia="Times New Roman" w:hAnsi="Calibri"/>
      <w:sz w:val="22"/>
      <w:szCs w:val="22"/>
      <w:lang w:eastAsia="en-NZ"/>
    </w:rPr>
  </w:style>
  <w:style w:type="paragraph" w:customStyle="1" w:styleId="Financial11Column">
    <w:name w:val="Financial 1+1 Column"/>
    <w:basedOn w:val="Normal"/>
    <w:uiPriority w:val="99"/>
    <w:rsid w:val="00610B25"/>
    <w:pPr>
      <w:tabs>
        <w:tab w:val="right" w:pos="1800"/>
        <w:tab w:val="left" w:pos="2140"/>
        <w:tab w:val="left" w:pos="2780"/>
        <w:tab w:val="right" w:pos="8180"/>
        <w:tab w:val="right" w:pos="10176"/>
      </w:tabs>
      <w:suppressAutoHyphens/>
      <w:spacing w:before="130" w:line="260" w:lineRule="atLeast"/>
    </w:pPr>
    <w:rPr>
      <w:rFonts w:ascii="The Sans Semi Bold- Bold Plain" w:hAnsi="The Sans Semi Bold- Bold Plain" w:cs="The Sans Semi Bold- Bold Plain"/>
      <w:b/>
      <w:bCs w:val="0"/>
      <w:color w:val="000000"/>
      <w:lang w:val="en-GB"/>
    </w:rPr>
  </w:style>
  <w:style w:type="paragraph" w:customStyle="1" w:styleId="FinancialNotes">
    <w:name w:val="Financial Notes"/>
    <w:basedOn w:val="Normal"/>
    <w:uiPriority w:val="99"/>
    <w:rsid w:val="00610B25"/>
    <w:pPr>
      <w:tabs>
        <w:tab w:val="right" w:pos="1800"/>
        <w:tab w:val="left" w:pos="2140"/>
        <w:tab w:val="left" w:pos="2778"/>
        <w:tab w:val="left" w:pos="3118"/>
        <w:tab w:val="right" w:pos="6151"/>
        <w:tab w:val="right" w:pos="8180"/>
        <w:tab w:val="right" w:pos="10176"/>
      </w:tabs>
      <w:suppressAutoHyphens/>
      <w:spacing w:before="130" w:line="260" w:lineRule="atLeast"/>
    </w:pPr>
    <w:rPr>
      <w:rFonts w:ascii="The Sans Semi Bold- Bold Plain" w:hAnsi="The Sans Semi Bold- Bold Plain" w:cs="The Sans Semi Bold- Bold Plain"/>
      <w:b/>
      <w:bCs w:val="0"/>
      <w:color w:val="000000"/>
      <w:lang w:val="en-GB"/>
    </w:rPr>
  </w:style>
  <w:style w:type="character" w:customStyle="1" w:styleId="FinancialTextLight">
    <w:name w:val="Financial Text_Light"/>
    <w:uiPriority w:val="99"/>
    <w:rsid w:val="00610B25"/>
    <w:rPr>
      <w:rFonts w:ascii="TheSans-B4SemiLight" w:hAnsi="TheSans-B4SemiLight" w:cs="TheSans-B4SemiLight" w:hint="default"/>
      <w:sz w:val="20"/>
      <w:szCs w:val="20"/>
      <w:lang w:val="en-GB"/>
    </w:rPr>
  </w:style>
  <w:style w:type="character" w:customStyle="1" w:styleId="FinancialTextBold">
    <w:name w:val="Financial Text_Bold"/>
    <w:uiPriority w:val="99"/>
    <w:rsid w:val="00610B25"/>
    <w:rPr>
      <w:rFonts w:ascii="TheSans-B7Bold" w:hAnsi="TheSans-B7Bold" w:cs="TheSans-B7Bold" w:hint="default"/>
      <w:b/>
      <w:bCs/>
      <w:color w:val="004C92"/>
      <w:sz w:val="20"/>
      <w:szCs w:val="20"/>
      <w:lang w:val="en-GB"/>
    </w:rPr>
  </w:style>
  <w:style w:type="character" w:customStyle="1" w:styleId="FinTextBoldItalics">
    <w:name w:val="Fin Text Bold Italics"/>
    <w:uiPriority w:val="99"/>
    <w:rsid w:val="00610B25"/>
    <w:rPr>
      <w:rFonts w:ascii="TheSans-B6SemiBoldItalic" w:hAnsi="TheSans-B6SemiBoldItalic" w:cs="TheSans-B6SemiBoldItalic" w:hint="default"/>
      <w:b/>
      <w:bCs/>
      <w:i/>
      <w:iCs/>
      <w:color w:val="004C92"/>
      <w:sz w:val="20"/>
      <w:szCs w:val="20"/>
      <w:lang w:val="en-GB"/>
    </w:rPr>
  </w:style>
  <w:style w:type="character" w:styleId="Emphasis">
    <w:name w:val="Emphasis"/>
    <w:qFormat/>
    <w:rsid w:val="00610B25"/>
    <w:rPr>
      <w:i/>
      <w:iCs/>
    </w:rPr>
  </w:style>
  <w:style w:type="paragraph" w:styleId="Title">
    <w:name w:val="Title"/>
    <w:basedOn w:val="Normal"/>
    <w:next w:val="Normal"/>
    <w:link w:val="TitleChar"/>
    <w:uiPriority w:val="10"/>
    <w:qFormat/>
    <w:rsid w:val="00610B25"/>
    <w:pPr>
      <w:spacing w:before="240" w:after="60"/>
      <w:jc w:val="center"/>
      <w:outlineLvl w:val="0"/>
    </w:pPr>
    <w:rPr>
      <w:rFonts w:ascii="Cambria" w:eastAsia="Times New Roman" w:hAnsi="Cambria"/>
      <w:b/>
      <w:bCs w:val="0"/>
      <w:kern w:val="28"/>
      <w:sz w:val="32"/>
      <w:szCs w:val="32"/>
    </w:rPr>
  </w:style>
  <w:style w:type="character" w:customStyle="1" w:styleId="TitleChar">
    <w:name w:val="Title Char"/>
    <w:basedOn w:val="DefaultParagraphFont"/>
    <w:link w:val="Title"/>
    <w:uiPriority w:val="10"/>
    <w:rsid w:val="00610B25"/>
    <w:rPr>
      <w:rFonts w:ascii="Cambria" w:eastAsia="Times New Roman" w:hAnsi="Cambria" w:cs="Times New Roman"/>
      <w:b/>
      <w:bCs/>
      <w:kern w:val="28"/>
      <w:sz w:val="32"/>
      <w:szCs w:val="32"/>
      <w:lang w:val="en-US" w:eastAsia="zh-CN"/>
    </w:rPr>
  </w:style>
  <w:style w:type="paragraph" w:customStyle="1" w:styleId="homeimage1">
    <w:name w:val="homeimage1"/>
    <w:basedOn w:val="Normal"/>
    <w:rsid w:val="00610B25"/>
    <w:pPr>
      <w:spacing w:after="315" w:line="336" w:lineRule="auto"/>
    </w:pPr>
    <w:rPr>
      <w:rFonts w:eastAsia="Times New Roman"/>
      <w:color w:val="1C5E71"/>
      <w:sz w:val="23"/>
      <w:szCs w:val="23"/>
      <w:lang w:eastAsia="en-NZ"/>
    </w:rPr>
  </w:style>
  <w:style w:type="paragraph" w:customStyle="1" w:styleId="labelled">
    <w:name w:val="labelled"/>
    <w:basedOn w:val="Normal"/>
    <w:rsid w:val="00610B25"/>
    <w:rPr>
      <w:rFonts w:eastAsia="Times New Roman"/>
      <w:lang w:eastAsia="en-NZ"/>
    </w:rPr>
  </w:style>
  <w:style w:type="character" w:customStyle="1" w:styleId="spc">
    <w:name w:val="spc"/>
    <w:rsid w:val="00610B25"/>
    <w:rPr>
      <w:strike w:val="0"/>
      <w:dstrike w:val="0"/>
      <w:u w:val="none"/>
      <w:effect w:val="none"/>
    </w:rPr>
  </w:style>
  <w:style w:type="character" w:customStyle="1" w:styleId="label">
    <w:name w:val="label"/>
    <w:basedOn w:val="DefaultParagraphFont"/>
    <w:rsid w:val="00610B25"/>
  </w:style>
  <w:style w:type="paragraph" w:customStyle="1" w:styleId="text">
    <w:name w:val="text"/>
    <w:basedOn w:val="Normal"/>
    <w:rsid w:val="00610B25"/>
    <w:rPr>
      <w:rFonts w:eastAsia="Times New Roman"/>
      <w:lang w:eastAsia="en-NZ"/>
    </w:rPr>
  </w:style>
  <w:style w:type="paragraph" w:customStyle="1" w:styleId="PartHeading">
    <w:name w:val="Part Heading"/>
    <w:basedOn w:val="Heading1"/>
    <w:link w:val="PartHeadingChar"/>
    <w:qFormat/>
    <w:rsid w:val="00610B25"/>
  </w:style>
  <w:style w:type="character" w:customStyle="1" w:styleId="PartHeadingChar">
    <w:name w:val="Part Heading Char"/>
    <w:basedOn w:val="Heading1Char"/>
    <w:link w:val="PartHeading"/>
    <w:rsid w:val="00610B25"/>
    <w:rPr>
      <w:rFonts w:ascii="Times New Roman" w:eastAsia="SimSun" w:hAnsi="Times New Roman" w:cs="Times New Roman"/>
      <w:b/>
      <w:bCs/>
      <w:noProof/>
      <w:color w:val="000000" w:themeColor="text1"/>
      <w:spacing w:val="2"/>
      <w:sz w:val="32"/>
      <w:szCs w:val="32"/>
      <w:lang w:val="en-US" w:eastAsia="zh-CN"/>
    </w:rPr>
  </w:style>
  <w:style w:type="paragraph" w:customStyle="1" w:styleId="Figureheading">
    <w:name w:val="Figure heading"/>
    <w:basedOn w:val="Normal"/>
    <w:link w:val="FigureheadingChar"/>
    <w:qFormat/>
    <w:rsid w:val="00610B25"/>
    <w:rPr>
      <w:rFonts w:ascii="Arial" w:hAnsi="Arial"/>
      <w:b/>
      <w:color w:val="000000"/>
      <w:sz w:val="22"/>
    </w:rPr>
  </w:style>
  <w:style w:type="character" w:customStyle="1" w:styleId="FigureheadingChar">
    <w:name w:val="Figure heading Char"/>
    <w:basedOn w:val="DefaultParagraphFont"/>
    <w:link w:val="Figureheading"/>
    <w:rsid w:val="00610B25"/>
    <w:rPr>
      <w:rFonts w:ascii="Arial" w:eastAsia="SimSun" w:hAnsi="Arial" w:cs="Times New Roman"/>
      <w:b/>
      <w:color w:val="000000"/>
      <w:szCs w:val="24"/>
      <w:lang w:val="en-US" w:eastAsia="zh-CN"/>
    </w:rPr>
  </w:style>
  <w:style w:type="character" w:customStyle="1" w:styleId="DocumentMapChar">
    <w:name w:val="Document Map Char"/>
    <w:basedOn w:val="DefaultParagraphFont"/>
    <w:link w:val="DocumentMap"/>
    <w:uiPriority w:val="99"/>
    <w:semiHidden/>
    <w:rsid w:val="00610B25"/>
    <w:rPr>
      <w:rFonts w:ascii="Tahoma" w:eastAsia="SimSun" w:hAnsi="Tahoma" w:cs="Tahoma"/>
      <w:sz w:val="16"/>
      <w:szCs w:val="16"/>
      <w:lang w:val="en-US" w:eastAsia="zh-CN"/>
    </w:rPr>
  </w:style>
  <w:style w:type="paragraph" w:styleId="DocumentMap">
    <w:name w:val="Document Map"/>
    <w:basedOn w:val="Normal"/>
    <w:link w:val="DocumentMapChar"/>
    <w:uiPriority w:val="99"/>
    <w:semiHidden/>
    <w:unhideWhenUsed/>
    <w:rsid w:val="00610B25"/>
    <w:rPr>
      <w:rFonts w:ascii="Tahoma" w:hAnsi="Tahoma" w:cs="Tahoma"/>
      <w:sz w:val="16"/>
      <w:szCs w:val="16"/>
    </w:rPr>
  </w:style>
  <w:style w:type="character" w:customStyle="1" w:styleId="DocumentMapChar1">
    <w:name w:val="Document Map Char1"/>
    <w:basedOn w:val="DefaultParagraphFont"/>
    <w:uiPriority w:val="99"/>
    <w:semiHidden/>
    <w:rsid w:val="00610B25"/>
    <w:rPr>
      <w:rFonts w:ascii="Tahoma" w:eastAsia="SimSun" w:hAnsi="Tahoma" w:cs="Tahoma"/>
      <w:sz w:val="16"/>
      <w:szCs w:val="16"/>
      <w:lang w:val="en-US" w:eastAsia="zh-CN"/>
    </w:rPr>
  </w:style>
  <w:style w:type="paragraph" w:customStyle="1" w:styleId="Pa4">
    <w:name w:val="Pa4"/>
    <w:basedOn w:val="Normal"/>
    <w:next w:val="Normal"/>
    <w:uiPriority w:val="99"/>
    <w:rsid w:val="00610B25"/>
    <w:pPr>
      <w:spacing w:after="120" w:line="201" w:lineRule="atLeast"/>
    </w:pPr>
    <w:rPr>
      <w:rFonts w:ascii="TheSansSemiBold" w:hAnsi="TheSansSemiBold"/>
    </w:rPr>
  </w:style>
  <w:style w:type="character" w:styleId="CommentReference">
    <w:name w:val="annotation reference"/>
    <w:basedOn w:val="DefaultParagraphFont"/>
    <w:uiPriority w:val="99"/>
    <w:semiHidden/>
    <w:unhideWhenUsed/>
    <w:rsid w:val="00610B25"/>
    <w:rPr>
      <w:sz w:val="16"/>
      <w:szCs w:val="16"/>
    </w:rPr>
  </w:style>
  <w:style w:type="paragraph" w:styleId="NoSpacing">
    <w:name w:val="No Spacing"/>
    <w:link w:val="NoSpacingChar"/>
    <w:uiPriority w:val="1"/>
    <w:qFormat/>
    <w:rsid w:val="00610B25"/>
    <w:pPr>
      <w:spacing w:after="0" w:line="240" w:lineRule="auto"/>
    </w:pPr>
    <w:rPr>
      <w:rFonts w:ascii="Times New Roman" w:eastAsia="SimSun" w:hAnsi="Times New Roman" w:cs="Times New Roman"/>
      <w:sz w:val="20"/>
      <w:szCs w:val="20"/>
      <w:lang w:val="en-US" w:eastAsia="zh-CN"/>
    </w:rPr>
  </w:style>
  <w:style w:type="character" w:customStyle="1" w:styleId="ListParagraphChar">
    <w:name w:val="List Paragraph Char"/>
    <w:aliases w:val="SJ No.Paras Char"/>
    <w:basedOn w:val="DefaultParagraphFont"/>
    <w:link w:val="ListParagraph"/>
    <w:uiPriority w:val="34"/>
    <w:locked/>
    <w:rsid w:val="00610B25"/>
    <w:rPr>
      <w:rFonts w:ascii="Times New Roman" w:eastAsia="SimSun" w:hAnsi="Times New Roman" w:cs="Times New Roman"/>
      <w:sz w:val="20"/>
      <w:szCs w:val="20"/>
      <w:lang w:val="en-US" w:eastAsia="zh-CN"/>
    </w:rPr>
  </w:style>
  <w:style w:type="character" w:styleId="FollowedHyperlink">
    <w:name w:val="FollowedHyperlink"/>
    <w:basedOn w:val="DefaultParagraphFont"/>
    <w:uiPriority w:val="99"/>
    <w:semiHidden/>
    <w:unhideWhenUsed/>
    <w:rsid w:val="00610B25"/>
    <w:rPr>
      <w:color w:val="800080" w:themeColor="followedHyperlink"/>
      <w:u w:val="single"/>
    </w:rPr>
  </w:style>
  <w:style w:type="paragraph" w:styleId="Revision">
    <w:name w:val="Revision"/>
    <w:hidden/>
    <w:uiPriority w:val="99"/>
    <w:semiHidden/>
    <w:rsid w:val="00610B25"/>
    <w:pPr>
      <w:spacing w:after="0" w:line="240" w:lineRule="auto"/>
    </w:pPr>
    <w:rPr>
      <w:rFonts w:ascii="Times New Roman" w:eastAsia="SimSun" w:hAnsi="Times New Roman" w:cs="Times New Roman"/>
      <w:sz w:val="20"/>
      <w:szCs w:val="20"/>
      <w:lang w:val="en-US" w:eastAsia="zh-CN"/>
    </w:rPr>
  </w:style>
  <w:style w:type="paragraph" w:customStyle="1" w:styleId="UnnumtextBodytext">
    <w:name w:val="Unnum text: Body text"/>
    <w:basedOn w:val="BodyText"/>
    <w:rsid w:val="00610B25"/>
    <w:pPr>
      <w:spacing w:before="60" w:after="140" w:line="320" w:lineRule="atLeast"/>
    </w:pPr>
    <w:rPr>
      <w:rFonts w:ascii="Calibri" w:eastAsia="Times New Roman" w:hAnsi="Calibri"/>
      <w:sz w:val="22"/>
      <w:szCs w:val="22"/>
      <w:lang w:eastAsia="en-NZ"/>
    </w:rPr>
  </w:style>
  <w:style w:type="paragraph" w:customStyle="1" w:styleId="Quotation">
    <w:name w:val="Quotation"/>
    <w:basedOn w:val="Normal"/>
    <w:uiPriority w:val="6"/>
    <w:rsid w:val="00610B25"/>
    <w:pPr>
      <w:spacing w:before="60" w:after="120" w:line="320" w:lineRule="atLeast"/>
      <w:ind w:left="357" w:right="357"/>
    </w:pPr>
    <w:rPr>
      <w:rFonts w:ascii="Calibri" w:eastAsia="Times New Roman" w:hAnsi="Calibri"/>
      <w:i/>
      <w:color w:val="646464"/>
      <w:sz w:val="22"/>
      <w:szCs w:val="22"/>
      <w:lang w:eastAsia="en-NZ"/>
    </w:rPr>
  </w:style>
  <w:style w:type="paragraph" w:customStyle="1" w:styleId="ARHeading1">
    <w:name w:val="ARHeading1"/>
    <w:basedOn w:val="Normal"/>
    <w:link w:val="ARHeading1Char"/>
    <w:qFormat/>
    <w:rsid w:val="00E042F8"/>
    <w:pPr>
      <w:numPr>
        <w:numId w:val="1"/>
      </w:numPr>
    </w:pPr>
    <w:rPr>
      <w:rFonts w:eastAsiaTheme="minorHAnsi" w:cs="Arial"/>
      <w:b/>
      <w:spacing w:val="2"/>
      <w:sz w:val="36"/>
      <w:szCs w:val="30"/>
      <w:lang w:val="en-GB"/>
    </w:rPr>
  </w:style>
  <w:style w:type="character" w:customStyle="1" w:styleId="ARHeading1Char">
    <w:name w:val="ARHeading1 Char"/>
    <w:basedOn w:val="DefaultParagraphFont"/>
    <w:link w:val="ARHeading1"/>
    <w:rsid w:val="00E042F8"/>
    <w:rPr>
      <w:rFonts w:cs="Arial"/>
      <w:b/>
      <w:bCs/>
      <w:color w:val="000000" w:themeColor="text1"/>
      <w:spacing w:val="2"/>
      <w:sz w:val="36"/>
      <w:szCs w:val="30"/>
      <w:lang w:val="en-GB"/>
    </w:rPr>
  </w:style>
  <w:style w:type="table" w:styleId="TableGrid">
    <w:name w:val="Table Grid"/>
    <w:basedOn w:val="TableNormal"/>
    <w:uiPriority w:val="59"/>
    <w:rsid w:val="00BE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46DC7"/>
    <w:rPr>
      <w:rFonts w:ascii="Times New Roman" w:eastAsia="SimSun" w:hAnsi="Times New Roman" w:cs="Times New Roman"/>
      <w:sz w:val="20"/>
      <w:szCs w:val="20"/>
      <w:lang w:val="en-US" w:eastAsia="zh-CN"/>
    </w:rPr>
  </w:style>
  <w:style w:type="paragraph" w:customStyle="1" w:styleId="Bullets">
    <w:name w:val="Bullets"/>
    <w:basedOn w:val="ListParagraph"/>
    <w:link w:val="BulletsChar"/>
    <w:qFormat/>
    <w:rsid w:val="008127BA"/>
    <w:pPr>
      <w:numPr>
        <w:numId w:val="2"/>
      </w:numPr>
      <w:contextualSpacing w:val="0"/>
      <w:jc w:val="left"/>
    </w:pPr>
    <w:rPr>
      <w:shd w:val="clear" w:color="auto" w:fill="FFFFFF"/>
    </w:rPr>
  </w:style>
  <w:style w:type="paragraph" w:customStyle="1" w:styleId="Footnote">
    <w:name w:val="Footnote"/>
    <w:basedOn w:val="NormalWeb"/>
    <w:link w:val="FootnoteChar"/>
    <w:qFormat/>
    <w:rsid w:val="001416D2"/>
    <w:pPr>
      <w:spacing w:before="0" w:beforeAutospacing="0" w:after="0" w:afterAutospacing="0"/>
    </w:pPr>
    <w:rPr>
      <w:sz w:val="20"/>
      <w:szCs w:val="20"/>
    </w:rPr>
  </w:style>
  <w:style w:type="character" w:customStyle="1" w:styleId="BulletsChar">
    <w:name w:val="Bullets Char"/>
    <w:basedOn w:val="ListParagraphChar"/>
    <w:link w:val="Bullets"/>
    <w:rsid w:val="008127BA"/>
    <w:rPr>
      <w:rFonts w:ascii="Times New Roman" w:eastAsia="Calibri" w:hAnsi="Times New Roman" w:cs="Times New Roman"/>
      <w:bCs/>
      <w:color w:val="000000" w:themeColor="text1"/>
      <w:sz w:val="24"/>
      <w:szCs w:val="24"/>
      <w:lang w:val="en-US" w:eastAsia="zh-CN"/>
    </w:rPr>
  </w:style>
  <w:style w:type="character" w:customStyle="1" w:styleId="NormalWebChar">
    <w:name w:val="Normal (Web) Char"/>
    <w:basedOn w:val="DefaultParagraphFont"/>
    <w:link w:val="NormalWeb"/>
    <w:uiPriority w:val="99"/>
    <w:rsid w:val="001416D2"/>
    <w:rPr>
      <w:rFonts w:eastAsia="Calibri" w:cs="Times New Roman"/>
      <w:bCs/>
      <w:color w:val="000000" w:themeColor="text1"/>
      <w:sz w:val="24"/>
      <w:szCs w:val="24"/>
      <w:lang w:val="en-US"/>
    </w:rPr>
  </w:style>
  <w:style w:type="character" w:customStyle="1" w:styleId="FootnoteChar">
    <w:name w:val="Footnote Char"/>
    <w:basedOn w:val="NormalWebChar"/>
    <w:link w:val="Footnote"/>
    <w:rsid w:val="001416D2"/>
    <w:rPr>
      <w:rFonts w:eastAsia="Calibri" w:cs="Times New Roman"/>
      <w:bCs/>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720">
      <w:bodyDiv w:val="1"/>
      <w:marLeft w:val="0"/>
      <w:marRight w:val="0"/>
      <w:marTop w:val="0"/>
      <w:marBottom w:val="0"/>
      <w:divBdr>
        <w:top w:val="none" w:sz="0" w:space="0" w:color="auto"/>
        <w:left w:val="none" w:sz="0" w:space="0" w:color="auto"/>
        <w:bottom w:val="none" w:sz="0" w:space="0" w:color="auto"/>
        <w:right w:val="none" w:sz="0" w:space="0" w:color="auto"/>
      </w:divBdr>
    </w:div>
    <w:div w:id="14187239">
      <w:bodyDiv w:val="1"/>
      <w:marLeft w:val="0"/>
      <w:marRight w:val="0"/>
      <w:marTop w:val="0"/>
      <w:marBottom w:val="0"/>
      <w:divBdr>
        <w:top w:val="none" w:sz="0" w:space="0" w:color="auto"/>
        <w:left w:val="none" w:sz="0" w:space="0" w:color="auto"/>
        <w:bottom w:val="none" w:sz="0" w:space="0" w:color="auto"/>
        <w:right w:val="none" w:sz="0" w:space="0" w:color="auto"/>
      </w:divBdr>
    </w:div>
    <w:div w:id="16854286">
      <w:bodyDiv w:val="1"/>
      <w:marLeft w:val="0"/>
      <w:marRight w:val="0"/>
      <w:marTop w:val="0"/>
      <w:marBottom w:val="0"/>
      <w:divBdr>
        <w:top w:val="none" w:sz="0" w:space="0" w:color="auto"/>
        <w:left w:val="none" w:sz="0" w:space="0" w:color="auto"/>
        <w:bottom w:val="none" w:sz="0" w:space="0" w:color="auto"/>
        <w:right w:val="none" w:sz="0" w:space="0" w:color="auto"/>
      </w:divBdr>
    </w:div>
    <w:div w:id="49886824">
      <w:bodyDiv w:val="1"/>
      <w:marLeft w:val="0"/>
      <w:marRight w:val="0"/>
      <w:marTop w:val="0"/>
      <w:marBottom w:val="0"/>
      <w:divBdr>
        <w:top w:val="none" w:sz="0" w:space="0" w:color="auto"/>
        <w:left w:val="none" w:sz="0" w:space="0" w:color="auto"/>
        <w:bottom w:val="none" w:sz="0" w:space="0" w:color="auto"/>
        <w:right w:val="none" w:sz="0" w:space="0" w:color="auto"/>
      </w:divBdr>
    </w:div>
    <w:div w:id="51925739">
      <w:bodyDiv w:val="1"/>
      <w:marLeft w:val="0"/>
      <w:marRight w:val="0"/>
      <w:marTop w:val="0"/>
      <w:marBottom w:val="0"/>
      <w:divBdr>
        <w:top w:val="none" w:sz="0" w:space="0" w:color="auto"/>
        <w:left w:val="none" w:sz="0" w:space="0" w:color="auto"/>
        <w:bottom w:val="none" w:sz="0" w:space="0" w:color="auto"/>
        <w:right w:val="none" w:sz="0" w:space="0" w:color="auto"/>
      </w:divBdr>
    </w:div>
    <w:div w:id="115297836">
      <w:bodyDiv w:val="1"/>
      <w:marLeft w:val="0"/>
      <w:marRight w:val="0"/>
      <w:marTop w:val="0"/>
      <w:marBottom w:val="0"/>
      <w:divBdr>
        <w:top w:val="none" w:sz="0" w:space="0" w:color="auto"/>
        <w:left w:val="none" w:sz="0" w:space="0" w:color="auto"/>
        <w:bottom w:val="none" w:sz="0" w:space="0" w:color="auto"/>
        <w:right w:val="none" w:sz="0" w:space="0" w:color="auto"/>
      </w:divBdr>
    </w:div>
    <w:div w:id="158621157">
      <w:bodyDiv w:val="1"/>
      <w:marLeft w:val="0"/>
      <w:marRight w:val="0"/>
      <w:marTop w:val="0"/>
      <w:marBottom w:val="0"/>
      <w:divBdr>
        <w:top w:val="none" w:sz="0" w:space="0" w:color="auto"/>
        <w:left w:val="none" w:sz="0" w:space="0" w:color="auto"/>
        <w:bottom w:val="none" w:sz="0" w:space="0" w:color="auto"/>
        <w:right w:val="none" w:sz="0" w:space="0" w:color="auto"/>
      </w:divBdr>
    </w:div>
    <w:div w:id="171383782">
      <w:bodyDiv w:val="1"/>
      <w:marLeft w:val="0"/>
      <w:marRight w:val="0"/>
      <w:marTop w:val="0"/>
      <w:marBottom w:val="0"/>
      <w:divBdr>
        <w:top w:val="none" w:sz="0" w:space="0" w:color="auto"/>
        <w:left w:val="none" w:sz="0" w:space="0" w:color="auto"/>
        <w:bottom w:val="none" w:sz="0" w:space="0" w:color="auto"/>
        <w:right w:val="none" w:sz="0" w:space="0" w:color="auto"/>
      </w:divBdr>
    </w:div>
    <w:div w:id="191382120">
      <w:bodyDiv w:val="1"/>
      <w:marLeft w:val="0"/>
      <w:marRight w:val="0"/>
      <w:marTop w:val="0"/>
      <w:marBottom w:val="0"/>
      <w:divBdr>
        <w:top w:val="none" w:sz="0" w:space="0" w:color="auto"/>
        <w:left w:val="none" w:sz="0" w:space="0" w:color="auto"/>
        <w:bottom w:val="none" w:sz="0" w:space="0" w:color="auto"/>
        <w:right w:val="none" w:sz="0" w:space="0" w:color="auto"/>
      </w:divBdr>
    </w:div>
    <w:div w:id="215506140">
      <w:bodyDiv w:val="1"/>
      <w:marLeft w:val="0"/>
      <w:marRight w:val="0"/>
      <w:marTop w:val="0"/>
      <w:marBottom w:val="0"/>
      <w:divBdr>
        <w:top w:val="none" w:sz="0" w:space="0" w:color="auto"/>
        <w:left w:val="none" w:sz="0" w:space="0" w:color="auto"/>
        <w:bottom w:val="none" w:sz="0" w:space="0" w:color="auto"/>
        <w:right w:val="none" w:sz="0" w:space="0" w:color="auto"/>
      </w:divBdr>
    </w:div>
    <w:div w:id="227615794">
      <w:bodyDiv w:val="1"/>
      <w:marLeft w:val="0"/>
      <w:marRight w:val="0"/>
      <w:marTop w:val="0"/>
      <w:marBottom w:val="0"/>
      <w:divBdr>
        <w:top w:val="none" w:sz="0" w:space="0" w:color="auto"/>
        <w:left w:val="none" w:sz="0" w:space="0" w:color="auto"/>
        <w:bottom w:val="none" w:sz="0" w:space="0" w:color="auto"/>
        <w:right w:val="none" w:sz="0" w:space="0" w:color="auto"/>
      </w:divBdr>
    </w:div>
    <w:div w:id="237062785">
      <w:bodyDiv w:val="1"/>
      <w:marLeft w:val="0"/>
      <w:marRight w:val="0"/>
      <w:marTop w:val="0"/>
      <w:marBottom w:val="0"/>
      <w:divBdr>
        <w:top w:val="none" w:sz="0" w:space="0" w:color="auto"/>
        <w:left w:val="none" w:sz="0" w:space="0" w:color="auto"/>
        <w:bottom w:val="none" w:sz="0" w:space="0" w:color="auto"/>
        <w:right w:val="none" w:sz="0" w:space="0" w:color="auto"/>
      </w:divBdr>
    </w:div>
    <w:div w:id="253588848">
      <w:bodyDiv w:val="1"/>
      <w:marLeft w:val="0"/>
      <w:marRight w:val="0"/>
      <w:marTop w:val="0"/>
      <w:marBottom w:val="0"/>
      <w:divBdr>
        <w:top w:val="none" w:sz="0" w:space="0" w:color="auto"/>
        <w:left w:val="none" w:sz="0" w:space="0" w:color="auto"/>
        <w:bottom w:val="none" w:sz="0" w:space="0" w:color="auto"/>
        <w:right w:val="none" w:sz="0" w:space="0" w:color="auto"/>
      </w:divBdr>
    </w:div>
    <w:div w:id="268394979">
      <w:bodyDiv w:val="1"/>
      <w:marLeft w:val="0"/>
      <w:marRight w:val="0"/>
      <w:marTop w:val="0"/>
      <w:marBottom w:val="0"/>
      <w:divBdr>
        <w:top w:val="none" w:sz="0" w:space="0" w:color="auto"/>
        <w:left w:val="none" w:sz="0" w:space="0" w:color="auto"/>
        <w:bottom w:val="none" w:sz="0" w:space="0" w:color="auto"/>
        <w:right w:val="none" w:sz="0" w:space="0" w:color="auto"/>
      </w:divBdr>
    </w:div>
    <w:div w:id="309796161">
      <w:bodyDiv w:val="1"/>
      <w:marLeft w:val="0"/>
      <w:marRight w:val="0"/>
      <w:marTop w:val="0"/>
      <w:marBottom w:val="0"/>
      <w:divBdr>
        <w:top w:val="none" w:sz="0" w:space="0" w:color="auto"/>
        <w:left w:val="none" w:sz="0" w:space="0" w:color="auto"/>
        <w:bottom w:val="none" w:sz="0" w:space="0" w:color="auto"/>
        <w:right w:val="none" w:sz="0" w:space="0" w:color="auto"/>
      </w:divBdr>
    </w:div>
    <w:div w:id="340204384">
      <w:bodyDiv w:val="1"/>
      <w:marLeft w:val="0"/>
      <w:marRight w:val="0"/>
      <w:marTop w:val="0"/>
      <w:marBottom w:val="0"/>
      <w:divBdr>
        <w:top w:val="none" w:sz="0" w:space="0" w:color="auto"/>
        <w:left w:val="none" w:sz="0" w:space="0" w:color="auto"/>
        <w:bottom w:val="none" w:sz="0" w:space="0" w:color="auto"/>
        <w:right w:val="none" w:sz="0" w:space="0" w:color="auto"/>
      </w:divBdr>
    </w:div>
    <w:div w:id="347367012">
      <w:bodyDiv w:val="1"/>
      <w:marLeft w:val="0"/>
      <w:marRight w:val="0"/>
      <w:marTop w:val="0"/>
      <w:marBottom w:val="0"/>
      <w:divBdr>
        <w:top w:val="none" w:sz="0" w:space="0" w:color="auto"/>
        <w:left w:val="none" w:sz="0" w:space="0" w:color="auto"/>
        <w:bottom w:val="none" w:sz="0" w:space="0" w:color="auto"/>
        <w:right w:val="none" w:sz="0" w:space="0" w:color="auto"/>
      </w:divBdr>
    </w:div>
    <w:div w:id="387267480">
      <w:bodyDiv w:val="1"/>
      <w:marLeft w:val="0"/>
      <w:marRight w:val="0"/>
      <w:marTop w:val="0"/>
      <w:marBottom w:val="0"/>
      <w:divBdr>
        <w:top w:val="none" w:sz="0" w:space="0" w:color="auto"/>
        <w:left w:val="none" w:sz="0" w:space="0" w:color="auto"/>
        <w:bottom w:val="none" w:sz="0" w:space="0" w:color="auto"/>
        <w:right w:val="none" w:sz="0" w:space="0" w:color="auto"/>
      </w:divBdr>
    </w:div>
    <w:div w:id="404031281">
      <w:bodyDiv w:val="1"/>
      <w:marLeft w:val="0"/>
      <w:marRight w:val="0"/>
      <w:marTop w:val="0"/>
      <w:marBottom w:val="0"/>
      <w:divBdr>
        <w:top w:val="none" w:sz="0" w:space="0" w:color="auto"/>
        <w:left w:val="none" w:sz="0" w:space="0" w:color="auto"/>
        <w:bottom w:val="none" w:sz="0" w:space="0" w:color="auto"/>
        <w:right w:val="none" w:sz="0" w:space="0" w:color="auto"/>
      </w:divBdr>
    </w:div>
    <w:div w:id="419520635">
      <w:bodyDiv w:val="1"/>
      <w:marLeft w:val="0"/>
      <w:marRight w:val="0"/>
      <w:marTop w:val="0"/>
      <w:marBottom w:val="0"/>
      <w:divBdr>
        <w:top w:val="none" w:sz="0" w:space="0" w:color="auto"/>
        <w:left w:val="none" w:sz="0" w:space="0" w:color="auto"/>
        <w:bottom w:val="none" w:sz="0" w:space="0" w:color="auto"/>
        <w:right w:val="none" w:sz="0" w:space="0" w:color="auto"/>
      </w:divBdr>
    </w:div>
    <w:div w:id="435835812">
      <w:bodyDiv w:val="1"/>
      <w:marLeft w:val="0"/>
      <w:marRight w:val="0"/>
      <w:marTop w:val="0"/>
      <w:marBottom w:val="0"/>
      <w:divBdr>
        <w:top w:val="none" w:sz="0" w:space="0" w:color="auto"/>
        <w:left w:val="none" w:sz="0" w:space="0" w:color="auto"/>
        <w:bottom w:val="none" w:sz="0" w:space="0" w:color="auto"/>
        <w:right w:val="none" w:sz="0" w:space="0" w:color="auto"/>
      </w:divBdr>
    </w:div>
    <w:div w:id="449979530">
      <w:bodyDiv w:val="1"/>
      <w:marLeft w:val="0"/>
      <w:marRight w:val="0"/>
      <w:marTop w:val="0"/>
      <w:marBottom w:val="0"/>
      <w:divBdr>
        <w:top w:val="none" w:sz="0" w:space="0" w:color="auto"/>
        <w:left w:val="none" w:sz="0" w:space="0" w:color="auto"/>
        <w:bottom w:val="none" w:sz="0" w:space="0" w:color="auto"/>
        <w:right w:val="none" w:sz="0" w:space="0" w:color="auto"/>
      </w:divBdr>
    </w:div>
    <w:div w:id="454639722">
      <w:bodyDiv w:val="1"/>
      <w:marLeft w:val="0"/>
      <w:marRight w:val="0"/>
      <w:marTop w:val="0"/>
      <w:marBottom w:val="0"/>
      <w:divBdr>
        <w:top w:val="none" w:sz="0" w:space="0" w:color="auto"/>
        <w:left w:val="none" w:sz="0" w:space="0" w:color="auto"/>
        <w:bottom w:val="none" w:sz="0" w:space="0" w:color="auto"/>
        <w:right w:val="none" w:sz="0" w:space="0" w:color="auto"/>
      </w:divBdr>
    </w:div>
    <w:div w:id="458837047">
      <w:bodyDiv w:val="1"/>
      <w:marLeft w:val="0"/>
      <w:marRight w:val="0"/>
      <w:marTop w:val="0"/>
      <w:marBottom w:val="0"/>
      <w:divBdr>
        <w:top w:val="none" w:sz="0" w:space="0" w:color="auto"/>
        <w:left w:val="none" w:sz="0" w:space="0" w:color="auto"/>
        <w:bottom w:val="none" w:sz="0" w:space="0" w:color="auto"/>
        <w:right w:val="none" w:sz="0" w:space="0" w:color="auto"/>
      </w:divBdr>
    </w:div>
    <w:div w:id="476462630">
      <w:bodyDiv w:val="1"/>
      <w:marLeft w:val="0"/>
      <w:marRight w:val="0"/>
      <w:marTop w:val="0"/>
      <w:marBottom w:val="0"/>
      <w:divBdr>
        <w:top w:val="none" w:sz="0" w:space="0" w:color="auto"/>
        <w:left w:val="none" w:sz="0" w:space="0" w:color="auto"/>
        <w:bottom w:val="none" w:sz="0" w:space="0" w:color="auto"/>
        <w:right w:val="none" w:sz="0" w:space="0" w:color="auto"/>
      </w:divBdr>
    </w:div>
    <w:div w:id="500779029">
      <w:bodyDiv w:val="1"/>
      <w:marLeft w:val="0"/>
      <w:marRight w:val="0"/>
      <w:marTop w:val="0"/>
      <w:marBottom w:val="0"/>
      <w:divBdr>
        <w:top w:val="none" w:sz="0" w:space="0" w:color="auto"/>
        <w:left w:val="none" w:sz="0" w:space="0" w:color="auto"/>
        <w:bottom w:val="none" w:sz="0" w:space="0" w:color="auto"/>
        <w:right w:val="none" w:sz="0" w:space="0" w:color="auto"/>
      </w:divBdr>
    </w:div>
    <w:div w:id="503210309">
      <w:bodyDiv w:val="1"/>
      <w:marLeft w:val="0"/>
      <w:marRight w:val="0"/>
      <w:marTop w:val="0"/>
      <w:marBottom w:val="0"/>
      <w:divBdr>
        <w:top w:val="none" w:sz="0" w:space="0" w:color="auto"/>
        <w:left w:val="none" w:sz="0" w:space="0" w:color="auto"/>
        <w:bottom w:val="none" w:sz="0" w:space="0" w:color="auto"/>
        <w:right w:val="none" w:sz="0" w:space="0" w:color="auto"/>
      </w:divBdr>
    </w:div>
    <w:div w:id="510687051">
      <w:bodyDiv w:val="1"/>
      <w:marLeft w:val="0"/>
      <w:marRight w:val="0"/>
      <w:marTop w:val="0"/>
      <w:marBottom w:val="0"/>
      <w:divBdr>
        <w:top w:val="none" w:sz="0" w:space="0" w:color="auto"/>
        <w:left w:val="none" w:sz="0" w:space="0" w:color="auto"/>
        <w:bottom w:val="none" w:sz="0" w:space="0" w:color="auto"/>
        <w:right w:val="none" w:sz="0" w:space="0" w:color="auto"/>
      </w:divBdr>
    </w:div>
    <w:div w:id="510947660">
      <w:bodyDiv w:val="1"/>
      <w:marLeft w:val="0"/>
      <w:marRight w:val="0"/>
      <w:marTop w:val="0"/>
      <w:marBottom w:val="0"/>
      <w:divBdr>
        <w:top w:val="none" w:sz="0" w:space="0" w:color="auto"/>
        <w:left w:val="none" w:sz="0" w:space="0" w:color="auto"/>
        <w:bottom w:val="none" w:sz="0" w:space="0" w:color="auto"/>
        <w:right w:val="none" w:sz="0" w:space="0" w:color="auto"/>
      </w:divBdr>
    </w:div>
    <w:div w:id="511651843">
      <w:bodyDiv w:val="1"/>
      <w:marLeft w:val="0"/>
      <w:marRight w:val="0"/>
      <w:marTop w:val="0"/>
      <w:marBottom w:val="0"/>
      <w:divBdr>
        <w:top w:val="none" w:sz="0" w:space="0" w:color="auto"/>
        <w:left w:val="none" w:sz="0" w:space="0" w:color="auto"/>
        <w:bottom w:val="none" w:sz="0" w:space="0" w:color="auto"/>
        <w:right w:val="none" w:sz="0" w:space="0" w:color="auto"/>
      </w:divBdr>
    </w:div>
    <w:div w:id="532497861">
      <w:bodyDiv w:val="1"/>
      <w:marLeft w:val="0"/>
      <w:marRight w:val="0"/>
      <w:marTop w:val="0"/>
      <w:marBottom w:val="0"/>
      <w:divBdr>
        <w:top w:val="none" w:sz="0" w:space="0" w:color="auto"/>
        <w:left w:val="none" w:sz="0" w:space="0" w:color="auto"/>
        <w:bottom w:val="none" w:sz="0" w:space="0" w:color="auto"/>
        <w:right w:val="none" w:sz="0" w:space="0" w:color="auto"/>
      </w:divBdr>
    </w:div>
    <w:div w:id="532889312">
      <w:bodyDiv w:val="1"/>
      <w:marLeft w:val="0"/>
      <w:marRight w:val="0"/>
      <w:marTop w:val="0"/>
      <w:marBottom w:val="0"/>
      <w:divBdr>
        <w:top w:val="none" w:sz="0" w:space="0" w:color="auto"/>
        <w:left w:val="none" w:sz="0" w:space="0" w:color="auto"/>
        <w:bottom w:val="none" w:sz="0" w:space="0" w:color="auto"/>
        <w:right w:val="none" w:sz="0" w:space="0" w:color="auto"/>
      </w:divBdr>
    </w:div>
    <w:div w:id="534346041">
      <w:bodyDiv w:val="1"/>
      <w:marLeft w:val="0"/>
      <w:marRight w:val="0"/>
      <w:marTop w:val="0"/>
      <w:marBottom w:val="0"/>
      <w:divBdr>
        <w:top w:val="none" w:sz="0" w:space="0" w:color="auto"/>
        <w:left w:val="none" w:sz="0" w:space="0" w:color="auto"/>
        <w:bottom w:val="none" w:sz="0" w:space="0" w:color="auto"/>
        <w:right w:val="none" w:sz="0" w:space="0" w:color="auto"/>
      </w:divBdr>
    </w:div>
    <w:div w:id="555967217">
      <w:bodyDiv w:val="1"/>
      <w:marLeft w:val="0"/>
      <w:marRight w:val="0"/>
      <w:marTop w:val="0"/>
      <w:marBottom w:val="0"/>
      <w:divBdr>
        <w:top w:val="none" w:sz="0" w:space="0" w:color="auto"/>
        <w:left w:val="none" w:sz="0" w:space="0" w:color="auto"/>
        <w:bottom w:val="none" w:sz="0" w:space="0" w:color="auto"/>
        <w:right w:val="none" w:sz="0" w:space="0" w:color="auto"/>
      </w:divBdr>
    </w:div>
    <w:div w:id="585726871">
      <w:bodyDiv w:val="1"/>
      <w:marLeft w:val="0"/>
      <w:marRight w:val="0"/>
      <w:marTop w:val="0"/>
      <w:marBottom w:val="0"/>
      <w:divBdr>
        <w:top w:val="none" w:sz="0" w:space="0" w:color="auto"/>
        <w:left w:val="none" w:sz="0" w:space="0" w:color="auto"/>
        <w:bottom w:val="none" w:sz="0" w:space="0" w:color="auto"/>
        <w:right w:val="none" w:sz="0" w:space="0" w:color="auto"/>
      </w:divBdr>
    </w:div>
    <w:div w:id="588348688">
      <w:bodyDiv w:val="1"/>
      <w:marLeft w:val="0"/>
      <w:marRight w:val="0"/>
      <w:marTop w:val="0"/>
      <w:marBottom w:val="0"/>
      <w:divBdr>
        <w:top w:val="none" w:sz="0" w:space="0" w:color="auto"/>
        <w:left w:val="none" w:sz="0" w:space="0" w:color="auto"/>
        <w:bottom w:val="none" w:sz="0" w:space="0" w:color="auto"/>
        <w:right w:val="none" w:sz="0" w:space="0" w:color="auto"/>
      </w:divBdr>
    </w:div>
    <w:div w:id="589434926">
      <w:bodyDiv w:val="1"/>
      <w:marLeft w:val="0"/>
      <w:marRight w:val="0"/>
      <w:marTop w:val="0"/>
      <w:marBottom w:val="0"/>
      <w:divBdr>
        <w:top w:val="none" w:sz="0" w:space="0" w:color="auto"/>
        <w:left w:val="none" w:sz="0" w:space="0" w:color="auto"/>
        <w:bottom w:val="none" w:sz="0" w:space="0" w:color="auto"/>
        <w:right w:val="none" w:sz="0" w:space="0" w:color="auto"/>
      </w:divBdr>
    </w:div>
    <w:div w:id="602035467">
      <w:bodyDiv w:val="1"/>
      <w:marLeft w:val="0"/>
      <w:marRight w:val="0"/>
      <w:marTop w:val="0"/>
      <w:marBottom w:val="0"/>
      <w:divBdr>
        <w:top w:val="none" w:sz="0" w:space="0" w:color="auto"/>
        <w:left w:val="none" w:sz="0" w:space="0" w:color="auto"/>
        <w:bottom w:val="none" w:sz="0" w:space="0" w:color="auto"/>
        <w:right w:val="none" w:sz="0" w:space="0" w:color="auto"/>
      </w:divBdr>
    </w:div>
    <w:div w:id="605963912">
      <w:bodyDiv w:val="1"/>
      <w:marLeft w:val="0"/>
      <w:marRight w:val="0"/>
      <w:marTop w:val="0"/>
      <w:marBottom w:val="0"/>
      <w:divBdr>
        <w:top w:val="none" w:sz="0" w:space="0" w:color="auto"/>
        <w:left w:val="none" w:sz="0" w:space="0" w:color="auto"/>
        <w:bottom w:val="none" w:sz="0" w:space="0" w:color="auto"/>
        <w:right w:val="none" w:sz="0" w:space="0" w:color="auto"/>
      </w:divBdr>
    </w:div>
    <w:div w:id="607006524">
      <w:bodyDiv w:val="1"/>
      <w:marLeft w:val="0"/>
      <w:marRight w:val="0"/>
      <w:marTop w:val="0"/>
      <w:marBottom w:val="0"/>
      <w:divBdr>
        <w:top w:val="none" w:sz="0" w:space="0" w:color="auto"/>
        <w:left w:val="none" w:sz="0" w:space="0" w:color="auto"/>
        <w:bottom w:val="none" w:sz="0" w:space="0" w:color="auto"/>
        <w:right w:val="none" w:sz="0" w:space="0" w:color="auto"/>
      </w:divBdr>
    </w:div>
    <w:div w:id="630868156">
      <w:bodyDiv w:val="1"/>
      <w:marLeft w:val="0"/>
      <w:marRight w:val="0"/>
      <w:marTop w:val="0"/>
      <w:marBottom w:val="0"/>
      <w:divBdr>
        <w:top w:val="none" w:sz="0" w:space="0" w:color="auto"/>
        <w:left w:val="none" w:sz="0" w:space="0" w:color="auto"/>
        <w:bottom w:val="none" w:sz="0" w:space="0" w:color="auto"/>
        <w:right w:val="none" w:sz="0" w:space="0" w:color="auto"/>
      </w:divBdr>
    </w:div>
    <w:div w:id="636881569">
      <w:bodyDiv w:val="1"/>
      <w:marLeft w:val="0"/>
      <w:marRight w:val="0"/>
      <w:marTop w:val="0"/>
      <w:marBottom w:val="0"/>
      <w:divBdr>
        <w:top w:val="none" w:sz="0" w:space="0" w:color="auto"/>
        <w:left w:val="none" w:sz="0" w:space="0" w:color="auto"/>
        <w:bottom w:val="none" w:sz="0" w:space="0" w:color="auto"/>
        <w:right w:val="none" w:sz="0" w:space="0" w:color="auto"/>
      </w:divBdr>
    </w:div>
    <w:div w:id="637421806">
      <w:bodyDiv w:val="1"/>
      <w:marLeft w:val="0"/>
      <w:marRight w:val="0"/>
      <w:marTop w:val="0"/>
      <w:marBottom w:val="0"/>
      <w:divBdr>
        <w:top w:val="none" w:sz="0" w:space="0" w:color="auto"/>
        <w:left w:val="none" w:sz="0" w:space="0" w:color="auto"/>
        <w:bottom w:val="none" w:sz="0" w:space="0" w:color="auto"/>
        <w:right w:val="none" w:sz="0" w:space="0" w:color="auto"/>
      </w:divBdr>
    </w:div>
    <w:div w:id="676613826">
      <w:bodyDiv w:val="1"/>
      <w:marLeft w:val="0"/>
      <w:marRight w:val="0"/>
      <w:marTop w:val="0"/>
      <w:marBottom w:val="0"/>
      <w:divBdr>
        <w:top w:val="none" w:sz="0" w:space="0" w:color="auto"/>
        <w:left w:val="none" w:sz="0" w:space="0" w:color="auto"/>
        <w:bottom w:val="none" w:sz="0" w:space="0" w:color="auto"/>
        <w:right w:val="none" w:sz="0" w:space="0" w:color="auto"/>
      </w:divBdr>
    </w:div>
    <w:div w:id="679702211">
      <w:bodyDiv w:val="1"/>
      <w:marLeft w:val="0"/>
      <w:marRight w:val="0"/>
      <w:marTop w:val="0"/>
      <w:marBottom w:val="0"/>
      <w:divBdr>
        <w:top w:val="none" w:sz="0" w:space="0" w:color="auto"/>
        <w:left w:val="none" w:sz="0" w:space="0" w:color="auto"/>
        <w:bottom w:val="none" w:sz="0" w:space="0" w:color="auto"/>
        <w:right w:val="none" w:sz="0" w:space="0" w:color="auto"/>
      </w:divBdr>
    </w:div>
    <w:div w:id="682051906">
      <w:bodyDiv w:val="1"/>
      <w:marLeft w:val="0"/>
      <w:marRight w:val="0"/>
      <w:marTop w:val="0"/>
      <w:marBottom w:val="0"/>
      <w:divBdr>
        <w:top w:val="none" w:sz="0" w:space="0" w:color="auto"/>
        <w:left w:val="none" w:sz="0" w:space="0" w:color="auto"/>
        <w:bottom w:val="none" w:sz="0" w:space="0" w:color="auto"/>
        <w:right w:val="none" w:sz="0" w:space="0" w:color="auto"/>
      </w:divBdr>
    </w:div>
    <w:div w:id="702635490">
      <w:bodyDiv w:val="1"/>
      <w:marLeft w:val="0"/>
      <w:marRight w:val="0"/>
      <w:marTop w:val="0"/>
      <w:marBottom w:val="0"/>
      <w:divBdr>
        <w:top w:val="none" w:sz="0" w:space="0" w:color="auto"/>
        <w:left w:val="none" w:sz="0" w:space="0" w:color="auto"/>
        <w:bottom w:val="none" w:sz="0" w:space="0" w:color="auto"/>
        <w:right w:val="none" w:sz="0" w:space="0" w:color="auto"/>
      </w:divBdr>
    </w:div>
    <w:div w:id="725568881">
      <w:bodyDiv w:val="1"/>
      <w:marLeft w:val="0"/>
      <w:marRight w:val="0"/>
      <w:marTop w:val="0"/>
      <w:marBottom w:val="0"/>
      <w:divBdr>
        <w:top w:val="none" w:sz="0" w:space="0" w:color="auto"/>
        <w:left w:val="none" w:sz="0" w:space="0" w:color="auto"/>
        <w:bottom w:val="none" w:sz="0" w:space="0" w:color="auto"/>
        <w:right w:val="none" w:sz="0" w:space="0" w:color="auto"/>
      </w:divBdr>
    </w:div>
    <w:div w:id="727269169">
      <w:bodyDiv w:val="1"/>
      <w:marLeft w:val="0"/>
      <w:marRight w:val="0"/>
      <w:marTop w:val="0"/>
      <w:marBottom w:val="0"/>
      <w:divBdr>
        <w:top w:val="none" w:sz="0" w:space="0" w:color="auto"/>
        <w:left w:val="none" w:sz="0" w:space="0" w:color="auto"/>
        <w:bottom w:val="none" w:sz="0" w:space="0" w:color="auto"/>
        <w:right w:val="none" w:sz="0" w:space="0" w:color="auto"/>
      </w:divBdr>
    </w:div>
    <w:div w:id="742677096">
      <w:bodyDiv w:val="1"/>
      <w:marLeft w:val="0"/>
      <w:marRight w:val="0"/>
      <w:marTop w:val="0"/>
      <w:marBottom w:val="0"/>
      <w:divBdr>
        <w:top w:val="none" w:sz="0" w:space="0" w:color="auto"/>
        <w:left w:val="none" w:sz="0" w:space="0" w:color="auto"/>
        <w:bottom w:val="none" w:sz="0" w:space="0" w:color="auto"/>
        <w:right w:val="none" w:sz="0" w:space="0" w:color="auto"/>
      </w:divBdr>
    </w:div>
    <w:div w:id="747112301">
      <w:bodyDiv w:val="1"/>
      <w:marLeft w:val="0"/>
      <w:marRight w:val="0"/>
      <w:marTop w:val="0"/>
      <w:marBottom w:val="0"/>
      <w:divBdr>
        <w:top w:val="none" w:sz="0" w:space="0" w:color="auto"/>
        <w:left w:val="none" w:sz="0" w:space="0" w:color="auto"/>
        <w:bottom w:val="none" w:sz="0" w:space="0" w:color="auto"/>
        <w:right w:val="none" w:sz="0" w:space="0" w:color="auto"/>
      </w:divBdr>
    </w:div>
    <w:div w:id="760680113">
      <w:bodyDiv w:val="1"/>
      <w:marLeft w:val="0"/>
      <w:marRight w:val="0"/>
      <w:marTop w:val="0"/>
      <w:marBottom w:val="0"/>
      <w:divBdr>
        <w:top w:val="none" w:sz="0" w:space="0" w:color="auto"/>
        <w:left w:val="none" w:sz="0" w:space="0" w:color="auto"/>
        <w:bottom w:val="none" w:sz="0" w:space="0" w:color="auto"/>
        <w:right w:val="none" w:sz="0" w:space="0" w:color="auto"/>
      </w:divBdr>
    </w:div>
    <w:div w:id="773744290">
      <w:bodyDiv w:val="1"/>
      <w:marLeft w:val="0"/>
      <w:marRight w:val="0"/>
      <w:marTop w:val="0"/>
      <w:marBottom w:val="0"/>
      <w:divBdr>
        <w:top w:val="none" w:sz="0" w:space="0" w:color="auto"/>
        <w:left w:val="none" w:sz="0" w:space="0" w:color="auto"/>
        <w:bottom w:val="none" w:sz="0" w:space="0" w:color="auto"/>
        <w:right w:val="none" w:sz="0" w:space="0" w:color="auto"/>
      </w:divBdr>
    </w:div>
    <w:div w:id="805591274">
      <w:bodyDiv w:val="1"/>
      <w:marLeft w:val="0"/>
      <w:marRight w:val="0"/>
      <w:marTop w:val="0"/>
      <w:marBottom w:val="0"/>
      <w:divBdr>
        <w:top w:val="none" w:sz="0" w:space="0" w:color="auto"/>
        <w:left w:val="none" w:sz="0" w:space="0" w:color="auto"/>
        <w:bottom w:val="none" w:sz="0" w:space="0" w:color="auto"/>
        <w:right w:val="none" w:sz="0" w:space="0" w:color="auto"/>
      </w:divBdr>
    </w:div>
    <w:div w:id="817117395">
      <w:bodyDiv w:val="1"/>
      <w:marLeft w:val="0"/>
      <w:marRight w:val="0"/>
      <w:marTop w:val="0"/>
      <w:marBottom w:val="0"/>
      <w:divBdr>
        <w:top w:val="none" w:sz="0" w:space="0" w:color="auto"/>
        <w:left w:val="none" w:sz="0" w:space="0" w:color="auto"/>
        <w:bottom w:val="none" w:sz="0" w:space="0" w:color="auto"/>
        <w:right w:val="none" w:sz="0" w:space="0" w:color="auto"/>
      </w:divBdr>
    </w:div>
    <w:div w:id="838499156">
      <w:bodyDiv w:val="1"/>
      <w:marLeft w:val="0"/>
      <w:marRight w:val="0"/>
      <w:marTop w:val="0"/>
      <w:marBottom w:val="0"/>
      <w:divBdr>
        <w:top w:val="none" w:sz="0" w:space="0" w:color="auto"/>
        <w:left w:val="none" w:sz="0" w:space="0" w:color="auto"/>
        <w:bottom w:val="none" w:sz="0" w:space="0" w:color="auto"/>
        <w:right w:val="none" w:sz="0" w:space="0" w:color="auto"/>
      </w:divBdr>
    </w:div>
    <w:div w:id="848449450">
      <w:bodyDiv w:val="1"/>
      <w:marLeft w:val="0"/>
      <w:marRight w:val="0"/>
      <w:marTop w:val="0"/>
      <w:marBottom w:val="0"/>
      <w:divBdr>
        <w:top w:val="none" w:sz="0" w:space="0" w:color="auto"/>
        <w:left w:val="none" w:sz="0" w:space="0" w:color="auto"/>
        <w:bottom w:val="none" w:sz="0" w:space="0" w:color="auto"/>
        <w:right w:val="none" w:sz="0" w:space="0" w:color="auto"/>
      </w:divBdr>
    </w:div>
    <w:div w:id="850798706">
      <w:bodyDiv w:val="1"/>
      <w:marLeft w:val="0"/>
      <w:marRight w:val="0"/>
      <w:marTop w:val="0"/>
      <w:marBottom w:val="0"/>
      <w:divBdr>
        <w:top w:val="none" w:sz="0" w:space="0" w:color="auto"/>
        <w:left w:val="none" w:sz="0" w:space="0" w:color="auto"/>
        <w:bottom w:val="none" w:sz="0" w:space="0" w:color="auto"/>
        <w:right w:val="none" w:sz="0" w:space="0" w:color="auto"/>
      </w:divBdr>
    </w:div>
    <w:div w:id="865406045">
      <w:bodyDiv w:val="1"/>
      <w:marLeft w:val="0"/>
      <w:marRight w:val="0"/>
      <w:marTop w:val="0"/>
      <w:marBottom w:val="0"/>
      <w:divBdr>
        <w:top w:val="none" w:sz="0" w:space="0" w:color="auto"/>
        <w:left w:val="none" w:sz="0" w:space="0" w:color="auto"/>
        <w:bottom w:val="none" w:sz="0" w:space="0" w:color="auto"/>
        <w:right w:val="none" w:sz="0" w:space="0" w:color="auto"/>
      </w:divBdr>
    </w:div>
    <w:div w:id="876237649">
      <w:bodyDiv w:val="1"/>
      <w:marLeft w:val="0"/>
      <w:marRight w:val="0"/>
      <w:marTop w:val="0"/>
      <w:marBottom w:val="0"/>
      <w:divBdr>
        <w:top w:val="none" w:sz="0" w:space="0" w:color="auto"/>
        <w:left w:val="none" w:sz="0" w:space="0" w:color="auto"/>
        <w:bottom w:val="none" w:sz="0" w:space="0" w:color="auto"/>
        <w:right w:val="none" w:sz="0" w:space="0" w:color="auto"/>
      </w:divBdr>
    </w:div>
    <w:div w:id="881206426">
      <w:bodyDiv w:val="1"/>
      <w:marLeft w:val="0"/>
      <w:marRight w:val="0"/>
      <w:marTop w:val="0"/>
      <w:marBottom w:val="0"/>
      <w:divBdr>
        <w:top w:val="none" w:sz="0" w:space="0" w:color="auto"/>
        <w:left w:val="none" w:sz="0" w:space="0" w:color="auto"/>
        <w:bottom w:val="none" w:sz="0" w:space="0" w:color="auto"/>
        <w:right w:val="none" w:sz="0" w:space="0" w:color="auto"/>
      </w:divBdr>
    </w:div>
    <w:div w:id="895966979">
      <w:bodyDiv w:val="1"/>
      <w:marLeft w:val="0"/>
      <w:marRight w:val="0"/>
      <w:marTop w:val="0"/>
      <w:marBottom w:val="0"/>
      <w:divBdr>
        <w:top w:val="none" w:sz="0" w:space="0" w:color="auto"/>
        <w:left w:val="none" w:sz="0" w:space="0" w:color="auto"/>
        <w:bottom w:val="none" w:sz="0" w:space="0" w:color="auto"/>
        <w:right w:val="none" w:sz="0" w:space="0" w:color="auto"/>
      </w:divBdr>
    </w:div>
    <w:div w:id="917135797">
      <w:bodyDiv w:val="1"/>
      <w:marLeft w:val="0"/>
      <w:marRight w:val="0"/>
      <w:marTop w:val="0"/>
      <w:marBottom w:val="0"/>
      <w:divBdr>
        <w:top w:val="none" w:sz="0" w:space="0" w:color="auto"/>
        <w:left w:val="none" w:sz="0" w:space="0" w:color="auto"/>
        <w:bottom w:val="none" w:sz="0" w:space="0" w:color="auto"/>
        <w:right w:val="none" w:sz="0" w:space="0" w:color="auto"/>
      </w:divBdr>
    </w:div>
    <w:div w:id="919606026">
      <w:bodyDiv w:val="1"/>
      <w:marLeft w:val="0"/>
      <w:marRight w:val="0"/>
      <w:marTop w:val="0"/>
      <w:marBottom w:val="0"/>
      <w:divBdr>
        <w:top w:val="none" w:sz="0" w:space="0" w:color="auto"/>
        <w:left w:val="none" w:sz="0" w:space="0" w:color="auto"/>
        <w:bottom w:val="none" w:sz="0" w:space="0" w:color="auto"/>
        <w:right w:val="none" w:sz="0" w:space="0" w:color="auto"/>
      </w:divBdr>
    </w:div>
    <w:div w:id="922109005">
      <w:bodyDiv w:val="1"/>
      <w:marLeft w:val="0"/>
      <w:marRight w:val="0"/>
      <w:marTop w:val="0"/>
      <w:marBottom w:val="0"/>
      <w:divBdr>
        <w:top w:val="none" w:sz="0" w:space="0" w:color="auto"/>
        <w:left w:val="none" w:sz="0" w:space="0" w:color="auto"/>
        <w:bottom w:val="none" w:sz="0" w:space="0" w:color="auto"/>
        <w:right w:val="none" w:sz="0" w:space="0" w:color="auto"/>
      </w:divBdr>
    </w:div>
    <w:div w:id="974869281">
      <w:bodyDiv w:val="1"/>
      <w:marLeft w:val="0"/>
      <w:marRight w:val="0"/>
      <w:marTop w:val="0"/>
      <w:marBottom w:val="0"/>
      <w:divBdr>
        <w:top w:val="none" w:sz="0" w:space="0" w:color="auto"/>
        <w:left w:val="none" w:sz="0" w:space="0" w:color="auto"/>
        <w:bottom w:val="none" w:sz="0" w:space="0" w:color="auto"/>
        <w:right w:val="none" w:sz="0" w:space="0" w:color="auto"/>
      </w:divBdr>
    </w:div>
    <w:div w:id="984046981">
      <w:bodyDiv w:val="1"/>
      <w:marLeft w:val="0"/>
      <w:marRight w:val="0"/>
      <w:marTop w:val="0"/>
      <w:marBottom w:val="0"/>
      <w:divBdr>
        <w:top w:val="none" w:sz="0" w:space="0" w:color="auto"/>
        <w:left w:val="none" w:sz="0" w:space="0" w:color="auto"/>
        <w:bottom w:val="none" w:sz="0" w:space="0" w:color="auto"/>
        <w:right w:val="none" w:sz="0" w:space="0" w:color="auto"/>
      </w:divBdr>
    </w:div>
    <w:div w:id="984235128">
      <w:bodyDiv w:val="1"/>
      <w:marLeft w:val="0"/>
      <w:marRight w:val="0"/>
      <w:marTop w:val="0"/>
      <w:marBottom w:val="0"/>
      <w:divBdr>
        <w:top w:val="none" w:sz="0" w:space="0" w:color="auto"/>
        <w:left w:val="none" w:sz="0" w:space="0" w:color="auto"/>
        <w:bottom w:val="none" w:sz="0" w:space="0" w:color="auto"/>
        <w:right w:val="none" w:sz="0" w:space="0" w:color="auto"/>
      </w:divBdr>
    </w:div>
    <w:div w:id="1018317168">
      <w:bodyDiv w:val="1"/>
      <w:marLeft w:val="0"/>
      <w:marRight w:val="0"/>
      <w:marTop w:val="0"/>
      <w:marBottom w:val="0"/>
      <w:divBdr>
        <w:top w:val="none" w:sz="0" w:space="0" w:color="auto"/>
        <w:left w:val="none" w:sz="0" w:space="0" w:color="auto"/>
        <w:bottom w:val="none" w:sz="0" w:space="0" w:color="auto"/>
        <w:right w:val="none" w:sz="0" w:space="0" w:color="auto"/>
      </w:divBdr>
    </w:div>
    <w:div w:id="1042831046">
      <w:bodyDiv w:val="1"/>
      <w:marLeft w:val="0"/>
      <w:marRight w:val="0"/>
      <w:marTop w:val="0"/>
      <w:marBottom w:val="0"/>
      <w:divBdr>
        <w:top w:val="none" w:sz="0" w:space="0" w:color="auto"/>
        <w:left w:val="none" w:sz="0" w:space="0" w:color="auto"/>
        <w:bottom w:val="none" w:sz="0" w:space="0" w:color="auto"/>
        <w:right w:val="none" w:sz="0" w:space="0" w:color="auto"/>
      </w:divBdr>
    </w:div>
    <w:div w:id="1045374169">
      <w:bodyDiv w:val="1"/>
      <w:marLeft w:val="0"/>
      <w:marRight w:val="0"/>
      <w:marTop w:val="0"/>
      <w:marBottom w:val="0"/>
      <w:divBdr>
        <w:top w:val="none" w:sz="0" w:space="0" w:color="auto"/>
        <w:left w:val="none" w:sz="0" w:space="0" w:color="auto"/>
        <w:bottom w:val="none" w:sz="0" w:space="0" w:color="auto"/>
        <w:right w:val="none" w:sz="0" w:space="0" w:color="auto"/>
      </w:divBdr>
    </w:div>
    <w:div w:id="1079986642">
      <w:bodyDiv w:val="1"/>
      <w:marLeft w:val="0"/>
      <w:marRight w:val="0"/>
      <w:marTop w:val="0"/>
      <w:marBottom w:val="0"/>
      <w:divBdr>
        <w:top w:val="none" w:sz="0" w:space="0" w:color="auto"/>
        <w:left w:val="none" w:sz="0" w:space="0" w:color="auto"/>
        <w:bottom w:val="none" w:sz="0" w:space="0" w:color="auto"/>
        <w:right w:val="none" w:sz="0" w:space="0" w:color="auto"/>
      </w:divBdr>
    </w:div>
    <w:div w:id="1091856153">
      <w:bodyDiv w:val="1"/>
      <w:marLeft w:val="0"/>
      <w:marRight w:val="0"/>
      <w:marTop w:val="0"/>
      <w:marBottom w:val="0"/>
      <w:divBdr>
        <w:top w:val="none" w:sz="0" w:space="0" w:color="auto"/>
        <w:left w:val="none" w:sz="0" w:space="0" w:color="auto"/>
        <w:bottom w:val="none" w:sz="0" w:space="0" w:color="auto"/>
        <w:right w:val="none" w:sz="0" w:space="0" w:color="auto"/>
      </w:divBdr>
    </w:div>
    <w:div w:id="1118648155">
      <w:bodyDiv w:val="1"/>
      <w:marLeft w:val="0"/>
      <w:marRight w:val="0"/>
      <w:marTop w:val="0"/>
      <w:marBottom w:val="0"/>
      <w:divBdr>
        <w:top w:val="none" w:sz="0" w:space="0" w:color="auto"/>
        <w:left w:val="none" w:sz="0" w:space="0" w:color="auto"/>
        <w:bottom w:val="none" w:sz="0" w:space="0" w:color="auto"/>
        <w:right w:val="none" w:sz="0" w:space="0" w:color="auto"/>
      </w:divBdr>
    </w:div>
    <w:div w:id="1124080247">
      <w:bodyDiv w:val="1"/>
      <w:marLeft w:val="0"/>
      <w:marRight w:val="0"/>
      <w:marTop w:val="0"/>
      <w:marBottom w:val="0"/>
      <w:divBdr>
        <w:top w:val="none" w:sz="0" w:space="0" w:color="auto"/>
        <w:left w:val="none" w:sz="0" w:space="0" w:color="auto"/>
        <w:bottom w:val="none" w:sz="0" w:space="0" w:color="auto"/>
        <w:right w:val="none" w:sz="0" w:space="0" w:color="auto"/>
      </w:divBdr>
    </w:div>
    <w:div w:id="1136138780">
      <w:bodyDiv w:val="1"/>
      <w:marLeft w:val="0"/>
      <w:marRight w:val="0"/>
      <w:marTop w:val="0"/>
      <w:marBottom w:val="0"/>
      <w:divBdr>
        <w:top w:val="none" w:sz="0" w:space="0" w:color="auto"/>
        <w:left w:val="none" w:sz="0" w:space="0" w:color="auto"/>
        <w:bottom w:val="none" w:sz="0" w:space="0" w:color="auto"/>
        <w:right w:val="none" w:sz="0" w:space="0" w:color="auto"/>
      </w:divBdr>
    </w:div>
    <w:div w:id="1162544701">
      <w:bodyDiv w:val="1"/>
      <w:marLeft w:val="0"/>
      <w:marRight w:val="0"/>
      <w:marTop w:val="0"/>
      <w:marBottom w:val="0"/>
      <w:divBdr>
        <w:top w:val="none" w:sz="0" w:space="0" w:color="auto"/>
        <w:left w:val="none" w:sz="0" w:space="0" w:color="auto"/>
        <w:bottom w:val="none" w:sz="0" w:space="0" w:color="auto"/>
        <w:right w:val="none" w:sz="0" w:space="0" w:color="auto"/>
      </w:divBdr>
    </w:div>
    <w:div w:id="1179735059">
      <w:bodyDiv w:val="1"/>
      <w:marLeft w:val="0"/>
      <w:marRight w:val="0"/>
      <w:marTop w:val="0"/>
      <w:marBottom w:val="0"/>
      <w:divBdr>
        <w:top w:val="none" w:sz="0" w:space="0" w:color="auto"/>
        <w:left w:val="none" w:sz="0" w:space="0" w:color="auto"/>
        <w:bottom w:val="none" w:sz="0" w:space="0" w:color="auto"/>
        <w:right w:val="none" w:sz="0" w:space="0" w:color="auto"/>
      </w:divBdr>
    </w:div>
    <w:div w:id="1183587248">
      <w:bodyDiv w:val="1"/>
      <w:marLeft w:val="0"/>
      <w:marRight w:val="0"/>
      <w:marTop w:val="0"/>
      <w:marBottom w:val="0"/>
      <w:divBdr>
        <w:top w:val="none" w:sz="0" w:space="0" w:color="auto"/>
        <w:left w:val="none" w:sz="0" w:space="0" w:color="auto"/>
        <w:bottom w:val="none" w:sz="0" w:space="0" w:color="auto"/>
        <w:right w:val="none" w:sz="0" w:space="0" w:color="auto"/>
      </w:divBdr>
    </w:div>
    <w:div w:id="1229876107">
      <w:bodyDiv w:val="1"/>
      <w:marLeft w:val="0"/>
      <w:marRight w:val="0"/>
      <w:marTop w:val="0"/>
      <w:marBottom w:val="0"/>
      <w:divBdr>
        <w:top w:val="none" w:sz="0" w:space="0" w:color="auto"/>
        <w:left w:val="none" w:sz="0" w:space="0" w:color="auto"/>
        <w:bottom w:val="none" w:sz="0" w:space="0" w:color="auto"/>
        <w:right w:val="none" w:sz="0" w:space="0" w:color="auto"/>
      </w:divBdr>
    </w:div>
    <w:div w:id="1237395419">
      <w:bodyDiv w:val="1"/>
      <w:marLeft w:val="0"/>
      <w:marRight w:val="0"/>
      <w:marTop w:val="0"/>
      <w:marBottom w:val="0"/>
      <w:divBdr>
        <w:top w:val="none" w:sz="0" w:space="0" w:color="auto"/>
        <w:left w:val="none" w:sz="0" w:space="0" w:color="auto"/>
        <w:bottom w:val="none" w:sz="0" w:space="0" w:color="auto"/>
        <w:right w:val="none" w:sz="0" w:space="0" w:color="auto"/>
      </w:divBdr>
    </w:div>
    <w:div w:id="1254625678">
      <w:bodyDiv w:val="1"/>
      <w:marLeft w:val="0"/>
      <w:marRight w:val="0"/>
      <w:marTop w:val="0"/>
      <w:marBottom w:val="0"/>
      <w:divBdr>
        <w:top w:val="none" w:sz="0" w:space="0" w:color="auto"/>
        <w:left w:val="none" w:sz="0" w:space="0" w:color="auto"/>
        <w:bottom w:val="none" w:sz="0" w:space="0" w:color="auto"/>
        <w:right w:val="none" w:sz="0" w:space="0" w:color="auto"/>
      </w:divBdr>
    </w:div>
    <w:div w:id="1254633528">
      <w:bodyDiv w:val="1"/>
      <w:marLeft w:val="0"/>
      <w:marRight w:val="0"/>
      <w:marTop w:val="0"/>
      <w:marBottom w:val="0"/>
      <w:divBdr>
        <w:top w:val="none" w:sz="0" w:space="0" w:color="auto"/>
        <w:left w:val="none" w:sz="0" w:space="0" w:color="auto"/>
        <w:bottom w:val="none" w:sz="0" w:space="0" w:color="auto"/>
        <w:right w:val="none" w:sz="0" w:space="0" w:color="auto"/>
      </w:divBdr>
    </w:div>
    <w:div w:id="1290169135">
      <w:bodyDiv w:val="1"/>
      <w:marLeft w:val="0"/>
      <w:marRight w:val="0"/>
      <w:marTop w:val="0"/>
      <w:marBottom w:val="0"/>
      <w:divBdr>
        <w:top w:val="none" w:sz="0" w:space="0" w:color="auto"/>
        <w:left w:val="none" w:sz="0" w:space="0" w:color="auto"/>
        <w:bottom w:val="none" w:sz="0" w:space="0" w:color="auto"/>
        <w:right w:val="none" w:sz="0" w:space="0" w:color="auto"/>
      </w:divBdr>
    </w:div>
    <w:div w:id="1293629283">
      <w:bodyDiv w:val="1"/>
      <w:marLeft w:val="0"/>
      <w:marRight w:val="0"/>
      <w:marTop w:val="0"/>
      <w:marBottom w:val="0"/>
      <w:divBdr>
        <w:top w:val="none" w:sz="0" w:space="0" w:color="auto"/>
        <w:left w:val="none" w:sz="0" w:space="0" w:color="auto"/>
        <w:bottom w:val="none" w:sz="0" w:space="0" w:color="auto"/>
        <w:right w:val="none" w:sz="0" w:space="0" w:color="auto"/>
      </w:divBdr>
    </w:div>
    <w:div w:id="1294752251">
      <w:bodyDiv w:val="1"/>
      <w:marLeft w:val="0"/>
      <w:marRight w:val="0"/>
      <w:marTop w:val="0"/>
      <w:marBottom w:val="0"/>
      <w:divBdr>
        <w:top w:val="none" w:sz="0" w:space="0" w:color="auto"/>
        <w:left w:val="none" w:sz="0" w:space="0" w:color="auto"/>
        <w:bottom w:val="none" w:sz="0" w:space="0" w:color="auto"/>
        <w:right w:val="none" w:sz="0" w:space="0" w:color="auto"/>
      </w:divBdr>
    </w:div>
    <w:div w:id="1308586114">
      <w:bodyDiv w:val="1"/>
      <w:marLeft w:val="0"/>
      <w:marRight w:val="0"/>
      <w:marTop w:val="0"/>
      <w:marBottom w:val="0"/>
      <w:divBdr>
        <w:top w:val="none" w:sz="0" w:space="0" w:color="auto"/>
        <w:left w:val="none" w:sz="0" w:space="0" w:color="auto"/>
        <w:bottom w:val="none" w:sz="0" w:space="0" w:color="auto"/>
        <w:right w:val="none" w:sz="0" w:space="0" w:color="auto"/>
      </w:divBdr>
    </w:div>
    <w:div w:id="1319528882">
      <w:bodyDiv w:val="1"/>
      <w:marLeft w:val="0"/>
      <w:marRight w:val="0"/>
      <w:marTop w:val="0"/>
      <w:marBottom w:val="0"/>
      <w:divBdr>
        <w:top w:val="none" w:sz="0" w:space="0" w:color="auto"/>
        <w:left w:val="none" w:sz="0" w:space="0" w:color="auto"/>
        <w:bottom w:val="none" w:sz="0" w:space="0" w:color="auto"/>
        <w:right w:val="none" w:sz="0" w:space="0" w:color="auto"/>
      </w:divBdr>
    </w:div>
    <w:div w:id="1336612035">
      <w:bodyDiv w:val="1"/>
      <w:marLeft w:val="0"/>
      <w:marRight w:val="0"/>
      <w:marTop w:val="0"/>
      <w:marBottom w:val="0"/>
      <w:divBdr>
        <w:top w:val="none" w:sz="0" w:space="0" w:color="auto"/>
        <w:left w:val="none" w:sz="0" w:space="0" w:color="auto"/>
        <w:bottom w:val="none" w:sz="0" w:space="0" w:color="auto"/>
        <w:right w:val="none" w:sz="0" w:space="0" w:color="auto"/>
      </w:divBdr>
    </w:div>
    <w:div w:id="1351569324">
      <w:bodyDiv w:val="1"/>
      <w:marLeft w:val="0"/>
      <w:marRight w:val="0"/>
      <w:marTop w:val="0"/>
      <w:marBottom w:val="0"/>
      <w:divBdr>
        <w:top w:val="none" w:sz="0" w:space="0" w:color="auto"/>
        <w:left w:val="none" w:sz="0" w:space="0" w:color="auto"/>
        <w:bottom w:val="none" w:sz="0" w:space="0" w:color="auto"/>
        <w:right w:val="none" w:sz="0" w:space="0" w:color="auto"/>
      </w:divBdr>
    </w:div>
    <w:div w:id="1404910794">
      <w:bodyDiv w:val="1"/>
      <w:marLeft w:val="0"/>
      <w:marRight w:val="0"/>
      <w:marTop w:val="0"/>
      <w:marBottom w:val="0"/>
      <w:divBdr>
        <w:top w:val="none" w:sz="0" w:space="0" w:color="auto"/>
        <w:left w:val="none" w:sz="0" w:space="0" w:color="auto"/>
        <w:bottom w:val="none" w:sz="0" w:space="0" w:color="auto"/>
        <w:right w:val="none" w:sz="0" w:space="0" w:color="auto"/>
      </w:divBdr>
    </w:div>
    <w:div w:id="1433282911">
      <w:bodyDiv w:val="1"/>
      <w:marLeft w:val="0"/>
      <w:marRight w:val="0"/>
      <w:marTop w:val="0"/>
      <w:marBottom w:val="0"/>
      <w:divBdr>
        <w:top w:val="none" w:sz="0" w:space="0" w:color="auto"/>
        <w:left w:val="none" w:sz="0" w:space="0" w:color="auto"/>
        <w:bottom w:val="none" w:sz="0" w:space="0" w:color="auto"/>
        <w:right w:val="none" w:sz="0" w:space="0" w:color="auto"/>
      </w:divBdr>
    </w:div>
    <w:div w:id="1490554870">
      <w:bodyDiv w:val="1"/>
      <w:marLeft w:val="0"/>
      <w:marRight w:val="0"/>
      <w:marTop w:val="0"/>
      <w:marBottom w:val="0"/>
      <w:divBdr>
        <w:top w:val="none" w:sz="0" w:space="0" w:color="auto"/>
        <w:left w:val="none" w:sz="0" w:space="0" w:color="auto"/>
        <w:bottom w:val="none" w:sz="0" w:space="0" w:color="auto"/>
        <w:right w:val="none" w:sz="0" w:space="0" w:color="auto"/>
      </w:divBdr>
    </w:div>
    <w:div w:id="1502625974">
      <w:bodyDiv w:val="1"/>
      <w:marLeft w:val="0"/>
      <w:marRight w:val="0"/>
      <w:marTop w:val="0"/>
      <w:marBottom w:val="0"/>
      <w:divBdr>
        <w:top w:val="none" w:sz="0" w:space="0" w:color="auto"/>
        <w:left w:val="none" w:sz="0" w:space="0" w:color="auto"/>
        <w:bottom w:val="none" w:sz="0" w:space="0" w:color="auto"/>
        <w:right w:val="none" w:sz="0" w:space="0" w:color="auto"/>
      </w:divBdr>
    </w:div>
    <w:div w:id="1506432049">
      <w:bodyDiv w:val="1"/>
      <w:marLeft w:val="0"/>
      <w:marRight w:val="0"/>
      <w:marTop w:val="0"/>
      <w:marBottom w:val="0"/>
      <w:divBdr>
        <w:top w:val="none" w:sz="0" w:space="0" w:color="auto"/>
        <w:left w:val="none" w:sz="0" w:space="0" w:color="auto"/>
        <w:bottom w:val="none" w:sz="0" w:space="0" w:color="auto"/>
        <w:right w:val="none" w:sz="0" w:space="0" w:color="auto"/>
      </w:divBdr>
    </w:div>
    <w:div w:id="1513761824">
      <w:bodyDiv w:val="1"/>
      <w:marLeft w:val="0"/>
      <w:marRight w:val="0"/>
      <w:marTop w:val="0"/>
      <w:marBottom w:val="0"/>
      <w:divBdr>
        <w:top w:val="none" w:sz="0" w:space="0" w:color="auto"/>
        <w:left w:val="none" w:sz="0" w:space="0" w:color="auto"/>
        <w:bottom w:val="none" w:sz="0" w:space="0" w:color="auto"/>
        <w:right w:val="none" w:sz="0" w:space="0" w:color="auto"/>
      </w:divBdr>
    </w:div>
    <w:div w:id="1518738278">
      <w:bodyDiv w:val="1"/>
      <w:marLeft w:val="0"/>
      <w:marRight w:val="0"/>
      <w:marTop w:val="0"/>
      <w:marBottom w:val="0"/>
      <w:divBdr>
        <w:top w:val="none" w:sz="0" w:space="0" w:color="auto"/>
        <w:left w:val="none" w:sz="0" w:space="0" w:color="auto"/>
        <w:bottom w:val="none" w:sz="0" w:space="0" w:color="auto"/>
        <w:right w:val="none" w:sz="0" w:space="0" w:color="auto"/>
      </w:divBdr>
    </w:div>
    <w:div w:id="1537427657">
      <w:bodyDiv w:val="1"/>
      <w:marLeft w:val="0"/>
      <w:marRight w:val="0"/>
      <w:marTop w:val="0"/>
      <w:marBottom w:val="0"/>
      <w:divBdr>
        <w:top w:val="none" w:sz="0" w:space="0" w:color="auto"/>
        <w:left w:val="none" w:sz="0" w:space="0" w:color="auto"/>
        <w:bottom w:val="none" w:sz="0" w:space="0" w:color="auto"/>
        <w:right w:val="none" w:sz="0" w:space="0" w:color="auto"/>
      </w:divBdr>
    </w:div>
    <w:div w:id="1559394250">
      <w:bodyDiv w:val="1"/>
      <w:marLeft w:val="0"/>
      <w:marRight w:val="0"/>
      <w:marTop w:val="0"/>
      <w:marBottom w:val="0"/>
      <w:divBdr>
        <w:top w:val="none" w:sz="0" w:space="0" w:color="auto"/>
        <w:left w:val="none" w:sz="0" w:space="0" w:color="auto"/>
        <w:bottom w:val="none" w:sz="0" w:space="0" w:color="auto"/>
        <w:right w:val="none" w:sz="0" w:space="0" w:color="auto"/>
      </w:divBdr>
    </w:div>
    <w:div w:id="1563590433">
      <w:bodyDiv w:val="1"/>
      <w:marLeft w:val="0"/>
      <w:marRight w:val="0"/>
      <w:marTop w:val="0"/>
      <w:marBottom w:val="0"/>
      <w:divBdr>
        <w:top w:val="none" w:sz="0" w:space="0" w:color="auto"/>
        <w:left w:val="none" w:sz="0" w:space="0" w:color="auto"/>
        <w:bottom w:val="none" w:sz="0" w:space="0" w:color="auto"/>
        <w:right w:val="none" w:sz="0" w:space="0" w:color="auto"/>
      </w:divBdr>
    </w:div>
    <w:div w:id="1605579167">
      <w:bodyDiv w:val="1"/>
      <w:marLeft w:val="0"/>
      <w:marRight w:val="0"/>
      <w:marTop w:val="0"/>
      <w:marBottom w:val="0"/>
      <w:divBdr>
        <w:top w:val="none" w:sz="0" w:space="0" w:color="auto"/>
        <w:left w:val="none" w:sz="0" w:space="0" w:color="auto"/>
        <w:bottom w:val="none" w:sz="0" w:space="0" w:color="auto"/>
        <w:right w:val="none" w:sz="0" w:space="0" w:color="auto"/>
      </w:divBdr>
    </w:div>
    <w:div w:id="1606381529">
      <w:bodyDiv w:val="1"/>
      <w:marLeft w:val="0"/>
      <w:marRight w:val="0"/>
      <w:marTop w:val="0"/>
      <w:marBottom w:val="0"/>
      <w:divBdr>
        <w:top w:val="none" w:sz="0" w:space="0" w:color="auto"/>
        <w:left w:val="none" w:sz="0" w:space="0" w:color="auto"/>
        <w:bottom w:val="none" w:sz="0" w:space="0" w:color="auto"/>
        <w:right w:val="none" w:sz="0" w:space="0" w:color="auto"/>
      </w:divBdr>
    </w:div>
    <w:div w:id="1610818140">
      <w:bodyDiv w:val="1"/>
      <w:marLeft w:val="0"/>
      <w:marRight w:val="0"/>
      <w:marTop w:val="0"/>
      <w:marBottom w:val="0"/>
      <w:divBdr>
        <w:top w:val="none" w:sz="0" w:space="0" w:color="auto"/>
        <w:left w:val="none" w:sz="0" w:space="0" w:color="auto"/>
        <w:bottom w:val="none" w:sz="0" w:space="0" w:color="auto"/>
        <w:right w:val="none" w:sz="0" w:space="0" w:color="auto"/>
      </w:divBdr>
    </w:div>
    <w:div w:id="1616979915">
      <w:bodyDiv w:val="1"/>
      <w:marLeft w:val="0"/>
      <w:marRight w:val="0"/>
      <w:marTop w:val="0"/>
      <w:marBottom w:val="0"/>
      <w:divBdr>
        <w:top w:val="none" w:sz="0" w:space="0" w:color="auto"/>
        <w:left w:val="none" w:sz="0" w:space="0" w:color="auto"/>
        <w:bottom w:val="none" w:sz="0" w:space="0" w:color="auto"/>
        <w:right w:val="none" w:sz="0" w:space="0" w:color="auto"/>
      </w:divBdr>
    </w:div>
    <w:div w:id="1670281991">
      <w:bodyDiv w:val="1"/>
      <w:marLeft w:val="0"/>
      <w:marRight w:val="0"/>
      <w:marTop w:val="0"/>
      <w:marBottom w:val="0"/>
      <w:divBdr>
        <w:top w:val="none" w:sz="0" w:space="0" w:color="auto"/>
        <w:left w:val="none" w:sz="0" w:space="0" w:color="auto"/>
        <w:bottom w:val="none" w:sz="0" w:space="0" w:color="auto"/>
        <w:right w:val="none" w:sz="0" w:space="0" w:color="auto"/>
      </w:divBdr>
    </w:div>
    <w:div w:id="1674800573">
      <w:bodyDiv w:val="1"/>
      <w:marLeft w:val="0"/>
      <w:marRight w:val="0"/>
      <w:marTop w:val="0"/>
      <w:marBottom w:val="0"/>
      <w:divBdr>
        <w:top w:val="none" w:sz="0" w:space="0" w:color="auto"/>
        <w:left w:val="none" w:sz="0" w:space="0" w:color="auto"/>
        <w:bottom w:val="none" w:sz="0" w:space="0" w:color="auto"/>
        <w:right w:val="none" w:sz="0" w:space="0" w:color="auto"/>
      </w:divBdr>
    </w:div>
    <w:div w:id="1701514246">
      <w:bodyDiv w:val="1"/>
      <w:marLeft w:val="0"/>
      <w:marRight w:val="0"/>
      <w:marTop w:val="0"/>
      <w:marBottom w:val="0"/>
      <w:divBdr>
        <w:top w:val="none" w:sz="0" w:space="0" w:color="auto"/>
        <w:left w:val="none" w:sz="0" w:space="0" w:color="auto"/>
        <w:bottom w:val="none" w:sz="0" w:space="0" w:color="auto"/>
        <w:right w:val="none" w:sz="0" w:space="0" w:color="auto"/>
      </w:divBdr>
    </w:div>
    <w:div w:id="1716345441">
      <w:bodyDiv w:val="1"/>
      <w:marLeft w:val="0"/>
      <w:marRight w:val="0"/>
      <w:marTop w:val="0"/>
      <w:marBottom w:val="0"/>
      <w:divBdr>
        <w:top w:val="none" w:sz="0" w:space="0" w:color="auto"/>
        <w:left w:val="none" w:sz="0" w:space="0" w:color="auto"/>
        <w:bottom w:val="none" w:sz="0" w:space="0" w:color="auto"/>
        <w:right w:val="none" w:sz="0" w:space="0" w:color="auto"/>
      </w:divBdr>
    </w:div>
    <w:div w:id="1726490791">
      <w:bodyDiv w:val="1"/>
      <w:marLeft w:val="0"/>
      <w:marRight w:val="0"/>
      <w:marTop w:val="0"/>
      <w:marBottom w:val="0"/>
      <w:divBdr>
        <w:top w:val="none" w:sz="0" w:space="0" w:color="auto"/>
        <w:left w:val="none" w:sz="0" w:space="0" w:color="auto"/>
        <w:bottom w:val="none" w:sz="0" w:space="0" w:color="auto"/>
        <w:right w:val="none" w:sz="0" w:space="0" w:color="auto"/>
      </w:divBdr>
    </w:div>
    <w:div w:id="1726635803">
      <w:bodyDiv w:val="1"/>
      <w:marLeft w:val="0"/>
      <w:marRight w:val="0"/>
      <w:marTop w:val="0"/>
      <w:marBottom w:val="0"/>
      <w:divBdr>
        <w:top w:val="none" w:sz="0" w:space="0" w:color="auto"/>
        <w:left w:val="none" w:sz="0" w:space="0" w:color="auto"/>
        <w:bottom w:val="none" w:sz="0" w:space="0" w:color="auto"/>
        <w:right w:val="none" w:sz="0" w:space="0" w:color="auto"/>
      </w:divBdr>
    </w:div>
    <w:div w:id="1737974650">
      <w:bodyDiv w:val="1"/>
      <w:marLeft w:val="0"/>
      <w:marRight w:val="0"/>
      <w:marTop w:val="0"/>
      <w:marBottom w:val="0"/>
      <w:divBdr>
        <w:top w:val="none" w:sz="0" w:space="0" w:color="auto"/>
        <w:left w:val="none" w:sz="0" w:space="0" w:color="auto"/>
        <w:bottom w:val="none" w:sz="0" w:space="0" w:color="auto"/>
        <w:right w:val="none" w:sz="0" w:space="0" w:color="auto"/>
      </w:divBdr>
    </w:div>
    <w:div w:id="1758136498">
      <w:bodyDiv w:val="1"/>
      <w:marLeft w:val="0"/>
      <w:marRight w:val="0"/>
      <w:marTop w:val="0"/>
      <w:marBottom w:val="0"/>
      <w:divBdr>
        <w:top w:val="none" w:sz="0" w:space="0" w:color="auto"/>
        <w:left w:val="none" w:sz="0" w:space="0" w:color="auto"/>
        <w:bottom w:val="none" w:sz="0" w:space="0" w:color="auto"/>
        <w:right w:val="none" w:sz="0" w:space="0" w:color="auto"/>
      </w:divBdr>
    </w:div>
    <w:div w:id="1772703447">
      <w:bodyDiv w:val="1"/>
      <w:marLeft w:val="0"/>
      <w:marRight w:val="0"/>
      <w:marTop w:val="0"/>
      <w:marBottom w:val="0"/>
      <w:divBdr>
        <w:top w:val="none" w:sz="0" w:space="0" w:color="auto"/>
        <w:left w:val="none" w:sz="0" w:space="0" w:color="auto"/>
        <w:bottom w:val="none" w:sz="0" w:space="0" w:color="auto"/>
        <w:right w:val="none" w:sz="0" w:space="0" w:color="auto"/>
      </w:divBdr>
    </w:div>
    <w:div w:id="1805200348">
      <w:bodyDiv w:val="1"/>
      <w:marLeft w:val="0"/>
      <w:marRight w:val="0"/>
      <w:marTop w:val="0"/>
      <w:marBottom w:val="0"/>
      <w:divBdr>
        <w:top w:val="none" w:sz="0" w:space="0" w:color="auto"/>
        <w:left w:val="none" w:sz="0" w:space="0" w:color="auto"/>
        <w:bottom w:val="none" w:sz="0" w:space="0" w:color="auto"/>
        <w:right w:val="none" w:sz="0" w:space="0" w:color="auto"/>
      </w:divBdr>
    </w:div>
    <w:div w:id="1820683318">
      <w:bodyDiv w:val="1"/>
      <w:marLeft w:val="0"/>
      <w:marRight w:val="0"/>
      <w:marTop w:val="0"/>
      <w:marBottom w:val="0"/>
      <w:divBdr>
        <w:top w:val="none" w:sz="0" w:space="0" w:color="auto"/>
        <w:left w:val="none" w:sz="0" w:space="0" w:color="auto"/>
        <w:bottom w:val="none" w:sz="0" w:space="0" w:color="auto"/>
        <w:right w:val="none" w:sz="0" w:space="0" w:color="auto"/>
      </w:divBdr>
    </w:div>
    <w:div w:id="1821996718">
      <w:bodyDiv w:val="1"/>
      <w:marLeft w:val="0"/>
      <w:marRight w:val="0"/>
      <w:marTop w:val="0"/>
      <w:marBottom w:val="0"/>
      <w:divBdr>
        <w:top w:val="none" w:sz="0" w:space="0" w:color="auto"/>
        <w:left w:val="none" w:sz="0" w:space="0" w:color="auto"/>
        <w:bottom w:val="none" w:sz="0" w:space="0" w:color="auto"/>
        <w:right w:val="none" w:sz="0" w:space="0" w:color="auto"/>
      </w:divBdr>
    </w:div>
    <w:div w:id="1822580738">
      <w:bodyDiv w:val="1"/>
      <w:marLeft w:val="0"/>
      <w:marRight w:val="0"/>
      <w:marTop w:val="0"/>
      <w:marBottom w:val="0"/>
      <w:divBdr>
        <w:top w:val="none" w:sz="0" w:space="0" w:color="auto"/>
        <w:left w:val="none" w:sz="0" w:space="0" w:color="auto"/>
        <w:bottom w:val="none" w:sz="0" w:space="0" w:color="auto"/>
        <w:right w:val="none" w:sz="0" w:space="0" w:color="auto"/>
      </w:divBdr>
    </w:div>
    <w:div w:id="1822698223">
      <w:bodyDiv w:val="1"/>
      <w:marLeft w:val="0"/>
      <w:marRight w:val="0"/>
      <w:marTop w:val="0"/>
      <w:marBottom w:val="0"/>
      <w:divBdr>
        <w:top w:val="none" w:sz="0" w:space="0" w:color="auto"/>
        <w:left w:val="none" w:sz="0" w:space="0" w:color="auto"/>
        <w:bottom w:val="none" w:sz="0" w:space="0" w:color="auto"/>
        <w:right w:val="none" w:sz="0" w:space="0" w:color="auto"/>
      </w:divBdr>
    </w:div>
    <w:div w:id="1850099444">
      <w:bodyDiv w:val="1"/>
      <w:marLeft w:val="0"/>
      <w:marRight w:val="0"/>
      <w:marTop w:val="0"/>
      <w:marBottom w:val="0"/>
      <w:divBdr>
        <w:top w:val="none" w:sz="0" w:space="0" w:color="auto"/>
        <w:left w:val="none" w:sz="0" w:space="0" w:color="auto"/>
        <w:bottom w:val="none" w:sz="0" w:space="0" w:color="auto"/>
        <w:right w:val="none" w:sz="0" w:space="0" w:color="auto"/>
      </w:divBdr>
    </w:div>
    <w:div w:id="1883983588">
      <w:bodyDiv w:val="1"/>
      <w:marLeft w:val="0"/>
      <w:marRight w:val="0"/>
      <w:marTop w:val="0"/>
      <w:marBottom w:val="0"/>
      <w:divBdr>
        <w:top w:val="none" w:sz="0" w:space="0" w:color="auto"/>
        <w:left w:val="none" w:sz="0" w:space="0" w:color="auto"/>
        <w:bottom w:val="none" w:sz="0" w:space="0" w:color="auto"/>
        <w:right w:val="none" w:sz="0" w:space="0" w:color="auto"/>
      </w:divBdr>
    </w:div>
    <w:div w:id="1925913770">
      <w:bodyDiv w:val="1"/>
      <w:marLeft w:val="0"/>
      <w:marRight w:val="0"/>
      <w:marTop w:val="0"/>
      <w:marBottom w:val="0"/>
      <w:divBdr>
        <w:top w:val="none" w:sz="0" w:space="0" w:color="auto"/>
        <w:left w:val="none" w:sz="0" w:space="0" w:color="auto"/>
        <w:bottom w:val="none" w:sz="0" w:space="0" w:color="auto"/>
        <w:right w:val="none" w:sz="0" w:space="0" w:color="auto"/>
      </w:divBdr>
    </w:div>
    <w:div w:id="1933272120">
      <w:bodyDiv w:val="1"/>
      <w:marLeft w:val="0"/>
      <w:marRight w:val="0"/>
      <w:marTop w:val="0"/>
      <w:marBottom w:val="0"/>
      <w:divBdr>
        <w:top w:val="none" w:sz="0" w:space="0" w:color="auto"/>
        <w:left w:val="none" w:sz="0" w:space="0" w:color="auto"/>
        <w:bottom w:val="none" w:sz="0" w:space="0" w:color="auto"/>
        <w:right w:val="none" w:sz="0" w:space="0" w:color="auto"/>
      </w:divBdr>
    </w:div>
    <w:div w:id="1940870580">
      <w:bodyDiv w:val="1"/>
      <w:marLeft w:val="0"/>
      <w:marRight w:val="0"/>
      <w:marTop w:val="0"/>
      <w:marBottom w:val="0"/>
      <w:divBdr>
        <w:top w:val="none" w:sz="0" w:space="0" w:color="auto"/>
        <w:left w:val="none" w:sz="0" w:space="0" w:color="auto"/>
        <w:bottom w:val="none" w:sz="0" w:space="0" w:color="auto"/>
        <w:right w:val="none" w:sz="0" w:space="0" w:color="auto"/>
      </w:divBdr>
    </w:div>
    <w:div w:id="1954824259">
      <w:bodyDiv w:val="1"/>
      <w:marLeft w:val="0"/>
      <w:marRight w:val="0"/>
      <w:marTop w:val="0"/>
      <w:marBottom w:val="0"/>
      <w:divBdr>
        <w:top w:val="none" w:sz="0" w:space="0" w:color="auto"/>
        <w:left w:val="none" w:sz="0" w:space="0" w:color="auto"/>
        <w:bottom w:val="none" w:sz="0" w:space="0" w:color="auto"/>
        <w:right w:val="none" w:sz="0" w:space="0" w:color="auto"/>
      </w:divBdr>
    </w:div>
    <w:div w:id="1971326817">
      <w:bodyDiv w:val="1"/>
      <w:marLeft w:val="0"/>
      <w:marRight w:val="0"/>
      <w:marTop w:val="0"/>
      <w:marBottom w:val="0"/>
      <w:divBdr>
        <w:top w:val="none" w:sz="0" w:space="0" w:color="auto"/>
        <w:left w:val="none" w:sz="0" w:space="0" w:color="auto"/>
        <w:bottom w:val="none" w:sz="0" w:space="0" w:color="auto"/>
        <w:right w:val="none" w:sz="0" w:space="0" w:color="auto"/>
      </w:divBdr>
    </w:div>
    <w:div w:id="1991589665">
      <w:bodyDiv w:val="1"/>
      <w:marLeft w:val="0"/>
      <w:marRight w:val="0"/>
      <w:marTop w:val="0"/>
      <w:marBottom w:val="0"/>
      <w:divBdr>
        <w:top w:val="none" w:sz="0" w:space="0" w:color="auto"/>
        <w:left w:val="none" w:sz="0" w:space="0" w:color="auto"/>
        <w:bottom w:val="none" w:sz="0" w:space="0" w:color="auto"/>
        <w:right w:val="none" w:sz="0" w:space="0" w:color="auto"/>
      </w:divBdr>
    </w:div>
    <w:div w:id="1992830890">
      <w:bodyDiv w:val="1"/>
      <w:marLeft w:val="0"/>
      <w:marRight w:val="0"/>
      <w:marTop w:val="0"/>
      <w:marBottom w:val="0"/>
      <w:divBdr>
        <w:top w:val="none" w:sz="0" w:space="0" w:color="auto"/>
        <w:left w:val="none" w:sz="0" w:space="0" w:color="auto"/>
        <w:bottom w:val="none" w:sz="0" w:space="0" w:color="auto"/>
        <w:right w:val="none" w:sz="0" w:space="0" w:color="auto"/>
      </w:divBdr>
    </w:div>
    <w:div w:id="1996257955">
      <w:bodyDiv w:val="1"/>
      <w:marLeft w:val="0"/>
      <w:marRight w:val="0"/>
      <w:marTop w:val="0"/>
      <w:marBottom w:val="0"/>
      <w:divBdr>
        <w:top w:val="none" w:sz="0" w:space="0" w:color="auto"/>
        <w:left w:val="none" w:sz="0" w:space="0" w:color="auto"/>
        <w:bottom w:val="none" w:sz="0" w:space="0" w:color="auto"/>
        <w:right w:val="none" w:sz="0" w:space="0" w:color="auto"/>
      </w:divBdr>
    </w:div>
    <w:div w:id="2022777507">
      <w:bodyDiv w:val="1"/>
      <w:marLeft w:val="0"/>
      <w:marRight w:val="0"/>
      <w:marTop w:val="0"/>
      <w:marBottom w:val="0"/>
      <w:divBdr>
        <w:top w:val="none" w:sz="0" w:space="0" w:color="auto"/>
        <w:left w:val="none" w:sz="0" w:space="0" w:color="auto"/>
        <w:bottom w:val="none" w:sz="0" w:space="0" w:color="auto"/>
        <w:right w:val="none" w:sz="0" w:space="0" w:color="auto"/>
      </w:divBdr>
    </w:div>
    <w:div w:id="2029943436">
      <w:bodyDiv w:val="1"/>
      <w:marLeft w:val="0"/>
      <w:marRight w:val="0"/>
      <w:marTop w:val="0"/>
      <w:marBottom w:val="0"/>
      <w:divBdr>
        <w:top w:val="none" w:sz="0" w:space="0" w:color="auto"/>
        <w:left w:val="none" w:sz="0" w:space="0" w:color="auto"/>
        <w:bottom w:val="none" w:sz="0" w:space="0" w:color="auto"/>
        <w:right w:val="none" w:sz="0" w:space="0" w:color="auto"/>
      </w:divBdr>
    </w:div>
    <w:div w:id="2057779405">
      <w:bodyDiv w:val="1"/>
      <w:marLeft w:val="0"/>
      <w:marRight w:val="0"/>
      <w:marTop w:val="0"/>
      <w:marBottom w:val="0"/>
      <w:divBdr>
        <w:top w:val="none" w:sz="0" w:space="0" w:color="auto"/>
        <w:left w:val="none" w:sz="0" w:space="0" w:color="auto"/>
        <w:bottom w:val="none" w:sz="0" w:space="0" w:color="auto"/>
        <w:right w:val="none" w:sz="0" w:space="0" w:color="auto"/>
      </w:divBdr>
    </w:div>
    <w:div w:id="2109765347">
      <w:bodyDiv w:val="1"/>
      <w:marLeft w:val="0"/>
      <w:marRight w:val="0"/>
      <w:marTop w:val="0"/>
      <w:marBottom w:val="0"/>
      <w:divBdr>
        <w:top w:val="none" w:sz="0" w:space="0" w:color="auto"/>
        <w:left w:val="none" w:sz="0" w:space="0" w:color="auto"/>
        <w:bottom w:val="none" w:sz="0" w:space="0" w:color="auto"/>
        <w:right w:val="none" w:sz="0" w:space="0" w:color="auto"/>
      </w:divBdr>
    </w:div>
    <w:div w:id="2115319977">
      <w:bodyDiv w:val="1"/>
      <w:marLeft w:val="0"/>
      <w:marRight w:val="0"/>
      <w:marTop w:val="0"/>
      <w:marBottom w:val="0"/>
      <w:divBdr>
        <w:top w:val="none" w:sz="0" w:space="0" w:color="auto"/>
        <w:left w:val="none" w:sz="0" w:space="0" w:color="auto"/>
        <w:bottom w:val="none" w:sz="0" w:space="0" w:color="auto"/>
        <w:right w:val="none" w:sz="0" w:space="0" w:color="auto"/>
      </w:divBdr>
    </w:div>
    <w:div w:id="21424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act/public/1981/0047/latest/whole.html"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image" Target="media/image5.emf"/><Relationship Id="rId10" Type="http://schemas.openxmlformats.org/officeDocument/2006/relationships/hyperlink" Target="http://creativecommons.org/licenses/by/4.0/" TargetMode="External"/><Relationship Id="rId19" Type="http://schemas.openxmlformats.org/officeDocument/2006/relationships/footer" Target="footer3.xml"/><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4.emf"/><Relationship Id="rId30" Type="http://schemas.openxmlformats.org/officeDocument/2006/relationships/image" Target="media/image7.emf"/><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276E-CF93-45D1-B5A2-63E166CEA16F}">
  <ds:schemaRefs>
    <ds:schemaRef ds:uri="http://schemas.openxmlformats.org/officeDocument/2006/bibliography"/>
  </ds:schemaRefs>
</ds:datastoreItem>
</file>

<file path=customXml/itemProps2.xml><?xml version="1.0" encoding="utf-8"?>
<ds:datastoreItem xmlns:ds="http://schemas.openxmlformats.org/officeDocument/2006/customXml" ds:itemID="{DF2F6D3F-2D53-43CF-996D-6DFB12DC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10011</Words>
  <Characters>57064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2023-07-03T01:02:00Z</dcterms:created>
  <dcterms:modified xsi:type="dcterms:W3CDTF">2023-07-03T01:02:00Z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