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 w:rsidR="00540FA4" w:rsidRPr="009F7E9D" w:rsidRDefault="00540FA4" w:rsidP="00540FA4">
      <w:pPr>
        <w:pStyle w:val="NoSpacing"/>
        <w:jc w:val="center"/>
        <w:rPr>
          <w:rFonts w:eastAsiaTheme="majorEastAsia" w:cstheme="majorBidi"/>
          <w:b/>
          <w:sz w:val="48"/>
          <w:szCs w:val="48"/>
          <w:lang w:val="en-NZ"/>
        </w:rPr>
      </w:pPr>
      <w:r w:rsidRPr="009F7E9D">
        <w:rPr>
          <w:rFonts w:eastAsiaTheme="majorEastAsia" w:cstheme="majorBidi"/>
          <w:b/>
          <w:sz w:val="48"/>
          <w:szCs w:val="48"/>
          <w:lang w:val="en-NZ"/>
        </w:rPr>
        <w:t xml:space="preserve">Complaints to HDC involving </w:t>
      </w:r>
    </w:p>
    <w:p w:rsidR="00540FA4" w:rsidRPr="009F7E9D" w:rsidRDefault="00540FA4" w:rsidP="00540FA4">
      <w:pPr>
        <w:pStyle w:val="NoSpacing"/>
        <w:jc w:val="center"/>
        <w:rPr>
          <w:rFonts w:eastAsiaTheme="majorEastAsia" w:cstheme="majorBidi"/>
          <w:b/>
          <w:sz w:val="48"/>
          <w:szCs w:val="48"/>
          <w:lang w:val="en-NZ"/>
        </w:rPr>
      </w:pPr>
      <w:r>
        <w:rPr>
          <w:rFonts w:eastAsiaTheme="majorEastAsia" w:cstheme="majorBidi"/>
          <w:b/>
          <w:sz w:val="48"/>
          <w:szCs w:val="48"/>
          <w:lang w:val="en-NZ"/>
        </w:rPr>
        <w:t>District Health Boards</w:t>
      </w:r>
    </w:p>
    <w:p w:rsidR="00540FA4" w:rsidRPr="009F7E9D" w:rsidRDefault="00540FA4" w:rsidP="00AE409F">
      <w:pPr>
        <w:pStyle w:val="NoSpacing"/>
        <w:rPr>
          <w:rFonts w:eastAsiaTheme="majorEastAsia" w:cstheme="majorBidi"/>
          <w:b/>
          <w:sz w:val="36"/>
          <w:szCs w:val="36"/>
          <w:lang w:val="en-NZ"/>
        </w:rPr>
      </w:pPr>
    </w:p>
    <w:p w:rsidR="00540FA4" w:rsidRPr="009F7E9D" w:rsidRDefault="00540FA4" w:rsidP="00540FA4">
      <w:pPr>
        <w:pStyle w:val="NoSpacing"/>
        <w:jc w:val="center"/>
        <w:rPr>
          <w:rFonts w:eastAsiaTheme="majorEastAsia" w:cstheme="majorBidi"/>
          <w:b/>
          <w:sz w:val="32"/>
          <w:szCs w:val="32"/>
          <w:lang w:val="en-NZ"/>
        </w:rPr>
      </w:pPr>
      <w:r w:rsidRPr="009F7E9D">
        <w:rPr>
          <w:rFonts w:eastAsiaTheme="majorEastAsia" w:cstheme="majorBidi"/>
          <w:b/>
          <w:sz w:val="32"/>
          <w:szCs w:val="32"/>
          <w:lang w:val="en-NZ"/>
        </w:rPr>
        <w:t>R</w:t>
      </w:r>
      <w:r>
        <w:rPr>
          <w:rFonts w:eastAsiaTheme="majorEastAsia" w:cstheme="majorBidi"/>
          <w:b/>
          <w:sz w:val="32"/>
          <w:szCs w:val="32"/>
          <w:lang w:val="en-NZ"/>
        </w:rPr>
        <w:t>eport a</w:t>
      </w:r>
      <w:r w:rsidR="00BD2BA7">
        <w:rPr>
          <w:rFonts w:eastAsiaTheme="majorEastAsia" w:cstheme="majorBidi"/>
          <w:b/>
          <w:sz w:val="32"/>
          <w:szCs w:val="32"/>
          <w:lang w:val="en-NZ"/>
        </w:rPr>
        <w:t>nd Analysis for period 1 January to 30 June 2017</w:t>
      </w: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p>
    <w:p w:rsidR="00540FA4" w:rsidRPr="009F7E9D" w:rsidRDefault="00540FA4" w:rsidP="00540FA4">
      <w:pPr>
        <w:pStyle w:val="NoSpacing"/>
        <w:jc w:val="center"/>
        <w:rPr>
          <w:rFonts w:eastAsiaTheme="majorEastAsia" w:cstheme="majorBidi"/>
          <w:b/>
          <w:sz w:val="32"/>
          <w:szCs w:val="32"/>
          <w:lang w:val="en-NZ"/>
        </w:rPr>
      </w:pPr>
      <w:r>
        <w:rPr>
          <w:rFonts w:eastAsiaTheme="majorEastAsia" w:cstheme="majorBidi"/>
          <w:b/>
          <w:noProof/>
          <w:sz w:val="32"/>
          <w:szCs w:val="32"/>
          <w:lang w:val="en-NZ" w:eastAsia="en-NZ"/>
        </w:rPr>
        <w:drawing>
          <wp:anchor distT="0" distB="0" distL="114300" distR="114300" simplePos="0" relativeHeight="251659264" behindDoc="0" locked="0" layoutInCell="1" allowOverlap="1" wp14:anchorId="676996DA" wp14:editId="58CD0A14">
            <wp:simplePos x="0" y="0"/>
            <wp:positionH relativeFrom="page">
              <wp:align>center</wp:align>
            </wp:positionH>
            <wp:positionV relativeFrom="paragraph">
              <wp:posOffset>975995</wp:posOffset>
            </wp:positionV>
            <wp:extent cx="1016000" cy="551815"/>
            <wp:effectExtent l="19050" t="0" r="0" b="0"/>
            <wp:wrapSquare wrapText="bothSides"/>
            <wp:docPr id="3" name="Picture 0" descr="HDC-logo-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C-logo-text.jpg"/>
                    <pic:cNvPicPr/>
                  </pic:nvPicPr>
                  <pic:blipFill>
                    <a:blip r:embed="rId9" cstate="print"/>
                    <a:stretch>
                      <a:fillRect/>
                    </a:stretch>
                  </pic:blipFill>
                  <pic:spPr>
                    <a:xfrm>
                      <a:off x="0" y="0"/>
                      <a:ext cx="1016000" cy="551815"/>
                    </a:xfrm>
                    <a:prstGeom prst="rect">
                      <a:avLst/>
                    </a:prstGeom>
                  </pic:spPr>
                </pic:pic>
              </a:graphicData>
            </a:graphic>
          </wp:anchor>
        </w:drawing>
      </w:r>
    </w:p>
    <w:p w:rsidR="00540FA4" w:rsidRDefault="00540FA4" w:rsidP="00540FA4">
      <w:pPr>
        <w:jc w:val="center"/>
        <w:sectPr w:rsidR="00540FA4" w:rsidSect="00A9442D">
          <w:footerReference w:type="even" r:id="rId10"/>
          <w:footerReference w:type="first" r:id="rId11"/>
          <w:pgSz w:w="11906" w:h="16838" w:code="9"/>
          <w:pgMar w:top="1140" w:right="1412" w:bottom="851" w:left="1412" w:header="720" w:footer="590" w:gutter="0"/>
          <w:cols w:space="720"/>
          <w:titlePg/>
          <w:docGrid w:linePitch="360"/>
        </w:sectPr>
      </w:pPr>
    </w:p>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Default="00AE409F" w:rsidP="00540FA4"/>
    <w:p w:rsidR="00AE409F" w:rsidRPr="00666BAC" w:rsidRDefault="00AE409F" w:rsidP="00AE409F">
      <w:pPr>
        <w:rPr>
          <w:b/>
          <w:szCs w:val="22"/>
        </w:rPr>
      </w:pPr>
      <w:r w:rsidRPr="00666BAC">
        <w:rPr>
          <w:b/>
          <w:szCs w:val="22"/>
        </w:rPr>
        <w:t>Feedback</w:t>
      </w:r>
    </w:p>
    <w:p w:rsidR="00AE409F" w:rsidRPr="00666BAC" w:rsidRDefault="00AE409F" w:rsidP="00AE409F">
      <w:pPr>
        <w:jc w:val="left"/>
        <w:rPr>
          <w:szCs w:val="22"/>
        </w:rPr>
      </w:pPr>
      <w:r w:rsidRPr="00666BAC">
        <w:rPr>
          <w:szCs w:val="22"/>
        </w:rPr>
        <w:t>We welcome your feedback on this report. Please contact Natasha Davidson at hdc@hdc.org.nz</w:t>
      </w:r>
    </w:p>
    <w:p w:rsidR="00AE409F" w:rsidRPr="00666BAC" w:rsidRDefault="00AE409F" w:rsidP="00AE409F">
      <w:pPr>
        <w:jc w:val="left"/>
        <w:rPr>
          <w:szCs w:val="22"/>
        </w:rPr>
      </w:pPr>
    </w:p>
    <w:p w:rsidR="00AE409F" w:rsidRPr="00666BAC" w:rsidRDefault="00AE409F" w:rsidP="00AE409F">
      <w:pPr>
        <w:jc w:val="left"/>
        <w:rPr>
          <w:b/>
          <w:szCs w:val="22"/>
        </w:rPr>
      </w:pPr>
      <w:r w:rsidRPr="00666BAC">
        <w:rPr>
          <w:b/>
          <w:szCs w:val="22"/>
        </w:rPr>
        <w:t>Authors</w:t>
      </w:r>
    </w:p>
    <w:p w:rsidR="00AE409F" w:rsidRPr="00666BAC" w:rsidRDefault="00AE409F" w:rsidP="00AE409F">
      <w:pPr>
        <w:jc w:val="left"/>
        <w:rPr>
          <w:szCs w:val="22"/>
        </w:rPr>
      </w:pPr>
      <w:r w:rsidRPr="00666BAC">
        <w:rPr>
          <w:szCs w:val="22"/>
        </w:rPr>
        <w:t>This report was prepared by Natasha Davidson (Senior Advisor – Research and Education).</w:t>
      </w:r>
    </w:p>
    <w:p w:rsidR="00AE409F" w:rsidRPr="00666BAC" w:rsidRDefault="00AE409F" w:rsidP="00AE409F">
      <w:pPr>
        <w:jc w:val="left"/>
        <w:rPr>
          <w:szCs w:val="22"/>
        </w:rPr>
      </w:pPr>
    </w:p>
    <w:p w:rsidR="00AE409F" w:rsidRPr="00666BAC" w:rsidRDefault="00AE409F" w:rsidP="00AE409F">
      <w:pPr>
        <w:jc w:val="left"/>
        <w:rPr>
          <w:i/>
          <w:szCs w:val="22"/>
        </w:rPr>
      </w:pPr>
      <w:r w:rsidRPr="00666BAC">
        <w:rPr>
          <w:szCs w:val="22"/>
        </w:rPr>
        <w:t xml:space="preserve">Citation: The Health and Disability Commissioner. 2017. </w:t>
      </w:r>
      <w:r w:rsidRPr="00666BAC">
        <w:rPr>
          <w:i/>
          <w:szCs w:val="22"/>
        </w:rPr>
        <w:t xml:space="preserve">Complaints to the Health and Disability Commissioner involving District Health Boards: </w:t>
      </w:r>
      <w:r>
        <w:rPr>
          <w:i/>
          <w:szCs w:val="22"/>
        </w:rPr>
        <w:t>Report an</w:t>
      </w:r>
      <w:r w:rsidR="00BD2BA7">
        <w:rPr>
          <w:i/>
          <w:szCs w:val="22"/>
        </w:rPr>
        <w:t>d Analysis for the period 1 January to 30</w:t>
      </w:r>
      <w:r>
        <w:rPr>
          <w:i/>
          <w:szCs w:val="22"/>
        </w:rPr>
        <w:t xml:space="preserve"> </w:t>
      </w:r>
      <w:r w:rsidR="00BD2BA7">
        <w:rPr>
          <w:i/>
          <w:szCs w:val="22"/>
        </w:rPr>
        <w:t>June 2017</w:t>
      </w:r>
    </w:p>
    <w:p w:rsidR="00AE409F" w:rsidRPr="00666BAC" w:rsidRDefault="00AE409F" w:rsidP="00AE409F">
      <w:pPr>
        <w:jc w:val="left"/>
        <w:rPr>
          <w:szCs w:val="22"/>
        </w:rPr>
      </w:pPr>
    </w:p>
    <w:p w:rsidR="00AE409F" w:rsidRPr="00666BAC" w:rsidRDefault="00AE409F" w:rsidP="00AE409F">
      <w:pPr>
        <w:jc w:val="left"/>
        <w:rPr>
          <w:szCs w:val="22"/>
        </w:rPr>
      </w:pPr>
      <w:r w:rsidRPr="00666BAC">
        <w:rPr>
          <w:szCs w:val="22"/>
        </w:rPr>
        <w:t xml:space="preserve">Published in </w:t>
      </w:r>
      <w:r w:rsidR="00300DF9">
        <w:rPr>
          <w:szCs w:val="22"/>
        </w:rPr>
        <w:t>October</w:t>
      </w:r>
      <w:r w:rsidR="00BD2BA7">
        <w:rPr>
          <w:szCs w:val="22"/>
        </w:rPr>
        <w:t xml:space="preserve"> 2017</w:t>
      </w:r>
    </w:p>
    <w:p w:rsidR="00AE409F" w:rsidRPr="00666BAC" w:rsidRDefault="00AE409F" w:rsidP="00AE409F">
      <w:pPr>
        <w:jc w:val="left"/>
        <w:rPr>
          <w:szCs w:val="22"/>
        </w:rPr>
      </w:pPr>
      <w:r w:rsidRPr="00666BAC">
        <w:rPr>
          <w:szCs w:val="22"/>
        </w:rPr>
        <w:t>by the Health and Disability Commissioner</w:t>
      </w:r>
    </w:p>
    <w:p w:rsidR="00AE409F" w:rsidRPr="00666BAC" w:rsidRDefault="00AE409F" w:rsidP="00AE409F">
      <w:pPr>
        <w:jc w:val="left"/>
        <w:rPr>
          <w:szCs w:val="22"/>
        </w:rPr>
      </w:pPr>
      <w:r w:rsidRPr="00666BAC">
        <w:rPr>
          <w:szCs w:val="22"/>
        </w:rPr>
        <w:t>PO Box 1791, Auckland 1140</w:t>
      </w:r>
    </w:p>
    <w:p w:rsidR="00AE409F" w:rsidRPr="00666BAC" w:rsidRDefault="00AE409F" w:rsidP="00AE409F">
      <w:pPr>
        <w:jc w:val="left"/>
        <w:rPr>
          <w:b/>
          <w:szCs w:val="22"/>
        </w:rPr>
      </w:pPr>
    </w:p>
    <w:p w:rsidR="00AE409F" w:rsidRPr="00666BAC" w:rsidRDefault="00AE409F" w:rsidP="00AE409F">
      <w:pPr>
        <w:jc w:val="left"/>
        <w:rPr>
          <w:szCs w:val="22"/>
        </w:rPr>
      </w:pPr>
      <w:r w:rsidRPr="00666BAC">
        <w:rPr>
          <w:szCs w:val="22"/>
        </w:rPr>
        <w:t>©2017 The Health and Disability Commissioner</w:t>
      </w:r>
    </w:p>
    <w:p w:rsidR="00AE409F" w:rsidRPr="00666BAC" w:rsidRDefault="00AE409F" w:rsidP="00AE409F">
      <w:pPr>
        <w:jc w:val="left"/>
        <w:rPr>
          <w:b/>
          <w:szCs w:val="22"/>
        </w:rPr>
      </w:pPr>
    </w:p>
    <w:p w:rsidR="00AE409F" w:rsidRPr="00666BAC" w:rsidRDefault="00AE409F" w:rsidP="00AE409F">
      <w:pPr>
        <w:jc w:val="left"/>
        <w:rPr>
          <w:b/>
          <w:szCs w:val="22"/>
        </w:rPr>
        <w:sectPr w:rsidR="00AE409F" w:rsidRPr="00666BAC" w:rsidSect="00AE409F">
          <w:pgSz w:w="11906" w:h="16838" w:code="9"/>
          <w:pgMar w:top="1140" w:right="1412" w:bottom="851" w:left="1412" w:header="720" w:footer="590" w:gutter="0"/>
          <w:pgNumType w:start="0"/>
          <w:cols w:space="720"/>
          <w:titlePg/>
          <w:docGrid w:linePitch="360"/>
        </w:sectPr>
      </w:pPr>
      <w:r w:rsidRPr="00666BAC">
        <w:rPr>
          <w:szCs w:val="22"/>
        </w:rPr>
        <w:t>This report is available on our website at www.hdc.org.nz</w:t>
      </w:r>
    </w:p>
    <w:p w:rsidR="00540FA4" w:rsidRDefault="00540FA4" w:rsidP="00540FA4">
      <w:pPr>
        <w:sectPr w:rsidR="00540FA4" w:rsidSect="00635635">
          <w:pgSz w:w="11906" w:h="16838" w:code="9"/>
          <w:pgMar w:top="1140" w:right="1412" w:bottom="851" w:left="1412" w:header="720" w:footer="590" w:gutter="0"/>
          <w:pgNumType w:start="0"/>
          <w:cols w:space="720"/>
          <w:titlePg/>
          <w:docGrid w:linePitch="360"/>
        </w:sectPr>
      </w:pPr>
      <w:r>
        <w:lastRenderedPageBreak/>
        <w:br w:type="page"/>
      </w:r>
    </w:p>
    <w:p w:rsidR="00540FA4" w:rsidRDefault="00540FA4" w:rsidP="00540FA4"/>
    <w:p w:rsidR="00540FA4" w:rsidRDefault="00540FA4" w:rsidP="00540FA4">
      <w:pPr>
        <w:jc w:val="center"/>
        <w:rPr>
          <w:b/>
          <w:color w:val="000000" w:themeColor="text1"/>
          <w:sz w:val="32"/>
          <w:szCs w:val="32"/>
        </w:rPr>
      </w:pPr>
      <w:r>
        <w:br w:type="textWrapping" w:clear="all"/>
      </w:r>
      <w:r w:rsidRPr="00D30C28">
        <w:rPr>
          <w:b/>
          <w:color w:val="000000" w:themeColor="text1"/>
          <w:sz w:val="32"/>
          <w:szCs w:val="32"/>
        </w:rPr>
        <w:t>Contents</w:t>
      </w:r>
    </w:p>
    <w:p w:rsidR="00540FA4" w:rsidRDefault="00540FA4" w:rsidP="00540FA4">
      <w:pPr>
        <w:jc w:val="center"/>
        <w:rPr>
          <w:b/>
          <w:color w:val="000000" w:themeColor="text1"/>
          <w:sz w:val="32"/>
          <w:szCs w:val="32"/>
        </w:rPr>
      </w:pPr>
    </w:p>
    <w:p w:rsidR="003E5D6C" w:rsidRDefault="00540FA4">
      <w:pPr>
        <w:pStyle w:val="TOC1"/>
        <w:tabs>
          <w:tab w:val="right" w:leader="dot" w:pos="9072"/>
        </w:tabs>
        <w:rPr>
          <w:rFonts w:eastAsiaTheme="minorEastAsia" w:cstheme="minorBidi"/>
          <w:b w:val="0"/>
          <w:noProof/>
          <w:sz w:val="22"/>
          <w:szCs w:val="22"/>
          <w:lang w:eastAsia="en-NZ" w:bidi="ar-SA"/>
        </w:rPr>
      </w:pPr>
      <w:r>
        <w:rPr>
          <w:b w:val="0"/>
          <w:color w:val="000000" w:themeColor="text1"/>
          <w:sz w:val="32"/>
          <w:szCs w:val="32"/>
        </w:rPr>
        <w:fldChar w:fldCharType="begin"/>
      </w:r>
      <w:r>
        <w:rPr>
          <w:b w:val="0"/>
          <w:color w:val="000000" w:themeColor="text1"/>
          <w:sz w:val="32"/>
          <w:szCs w:val="32"/>
        </w:rPr>
        <w:instrText xml:space="preserve"> TOC \o "2-3" \h \z \t "Heading 1,1" </w:instrText>
      </w:r>
      <w:r>
        <w:rPr>
          <w:b w:val="0"/>
          <w:color w:val="000000" w:themeColor="text1"/>
          <w:sz w:val="32"/>
          <w:szCs w:val="32"/>
        </w:rPr>
        <w:fldChar w:fldCharType="separate"/>
      </w:r>
      <w:hyperlink w:anchor="_Toc493680280" w:history="1">
        <w:r w:rsidR="003E5D6C" w:rsidRPr="00CF73C9">
          <w:rPr>
            <w:rStyle w:val="Hyperlink"/>
            <w:noProof/>
          </w:rPr>
          <w:t>Commissioner’s Foreword</w:t>
        </w:r>
        <w:r w:rsidR="003E5D6C">
          <w:rPr>
            <w:noProof/>
            <w:webHidden/>
          </w:rPr>
          <w:tab/>
        </w:r>
        <w:r w:rsidR="003E5D6C">
          <w:rPr>
            <w:noProof/>
            <w:webHidden/>
          </w:rPr>
          <w:fldChar w:fldCharType="begin"/>
        </w:r>
        <w:r w:rsidR="003E5D6C">
          <w:rPr>
            <w:noProof/>
            <w:webHidden/>
          </w:rPr>
          <w:instrText xml:space="preserve"> PAGEREF _Toc493680280 \h </w:instrText>
        </w:r>
        <w:r w:rsidR="003E5D6C">
          <w:rPr>
            <w:noProof/>
            <w:webHidden/>
          </w:rPr>
        </w:r>
        <w:r w:rsidR="003E5D6C">
          <w:rPr>
            <w:noProof/>
            <w:webHidden/>
          </w:rPr>
          <w:fldChar w:fldCharType="separate"/>
        </w:r>
        <w:r w:rsidR="008427E2">
          <w:rPr>
            <w:noProof/>
            <w:webHidden/>
          </w:rPr>
          <w:t>ii</w:t>
        </w:r>
        <w:r w:rsidR="003E5D6C">
          <w:rPr>
            <w:noProof/>
            <w:webHidden/>
          </w:rPr>
          <w:fldChar w:fldCharType="end"/>
        </w:r>
      </w:hyperlink>
    </w:p>
    <w:p w:rsidR="003E5D6C" w:rsidRDefault="008427E2">
      <w:pPr>
        <w:pStyle w:val="TOC1"/>
        <w:tabs>
          <w:tab w:val="right" w:leader="dot" w:pos="9072"/>
        </w:tabs>
        <w:rPr>
          <w:rFonts w:eastAsiaTheme="minorEastAsia" w:cstheme="minorBidi"/>
          <w:b w:val="0"/>
          <w:noProof/>
          <w:sz w:val="22"/>
          <w:szCs w:val="22"/>
          <w:lang w:eastAsia="en-NZ" w:bidi="ar-SA"/>
        </w:rPr>
      </w:pPr>
      <w:hyperlink w:anchor="_Toc493680281" w:history="1">
        <w:r w:rsidR="003E5D6C" w:rsidRPr="00CF73C9">
          <w:rPr>
            <w:rStyle w:val="Hyperlink"/>
            <w:noProof/>
          </w:rPr>
          <w:t>National Data for all District Health Boards</w:t>
        </w:r>
        <w:r w:rsidR="003E5D6C">
          <w:rPr>
            <w:noProof/>
            <w:webHidden/>
          </w:rPr>
          <w:tab/>
        </w:r>
        <w:r w:rsidR="003E5D6C">
          <w:rPr>
            <w:noProof/>
            <w:webHidden/>
          </w:rPr>
          <w:fldChar w:fldCharType="begin"/>
        </w:r>
        <w:r w:rsidR="003E5D6C">
          <w:rPr>
            <w:noProof/>
            <w:webHidden/>
          </w:rPr>
          <w:instrText xml:space="preserve"> PAGEREF _Toc493680281 \h </w:instrText>
        </w:r>
        <w:r w:rsidR="003E5D6C">
          <w:rPr>
            <w:noProof/>
            <w:webHidden/>
          </w:rPr>
        </w:r>
        <w:r w:rsidR="003E5D6C">
          <w:rPr>
            <w:noProof/>
            <w:webHidden/>
          </w:rPr>
          <w:fldChar w:fldCharType="separate"/>
        </w:r>
        <w:r>
          <w:rPr>
            <w:noProof/>
            <w:webHidden/>
          </w:rPr>
          <w:t>1</w:t>
        </w:r>
        <w:r w:rsidR="003E5D6C">
          <w:rPr>
            <w:noProof/>
            <w:webHidden/>
          </w:rPr>
          <w:fldChar w:fldCharType="end"/>
        </w:r>
      </w:hyperlink>
    </w:p>
    <w:p w:rsidR="003E5D6C" w:rsidRDefault="008427E2">
      <w:pPr>
        <w:pStyle w:val="TOC2"/>
        <w:tabs>
          <w:tab w:val="left" w:pos="880"/>
          <w:tab w:val="right" w:leader="dot" w:pos="9072"/>
        </w:tabs>
        <w:rPr>
          <w:rFonts w:eastAsiaTheme="minorEastAsia" w:cstheme="minorBidi"/>
          <w:b w:val="0"/>
          <w:noProof/>
          <w:lang w:eastAsia="en-NZ" w:bidi="ar-SA"/>
        </w:rPr>
      </w:pPr>
      <w:hyperlink w:anchor="_Toc493680282" w:history="1">
        <w:r w:rsidR="003E5D6C" w:rsidRPr="00CF73C9">
          <w:rPr>
            <w:rStyle w:val="Hyperlink"/>
            <w:noProof/>
          </w:rPr>
          <w:t>1.0</w:t>
        </w:r>
        <w:r w:rsidR="003E5D6C">
          <w:rPr>
            <w:rFonts w:eastAsiaTheme="minorEastAsia" w:cstheme="minorBidi"/>
            <w:b w:val="0"/>
            <w:noProof/>
            <w:lang w:eastAsia="en-NZ" w:bidi="ar-SA"/>
          </w:rPr>
          <w:tab/>
        </w:r>
        <w:r w:rsidR="003E5D6C" w:rsidRPr="00CF73C9">
          <w:rPr>
            <w:rStyle w:val="Hyperlink"/>
            <w:noProof/>
          </w:rPr>
          <w:t>Number of complaints received</w:t>
        </w:r>
        <w:r w:rsidR="003E5D6C">
          <w:rPr>
            <w:noProof/>
            <w:webHidden/>
          </w:rPr>
          <w:tab/>
        </w:r>
        <w:r w:rsidR="003E5D6C">
          <w:rPr>
            <w:noProof/>
            <w:webHidden/>
          </w:rPr>
          <w:fldChar w:fldCharType="begin"/>
        </w:r>
        <w:r w:rsidR="003E5D6C">
          <w:rPr>
            <w:noProof/>
            <w:webHidden/>
          </w:rPr>
          <w:instrText xml:space="preserve"> PAGEREF _Toc493680282 \h </w:instrText>
        </w:r>
        <w:r w:rsidR="003E5D6C">
          <w:rPr>
            <w:noProof/>
            <w:webHidden/>
          </w:rPr>
        </w:r>
        <w:r w:rsidR="003E5D6C">
          <w:rPr>
            <w:noProof/>
            <w:webHidden/>
          </w:rPr>
          <w:fldChar w:fldCharType="separate"/>
        </w:r>
        <w:r>
          <w:rPr>
            <w:noProof/>
            <w:webHidden/>
          </w:rPr>
          <w:t>1</w:t>
        </w:r>
        <w:r w:rsidR="003E5D6C">
          <w:rPr>
            <w:noProof/>
            <w:webHidden/>
          </w:rPr>
          <w:fldChar w:fldCharType="end"/>
        </w:r>
      </w:hyperlink>
    </w:p>
    <w:p w:rsidR="003E5D6C" w:rsidRDefault="008427E2">
      <w:pPr>
        <w:pStyle w:val="TOC3"/>
        <w:tabs>
          <w:tab w:val="left" w:pos="1100"/>
          <w:tab w:val="right" w:leader="dot" w:pos="9072"/>
        </w:tabs>
        <w:rPr>
          <w:rFonts w:eastAsiaTheme="minorEastAsia" w:cstheme="minorBidi"/>
          <w:noProof/>
          <w:lang w:eastAsia="en-NZ" w:bidi="ar-SA"/>
        </w:rPr>
      </w:pPr>
      <w:hyperlink w:anchor="_Toc493680283" w:history="1">
        <w:r w:rsidR="003E5D6C" w:rsidRPr="00CF73C9">
          <w:rPr>
            <w:rStyle w:val="Hyperlink"/>
            <w:noProof/>
          </w:rPr>
          <w:t xml:space="preserve">1.1 </w:t>
        </w:r>
        <w:r w:rsidR="003E5D6C">
          <w:rPr>
            <w:rFonts w:eastAsiaTheme="minorEastAsia" w:cstheme="minorBidi"/>
            <w:noProof/>
            <w:lang w:eastAsia="en-NZ" w:bidi="ar-SA"/>
          </w:rPr>
          <w:tab/>
        </w:r>
        <w:r w:rsidR="003E5D6C" w:rsidRPr="00CF73C9">
          <w:rPr>
            <w:rStyle w:val="Hyperlink"/>
            <w:noProof/>
          </w:rPr>
          <w:t>Raw number of complaints received</w:t>
        </w:r>
        <w:r w:rsidR="003E5D6C">
          <w:rPr>
            <w:noProof/>
            <w:webHidden/>
          </w:rPr>
          <w:tab/>
        </w:r>
        <w:r w:rsidR="003E5D6C">
          <w:rPr>
            <w:noProof/>
            <w:webHidden/>
          </w:rPr>
          <w:fldChar w:fldCharType="begin"/>
        </w:r>
        <w:r w:rsidR="003E5D6C">
          <w:rPr>
            <w:noProof/>
            <w:webHidden/>
          </w:rPr>
          <w:instrText xml:space="preserve"> PAGEREF _Toc493680283 \h </w:instrText>
        </w:r>
        <w:r w:rsidR="003E5D6C">
          <w:rPr>
            <w:noProof/>
            <w:webHidden/>
          </w:rPr>
        </w:r>
        <w:r w:rsidR="003E5D6C">
          <w:rPr>
            <w:noProof/>
            <w:webHidden/>
          </w:rPr>
          <w:fldChar w:fldCharType="separate"/>
        </w:r>
        <w:r>
          <w:rPr>
            <w:noProof/>
            <w:webHidden/>
          </w:rPr>
          <w:t>1</w:t>
        </w:r>
        <w:r w:rsidR="003E5D6C">
          <w:rPr>
            <w:noProof/>
            <w:webHidden/>
          </w:rPr>
          <w:fldChar w:fldCharType="end"/>
        </w:r>
      </w:hyperlink>
    </w:p>
    <w:p w:rsidR="003E5D6C" w:rsidRDefault="008427E2">
      <w:pPr>
        <w:pStyle w:val="TOC3"/>
        <w:tabs>
          <w:tab w:val="left" w:pos="1100"/>
          <w:tab w:val="right" w:leader="dot" w:pos="9072"/>
        </w:tabs>
        <w:rPr>
          <w:rFonts w:eastAsiaTheme="minorEastAsia" w:cstheme="minorBidi"/>
          <w:noProof/>
          <w:lang w:eastAsia="en-NZ" w:bidi="ar-SA"/>
        </w:rPr>
      </w:pPr>
      <w:hyperlink w:anchor="_Toc493680284" w:history="1">
        <w:r w:rsidR="003E5D6C" w:rsidRPr="00CF73C9">
          <w:rPr>
            <w:rStyle w:val="Hyperlink"/>
            <w:noProof/>
          </w:rPr>
          <w:t>1.2</w:t>
        </w:r>
        <w:r w:rsidR="003E5D6C">
          <w:rPr>
            <w:rFonts w:eastAsiaTheme="minorEastAsia" w:cstheme="minorBidi"/>
            <w:noProof/>
            <w:lang w:eastAsia="en-NZ" w:bidi="ar-SA"/>
          </w:rPr>
          <w:tab/>
        </w:r>
        <w:r w:rsidR="003E5D6C" w:rsidRPr="00CF73C9">
          <w:rPr>
            <w:rStyle w:val="Hyperlink"/>
            <w:noProof/>
          </w:rPr>
          <w:t>Rate of complaints received</w:t>
        </w:r>
        <w:r w:rsidR="003E5D6C">
          <w:rPr>
            <w:noProof/>
            <w:webHidden/>
          </w:rPr>
          <w:tab/>
        </w:r>
        <w:r w:rsidR="003E5D6C">
          <w:rPr>
            <w:noProof/>
            <w:webHidden/>
          </w:rPr>
          <w:fldChar w:fldCharType="begin"/>
        </w:r>
        <w:r w:rsidR="003E5D6C">
          <w:rPr>
            <w:noProof/>
            <w:webHidden/>
          </w:rPr>
          <w:instrText xml:space="preserve"> PAGEREF _Toc493680284 \h </w:instrText>
        </w:r>
        <w:r w:rsidR="003E5D6C">
          <w:rPr>
            <w:noProof/>
            <w:webHidden/>
          </w:rPr>
        </w:r>
        <w:r w:rsidR="003E5D6C">
          <w:rPr>
            <w:noProof/>
            <w:webHidden/>
          </w:rPr>
          <w:fldChar w:fldCharType="separate"/>
        </w:r>
        <w:r>
          <w:rPr>
            <w:noProof/>
            <w:webHidden/>
          </w:rPr>
          <w:t>2</w:t>
        </w:r>
        <w:r w:rsidR="003E5D6C">
          <w:rPr>
            <w:noProof/>
            <w:webHidden/>
          </w:rPr>
          <w:fldChar w:fldCharType="end"/>
        </w:r>
      </w:hyperlink>
    </w:p>
    <w:p w:rsidR="003E5D6C" w:rsidRDefault="008427E2">
      <w:pPr>
        <w:pStyle w:val="TOC2"/>
        <w:tabs>
          <w:tab w:val="left" w:pos="880"/>
          <w:tab w:val="right" w:leader="dot" w:pos="9072"/>
        </w:tabs>
        <w:rPr>
          <w:rFonts w:eastAsiaTheme="minorEastAsia" w:cstheme="minorBidi"/>
          <w:b w:val="0"/>
          <w:noProof/>
          <w:lang w:eastAsia="en-NZ" w:bidi="ar-SA"/>
        </w:rPr>
      </w:pPr>
      <w:hyperlink w:anchor="_Toc493680285" w:history="1">
        <w:r w:rsidR="003E5D6C" w:rsidRPr="00CF73C9">
          <w:rPr>
            <w:rStyle w:val="Hyperlink"/>
            <w:noProof/>
          </w:rPr>
          <w:t>2.0</w:t>
        </w:r>
        <w:r w:rsidR="003E5D6C">
          <w:rPr>
            <w:rFonts w:eastAsiaTheme="minorEastAsia" w:cstheme="minorBidi"/>
            <w:b w:val="0"/>
            <w:noProof/>
            <w:lang w:eastAsia="en-NZ" w:bidi="ar-SA"/>
          </w:rPr>
          <w:tab/>
        </w:r>
        <w:r w:rsidR="003E5D6C" w:rsidRPr="00CF73C9">
          <w:rPr>
            <w:rStyle w:val="Hyperlink"/>
            <w:noProof/>
          </w:rPr>
          <w:t>Service types complained about</w:t>
        </w:r>
        <w:r w:rsidR="003E5D6C">
          <w:rPr>
            <w:noProof/>
            <w:webHidden/>
          </w:rPr>
          <w:tab/>
        </w:r>
        <w:r w:rsidR="003E5D6C">
          <w:rPr>
            <w:noProof/>
            <w:webHidden/>
          </w:rPr>
          <w:fldChar w:fldCharType="begin"/>
        </w:r>
        <w:r w:rsidR="003E5D6C">
          <w:rPr>
            <w:noProof/>
            <w:webHidden/>
          </w:rPr>
          <w:instrText xml:space="preserve"> PAGEREF _Toc493680285 \h </w:instrText>
        </w:r>
        <w:r w:rsidR="003E5D6C">
          <w:rPr>
            <w:noProof/>
            <w:webHidden/>
          </w:rPr>
        </w:r>
        <w:r w:rsidR="003E5D6C">
          <w:rPr>
            <w:noProof/>
            <w:webHidden/>
          </w:rPr>
          <w:fldChar w:fldCharType="separate"/>
        </w:r>
        <w:r>
          <w:rPr>
            <w:noProof/>
            <w:webHidden/>
          </w:rPr>
          <w:t>4</w:t>
        </w:r>
        <w:r w:rsidR="003E5D6C">
          <w:rPr>
            <w:noProof/>
            <w:webHidden/>
          </w:rPr>
          <w:fldChar w:fldCharType="end"/>
        </w:r>
      </w:hyperlink>
    </w:p>
    <w:p w:rsidR="003E5D6C" w:rsidRDefault="008427E2">
      <w:pPr>
        <w:pStyle w:val="TOC3"/>
        <w:tabs>
          <w:tab w:val="left" w:pos="1100"/>
          <w:tab w:val="right" w:leader="dot" w:pos="9072"/>
        </w:tabs>
        <w:rPr>
          <w:rFonts w:eastAsiaTheme="minorEastAsia" w:cstheme="minorBidi"/>
          <w:noProof/>
          <w:lang w:eastAsia="en-NZ" w:bidi="ar-SA"/>
        </w:rPr>
      </w:pPr>
      <w:hyperlink w:anchor="_Toc493680286" w:history="1">
        <w:r w:rsidR="003E5D6C" w:rsidRPr="00CF73C9">
          <w:rPr>
            <w:rStyle w:val="Hyperlink"/>
            <w:noProof/>
          </w:rPr>
          <w:t>2.1</w:t>
        </w:r>
        <w:r w:rsidR="003E5D6C">
          <w:rPr>
            <w:rFonts w:eastAsiaTheme="minorEastAsia" w:cstheme="minorBidi"/>
            <w:noProof/>
            <w:lang w:eastAsia="en-NZ" w:bidi="ar-SA"/>
          </w:rPr>
          <w:tab/>
        </w:r>
        <w:r w:rsidR="003E5D6C" w:rsidRPr="00CF73C9">
          <w:rPr>
            <w:rStyle w:val="Hyperlink"/>
            <w:noProof/>
          </w:rPr>
          <w:t>Service type category</w:t>
        </w:r>
        <w:r w:rsidR="003E5D6C">
          <w:rPr>
            <w:noProof/>
            <w:webHidden/>
          </w:rPr>
          <w:tab/>
        </w:r>
        <w:r w:rsidR="003E5D6C">
          <w:rPr>
            <w:noProof/>
            <w:webHidden/>
          </w:rPr>
          <w:fldChar w:fldCharType="begin"/>
        </w:r>
        <w:r w:rsidR="003E5D6C">
          <w:rPr>
            <w:noProof/>
            <w:webHidden/>
          </w:rPr>
          <w:instrText xml:space="preserve"> PAGEREF _Toc493680286 \h </w:instrText>
        </w:r>
        <w:r w:rsidR="003E5D6C">
          <w:rPr>
            <w:noProof/>
            <w:webHidden/>
          </w:rPr>
        </w:r>
        <w:r w:rsidR="003E5D6C">
          <w:rPr>
            <w:noProof/>
            <w:webHidden/>
          </w:rPr>
          <w:fldChar w:fldCharType="separate"/>
        </w:r>
        <w:r>
          <w:rPr>
            <w:noProof/>
            <w:webHidden/>
          </w:rPr>
          <w:t>4</w:t>
        </w:r>
        <w:r w:rsidR="003E5D6C">
          <w:rPr>
            <w:noProof/>
            <w:webHidden/>
          </w:rPr>
          <w:fldChar w:fldCharType="end"/>
        </w:r>
      </w:hyperlink>
    </w:p>
    <w:p w:rsidR="003E5D6C" w:rsidRDefault="008427E2">
      <w:pPr>
        <w:pStyle w:val="TOC2"/>
        <w:tabs>
          <w:tab w:val="left" w:pos="880"/>
          <w:tab w:val="right" w:leader="dot" w:pos="9072"/>
        </w:tabs>
        <w:rPr>
          <w:rFonts w:eastAsiaTheme="minorEastAsia" w:cstheme="minorBidi"/>
          <w:b w:val="0"/>
          <w:noProof/>
          <w:lang w:eastAsia="en-NZ" w:bidi="ar-SA"/>
        </w:rPr>
      </w:pPr>
      <w:hyperlink w:anchor="_Toc493680287" w:history="1">
        <w:r w:rsidR="003E5D6C" w:rsidRPr="00CF73C9">
          <w:rPr>
            <w:rStyle w:val="Hyperlink"/>
            <w:noProof/>
          </w:rPr>
          <w:t>3.0</w:t>
        </w:r>
        <w:r w:rsidR="003E5D6C">
          <w:rPr>
            <w:rFonts w:eastAsiaTheme="minorEastAsia" w:cstheme="minorBidi"/>
            <w:b w:val="0"/>
            <w:noProof/>
            <w:lang w:eastAsia="en-NZ" w:bidi="ar-SA"/>
          </w:rPr>
          <w:tab/>
        </w:r>
        <w:r w:rsidR="003E5D6C" w:rsidRPr="00CF73C9">
          <w:rPr>
            <w:rStyle w:val="Hyperlink"/>
            <w:noProof/>
          </w:rPr>
          <w:t>Issues complained about</w:t>
        </w:r>
        <w:r w:rsidR="003E5D6C">
          <w:rPr>
            <w:noProof/>
            <w:webHidden/>
          </w:rPr>
          <w:tab/>
        </w:r>
        <w:r w:rsidR="003E5D6C">
          <w:rPr>
            <w:noProof/>
            <w:webHidden/>
          </w:rPr>
          <w:fldChar w:fldCharType="begin"/>
        </w:r>
        <w:r w:rsidR="003E5D6C">
          <w:rPr>
            <w:noProof/>
            <w:webHidden/>
          </w:rPr>
          <w:instrText xml:space="preserve"> PAGEREF _Toc493680287 \h </w:instrText>
        </w:r>
        <w:r w:rsidR="003E5D6C">
          <w:rPr>
            <w:noProof/>
            <w:webHidden/>
          </w:rPr>
        </w:r>
        <w:r w:rsidR="003E5D6C">
          <w:rPr>
            <w:noProof/>
            <w:webHidden/>
          </w:rPr>
          <w:fldChar w:fldCharType="separate"/>
        </w:r>
        <w:r>
          <w:rPr>
            <w:noProof/>
            <w:webHidden/>
          </w:rPr>
          <w:t>5</w:t>
        </w:r>
        <w:r w:rsidR="003E5D6C">
          <w:rPr>
            <w:noProof/>
            <w:webHidden/>
          </w:rPr>
          <w:fldChar w:fldCharType="end"/>
        </w:r>
      </w:hyperlink>
    </w:p>
    <w:p w:rsidR="003E5D6C" w:rsidRDefault="008427E2">
      <w:pPr>
        <w:pStyle w:val="TOC3"/>
        <w:tabs>
          <w:tab w:val="left" w:pos="1100"/>
          <w:tab w:val="right" w:leader="dot" w:pos="9072"/>
        </w:tabs>
        <w:rPr>
          <w:rFonts w:eastAsiaTheme="minorEastAsia" w:cstheme="minorBidi"/>
          <w:noProof/>
          <w:lang w:eastAsia="en-NZ" w:bidi="ar-SA"/>
        </w:rPr>
      </w:pPr>
      <w:hyperlink w:anchor="_Toc493680288" w:history="1">
        <w:r w:rsidR="003E5D6C" w:rsidRPr="00CF73C9">
          <w:rPr>
            <w:rStyle w:val="Hyperlink"/>
            <w:noProof/>
          </w:rPr>
          <w:t>3.1</w:t>
        </w:r>
        <w:r w:rsidR="003E5D6C">
          <w:rPr>
            <w:rFonts w:eastAsiaTheme="minorEastAsia" w:cstheme="minorBidi"/>
            <w:noProof/>
            <w:lang w:eastAsia="en-NZ" w:bidi="ar-SA"/>
          </w:rPr>
          <w:tab/>
        </w:r>
        <w:r w:rsidR="003E5D6C" w:rsidRPr="00CF73C9">
          <w:rPr>
            <w:rStyle w:val="Hyperlink"/>
            <w:noProof/>
          </w:rPr>
          <w:t>Primary complaint issues</w:t>
        </w:r>
        <w:r w:rsidR="003E5D6C">
          <w:rPr>
            <w:noProof/>
            <w:webHidden/>
          </w:rPr>
          <w:tab/>
        </w:r>
        <w:r w:rsidR="003E5D6C">
          <w:rPr>
            <w:noProof/>
            <w:webHidden/>
          </w:rPr>
          <w:fldChar w:fldCharType="begin"/>
        </w:r>
        <w:r w:rsidR="003E5D6C">
          <w:rPr>
            <w:noProof/>
            <w:webHidden/>
          </w:rPr>
          <w:instrText xml:space="preserve"> PAGEREF _Toc493680288 \h </w:instrText>
        </w:r>
        <w:r w:rsidR="003E5D6C">
          <w:rPr>
            <w:noProof/>
            <w:webHidden/>
          </w:rPr>
        </w:r>
        <w:r w:rsidR="003E5D6C">
          <w:rPr>
            <w:noProof/>
            <w:webHidden/>
          </w:rPr>
          <w:fldChar w:fldCharType="separate"/>
        </w:r>
        <w:r>
          <w:rPr>
            <w:noProof/>
            <w:webHidden/>
          </w:rPr>
          <w:t>5</w:t>
        </w:r>
        <w:r w:rsidR="003E5D6C">
          <w:rPr>
            <w:noProof/>
            <w:webHidden/>
          </w:rPr>
          <w:fldChar w:fldCharType="end"/>
        </w:r>
      </w:hyperlink>
    </w:p>
    <w:p w:rsidR="003E5D6C" w:rsidRDefault="008427E2">
      <w:pPr>
        <w:pStyle w:val="TOC3"/>
        <w:tabs>
          <w:tab w:val="left" w:pos="1100"/>
          <w:tab w:val="right" w:leader="dot" w:pos="9072"/>
        </w:tabs>
        <w:rPr>
          <w:rFonts w:eastAsiaTheme="minorEastAsia" w:cstheme="minorBidi"/>
          <w:noProof/>
          <w:lang w:eastAsia="en-NZ" w:bidi="ar-SA"/>
        </w:rPr>
      </w:pPr>
      <w:hyperlink w:anchor="_Toc493680289" w:history="1">
        <w:r w:rsidR="003E5D6C" w:rsidRPr="00CF73C9">
          <w:rPr>
            <w:rStyle w:val="Hyperlink"/>
            <w:noProof/>
          </w:rPr>
          <w:t>3.2</w:t>
        </w:r>
        <w:r w:rsidR="003E5D6C">
          <w:rPr>
            <w:rFonts w:eastAsiaTheme="minorEastAsia" w:cstheme="minorBidi"/>
            <w:noProof/>
            <w:lang w:eastAsia="en-NZ" w:bidi="ar-SA"/>
          </w:rPr>
          <w:tab/>
        </w:r>
        <w:r w:rsidR="003E5D6C" w:rsidRPr="00CF73C9">
          <w:rPr>
            <w:rStyle w:val="Hyperlink"/>
            <w:noProof/>
          </w:rPr>
          <w:t>All complaint  issues</w:t>
        </w:r>
        <w:r w:rsidR="003E5D6C">
          <w:rPr>
            <w:noProof/>
            <w:webHidden/>
          </w:rPr>
          <w:tab/>
        </w:r>
        <w:r w:rsidR="003E5D6C">
          <w:rPr>
            <w:noProof/>
            <w:webHidden/>
          </w:rPr>
          <w:fldChar w:fldCharType="begin"/>
        </w:r>
        <w:r w:rsidR="003E5D6C">
          <w:rPr>
            <w:noProof/>
            <w:webHidden/>
          </w:rPr>
          <w:instrText xml:space="preserve"> PAGEREF _Toc493680289 \h </w:instrText>
        </w:r>
        <w:r w:rsidR="003E5D6C">
          <w:rPr>
            <w:noProof/>
            <w:webHidden/>
          </w:rPr>
        </w:r>
        <w:r w:rsidR="003E5D6C">
          <w:rPr>
            <w:noProof/>
            <w:webHidden/>
          </w:rPr>
          <w:fldChar w:fldCharType="separate"/>
        </w:r>
        <w:r>
          <w:rPr>
            <w:noProof/>
            <w:webHidden/>
          </w:rPr>
          <w:t>7</w:t>
        </w:r>
        <w:r w:rsidR="003E5D6C">
          <w:rPr>
            <w:noProof/>
            <w:webHidden/>
          </w:rPr>
          <w:fldChar w:fldCharType="end"/>
        </w:r>
      </w:hyperlink>
    </w:p>
    <w:p w:rsidR="003E5D6C" w:rsidRDefault="008427E2">
      <w:pPr>
        <w:pStyle w:val="TOC3"/>
        <w:tabs>
          <w:tab w:val="left" w:pos="1100"/>
          <w:tab w:val="right" w:leader="dot" w:pos="9072"/>
        </w:tabs>
        <w:rPr>
          <w:rFonts w:eastAsiaTheme="minorEastAsia" w:cstheme="minorBidi"/>
          <w:noProof/>
          <w:lang w:eastAsia="en-NZ" w:bidi="ar-SA"/>
        </w:rPr>
      </w:pPr>
      <w:hyperlink w:anchor="_Toc493680290" w:history="1">
        <w:r w:rsidR="003E5D6C" w:rsidRPr="00CF73C9">
          <w:rPr>
            <w:rStyle w:val="Hyperlink"/>
            <w:noProof/>
          </w:rPr>
          <w:t>3.3</w:t>
        </w:r>
        <w:r w:rsidR="003E5D6C">
          <w:rPr>
            <w:rFonts w:eastAsiaTheme="minorEastAsia" w:cstheme="minorBidi"/>
            <w:noProof/>
            <w:lang w:eastAsia="en-NZ" w:bidi="ar-SA"/>
          </w:rPr>
          <w:tab/>
        </w:r>
        <w:r w:rsidR="003E5D6C" w:rsidRPr="00CF73C9">
          <w:rPr>
            <w:rStyle w:val="Hyperlink"/>
            <w:noProof/>
          </w:rPr>
          <w:t>Service type and primary issues</w:t>
        </w:r>
        <w:r w:rsidR="003E5D6C">
          <w:rPr>
            <w:noProof/>
            <w:webHidden/>
          </w:rPr>
          <w:tab/>
        </w:r>
        <w:r w:rsidR="003E5D6C">
          <w:rPr>
            <w:noProof/>
            <w:webHidden/>
          </w:rPr>
          <w:fldChar w:fldCharType="begin"/>
        </w:r>
        <w:r w:rsidR="003E5D6C">
          <w:rPr>
            <w:noProof/>
            <w:webHidden/>
          </w:rPr>
          <w:instrText xml:space="preserve"> PAGEREF _Toc493680290 \h </w:instrText>
        </w:r>
        <w:r w:rsidR="003E5D6C">
          <w:rPr>
            <w:noProof/>
            <w:webHidden/>
          </w:rPr>
        </w:r>
        <w:r w:rsidR="003E5D6C">
          <w:rPr>
            <w:noProof/>
            <w:webHidden/>
          </w:rPr>
          <w:fldChar w:fldCharType="separate"/>
        </w:r>
        <w:r>
          <w:rPr>
            <w:noProof/>
            <w:webHidden/>
          </w:rPr>
          <w:t>9</w:t>
        </w:r>
        <w:r w:rsidR="003E5D6C">
          <w:rPr>
            <w:noProof/>
            <w:webHidden/>
          </w:rPr>
          <w:fldChar w:fldCharType="end"/>
        </w:r>
      </w:hyperlink>
    </w:p>
    <w:p w:rsidR="003E5D6C" w:rsidRDefault="008427E2">
      <w:pPr>
        <w:pStyle w:val="TOC2"/>
        <w:tabs>
          <w:tab w:val="left" w:pos="880"/>
          <w:tab w:val="right" w:leader="dot" w:pos="9072"/>
        </w:tabs>
        <w:rPr>
          <w:rFonts w:eastAsiaTheme="minorEastAsia" w:cstheme="minorBidi"/>
          <w:b w:val="0"/>
          <w:noProof/>
          <w:lang w:eastAsia="en-NZ" w:bidi="ar-SA"/>
        </w:rPr>
      </w:pPr>
      <w:hyperlink w:anchor="_Toc493680291" w:history="1">
        <w:r w:rsidR="003E5D6C" w:rsidRPr="00CF73C9">
          <w:rPr>
            <w:rStyle w:val="Hyperlink"/>
            <w:noProof/>
          </w:rPr>
          <w:t>4.0</w:t>
        </w:r>
        <w:r w:rsidR="003E5D6C">
          <w:rPr>
            <w:rFonts w:eastAsiaTheme="minorEastAsia" w:cstheme="minorBidi"/>
            <w:b w:val="0"/>
            <w:noProof/>
            <w:lang w:eastAsia="en-NZ" w:bidi="ar-SA"/>
          </w:rPr>
          <w:tab/>
        </w:r>
        <w:r w:rsidR="003E5D6C" w:rsidRPr="00CF73C9">
          <w:rPr>
            <w:rStyle w:val="Hyperlink"/>
            <w:noProof/>
          </w:rPr>
          <w:t>Complaints closed</w:t>
        </w:r>
        <w:r w:rsidR="003E5D6C">
          <w:rPr>
            <w:noProof/>
            <w:webHidden/>
          </w:rPr>
          <w:tab/>
        </w:r>
        <w:r w:rsidR="003E5D6C">
          <w:rPr>
            <w:noProof/>
            <w:webHidden/>
          </w:rPr>
          <w:fldChar w:fldCharType="begin"/>
        </w:r>
        <w:r w:rsidR="003E5D6C">
          <w:rPr>
            <w:noProof/>
            <w:webHidden/>
          </w:rPr>
          <w:instrText xml:space="preserve"> PAGEREF _Toc493680291 \h </w:instrText>
        </w:r>
        <w:r w:rsidR="003E5D6C">
          <w:rPr>
            <w:noProof/>
            <w:webHidden/>
          </w:rPr>
        </w:r>
        <w:r w:rsidR="003E5D6C">
          <w:rPr>
            <w:noProof/>
            <w:webHidden/>
          </w:rPr>
          <w:fldChar w:fldCharType="separate"/>
        </w:r>
        <w:r>
          <w:rPr>
            <w:noProof/>
            <w:webHidden/>
          </w:rPr>
          <w:t>10</w:t>
        </w:r>
        <w:r w:rsidR="003E5D6C">
          <w:rPr>
            <w:noProof/>
            <w:webHidden/>
          </w:rPr>
          <w:fldChar w:fldCharType="end"/>
        </w:r>
      </w:hyperlink>
    </w:p>
    <w:p w:rsidR="003E5D6C" w:rsidRDefault="008427E2">
      <w:pPr>
        <w:pStyle w:val="TOC3"/>
        <w:tabs>
          <w:tab w:val="left" w:pos="1100"/>
          <w:tab w:val="right" w:leader="dot" w:pos="9072"/>
        </w:tabs>
        <w:rPr>
          <w:rFonts w:eastAsiaTheme="minorEastAsia" w:cstheme="minorBidi"/>
          <w:noProof/>
          <w:lang w:eastAsia="en-NZ" w:bidi="ar-SA"/>
        </w:rPr>
      </w:pPr>
      <w:hyperlink w:anchor="_Toc493680292" w:history="1">
        <w:r w:rsidR="003E5D6C" w:rsidRPr="00CF73C9">
          <w:rPr>
            <w:rStyle w:val="Hyperlink"/>
            <w:noProof/>
          </w:rPr>
          <w:t>4.1</w:t>
        </w:r>
        <w:r w:rsidR="003E5D6C">
          <w:rPr>
            <w:rFonts w:eastAsiaTheme="minorEastAsia" w:cstheme="minorBidi"/>
            <w:noProof/>
            <w:lang w:eastAsia="en-NZ" w:bidi="ar-SA"/>
          </w:rPr>
          <w:tab/>
        </w:r>
        <w:r w:rsidR="003E5D6C" w:rsidRPr="00CF73C9">
          <w:rPr>
            <w:rStyle w:val="Hyperlink"/>
            <w:noProof/>
          </w:rPr>
          <w:t>Number of complaints closed</w:t>
        </w:r>
        <w:r w:rsidR="003E5D6C">
          <w:rPr>
            <w:noProof/>
            <w:webHidden/>
          </w:rPr>
          <w:tab/>
        </w:r>
        <w:r w:rsidR="003E5D6C">
          <w:rPr>
            <w:noProof/>
            <w:webHidden/>
          </w:rPr>
          <w:fldChar w:fldCharType="begin"/>
        </w:r>
        <w:r w:rsidR="003E5D6C">
          <w:rPr>
            <w:noProof/>
            <w:webHidden/>
          </w:rPr>
          <w:instrText xml:space="preserve"> PAGEREF _Toc493680292 \h </w:instrText>
        </w:r>
        <w:r w:rsidR="003E5D6C">
          <w:rPr>
            <w:noProof/>
            <w:webHidden/>
          </w:rPr>
        </w:r>
        <w:r w:rsidR="003E5D6C">
          <w:rPr>
            <w:noProof/>
            <w:webHidden/>
          </w:rPr>
          <w:fldChar w:fldCharType="separate"/>
        </w:r>
        <w:r>
          <w:rPr>
            <w:noProof/>
            <w:webHidden/>
          </w:rPr>
          <w:t>10</w:t>
        </w:r>
        <w:r w:rsidR="003E5D6C">
          <w:rPr>
            <w:noProof/>
            <w:webHidden/>
          </w:rPr>
          <w:fldChar w:fldCharType="end"/>
        </w:r>
      </w:hyperlink>
    </w:p>
    <w:p w:rsidR="003E5D6C" w:rsidRDefault="008427E2">
      <w:pPr>
        <w:pStyle w:val="TOC3"/>
        <w:tabs>
          <w:tab w:val="left" w:pos="1100"/>
          <w:tab w:val="right" w:leader="dot" w:pos="9072"/>
        </w:tabs>
        <w:rPr>
          <w:rFonts w:eastAsiaTheme="minorEastAsia" w:cstheme="minorBidi"/>
          <w:noProof/>
          <w:lang w:eastAsia="en-NZ" w:bidi="ar-SA"/>
        </w:rPr>
      </w:pPr>
      <w:hyperlink w:anchor="_Toc493680293" w:history="1">
        <w:r w:rsidR="003E5D6C" w:rsidRPr="00CF73C9">
          <w:rPr>
            <w:rStyle w:val="Hyperlink"/>
            <w:noProof/>
          </w:rPr>
          <w:t>4.2</w:t>
        </w:r>
        <w:r w:rsidR="003E5D6C">
          <w:rPr>
            <w:rFonts w:eastAsiaTheme="minorEastAsia" w:cstheme="minorBidi"/>
            <w:noProof/>
            <w:lang w:eastAsia="en-NZ" w:bidi="ar-SA"/>
          </w:rPr>
          <w:tab/>
        </w:r>
        <w:r w:rsidR="003E5D6C" w:rsidRPr="00CF73C9">
          <w:rPr>
            <w:rStyle w:val="Hyperlink"/>
            <w:noProof/>
          </w:rPr>
          <w:t>Outcomes of complaints closed</w:t>
        </w:r>
        <w:r w:rsidR="003E5D6C">
          <w:rPr>
            <w:noProof/>
            <w:webHidden/>
          </w:rPr>
          <w:tab/>
        </w:r>
        <w:r w:rsidR="003E5D6C">
          <w:rPr>
            <w:noProof/>
            <w:webHidden/>
          </w:rPr>
          <w:fldChar w:fldCharType="begin"/>
        </w:r>
        <w:r w:rsidR="003E5D6C">
          <w:rPr>
            <w:noProof/>
            <w:webHidden/>
          </w:rPr>
          <w:instrText xml:space="preserve"> PAGEREF _Toc493680293 \h </w:instrText>
        </w:r>
        <w:r w:rsidR="003E5D6C">
          <w:rPr>
            <w:noProof/>
            <w:webHidden/>
          </w:rPr>
        </w:r>
        <w:r w:rsidR="003E5D6C">
          <w:rPr>
            <w:noProof/>
            <w:webHidden/>
          </w:rPr>
          <w:fldChar w:fldCharType="separate"/>
        </w:r>
        <w:r>
          <w:rPr>
            <w:noProof/>
            <w:webHidden/>
          </w:rPr>
          <w:t>11</w:t>
        </w:r>
        <w:r w:rsidR="003E5D6C">
          <w:rPr>
            <w:noProof/>
            <w:webHidden/>
          </w:rPr>
          <w:fldChar w:fldCharType="end"/>
        </w:r>
      </w:hyperlink>
    </w:p>
    <w:p w:rsidR="003E5D6C" w:rsidRDefault="008427E2">
      <w:pPr>
        <w:pStyle w:val="TOC3"/>
        <w:tabs>
          <w:tab w:val="left" w:pos="1100"/>
          <w:tab w:val="right" w:leader="dot" w:pos="9072"/>
        </w:tabs>
        <w:rPr>
          <w:rFonts w:eastAsiaTheme="minorEastAsia" w:cstheme="minorBidi"/>
          <w:noProof/>
          <w:lang w:eastAsia="en-NZ" w:bidi="ar-SA"/>
        </w:rPr>
      </w:pPr>
      <w:hyperlink w:anchor="_Toc493680294" w:history="1">
        <w:r w:rsidR="003E5D6C" w:rsidRPr="00CF73C9">
          <w:rPr>
            <w:rStyle w:val="Hyperlink"/>
            <w:noProof/>
            <w:lang w:eastAsia="en-NZ"/>
          </w:rPr>
          <w:t xml:space="preserve">4.3 </w:t>
        </w:r>
        <w:r w:rsidR="003E5D6C">
          <w:rPr>
            <w:rFonts w:eastAsiaTheme="minorEastAsia" w:cstheme="minorBidi"/>
            <w:noProof/>
            <w:lang w:eastAsia="en-NZ" w:bidi="ar-SA"/>
          </w:rPr>
          <w:tab/>
        </w:r>
        <w:r w:rsidR="003E5D6C" w:rsidRPr="00CF73C9">
          <w:rPr>
            <w:rStyle w:val="Hyperlink"/>
            <w:noProof/>
          </w:rPr>
          <w:t>Recommendations</w:t>
        </w:r>
        <w:r w:rsidR="003E5D6C" w:rsidRPr="00CF73C9">
          <w:rPr>
            <w:rStyle w:val="Hyperlink"/>
            <w:noProof/>
            <w:lang w:eastAsia="en-NZ"/>
          </w:rPr>
          <w:t xml:space="preserve"> made to DHBs following a complaint</w:t>
        </w:r>
        <w:r w:rsidR="003E5D6C">
          <w:rPr>
            <w:noProof/>
            <w:webHidden/>
          </w:rPr>
          <w:tab/>
        </w:r>
        <w:r w:rsidR="003E5D6C">
          <w:rPr>
            <w:noProof/>
            <w:webHidden/>
          </w:rPr>
          <w:fldChar w:fldCharType="begin"/>
        </w:r>
        <w:r w:rsidR="003E5D6C">
          <w:rPr>
            <w:noProof/>
            <w:webHidden/>
          </w:rPr>
          <w:instrText xml:space="preserve"> PAGEREF _Toc493680294 \h </w:instrText>
        </w:r>
        <w:r w:rsidR="003E5D6C">
          <w:rPr>
            <w:noProof/>
            <w:webHidden/>
          </w:rPr>
        </w:r>
        <w:r w:rsidR="003E5D6C">
          <w:rPr>
            <w:noProof/>
            <w:webHidden/>
          </w:rPr>
          <w:fldChar w:fldCharType="separate"/>
        </w:r>
        <w:r>
          <w:rPr>
            <w:noProof/>
            <w:webHidden/>
          </w:rPr>
          <w:t>12</w:t>
        </w:r>
        <w:r w:rsidR="003E5D6C">
          <w:rPr>
            <w:noProof/>
            <w:webHidden/>
          </w:rPr>
          <w:fldChar w:fldCharType="end"/>
        </w:r>
      </w:hyperlink>
    </w:p>
    <w:p w:rsidR="003E5D6C" w:rsidRDefault="008427E2">
      <w:pPr>
        <w:pStyle w:val="TOC2"/>
        <w:tabs>
          <w:tab w:val="left" w:pos="880"/>
          <w:tab w:val="right" w:leader="dot" w:pos="9072"/>
        </w:tabs>
        <w:rPr>
          <w:rFonts w:eastAsiaTheme="minorEastAsia" w:cstheme="minorBidi"/>
          <w:b w:val="0"/>
          <w:noProof/>
          <w:lang w:eastAsia="en-NZ" w:bidi="ar-SA"/>
        </w:rPr>
      </w:pPr>
      <w:hyperlink w:anchor="_Toc493680295" w:history="1">
        <w:r w:rsidR="003E5D6C" w:rsidRPr="00CF73C9">
          <w:rPr>
            <w:rStyle w:val="Hyperlink"/>
            <w:noProof/>
          </w:rPr>
          <w:t>5.0</w:t>
        </w:r>
        <w:r w:rsidR="003E5D6C">
          <w:rPr>
            <w:rFonts w:eastAsiaTheme="minorEastAsia" w:cstheme="minorBidi"/>
            <w:b w:val="0"/>
            <w:noProof/>
            <w:lang w:eastAsia="en-NZ" w:bidi="ar-SA"/>
          </w:rPr>
          <w:tab/>
        </w:r>
        <w:r w:rsidR="003E5D6C" w:rsidRPr="00CF73C9">
          <w:rPr>
            <w:rStyle w:val="Hyperlink"/>
            <w:noProof/>
          </w:rPr>
          <w:t>Learning from complaints — HDC case reports</w:t>
        </w:r>
        <w:r w:rsidR="003E5D6C">
          <w:rPr>
            <w:noProof/>
            <w:webHidden/>
          </w:rPr>
          <w:tab/>
        </w:r>
        <w:r w:rsidR="003E5D6C">
          <w:rPr>
            <w:noProof/>
            <w:webHidden/>
          </w:rPr>
          <w:fldChar w:fldCharType="begin"/>
        </w:r>
        <w:r w:rsidR="003E5D6C">
          <w:rPr>
            <w:noProof/>
            <w:webHidden/>
          </w:rPr>
          <w:instrText xml:space="preserve"> PAGEREF _Toc493680295 \h </w:instrText>
        </w:r>
        <w:r w:rsidR="003E5D6C">
          <w:rPr>
            <w:noProof/>
            <w:webHidden/>
          </w:rPr>
        </w:r>
        <w:r w:rsidR="003E5D6C">
          <w:rPr>
            <w:noProof/>
            <w:webHidden/>
          </w:rPr>
          <w:fldChar w:fldCharType="separate"/>
        </w:r>
        <w:r>
          <w:rPr>
            <w:noProof/>
            <w:webHidden/>
          </w:rPr>
          <w:t>13</w:t>
        </w:r>
        <w:r w:rsidR="003E5D6C">
          <w:rPr>
            <w:noProof/>
            <w:webHidden/>
          </w:rPr>
          <w:fldChar w:fldCharType="end"/>
        </w:r>
      </w:hyperlink>
    </w:p>
    <w:p w:rsidR="00540FA4" w:rsidRDefault="00540FA4" w:rsidP="00540FA4">
      <w:pPr>
        <w:jc w:val="left"/>
        <w:rPr>
          <w:b/>
          <w:color w:val="000000" w:themeColor="text1"/>
          <w:sz w:val="32"/>
          <w:szCs w:val="32"/>
        </w:rPr>
      </w:pPr>
      <w:r>
        <w:rPr>
          <w:b/>
          <w:color w:val="000000" w:themeColor="text1"/>
          <w:sz w:val="32"/>
          <w:szCs w:val="32"/>
        </w:rPr>
        <w:fldChar w:fldCharType="end"/>
      </w:r>
    </w:p>
    <w:p w:rsidR="00540FA4" w:rsidRDefault="00540FA4" w:rsidP="00540FA4">
      <w:pPr>
        <w:jc w:val="left"/>
        <w:rPr>
          <w:b/>
          <w:color w:val="000000" w:themeColor="text1"/>
          <w:sz w:val="32"/>
          <w:szCs w:val="32"/>
        </w:rPr>
        <w:sectPr w:rsidR="00540FA4" w:rsidSect="00540962">
          <w:headerReference w:type="default" r:id="rId12"/>
          <w:footerReference w:type="default" r:id="rId13"/>
          <w:headerReference w:type="first" r:id="rId14"/>
          <w:footerReference w:type="first" r:id="rId15"/>
          <w:pgSz w:w="11906" w:h="16838" w:code="9"/>
          <w:pgMar w:top="1140" w:right="1412" w:bottom="851" w:left="1412" w:header="720" w:footer="590" w:gutter="0"/>
          <w:pgNumType w:fmt="lowerRoman" w:start="1"/>
          <w:cols w:space="720"/>
          <w:titlePg/>
          <w:docGrid w:linePitch="360"/>
        </w:sectPr>
      </w:pPr>
    </w:p>
    <w:p w:rsidR="00D86226" w:rsidRDefault="006C6BDE" w:rsidP="00D86226">
      <w:pPr>
        <w:pStyle w:val="Heading1"/>
        <w:spacing w:before="240"/>
        <w:rPr>
          <w:lang w:val="en-NZ"/>
        </w:rPr>
      </w:pPr>
      <w:bookmarkStart w:id="0" w:name="_Toc426462625"/>
      <w:bookmarkStart w:id="1" w:name="_Toc384047606"/>
      <w:bookmarkStart w:id="2" w:name="_Toc443992220"/>
      <w:bookmarkStart w:id="3" w:name="_Toc447291466"/>
      <w:bookmarkStart w:id="4" w:name="_Toc447527523"/>
      <w:bookmarkStart w:id="5" w:name="_Toc426462636"/>
      <w:bookmarkStart w:id="6" w:name="_Toc415221218"/>
      <w:bookmarkStart w:id="7" w:name="_Toc415153517"/>
      <w:bookmarkStart w:id="8" w:name="_Toc415147243"/>
      <w:bookmarkStart w:id="9" w:name="_Toc415135529"/>
      <w:bookmarkStart w:id="10" w:name="_Toc415046457"/>
      <w:bookmarkStart w:id="11" w:name="_Toc415039801"/>
      <w:bookmarkStart w:id="12" w:name="_Toc414952830"/>
      <w:bookmarkStart w:id="13" w:name="_Toc414886545"/>
      <w:bookmarkStart w:id="14" w:name="_Toc414875835"/>
      <w:bookmarkStart w:id="15" w:name="_Toc414461837"/>
      <w:bookmarkStart w:id="16" w:name="_Toc414442656"/>
      <w:bookmarkStart w:id="17" w:name="_Toc383707794"/>
      <w:r>
        <w:rPr>
          <w:lang w:val="en-NZ"/>
        </w:rPr>
        <w:lastRenderedPageBreak/>
        <w:t xml:space="preserve"> </w:t>
      </w:r>
      <w:bookmarkStart w:id="18" w:name="_Toc493680280"/>
      <w:bookmarkStart w:id="19" w:name="_Toc4936841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D86226">
        <w:rPr>
          <w:lang w:val="en-NZ"/>
        </w:rPr>
        <w:t>Commissioner’s Foreword</w:t>
      </w:r>
      <w:bookmarkEnd w:id="18"/>
      <w:bookmarkEnd w:id="19"/>
    </w:p>
    <w:p w:rsidR="00D86226" w:rsidRPr="003E5D6C" w:rsidRDefault="00D86226" w:rsidP="00D86226">
      <w:r w:rsidRPr="003E5D6C">
        <w:t>I am pleased to present you with HDC’s second six monthly DHB complaint report for the 2016/2017 year.</w:t>
      </w:r>
    </w:p>
    <w:p w:rsidR="00D86226" w:rsidRPr="003E5D6C" w:rsidRDefault="00D86226" w:rsidP="00D86226">
      <w:pPr>
        <w:rPr>
          <w:lang w:bidi="ar-SA"/>
        </w:rPr>
      </w:pPr>
    </w:p>
    <w:p w:rsidR="00D86226" w:rsidRPr="003E5D6C" w:rsidRDefault="00D86226" w:rsidP="00D86226">
      <w:pPr>
        <w:rPr>
          <w:lang w:bidi="ar-SA"/>
        </w:rPr>
      </w:pPr>
      <w:r w:rsidRPr="003E5D6C">
        <w:rPr>
          <w:lang w:bidi="ar-SA"/>
        </w:rPr>
        <w:t>Complaints to HDC about DHBs increased by 24% in the second half of 2016/2017, with this being the largest number of complaints ever received by HDC about DHBs in a six-month period.</w:t>
      </w:r>
      <w:r w:rsidR="00313D46">
        <w:rPr>
          <w:lang w:bidi="ar-SA"/>
        </w:rPr>
        <w:t xml:space="preserve"> This increase in complaints wa</w:t>
      </w:r>
      <w:r>
        <w:rPr>
          <w:lang w:bidi="ar-SA"/>
        </w:rPr>
        <w:t xml:space="preserve">s, however, generally in line with the overall increase in complaints to HDC, with DHBs continuing to make up around 40% of all complaints received by HDC. </w:t>
      </w:r>
      <w:r w:rsidRPr="003E5D6C">
        <w:rPr>
          <w:lang w:bidi="ar-SA"/>
        </w:rPr>
        <w:t xml:space="preserve"> </w:t>
      </w:r>
      <w:r>
        <w:rPr>
          <w:lang w:bidi="ar-SA"/>
        </w:rPr>
        <w:t>The</w:t>
      </w:r>
      <w:r w:rsidRPr="003E5D6C">
        <w:rPr>
          <w:lang w:bidi="ar-SA"/>
        </w:rPr>
        <w:t xml:space="preserve"> trends in complaints about DHBs</w:t>
      </w:r>
      <w:r>
        <w:rPr>
          <w:lang w:bidi="ar-SA"/>
        </w:rPr>
        <w:t xml:space="preserve"> in Jan-Jun 2017 have</w:t>
      </w:r>
      <w:r w:rsidRPr="003E5D6C">
        <w:rPr>
          <w:lang w:bidi="ar-SA"/>
        </w:rPr>
        <w:t xml:space="preserve"> remained broadly consistent</w:t>
      </w:r>
      <w:r>
        <w:rPr>
          <w:lang w:bidi="ar-SA"/>
        </w:rPr>
        <w:t xml:space="preserve"> with previous periods</w:t>
      </w:r>
      <w:r w:rsidRPr="003E5D6C">
        <w:rPr>
          <w:lang w:bidi="ar-SA"/>
        </w:rPr>
        <w:t>. Surgery, general medicine and mental health</w:t>
      </w:r>
      <w:r>
        <w:rPr>
          <w:lang w:bidi="ar-SA"/>
        </w:rPr>
        <w:t xml:space="preserve"> have</w:t>
      </w:r>
      <w:r w:rsidRPr="003E5D6C">
        <w:rPr>
          <w:lang w:bidi="ar-SA"/>
        </w:rPr>
        <w:t xml:space="preserve"> remained the most commonly complained about service types at DHBs</w:t>
      </w:r>
      <w:r>
        <w:rPr>
          <w:lang w:bidi="ar-SA"/>
        </w:rPr>
        <w:t>,</w:t>
      </w:r>
      <w:r w:rsidRPr="003E5D6C">
        <w:rPr>
          <w:lang w:bidi="ar-SA"/>
        </w:rPr>
        <w:t xml:space="preserve"> and misdiagnosis</w:t>
      </w:r>
      <w:r>
        <w:rPr>
          <w:lang w:bidi="ar-SA"/>
        </w:rPr>
        <w:t xml:space="preserve"> was again </w:t>
      </w:r>
      <w:r w:rsidRPr="003E5D6C">
        <w:rPr>
          <w:lang w:bidi="ar-SA"/>
        </w:rPr>
        <w:t>the most commonly comp</w:t>
      </w:r>
      <w:r>
        <w:rPr>
          <w:lang w:bidi="ar-SA"/>
        </w:rPr>
        <w:t>lained about primary issue. W</w:t>
      </w:r>
      <w:r w:rsidRPr="003E5D6C">
        <w:rPr>
          <w:lang w:bidi="ar-SA"/>
        </w:rPr>
        <w:t>aiting list/prioritisation issue</w:t>
      </w:r>
      <w:r>
        <w:rPr>
          <w:lang w:bidi="ar-SA"/>
        </w:rPr>
        <w:t>s</w:t>
      </w:r>
      <w:r w:rsidRPr="003E5D6C">
        <w:rPr>
          <w:lang w:bidi="ar-SA"/>
        </w:rPr>
        <w:t xml:space="preserve"> became the second most commonly complained about</w:t>
      </w:r>
      <w:r>
        <w:rPr>
          <w:lang w:bidi="ar-SA"/>
        </w:rPr>
        <w:t xml:space="preserve"> primary issue for DHBs for the</w:t>
      </w:r>
      <w:r w:rsidRPr="003E5D6C">
        <w:rPr>
          <w:lang w:bidi="ar-SA"/>
        </w:rPr>
        <w:t xml:space="preserve"> first time in Jan-Jun 2017</w:t>
      </w:r>
      <w:r>
        <w:rPr>
          <w:lang w:bidi="ar-SA"/>
        </w:rPr>
        <w:t>.</w:t>
      </w:r>
    </w:p>
    <w:p w:rsidR="00D86226" w:rsidRPr="003E5D6C" w:rsidRDefault="00D86226" w:rsidP="00D86226">
      <w:pPr>
        <w:rPr>
          <w:lang w:bidi="ar-SA"/>
        </w:rPr>
      </w:pPr>
    </w:p>
    <w:p w:rsidR="00D86226" w:rsidRPr="003E5D6C" w:rsidRDefault="00D86226" w:rsidP="00D86226">
      <w:pPr>
        <w:rPr>
          <w:lang w:bidi="ar-SA"/>
        </w:rPr>
      </w:pPr>
      <w:r w:rsidRPr="003E5D6C">
        <w:rPr>
          <w:lang w:bidi="ar-SA"/>
        </w:rPr>
        <w:t>Almost a fifth of complaints about DHB services are complaints where the complainant first complained direct</w:t>
      </w:r>
      <w:r w:rsidR="00CF2B9C">
        <w:rPr>
          <w:lang w:bidi="ar-SA"/>
        </w:rPr>
        <w:t>ly to the DHB, and then, considering</w:t>
      </w:r>
      <w:r w:rsidRPr="003E5D6C">
        <w:rPr>
          <w:lang w:bidi="ar-SA"/>
        </w:rPr>
        <w:t xml:space="preserve"> the DHB’s response to be inadequate, complained to HDC. All healthcare organisations should have a clear, visible and accessible complaints process that welcomes complaints from both consumers and staff. Individual staff should be encouraged to take personal responsibility for adopting a proactive and positive approach to dealing wit</w:t>
      </w:r>
      <w:r w:rsidR="00CF2B9C">
        <w:rPr>
          <w:lang w:bidi="ar-SA"/>
        </w:rPr>
        <w:t xml:space="preserve">h and responding to complaints. </w:t>
      </w:r>
      <w:r w:rsidRPr="003E5D6C">
        <w:rPr>
          <w:lang w:bidi="ar-SA"/>
        </w:rPr>
        <w:t>Complaints should be reinforced as a learning opportunity to staff and</w:t>
      </w:r>
      <w:r>
        <w:rPr>
          <w:lang w:bidi="ar-SA"/>
        </w:rPr>
        <w:t xml:space="preserve"> as</w:t>
      </w:r>
      <w:r w:rsidRPr="003E5D6C">
        <w:rPr>
          <w:lang w:bidi="ar-SA"/>
        </w:rPr>
        <w:t xml:space="preserve"> a chance to review and improve their practice. </w:t>
      </w:r>
    </w:p>
    <w:p w:rsidR="00D86226" w:rsidRPr="003E5D6C" w:rsidRDefault="00D86226" w:rsidP="00D86226">
      <w:pPr>
        <w:rPr>
          <w:lang w:bidi="ar-SA"/>
        </w:rPr>
      </w:pPr>
    </w:p>
    <w:p w:rsidR="00D86226" w:rsidRPr="003E5D6C" w:rsidRDefault="00D86226" w:rsidP="00D86226">
      <w:pPr>
        <w:rPr>
          <w:lang w:bidi="ar-SA"/>
        </w:rPr>
      </w:pPr>
      <w:r w:rsidRPr="003E5D6C">
        <w:rPr>
          <w:lang w:bidi="ar-SA"/>
        </w:rPr>
        <w:t xml:space="preserve">One of HDC’s strategic priorities for the 2016/2017 year was to work with DHBs to improve their complaints processes so that complaints are resolved at the lowest appropriate level. In line with this priority HDC continues to conduct complaint management workshops for DHBs. These workshops are targeted at front-line staff who deal with complaints as they happen. These workshops aim to increase the confidence of staff and their capability to resolve and learn from complaints. </w:t>
      </w:r>
      <w:r w:rsidRPr="003E5D6C">
        <w:rPr>
          <w:szCs w:val="22"/>
          <w:lang w:val="en-US"/>
        </w:rPr>
        <w:t xml:space="preserve">As complaint volumes continue to rise, I encourage all providers to consider how best to equip their staff to manage complaints well.  </w:t>
      </w:r>
    </w:p>
    <w:p w:rsidR="00D86226" w:rsidRDefault="00D86226" w:rsidP="00D86226">
      <w:pPr>
        <w:jc w:val="left"/>
        <w:rPr>
          <w:lang w:bidi="ar-SA"/>
        </w:rPr>
      </w:pPr>
    </w:p>
    <w:p w:rsidR="00D86226" w:rsidRDefault="00D86226" w:rsidP="00D86226">
      <w:pPr>
        <w:jc w:val="left"/>
        <w:rPr>
          <w:lang w:bidi="ar-SA"/>
        </w:rPr>
      </w:pPr>
    </w:p>
    <w:p w:rsidR="00D86226" w:rsidRPr="006E1CA7" w:rsidRDefault="00D86226" w:rsidP="00D86226">
      <w:pPr>
        <w:jc w:val="left"/>
        <w:rPr>
          <w:b/>
          <w:lang w:val="en-US"/>
        </w:rPr>
      </w:pPr>
      <w:r>
        <w:rPr>
          <w:lang w:val="en-US"/>
        </w:rPr>
        <w:t>Anthony Hill</w:t>
      </w:r>
      <w:r>
        <w:rPr>
          <w:lang w:val="en-US"/>
        </w:rPr>
        <w:br/>
      </w:r>
      <w:r w:rsidRPr="006E1CA7">
        <w:rPr>
          <w:b/>
          <w:lang w:val="en-US"/>
        </w:rPr>
        <w:t>Health and Disability Commissioner</w:t>
      </w:r>
    </w:p>
    <w:p w:rsidR="00D86226" w:rsidRDefault="00D86226" w:rsidP="00D86226">
      <w:pPr>
        <w:jc w:val="left"/>
        <w:sectPr w:rsidR="00D86226">
          <w:pgSz w:w="11906" w:h="16838"/>
          <w:pgMar w:top="1140" w:right="1412" w:bottom="851" w:left="1412" w:header="720" w:footer="590" w:gutter="0"/>
          <w:pgNumType w:fmt="lowerRoman"/>
          <w:cols w:space="720"/>
        </w:sectPr>
      </w:pPr>
    </w:p>
    <w:p w:rsidR="00D86226" w:rsidRDefault="00D86226" w:rsidP="00D86226">
      <w:pPr>
        <w:pStyle w:val="Heading1"/>
        <w:spacing w:before="240"/>
        <w:rPr>
          <w:lang w:val="en-NZ"/>
        </w:rPr>
      </w:pPr>
      <w:bookmarkStart w:id="20" w:name="_Toc426462626"/>
      <w:bookmarkStart w:id="21" w:name="_Toc443992221"/>
      <w:bookmarkStart w:id="22" w:name="_Toc447291467"/>
      <w:bookmarkStart w:id="23" w:name="_Toc447527524"/>
      <w:bookmarkStart w:id="24" w:name="_Toc493680281"/>
      <w:bookmarkStart w:id="25" w:name="_Toc493684122"/>
      <w:r>
        <w:rPr>
          <w:lang w:val="en-NZ"/>
        </w:rPr>
        <w:lastRenderedPageBreak/>
        <w:t>National Data for all District Health Boards</w:t>
      </w:r>
      <w:bookmarkEnd w:id="20"/>
      <w:bookmarkEnd w:id="21"/>
      <w:bookmarkEnd w:id="22"/>
      <w:bookmarkEnd w:id="23"/>
      <w:bookmarkEnd w:id="24"/>
      <w:bookmarkEnd w:id="25"/>
    </w:p>
    <w:p w:rsidR="00D86226" w:rsidRDefault="00D86226" w:rsidP="00D86226">
      <w:pPr>
        <w:pStyle w:val="Heading2"/>
        <w:spacing w:before="120"/>
        <w:rPr>
          <w:lang w:val="en-NZ"/>
        </w:rPr>
      </w:pPr>
      <w:bookmarkStart w:id="26" w:name="_Toc426462627"/>
      <w:bookmarkStart w:id="27" w:name="_Toc443992222"/>
      <w:bookmarkStart w:id="28" w:name="_Toc447291468"/>
      <w:bookmarkStart w:id="29" w:name="_Toc447527525"/>
      <w:bookmarkStart w:id="30" w:name="_Toc493680282"/>
      <w:bookmarkStart w:id="31" w:name="_Toc493684123"/>
      <w:r>
        <w:rPr>
          <w:lang w:val="en-NZ"/>
        </w:rPr>
        <w:t>1.0</w:t>
      </w:r>
      <w:r>
        <w:rPr>
          <w:lang w:val="en-NZ"/>
        </w:rPr>
        <w:tab/>
        <w:t>Number of complaints received</w:t>
      </w:r>
      <w:bookmarkEnd w:id="26"/>
      <w:bookmarkEnd w:id="27"/>
      <w:bookmarkEnd w:id="28"/>
      <w:bookmarkEnd w:id="29"/>
      <w:bookmarkEnd w:id="30"/>
      <w:bookmarkEnd w:id="31"/>
    </w:p>
    <w:p w:rsidR="00D86226" w:rsidRDefault="00D86226" w:rsidP="00D86226">
      <w:pPr>
        <w:pStyle w:val="Heading3"/>
        <w:spacing w:after="120"/>
      </w:pPr>
      <w:bookmarkStart w:id="32" w:name="_Toc426462628"/>
      <w:bookmarkStart w:id="33" w:name="_Toc443992223"/>
      <w:bookmarkStart w:id="34" w:name="_Toc447291469"/>
      <w:bookmarkStart w:id="35" w:name="_Toc447527526"/>
      <w:bookmarkStart w:id="36" w:name="_Toc493680283"/>
      <w:bookmarkStart w:id="37" w:name="_Toc493684124"/>
      <w:r>
        <w:t xml:space="preserve">1.1 </w:t>
      </w:r>
      <w:r>
        <w:tab/>
        <w:t>Raw number of complaints received</w:t>
      </w:r>
      <w:bookmarkEnd w:id="32"/>
      <w:bookmarkEnd w:id="33"/>
      <w:bookmarkEnd w:id="34"/>
      <w:bookmarkEnd w:id="35"/>
      <w:bookmarkEnd w:id="36"/>
      <w:bookmarkEnd w:id="37"/>
      <w:r>
        <w:t xml:space="preserve"> </w:t>
      </w:r>
    </w:p>
    <w:p w:rsidR="00D86226" w:rsidRDefault="00D86226" w:rsidP="00D86226">
      <w:r>
        <w:t xml:space="preserve">In the period </w:t>
      </w:r>
      <w:r>
        <w:rPr>
          <w:lang w:eastAsia="en-NZ" w:bidi="ar-SA"/>
        </w:rPr>
        <w:t>Jan–Jun 2017</w:t>
      </w:r>
      <w:r>
        <w:t xml:space="preserve">, HDC received a total of </w:t>
      </w:r>
      <w:r w:rsidR="00411DA0">
        <w:rPr>
          <w:b/>
        </w:rPr>
        <w:t>477</w:t>
      </w:r>
      <w:r>
        <w:rPr>
          <w:rStyle w:val="FootnoteReference"/>
          <w:b/>
        </w:rPr>
        <w:footnoteReference w:id="1"/>
      </w:r>
      <w:r>
        <w:t xml:space="preserve"> complaints about care provided by District Health Boards. Numbers of complaints received in previous six month periods are reported in Table 1.</w:t>
      </w:r>
    </w:p>
    <w:p w:rsidR="00D86226" w:rsidRDefault="00D86226" w:rsidP="00D86226"/>
    <w:p w:rsidR="00D86226" w:rsidRDefault="00D86226" w:rsidP="00D86226">
      <w:pPr>
        <w:spacing w:after="120"/>
        <w:rPr>
          <w:b/>
        </w:rPr>
      </w:pPr>
      <w:r>
        <w:rPr>
          <w:b/>
        </w:rPr>
        <w:t xml:space="preserve">Table 1. </w:t>
      </w:r>
      <w:r>
        <w:t>Number of complaints received</w:t>
      </w:r>
      <w:r>
        <w:rPr>
          <w:rStyle w:val="NoSpacingChar"/>
        </w:rPr>
        <w:t xml:space="preserve"> in the last five years</w:t>
      </w:r>
    </w:p>
    <w:tbl>
      <w:tblPr>
        <w:tblStyle w:val="TableGrid"/>
        <w:tblpPr w:leftFromText="180" w:rightFromText="180" w:vertAnchor="text" w:horzAnchor="margin" w:tblpX="114" w:tblpY="105"/>
        <w:tblW w:w="4900" w:type="pct"/>
        <w:tblLook w:val="04A0" w:firstRow="1" w:lastRow="0" w:firstColumn="1" w:lastColumn="0" w:noHBand="0" w:noVBand="1"/>
      </w:tblPr>
      <w:tblGrid>
        <w:gridCol w:w="1227"/>
        <w:gridCol w:w="703"/>
        <w:gridCol w:w="588"/>
        <w:gridCol w:w="700"/>
        <w:gridCol w:w="701"/>
        <w:gridCol w:w="701"/>
        <w:gridCol w:w="701"/>
        <w:gridCol w:w="703"/>
        <w:gridCol w:w="701"/>
        <w:gridCol w:w="701"/>
        <w:gridCol w:w="995"/>
        <w:gridCol w:w="691"/>
      </w:tblGrid>
      <w:tr w:rsidR="00D86226" w:rsidTr="00D86226">
        <w:tc>
          <w:tcPr>
            <w:tcW w:w="675" w:type="pct"/>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left"/>
              <w:rPr>
                <w:rFonts w:ascii="Calibri" w:hAnsi="Calibri"/>
                <w:b/>
                <w:sz w:val="20"/>
                <w:szCs w:val="20"/>
              </w:rPr>
            </w:pPr>
          </w:p>
          <w:p w:rsidR="00D86226" w:rsidRDefault="00D86226" w:rsidP="00D86226">
            <w:pPr>
              <w:keepNext/>
              <w:keepLines/>
              <w:jc w:val="left"/>
              <w:rPr>
                <w:rFonts w:ascii="Calibri" w:hAnsi="Calibri"/>
                <w:b/>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b/>
                <w:sz w:val="20"/>
                <w:szCs w:val="20"/>
              </w:rPr>
            </w:pPr>
            <w:r>
              <w:rPr>
                <w:rFonts w:ascii="Calibri" w:hAnsi="Calibri"/>
                <w:b/>
                <w:sz w:val="20"/>
                <w:szCs w:val="20"/>
              </w:rPr>
              <w:t>Jul–Dec 12</w:t>
            </w:r>
          </w:p>
        </w:tc>
        <w:tc>
          <w:tcPr>
            <w:tcW w:w="30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b/>
                <w:sz w:val="20"/>
                <w:szCs w:val="20"/>
              </w:rPr>
            </w:pPr>
            <w:r>
              <w:rPr>
                <w:rFonts w:ascii="Calibri" w:hAnsi="Calibri"/>
                <w:b/>
                <w:sz w:val="20"/>
                <w:szCs w:val="20"/>
              </w:rPr>
              <w:t>Jan–Jun 13</w:t>
            </w:r>
          </w:p>
        </w:tc>
        <w:tc>
          <w:tcPr>
            <w:tcW w:w="385"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Jul–Dec 13</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 xml:space="preserve">Jan–Jun </w:t>
            </w:r>
            <w:r>
              <w:rPr>
                <w:rFonts w:ascii="Calibri" w:hAnsi="Calibri"/>
                <w:b/>
                <w:sz w:val="20"/>
                <w:szCs w:val="20"/>
              </w:rPr>
              <w:br/>
              <w:t>14</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 xml:space="preserve">Jul–Dec </w:t>
            </w:r>
            <w:r>
              <w:rPr>
                <w:rFonts w:ascii="Calibri" w:hAnsi="Calibri"/>
                <w:b/>
                <w:sz w:val="20"/>
                <w:szCs w:val="20"/>
              </w:rPr>
              <w:br/>
              <w:t>14</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 xml:space="preserve">Jan–Jun </w:t>
            </w:r>
            <w:r>
              <w:rPr>
                <w:rFonts w:ascii="Calibri" w:hAnsi="Calibri"/>
                <w:b/>
                <w:sz w:val="20"/>
                <w:szCs w:val="20"/>
              </w:rPr>
              <w:br/>
              <w:t>15</w:t>
            </w:r>
          </w:p>
        </w:tc>
        <w:tc>
          <w:tcPr>
            <w:tcW w:w="387"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 xml:space="preserve">Jul–Dec </w:t>
            </w:r>
            <w:r>
              <w:rPr>
                <w:rFonts w:ascii="Calibri" w:hAnsi="Calibri"/>
                <w:b/>
                <w:sz w:val="20"/>
                <w:szCs w:val="20"/>
              </w:rPr>
              <w:br/>
              <w:t>15</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Jan–Jun</w:t>
            </w:r>
            <w:r>
              <w:rPr>
                <w:rFonts w:ascii="Calibri" w:hAnsi="Calibri"/>
                <w:b/>
                <w:sz w:val="20"/>
                <w:szCs w:val="20"/>
              </w:rPr>
              <w:br/>
              <w:t>16</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Jul–Dec</w:t>
            </w:r>
            <w:r>
              <w:rPr>
                <w:rFonts w:ascii="Calibri" w:hAnsi="Calibri"/>
                <w:b/>
                <w:sz w:val="20"/>
                <w:szCs w:val="20"/>
              </w:rPr>
              <w:br/>
              <w:t>16</w:t>
            </w:r>
          </w:p>
        </w:tc>
        <w:tc>
          <w:tcPr>
            <w:tcW w:w="547"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20"/>
              <w:jc w:val="center"/>
              <w:rPr>
                <w:rFonts w:ascii="Calibri" w:hAnsi="Calibri"/>
                <w:b/>
                <w:sz w:val="20"/>
                <w:szCs w:val="20"/>
              </w:rPr>
            </w:pPr>
            <w:r>
              <w:rPr>
                <w:rFonts w:ascii="Calibri" w:hAnsi="Calibri"/>
                <w:b/>
                <w:sz w:val="20"/>
                <w:szCs w:val="20"/>
              </w:rPr>
              <w:t xml:space="preserve">Average of last 4  </w:t>
            </w:r>
          </w:p>
          <w:p w:rsidR="00D86226" w:rsidRDefault="00D86226" w:rsidP="00D86226">
            <w:pPr>
              <w:keepNext/>
              <w:keepLines/>
              <w:jc w:val="center"/>
              <w:rPr>
                <w:rFonts w:ascii="Calibri" w:hAnsi="Calibri"/>
                <w:b/>
                <w:sz w:val="20"/>
                <w:szCs w:val="20"/>
              </w:rPr>
            </w:pPr>
            <w:r>
              <w:rPr>
                <w:rFonts w:ascii="Calibri" w:hAnsi="Calibri"/>
                <w:b/>
                <w:sz w:val="20"/>
                <w:szCs w:val="20"/>
              </w:rPr>
              <w:t>6-month periods</w:t>
            </w:r>
          </w:p>
        </w:tc>
        <w:tc>
          <w:tcPr>
            <w:tcW w:w="380"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Jan–Jun</w:t>
            </w:r>
          </w:p>
          <w:p w:rsidR="00D86226" w:rsidRDefault="00D86226" w:rsidP="00D86226">
            <w:pPr>
              <w:keepNext/>
              <w:keepLines/>
              <w:jc w:val="center"/>
              <w:rPr>
                <w:rFonts w:ascii="Calibri" w:hAnsi="Calibri"/>
                <w:b/>
                <w:sz w:val="20"/>
                <w:szCs w:val="20"/>
              </w:rPr>
            </w:pPr>
            <w:r>
              <w:rPr>
                <w:rFonts w:ascii="Calibri" w:hAnsi="Calibri"/>
                <w:b/>
                <w:sz w:val="20"/>
                <w:szCs w:val="20"/>
              </w:rPr>
              <w:t>17</w:t>
            </w:r>
          </w:p>
        </w:tc>
      </w:tr>
      <w:tr w:rsidR="00D86226" w:rsidTr="00D86226">
        <w:tc>
          <w:tcPr>
            <w:tcW w:w="67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spacing w:after="40"/>
              <w:jc w:val="left"/>
              <w:rPr>
                <w:rFonts w:ascii="Calibri" w:hAnsi="Calibri"/>
                <w:b/>
                <w:sz w:val="20"/>
                <w:szCs w:val="20"/>
              </w:rPr>
            </w:pPr>
            <w:r>
              <w:rPr>
                <w:rFonts w:ascii="Calibri" w:hAnsi="Calibri"/>
                <w:b/>
                <w:sz w:val="20"/>
                <w:szCs w:val="20"/>
              </w:rPr>
              <w:t>Number of complaints</w:t>
            </w:r>
          </w:p>
        </w:tc>
        <w:tc>
          <w:tcPr>
            <w:tcW w:w="38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292</w:t>
            </w:r>
          </w:p>
        </w:tc>
        <w:tc>
          <w:tcPr>
            <w:tcW w:w="30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324</w:t>
            </w:r>
          </w:p>
        </w:tc>
        <w:tc>
          <w:tcPr>
            <w:tcW w:w="38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330</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330</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368</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389</w:t>
            </w:r>
          </w:p>
        </w:tc>
        <w:tc>
          <w:tcPr>
            <w:tcW w:w="38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422</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383</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386</w:t>
            </w:r>
          </w:p>
        </w:tc>
        <w:tc>
          <w:tcPr>
            <w:tcW w:w="54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b/>
                <w:sz w:val="20"/>
                <w:szCs w:val="20"/>
              </w:rPr>
            </w:pPr>
            <w:r>
              <w:rPr>
                <w:rFonts w:ascii="Calibri" w:hAnsi="Calibri"/>
                <w:b/>
                <w:sz w:val="20"/>
                <w:szCs w:val="20"/>
              </w:rPr>
              <w:t>395</w:t>
            </w:r>
          </w:p>
        </w:tc>
        <w:tc>
          <w:tcPr>
            <w:tcW w:w="380" w:type="pct"/>
            <w:tcBorders>
              <w:top w:val="single" w:sz="4" w:space="0" w:color="auto"/>
              <w:left w:val="single" w:sz="4" w:space="0" w:color="auto"/>
              <w:bottom w:val="single" w:sz="4" w:space="0" w:color="auto"/>
              <w:right w:val="single" w:sz="4" w:space="0" w:color="auto"/>
            </w:tcBorders>
            <w:vAlign w:val="center"/>
            <w:hideMark/>
          </w:tcPr>
          <w:p w:rsidR="00D86226" w:rsidRDefault="00411DA0" w:rsidP="00D86226">
            <w:pPr>
              <w:keepNext/>
              <w:keepLines/>
              <w:jc w:val="center"/>
              <w:rPr>
                <w:rFonts w:ascii="Calibri" w:hAnsi="Calibri"/>
                <w:b/>
                <w:sz w:val="20"/>
                <w:szCs w:val="20"/>
              </w:rPr>
            </w:pPr>
            <w:r>
              <w:rPr>
                <w:rFonts w:ascii="Calibri" w:hAnsi="Calibri"/>
                <w:b/>
                <w:sz w:val="20"/>
                <w:szCs w:val="20"/>
              </w:rPr>
              <w:t>477</w:t>
            </w:r>
          </w:p>
        </w:tc>
      </w:tr>
    </w:tbl>
    <w:p w:rsidR="00D86226" w:rsidRDefault="00D86226" w:rsidP="00D86226"/>
    <w:p w:rsidR="00D86226" w:rsidRDefault="00D86226" w:rsidP="00D86226">
      <w:r>
        <w:t xml:space="preserve">The total number of complaints received in </w:t>
      </w:r>
      <w:r>
        <w:rPr>
          <w:lang w:eastAsia="en-NZ" w:bidi="ar-SA"/>
        </w:rPr>
        <w:t xml:space="preserve">Jan–Jun 2017 </w:t>
      </w:r>
      <w:r>
        <w:t>(47</w:t>
      </w:r>
      <w:r w:rsidR="00411DA0">
        <w:t>7</w:t>
      </w:r>
      <w:r>
        <w:t>) shows an increase of 21% over the average number of complaints received in the previous four periods, and is the largest number of complaints ever received about DHBs in a six-month period.</w:t>
      </w:r>
    </w:p>
    <w:p w:rsidR="00D86226" w:rsidRDefault="00D86226" w:rsidP="00D86226"/>
    <w:p w:rsidR="00D86226" w:rsidRDefault="00D86226" w:rsidP="00D86226">
      <w:r>
        <w:t xml:space="preserve">The number of complaints received in </w:t>
      </w:r>
      <w:r>
        <w:rPr>
          <w:lang w:eastAsia="en-NZ" w:bidi="ar-SA"/>
        </w:rPr>
        <w:t xml:space="preserve">Jan–Jun 2017 </w:t>
      </w:r>
      <w:r>
        <w:t xml:space="preserve">and previous six month periods are also displayed below in Figure 1. </w:t>
      </w:r>
    </w:p>
    <w:p w:rsidR="00D86226" w:rsidRDefault="00D86226" w:rsidP="00D86226"/>
    <w:p w:rsidR="00D86226" w:rsidRDefault="00D86226" w:rsidP="00D86226">
      <w:pPr>
        <w:spacing w:after="120"/>
        <w:rPr>
          <w:b/>
        </w:rPr>
      </w:pPr>
      <w:r>
        <w:rPr>
          <w:b/>
        </w:rPr>
        <w:t xml:space="preserve">Figure 1. </w:t>
      </w:r>
      <w:r>
        <w:t>Number of complaints received</w:t>
      </w:r>
    </w:p>
    <w:p w:rsidR="00D86226" w:rsidRDefault="00D86226" w:rsidP="00D86226">
      <w:pPr>
        <w:spacing w:after="120"/>
        <w:jc w:val="center"/>
        <w:rPr>
          <w:rFonts w:ascii="Calibri" w:hAnsi="Calibri"/>
          <w:szCs w:val="22"/>
        </w:rPr>
      </w:pPr>
      <w:r>
        <w:rPr>
          <w:noProof/>
          <w:lang w:eastAsia="en-NZ" w:bidi="ar-SA"/>
        </w:rPr>
        <w:drawing>
          <wp:inline distT="0" distB="0" distL="0" distR="0" wp14:anchorId="78B44859" wp14:editId="37486ECD">
            <wp:extent cx="5627717" cy="3956859"/>
            <wp:effectExtent l="0" t="0" r="11430" b="247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86226" w:rsidRDefault="00D86226" w:rsidP="00D86226"/>
    <w:p w:rsidR="00D86226" w:rsidRDefault="00D86226" w:rsidP="00D86226">
      <w:pPr>
        <w:pStyle w:val="Heading3"/>
      </w:pPr>
      <w:bookmarkStart w:id="38" w:name="_Toc447291470"/>
      <w:bookmarkStart w:id="39" w:name="_Toc447527527"/>
      <w:bookmarkStart w:id="40" w:name="_Toc493680284"/>
      <w:bookmarkStart w:id="41" w:name="_Toc493684125"/>
      <w:r>
        <w:t>1.2</w:t>
      </w:r>
      <w:r>
        <w:tab/>
        <w:t>Rate of complaints received</w:t>
      </w:r>
      <w:bookmarkEnd w:id="38"/>
      <w:bookmarkEnd w:id="39"/>
      <w:bookmarkEnd w:id="40"/>
      <w:bookmarkEnd w:id="41"/>
      <w:r>
        <w:t xml:space="preserve"> </w:t>
      </w:r>
    </w:p>
    <w:p w:rsidR="00D86226" w:rsidRDefault="00D86226" w:rsidP="00D86226">
      <w:r>
        <w:t xml:space="preserve">When numbers of </w:t>
      </w:r>
      <w:r>
        <w:rPr>
          <w:rFonts w:cs="Calibri"/>
        </w:rPr>
        <w:t>complaints</w:t>
      </w:r>
      <w:r>
        <w:t xml:space="preserve"> to HDC are expressed as a rate per 100,000 discharges, comparisons can be made between DHBs, and within DHBs over time, enabling any trends to be observed. </w:t>
      </w:r>
    </w:p>
    <w:p w:rsidR="00D86226" w:rsidRDefault="00D86226" w:rsidP="00D86226"/>
    <w:p w:rsidR="00D86226" w:rsidRDefault="00D86226" w:rsidP="00D86226">
      <w:r>
        <w:t xml:space="preserve">Rate of complaints calculations are made using discharge data provided by the Ministry of Health. This data is provisional </w:t>
      </w:r>
      <w:r w:rsidR="00812BD7">
        <w:t>as at the date of extraction (25 October</w:t>
      </w:r>
      <w:r>
        <w:t xml:space="preserve"> 2017) and is likely incomplete, it will be updated in the next 6-monthly report. It should be noted that this discharge data excludes short stay emergency department discharges and patients attending outpatient clinics. </w:t>
      </w:r>
    </w:p>
    <w:p w:rsidR="00D86226" w:rsidRDefault="00D86226" w:rsidP="00D86226"/>
    <w:p w:rsidR="00D86226" w:rsidRDefault="00D86226" w:rsidP="00D86226">
      <w:pPr>
        <w:spacing w:after="120"/>
        <w:rPr>
          <w:b/>
        </w:rPr>
      </w:pPr>
      <w:r>
        <w:rPr>
          <w:b/>
        </w:rPr>
        <w:t xml:space="preserve">Table 2. </w:t>
      </w:r>
      <w:r>
        <w:t xml:space="preserve">Rate of complaints received per 100,000 discharges during </w:t>
      </w:r>
      <w:r>
        <w:rPr>
          <w:lang w:eastAsia="en-NZ" w:bidi="ar-SA"/>
        </w:rPr>
        <w:t>Jan–Jun 2017</w:t>
      </w:r>
    </w:p>
    <w:tbl>
      <w:tblPr>
        <w:tblStyle w:val="TableGrid"/>
        <w:tblW w:w="0" w:type="auto"/>
        <w:tblInd w:w="108" w:type="dxa"/>
        <w:tblLook w:val="04A0" w:firstRow="1" w:lastRow="0" w:firstColumn="1" w:lastColumn="0" w:noHBand="0" w:noVBand="1"/>
      </w:tblPr>
      <w:tblGrid>
        <w:gridCol w:w="1809"/>
        <w:gridCol w:w="1701"/>
        <w:gridCol w:w="1701"/>
      </w:tblGrid>
      <w:tr w:rsidR="00D86226" w:rsidTr="00D86226">
        <w:trPr>
          <w:trHeight w:val="859"/>
        </w:trPr>
        <w:tc>
          <w:tcPr>
            <w:tcW w:w="1809" w:type="dxa"/>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cstheme="minorHAnsi"/>
                <w:b/>
                <w:szCs w:val="22"/>
              </w:rPr>
            </w:pPr>
            <w:r>
              <w:rPr>
                <w:rFonts w:cstheme="minorHAnsi"/>
                <w:b/>
                <w:szCs w:val="22"/>
              </w:rPr>
              <w:t>Number of complaints received</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tabs>
                <w:tab w:val="left" w:pos="1440"/>
                <w:tab w:val="left" w:pos="2610"/>
              </w:tabs>
              <w:spacing w:after="240"/>
              <w:jc w:val="center"/>
              <w:outlineLvl w:val="0"/>
              <w:rPr>
                <w:rFonts w:ascii="Calibri" w:hAnsi="Calibri"/>
                <w:b/>
                <w:szCs w:val="22"/>
              </w:rPr>
            </w:pPr>
            <w:r>
              <w:rPr>
                <w:rFonts w:ascii="Calibri" w:hAnsi="Calibri"/>
                <w:b/>
                <w:szCs w:val="22"/>
              </w:rPr>
              <w:t>Total number of discharges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tabs>
                <w:tab w:val="left" w:pos="1440"/>
                <w:tab w:val="left" w:pos="2610"/>
              </w:tabs>
              <w:spacing w:before="180" w:after="240"/>
              <w:jc w:val="center"/>
              <w:outlineLvl w:val="0"/>
              <w:rPr>
                <w:rFonts w:ascii="Calibri" w:hAnsi="Calibri"/>
                <w:b/>
                <w:iCs/>
                <w:szCs w:val="22"/>
              </w:rPr>
            </w:pPr>
            <w:r>
              <w:rPr>
                <w:rFonts w:ascii="Calibri" w:hAnsi="Calibri"/>
                <w:b/>
                <w:szCs w:val="22"/>
              </w:rPr>
              <w:t>Rate per 100,000 discharges</w:t>
            </w:r>
          </w:p>
        </w:tc>
      </w:tr>
      <w:tr w:rsidR="00D86226" w:rsidTr="00D86226">
        <w:tc>
          <w:tcPr>
            <w:tcW w:w="1809" w:type="dxa"/>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tabs>
                <w:tab w:val="left" w:pos="1440"/>
                <w:tab w:val="left" w:pos="2610"/>
              </w:tabs>
              <w:spacing w:before="120" w:after="240"/>
              <w:jc w:val="center"/>
              <w:outlineLvl w:val="0"/>
              <w:rPr>
                <w:rFonts w:ascii="Calibri" w:hAnsi="Calibri"/>
                <w:b/>
                <w:iCs/>
                <w:szCs w:val="22"/>
              </w:rPr>
            </w:pPr>
            <w:r>
              <w:rPr>
                <w:rFonts w:ascii="Calibri" w:hAnsi="Calibri"/>
                <w:szCs w:val="22"/>
              </w:rPr>
              <w:t>47</w:t>
            </w:r>
            <w:r w:rsidR="00812BD7">
              <w:rPr>
                <w:rFonts w:ascii="Calibri" w:hAnsi="Calibri"/>
                <w:szCs w:val="22"/>
              </w:rPr>
              <w:t>7</w:t>
            </w:r>
          </w:p>
        </w:tc>
        <w:tc>
          <w:tcPr>
            <w:tcW w:w="1701" w:type="dxa"/>
            <w:tcBorders>
              <w:top w:val="single" w:sz="4" w:space="0" w:color="auto"/>
              <w:left w:val="single" w:sz="4" w:space="0" w:color="auto"/>
              <w:bottom w:val="single" w:sz="4" w:space="0" w:color="auto"/>
              <w:right w:val="single" w:sz="4" w:space="0" w:color="auto"/>
            </w:tcBorders>
            <w:hideMark/>
          </w:tcPr>
          <w:p w:rsidR="00D86226" w:rsidRDefault="00812BD7" w:rsidP="00D86226">
            <w:pPr>
              <w:tabs>
                <w:tab w:val="left" w:pos="1440"/>
                <w:tab w:val="left" w:pos="2610"/>
              </w:tabs>
              <w:spacing w:before="120" w:after="240"/>
              <w:jc w:val="center"/>
              <w:outlineLvl w:val="0"/>
              <w:rPr>
                <w:rFonts w:ascii="Calibri" w:hAnsi="Calibri"/>
                <w:iCs/>
                <w:szCs w:val="22"/>
              </w:rPr>
            </w:pPr>
            <w:r>
              <w:rPr>
                <w:rFonts w:ascii="Calibri" w:hAnsi="Calibri"/>
                <w:iCs/>
                <w:szCs w:val="22"/>
              </w:rPr>
              <w:t>481,069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6226" w:rsidRDefault="00812BD7" w:rsidP="00D86226">
            <w:pPr>
              <w:tabs>
                <w:tab w:val="left" w:pos="1440"/>
                <w:tab w:val="left" w:pos="2610"/>
              </w:tabs>
              <w:spacing w:before="120" w:after="240"/>
              <w:jc w:val="center"/>
              <w:outlineLvl w:val="0"/>
              <w:rPr>
                <w:rFonts w:ascii="Calibri" w:hAnsi="Calibri"/>
                <w:b/>
                <w:szCs w:val="22"/>
              </w:rPr>
            </w:pPr>
            <w:r>
              <w:rPr>
                <w:rFonts w:ascii="Calibri" w:hAnsi="Calibri"/>
                <w:b/>
                <w:szCs w:val="22"/>
              </w:rPr>
              <w:t>99.15</w:t>
            </w:r>
          </w:p>
        </w:tc>
      </w:tr>
    </w:tbl>
    <w:p w:rsidR="00D86226" w:rsidRDefault="00D86226" w:rsidP="00D86226"/>
    <w:p w:rsidR="00D86226" w:rsidRDefault="00D86226" w:rsidP="00D86226">
      <w:pPr>
        <w:rPr>
          <w:rFonts w:ascii="Calibri" w:hAnsi="Calibri"/>
          <w:szCs w:val="22"/>
          <w:lang w:eastAsia="en-NZ" w:bidi="ar-SA"/>
        </w:rPr>
      </w:pPr>
      <w:r>
        <w:rPr>
          <w:rFonts w:ascii="Calibri" w:hAnsi="Calibri"/>
          <w:szCs w:val="22"/>
          <w:lang w:eastAsia="en-NZ" w:bidi="ar-SA"/>
        </w:rPr>
        <w:t xml:space="preserve">Table 3 shows the </w:t>
      </w:r>
      <w:r>
        <w:rPr>
          <w:rFonts w:ascii="Calibri" w:hAnsi="Calibri" w:cs="Calibri"/>
          <w:szCs w:val="22"/>
        </w:rPr>
        <w:t>rate</w:t>
      </w:r>
      <w:r>
        <w:rPr>
          <w:rFonts w:ascii="Calibri" w:hAnsi="Calibri"/>
          <w:szCs w:val="22"/>
          <w:lang w:eastAsia="en-NZ" w:bidi="ar-SA"/>
        </w:rPr>
        <w:t xml:space="preserve"> of complaints received by HDC per 100,000 discharges, for </w:t>
      </w:r>
      <w:r>
        <w:rPr>
          <w:lang w:eastAsia="en-NZ" w:bidi="ar-SA"/>
        </w:rPr>
        <w:t xml:space="preserve">Jan–Jun 2017 </w:t>
      </w:r>
      <w:r>
        <w:rPr>
          <w:rFonts w:ascii="Calibri" w:hAnsi="Calibri"/>
          <w:szCs w:val="22"/>
          <w:lang w:eastAsia="en-NZ" w:bidi="ar-SA"/>
        </w:rPr>
        <w:t xml:space="preserve">and previous six month periods. </w:t>
      </w:r>
    </w:p>
    <w:p w:rsidR="00D86226" w:rsidRDefault="00D86226" w:rsidP="00D86226">
      <w:pPr>
        <w:rPr>
          <w:rFonts w:ascii="Calibri" w:hAnsi="Calibri"/>
          <w:szCs w:val="22"/>
          <w:lang w:eastAsia="en-NZ" w:bidi="ar-SA"/>
        </w:rPr>
      </w:pPr>
    </w:p>
    <w:p w:rsidR="00D86226" w:rsidRDefault="00D86226" w:rsidP="00D86226">
      <w:pPr>
        <w:spacing w:after="120"/>
        <w:rPr>
          <w:b/>
        </w:rPr>
      </w:pPr>
      <w:r>
        <w:rPr>
          <w:b/>
        </w:rPr>
        <w:t xml:space="preserve">Table 3. </w:t>
      </w:r>
      <w:r>
        <w:t>Rate of complaints received in last five years</w:t>
      </w:r>
      <w:r>
        <w:rPr>
          <w:b/>
        </w:rPr>
        <w:t xml:space="preserve"> </w:t>
      </w:r>
    </w:p>
    <w:tbl>
      <w:tblPr>
        <w:tblStyle w:val="TableGrid"/>
        <w:tblpPr w:leftFromText="180" w:rightFromText="180" w:vertAnchor="text" w:horzAnchor="margin" w:tblpX="114" w:tblpY="105"/>
        <w:tblW w:w="4900" w:type="pct"/>
        <w:tblLook w:val="04A0" w:firstRow="1" w:lastRow="0" w:firstColumn="1" w:lastColumn="0" w:noHBand="0" w:noVBand="1"/>
      </w:tblPr>
      <w:tblGrid>
        <w:gridCol w:w="1096"/>
        <w:gridCol w:w="699"/>
        <w:gridCol w:w="704"/>
        <w:gridCol w:w="703"/>
        <w:gridCol w:w="703"/>
        <w:gridCol w:w="703"/>
        <w:gridCol w:w="703"/>
        <w:gridCol w:w="705"/>
        <w:gridCol w:w="703"/>
        <w:gridCol w:w="703"/>
        <w:gridCol w:w="997"/>
        <w:gridCol w:w="693"/>
      </w:tblGrid>
      <w:tr w:rsidR="00D86226" w:rsidTr="00D86226">
        <w:tc>
          <w:tcPr>
            <w:tcW w:w="601" w:type="pct"/>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left"/>
              <w:rPr>
                <w:rFonts w:ascii="Calibri" w:hAnsi="Calibri"/>
                <w:b/>
                <w:sz w:val="20"/>
                <w:szCs w:val="20"/>
              </w:rPr>
            </w:pPr>
          </w:p>
          <w:p w:rsidR="00D86226" w:rsidRDefault="00D86226" w:rsidP="00D86226">
            <w:pPr>
              <w:keepNext/>
              <w:keepLines/>
              <w:jc w:val="left"/>
              <w:rPr>
                <w:rFonts w:ascii="Calibri" w:hAnsi="Calibri"/>
                <w:b/>
                <w:sz w:val="20"/>
                <w:szCs w:val="20"/>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b/>
                <w:sz w:val="20"/>
                <w:szCs w:val="20"/>
              </w:rPr>
            </w:pPr>
            <w:r>
              <w:rPr>
                <w:rFonts w:ascii="Calibri" w:hAnsi="Calibri"/>
                <w:b/>
                <w:sz w:val="20"/>
                <w:szCs w:val="20"/>
              </w:rPr>
              <w:t>Jul–Dec 12</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b/>
                <w:sz w:val="20"/>
                <w:szCs w:val="20"/>
              </w:rPr>
            </w:pPr>
            <w:r>
              <w:rPr>
                <w:rFonts w:ascii="Calibri" w:hAnsi="Calibri"/>
                <w:b/>
                <w:sz w:val="20"/>
                <w:szCs w:val="20"/>
              </w:rPr>
              <w:t>Jan–Jun 13</w:t>
            </w:r>
          </w:p>
        </w:tc>
        <w:tc>
          <w:tcPr>
            <w:tcW w:w="385"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Jul–Dec 13</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Jan–Jun 14</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Jul–Dec 14</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 xml:space="preserve">Jan–Jun </w:t>
            </w:r>
            <w:r>
              <w:rPr>
                <w:rFonts w:ascii="Calibri" w:hAnsi="Calibri"/>
                <w:b/>
                <w:sz w:val="20"/>
                <w:szCs w:val="20"/>
              </w:rPr>
              <w:br/>
              <w:t>15</w:t>
            </w:r>
          </w:p>
        </w:tc>
        <w:tc>
          <w:tcPr>
            <w:tcW w:w="387"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 xml:space="preserve">Jul–Dec </w:t>
            </w:r>
            <w:r>
              <w:rPr>
                <w:rFonts w:ascii="Calibri" w:hAnsi="Calibri"/>
                <w:b/>
                <w:sz w:val="20"/>
                <w:szCs w:val="20"/>
              </w:rPr>
              <w:br/>
              <w:t>15</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 xml:space="preserve">Jan–Jun </w:t>
            </w:r>
            <w:r>
              <w:rPr>
                <w:rFonts w:ascii="Calibri" w:hAnsi="Calibri"/>
                <w:b/>
                <w:sz w:val="20"/>
                <w:szCs w:val="20"/>
              </w:rPr>
              <w:br/>
              <w:t>16</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 xml:space="preserve">Jul–Dec </w:t>
            </w:r>
            <w:r>
              <w:rPr>
                <w:rFonts w:ascii="Calibri" w:hAnsi="Calibri"/>
                <w:b/>
                <w:sz w:val="20"/>
                <w:szCs w:val="20"/>
              </w:rPr>
              <w:br/>
              <w:t>16</w:t>
            </w:r>
            <w:r>
              <w:rPr>
                <w:rStyle w:val="FootnoteReference"/>
                <w:rFonts w:ascii="Calibri" w:hAnsi="Calibri"/>
                <w:szCs w:val="22"/>
                <w:lang w:eastAsia="en-NZ" w:bidi="ar-SA"/>
              </w:rPr>
              <w:footnoteReference w:id="2"/>
            </w:r>
          </w:p>
        </w:tc>
        <w:tc>
          <w:tcPr>
            <w:tcW w:w="547"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20"/>
              <w:jc w:val="center"/>
              <w:rPr>
                <w:rFonts w:ascii="Calibri" w:hAnsi="Calibri"/>
                <w:b/>
                <w:sz w:val="20"/>
                <w:szCs w:val="20"/>
              </w:rPr>
            </w:pPr>
            <w:r>
              <w:rPr>
                <w:rFonts w:ascii="Calibri" w:hAnsi="Calibri"/>
                <w:b/>
                <w:sz w:val="20"/>
                <w:szCs w:val="20"/>
              </w:rPr>
              <w:t xml:space="preserve">Average of last 4  </w:t>
            </w:r>
          </w:p>
          <w:p w:rsidR="00D86226" w:rsidRDefault="00D86226" w:rsidP="00D86226">
            <w:pPr>
              <w:keepNext/>
              <w:keepLines/>
              <w:jc w:val="center"/>
              <w:rPr>
                <w:rFonts w:ascii="Calibri" w:hAnsi="Calibri"/>
                <w:b/>
                <w:sz w:val="20"/>
                <w:szCs w:val="20"/>
              </w:rPr>
            </w:pPr>
            <w:r>
              <w:rPr>
                <w:rFonts w:ascii="Calibri" w:hAnsi="Calibri"/>
                <w:b/>
                <w:sz w:val="20"/>
                <w:szCs w:val="20"/>
              </w:rPr>
              <w:t>6-month periods</w:t>
            </w:r>
          </w:p>
        </w:tc>
        <w:tc>
          <w:tcPr>
            <w:tcW w:w="380"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Jan–Jun</w:t>
            </w:r>
          </w:p>
          <w:p w:rsidR="00D86226" w:rsidRDefault="00D86226" w:rsidP="00D86226">
            <w:pPr>
              <w:keepNext/>
              <w:keepLines/>
              <w:jc w:val="center"/>
              <w:rPr>
                <w:rFonts w:ascii="Calibri" w:hAnsi="Calibri"/>
                <w:b/>
                <w:sz w:val="20"/>
                <w:szCs w:val="20"/>
              </w:rPr>
            </w:pPr>
            <w:r>
              <w:rPr>
                <w:rFonts w:ascii="Calibri" w:hAnsi="Calibri"/>
                <w:b/>
                <w:sz w:val="20"/>
                <w:szCs w:val="20"/>
              </w:rPr>
              <w:t>17</w:t>
            </w:r>
          </w:p>
        </w:tc>
      </w:tr>
      <w:tr w:rsidR="00D86226" w:rsidTr="00D86226">
        <w:tc>
          <w:tcPr>
            <w:tcW w:w="601"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spacing w:after="40"/>
              <w:jc w:val="left"/>
              <w:rPr>
                <w:rFonts w:ascii="Calibri" w:hAnsi="Calibri"/>
                <w:b/>
                <w:sz w:val="20"/>
                <w:szCs w:val="20"/>
              </w:rPr>
            </w:pPr>
            <w:r>
              <w:rPr>
                <w:rFonts w:ascii="Calibri" w:hAnsi="Calibri"/>
                <w:b/>
                <w:sz w:val="20"/>
                <w:szCs w:val="20"/>
              </w:rPr>
              <w:t>Rate per 100,000 discharges</w:t>
            </w:r>
          </w:p>
        </w:tc>
        <w:tc>
          <w:tcPr>
            <w:tcW w:w="383" w:type="pct"/>
            <w:tcBorders>
              <w:top w:val="single" w:sz="4" w:space="0" w:color="auto"/>
              <w:left w:val="single" w:sz="4" w:space="0" w:color="auto"/>
              <w:bottom w:val="single" w:sz="4" w:space="0" w:color="auto"/>
              <w:right w:val="single" w:sz="4" w:space="0" w:color="auto"/>
            </w:tcBorders>
            <w:vAlign w:val="center"/>
            <w:hideMark/>
          </w:tcPr>
          <w:p w:rsidR="00D86226" w:rsidRPr="00D12A0D" w:rsidRDefault="00D86226" w:rsidP="00D86226">
            <w:pPr>
              <w:keepNext/>
              <w:keepLines/>
              <w:jc w:val="center"/>
              <w:rPr>
                <w:rFonts w:ascii="Calibri" w:hAnsi="Calibri"/>
                <w:sz w:val="20"/>
                <w:szCs w:val="20"/>
              </w:rPr>
            </w:pPr>
            <w:r w:rsidRPr="00D12A0D">
              <w:rPr>
                <w:rFonts w:ascii="Calibri" w:hAnsi="Calibri"/>
                <w:sz w:val="20"/>
                <w:szCs w:val="20"/>
              </w:rPr>
              <w:t>62.59</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Pr="00D12A0D" w:rsidRDefault="00D86226" w:rsidP="00D86226">
            <w:pPr>
              <w:keepNext/>
              <w:keepLines/>
              <w:jc w:val="center"/>
              <w:rPr>
                <w:rFonts w:ascii="Calibri" w:hAnsi="Calibri"/>
                <w:sz w:val="20"/>
                <w:szCs w:val="20"/>
              </w:rPr>
            </w:pPr>
            <w:r w:rsidRPr="00D12A0D">
              <w:rPr>
                <w:rFonts w:ascii="Calibri" w:hAnsi="Calibri"/>
                <w:sz w:val="20"/>
                <w:szCs w:val="20"/>
              </w:rPr>
              <w:t>72.67</w:t>
            </w:r>
          </w:p>
        </w:tc>
        <w:tc>
          <w:tcPr>
            <w:tcW w:w="385" w:type="pct"/>
            <w:tcBorders>
              <w:top w:val="single" w:sz="4" w:space="0" w:color="auto"/>
              <w:left w:val="single" w:sz="4" w:space="0" w:color="auto"/>
              <w:bottom w:val="single" w:sz="4" w:space="0" w:color="auto"/>
              <w:right w:val="single" w:sz="4" w:space="0" w:color="auto"/>
            </w:tcBorders>
            <w:vAlign w:val="center"/>
            <w:hideMark/>
          </w:tcPr>
          <w:p w:rsidR="00D86226" w:rsidRPr="00D12A0D" w:rsidRDefault="00D86226" w:rsidP="00D86226">
            <w:pPr>
              <w:keepNext/>
              <w:keepLines/>
              <w:jc w:val="center"/>
              <w:rPr>
                <w:rFonts w:ascii="Calibri" w:hAnsi="Calibri"/>
                <w:sz w:val="20"/>
                <w:szCs w:val="20"/>
              </w:rPr>
            </w:pPr>
            <w:r>
              <w:rPr>
                <w:rFonts w:ascii="Calibri" w:hAnsi="Calibri"/>
                <w:sz w:val="20"/>
                <w:szCs w:val="20"/>
              </w:rPr>
              <w:t>71</w:t>
            </w:r>
            <w:r w:rsidRPr="00D12A0D">
              <w:rPr>
                <w:rFonts w:ascii="Calibri" w:hAnsi="Calibri"/>
                <w:sz w:val="20"/>
                <w:szCs w:val="20"/>
              </w:rPr>
              <w:t>.</w:t>
            </w:r>
            <w:r>
              <w:rPr>
                <w:rFonts w:ascii="Calibri" w:hAnsi="Calibri"/>
                <w:sz w:val="20"/>
                <w:szCs w:val="20"/>
              </w:rPr>
              <w:t>15</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Pr="00D12A0D" w:rsidRDefault="00D86226" w:rsidP="00D86226">
            <w:pPr>
              <w:keepNext/>
              <w:keepLines/>
              <w:jc w:val="center"/>
              <w:rPr>
                <w:rFonts w:ascii="Calibri" w:hAnsi="Calibri"/>
                <w:sz w:val="20"/>
                <w:szCs w:val="20"/>
              </w:rPr>
            </w:pPr>
            <w:r>
              <w:rPr>
                <w:rFonts w:ascii="Calibri" w:hAnsi="Calibri"/>
                <w:sz w:val="20"/>
                <w:szCs w:val="20"/>
              </w:rPr>
              <w:t>72</w:t>
            </w:r>
            <w:r w:rsidRPr="00D12A0D">
              <w:rPr>
                <w:rFonts w:ascii="Calibri" w:hAnsi="Calibri"/>
                <w:sz w:val="20"/>
                <w:szCs w:val="20"/>
              </w:rPr>
              <w:t>.</w:t>
            </w:r>
            <w:r>
              <w:rPr>
                <w:rFonts w:ascii="Calibri" w:hAnsi="Calibri"/>
                <w:sz w:val="20"/>
                <w:szCs w:val="20"/>
              </w:rPr>
              <w:t>99</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Pr="00D12A0D" w:rsidRDefault="00D86226" w:rsidP="00D86226">
            <w:pPr>
              <w:keepNext/>
              <w:keepLines/>
              <w:jc w:val="center"/>
              <w:rPr>
                <w:rFonts w:ascii="Calibri" w:hAnsi="Calibri"/>
                <w:sz w:val="20"/>
                <w:szCs w:val="20"/>
              </w:rPr>
            </w:pPr>
            <w:r>
              <w:rPr>
                <w:rFonts w:ascii="Calibri" w:hAnsi="Calibri"/>
                <w:sz w:val="20"/>
                <w:szCs w:val="20"/>
              </w:rPr>
              <w:t>76</w:t>
            </w:r>
            <w:r w:rsidRPr="00D12A0D">
              <w:rPr>
                <w:rFonts w:ascii="Calibri" w:hAnsi="Calibri"/>
                <w:sz w:val="20"/>
                <w:szCs w:val="20"/>
              </w:rPr>
              <w:t>.</w:t>
            </w:r>
            <w:r>
              <w:rPr>
                <w:rFonts w:ascii="Calibri" w:hAnsi="Calibri"/>
                <w:sz w:val="20"/>
                <w:szCs w:val="20"/>
              </w:rPr>
              <w:t>65</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Pr="00D12A0D" w:rsidRDefault="00D86226" w:rsidP="00D86226">
            <w:pPr>
              <w:keepNext/>
              <w:keepLines/>
              <w:jc w:val="center"/>
              <w:rPr>
                <w:rFonts w:ascii="Calibri" w:hAnsi="Calibri"/>
                <w:sz w:val="20"/>
                <w:szCs w:val="20"/>
              </w:rPr>
            </w:pPr>
            <w:r w:rsidRPr="00D12A0D">
              <w:rPr>
                <w:rFonts w:ascii="Calibri" w:hAnsi="Calibri"/>
                <w:sz w:val="20"/>
                <w:szCs w:val="20"/>
              </w:rPr>
              <w:t>84.60</w:t>
            </w:r>
          </w:p>
        </w:tc>
        <w:tc>
          <w:tcPr>
            <w:tcW w:w="387" w:type="pct"/>
            <w:tcBorders>
              <w:top w:val="single" w:sz="4" w:space="0" w:color="auto"/>
              <w:left w:val="single" w:sz="4" w:space="0" w:color="auto"/>
              <w:bottom w:val="single" w:sz="4" w:space="0" w:color="auto"/>
              <w:right w:val="single" w:sz="4" w:space="0" w:color="auto"/>
            </w:tcBorders>
            <w:vAlign w:val="center"/>
            <w:hideMark/>
          </w:tcPr>
          <w:p w:rsidR="00D86226" w:rsidRPr="00D12A0D" w:rsidRDefault="00D86226" w:rsidP="00D86226">
            <w:pPr>
              <w:keepNext/>
              <w:keepLines/>
              <w:jc w:val="center"/>
              <w:rPr>
                <w:rFonts w:ascii="Calibri" w:hAnsi="Calibri"/>
                <w:sz w:val="20"/>
                <w:szCs w:val="20"/>
              </w:rPr>
            </w:pPr>
            <w:r>
              <w:rPr>
                <w:rFonts w:ascii="Calibri" w:hAnsi="Calibri"/>
                <w:sz w:val="20"/>
                <w:szCs w:val="20"/>
              </w:rPr>
              <w:t>87</w:t>
            </w:r>
            <w:r w:rsidRPr="00D12A0D">
              <w:rPr>
                <w:rFonts w:ascii="Calibri" w:hAnsi="Calibri"/>
                <w:sz w:val="20"/>
                <w:szCs w:val="20"/>
              </w:rPr>
              <w:t>.</w:t>
            </w:r>
            <w:r>
              <w:rPr>
                <w:rFonts w:ascii="Calibri" w:hAnsi="Calibri"/>
                <w:sz w:val="20"/>
                <w:szCs w:val="20"/>
              </w:rPr>
              <w:t>57</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Pr="00D12A0D" w:rsidRDefault="00D86226" w:rsidP="00D86226">
            <w:pPr>
              <w:keepNext/>
              <w:keepLines/>
              <w:jc w:val="center"/>
              <w:rPr>
                <w:rFonts w:ascii="Calibri" w:hAnsi="Calibri"/>
                <w:sz w:val="20"/>
                <w:szCs w:val="20"/>
              </w:rPr>
            </w:pPr>
            <w:r>
              <w:rPr>
                <w:rFonts w:ascii="Calibri" w:hAnsi="Calibri"/>
                <w:sz w:val="20"/>
                <w:szCs w:val="20"/>
              </w:rPr>
              <w:t>81</w:t>
            </w:r>
            <w:r w:rsidRPr="00D12A0D">
              <w:rPr>
                <w:rFonts w:ascii="Calibri" w:hAnsi="Calibri"/>
                <w:sz w:val="20"/>
                <w:szCs w:val="20"/>
              </w:rPr>
              <w:t>.</w:t>
            </w:r>
            <w:r>
              <w:rPr>
                <w:rFonts w:ascii="Calibri" w:hAnsi="Calibri"/>
                <w:sz w:val="20"/>
                <w:szCs w:val="20"/>
              </w:rPr>
              <w:t>44</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Pr="00D12A0D" w:rsidRDefault="00D86226" w:rsidP="00D86226">
            <w:pPr>
              <w:keepNext/>
              <w:keepLines/>
              <w:jc w:val="center"/>
              <w:rPr>
                <w:rFonts w:ascii="Calibri" w:hAnsi="Calibri"/>
                <w:sz w:val="20"/>
                <w:szCs w:val="20"/>
              </w:rPr>
            </w:pPr>
            <w:r>
              <w:rPr>
                <w:rFonts w:ascii="Calibri" w:hAnsi="Calibri"/>
                <w:sz w:val="20"/>
                <w:szCs w:val="20"/>
              </w:rPr>
              <w:t>78.79</w:t>
            </w:r>
          </w:p>
        </w:tc>
        <w:tc>
          <w:tcPr>
            <w:tcW w:w="547" w:type="pct"/>
            <w:tcBorders>
              <w:top w:val="single" w:sz="4" w:space="0" w:color="auto"/>
              <w:left w:val="single" w:sz="4" w:space="0" w:color="auto"/>
              <w:bottom w:val="single" w:sz="4" w:space="0" w:color="auto"/>
              <w:right w:val="single" w:sz="4" w:space="0" w:color="auto"/>
            </w:tcBorders>
            <w:vAlign w:val="center"/>
            <w:hideMark/>
          </w:tcPr>
          <w:p w:rsidR="00D86226" w:rsidRPr="00D12A0D" w:rsidRDefault="00D86226" w:rsidP="00D86226">
            <w:pPr>
              <w:keepNext/>
              <w:keepLines/>
              <w:jc w:val="center"/>
              <w:rPr>
                <w:rFonts w:ascii="Calibri" w:hAnsi="Calibri"/>
                <w:b/>
                <w:sz w:val="20"/>
                <w:szCs w:val="20"/>
              </w:rPr>
            </w:pPr>
            <w:r>
              <w:rPr>
                <w:rFonts w:ascii="Calibri" w:hAnsi="Calibri"/>
                <w:b/>
                <w:sz w:val="20"/>
                <w:szCs w:val="20"/>
              </w:rPr>
              <w:t>83.10</w:t>
            </w:r>
          </w:p>
        </w:tc>
        <w:tc>
          <w:tcPr>
            <w:tcW w:w="380" w:type="pct"/>
            <w:tcBorders>
              <w:top w:val="single" w:sz="4" w:space="0" w:color="auto"/>
              <w:left w:val="single" w:sz="4" w:space="0" w:color="auto"/>
              <w:bottom w:val="single" w:sz="4" w:space="0" w:color="auto"/>
              <w:right w:val="single" w:sz="4" w:space="0" w:color="auto"/>
            </w:tcBorders>
            <w:vAlign w:val="center"/>
            <w:hideMark/>
          </w:tcPr>
          <w:p w:rsidR="00D86226" w:rsidRPr="00D12A0D" w:rsidRDefault="00D86226" w:rsidP="00D86226">
            <w:pPr>
              <w:keepNext/>
              <w:keepLines/>
              <w:jc w:val="center"/>
              <w:rPr>
                <w:rFonts w:ascii="Calibri" w:hAnsi="Calibri"/>
                <w:b/>
                <w:sz w:val="20"/>
                <w:szCs w:val="20"/>
              </w:rPr>
            </w:pPr>
            <w:r>
              <w:rPr>
                <w:rFonts w:ascii="Calibri" w:hAnsi="Calibri"/>
                <w:b/>
                <w:sz w:val="20"/>
                <w:szCs w:val="20"/>
              </w:rPr>
              <w:t>99.</w:t>
            </w:r>
            <w:r w:rsidR="00812BD7">
              <w:rPr>
                <w:rFonts w:ascii="Calibri" w:hAnsi="Calibri"/>
                <w:b/>
                <w:sz w:val="20"/>
                <w:szCs w:val="20"/>
              </w:rPr>
              <w:t>15</w:t>
            </w:r>
          </w:p>
        </w:tc>
      </w:tr>
    </w:tbl>
    <w:p w:rsidR="00D86226" w:rsidRDefault="00D86226" w:rsidP="00D86226">
      <w:pPr>
        <w:jc w:val="left"/>
      </w:pPr>
      <w:r>
        <w:rPr>
          <w:lang w:eastAsia="en-NZ" w:bidi="ar-SA"/>
        </w:rPr>
        <w:br/>
        <w:t>The rate of complaints re</w:t>
      </w:r>
      <w:r w:rsidR="00812BD7">
        <w:rPr>
          <w:lang w:eastAsia="en-NZ" w:bidi="ar-SA"/>
        </w:rPr>
        <w:t>ceived during Jan–Jun 2017 (99.15) shows a 19</w:t>
      </w:r>
      <w:r>
        <w:rPr>
          <w:lang w:eastAsia="en-NZ" w:bidi="ar-SA"/>
        </w:rPr>
        <w:t xml:space="preserve">% increase </w:t>
      </w:r>
      <w:r>
        <w:t>over the average rate of complaints received for the previous four periods, and is the highest rate of complaints ever received about DHBs in a six-month period.</w:t>
      </w:r>
    </w:p>
    <w:p w:rsidR="00313D46" w:rsidRDefault="00313D46" w:rsidP="00D86226">
      <w:pPr>
        <w:jc w:val="left"/>
      </w:pPr>
    </w:p>
    <w:tbl>
      <w:tblPr>
        <w:tblStyle w:val="TableGrid"/>
        <w:tblW w:w="0" w:type="auto"/>
        <w:tblLook w:val="04A0" w:firstRow="1" w:lastRow="0" w:firstColumn="1" w:lastColumn="0" w:noHBand="0" w:noVBand="1"/>
      </w:tblPr>
      <w:tblGrid>
        <w:gridCol w:w="9298"/>
      </w:tblGrid>
      <w:tr w:rsidR="00313D46" w:rsidTr="00313D46">
        <w:tc>
          <w:tcPr>
            <w:tcW w:w="9298" w:type="dxa"/>
          </w:tcPr>
          <w:p w:rsidR="00313D46" w:rsidRDefault="00313D46" w:rsidP="00313D46">
            <w:pPr>
              <w:spacing w:after="120"/>
              <w:jc w:val="center"/>
              <w:rPr>
                <w:b/>
              </w:rPr>
            </w:pPr>
            <w:r>
              <w:rPr>
                <w:b/>
              </w:rPr>
              <w:t>Why are complaint numbers increasing</w:t>
            </w:r>
          </w:p>
          <w:p w:rsidR="00313D46" w:rsidRDefault="00313D46" w:rsidP="00313D46">
            <w:pPr>
              <w:rPr>
                <w:lang w:val="en-US"/>
              </w:rPr>
            </w:pPr>
            <w:r w:rsidRPr="00666BAC">
              <w:rPr>
                <w:lang w:val="en-US"/>
              </w:rPr>
              <w:t>The increasing number of complaints being received by HDC about DHBs is reflective of an overall trend of sustained growt</w:t>
            </w:r>
            <w:r w:rsidR="00CF2B9C">
              <w:rPr>
                <w:lang w:val="en-US"/>
              </w:rPr>
              <w:t>h in complaint numbers to HDC, with DHBs consistently making up</w:t>
            </w:r>
            <w:r w:rsidR="003760F4">
              <w:rPr>
                <w:lang w:val="en-US"/>
              </w:rPr>
              <w:t xml:space="preserve"> around</w:t>
            </w:r>
            <w:r w:rsidR="00CF2B9C">
              <w:rPr>
                <w:lang w:val="en-US"/>
              </w:rPr>
              <w:t xml:space="preserve"> 40% of all complaints </w:t>
            </w:r>
            <w:r w:rsidR="003760F4">
              <w:rPr>
                <w:lang w:val="en-US"/>
              </w:rPr>
              <w:t>received by</w:t>
            </w:r>
            <w:r w:rsidR="00CF2B9C">
              <w:rPr>
                <w:lang w:val="en-US"/>
              </w:rPr>
              <w:t xml:space="preserve"> HDC.</w:t>
            </w:r>
          </w:p>
          <w:p w:rsidR="00313D46" w:rsidRDefault="00313D46" w:rsidP="00313D46">
            <w:pPr>
              <w:rPr>
                <w:lang w:val="en-US"/>
              </w:rPr>
            </w:pPr>
          </w:p>
          <w:p w:rsidR="00313D46" w:rsidRPr="00666BAC" w:rsidRDefault="00313D46" w:rsidP="00313D46">
            <w:pPr>
              <w:tabs>
                <w:tab w:val="left" w:pos="1440"/>
                <w:tab w:val="left" w:pos="2610"/>
              </w:tabs>
              <w:spacing w:after="240"/>
              <w:outlineLvl w:val="0"/>
              <w:rPr>
                <w:lang w:val="en-US"/>
              </w:rPr>
            </w:pPr>
            <w:r w:rsidRPr="00666BAC">
              <w:rPr>
                <w:lang w:val="en-US"/>
              </w:rPr>
              <w:t xml:space="preserve">This increase must be interpreted with caution. HDC has no evidence to suggest that the increase in complaints relates to a decrease in the quality of services, by providers generally, or by DHBs in particular.  </w:t>
            </w:r>
          </w:p>
          <w:p w:rsidR="00313D46" w:rsidRPr="00666BAC" w:rsidRDefault="00313D46" w:rsidP="00313D46">
            <w:pPr>
              <w:tabs>
                <w:tab w:val="left" w:pos="1440"/>
                <w:tab w:val="left" w:pos="2610"/>
              </w:tabs>
              <w:spacing w:after="240"/>
              <w:outlineLvl w:val="0"/>
              <w:rPr>
                <w:lang w:val="en-US"/>
              </w:rPr>
            </w:pPr>
            <w:r w:rsidRPr="00666BAC">
              <w:rPr>
                <w:lang w:val="en-US"/>
              </w:rPr>
              <w:t xml:space="preserve">The growth in complaint numbers is more likely to be due to the increasing profile of HDC, the improved accessibility of complaints processes due to advancing technology, and an increasing public </w:t>
            </w:r>
            <w:r>
              <w:rPr>
                <w:lang w:val="en-US"/>
              </w:rPr>
              <w:t>knowledge of consumer rights.</w:t>
            </w:r>
            <w:r w:rsidRPr="00666BAC">
              <w:rPr>
                <w:lang w:val="en-US"/>
              </w:rPr>
              <w:t xml:space="preserve"> It may also reflect </w:t>
            </w:r>
            <w:r w:rsidR="004A5036">
              <w:rPr>
                <w:lang w:val="en-US"/>
              </w:rPr>
              <w:t>increasing health care service activity.</w:t>
            </w:r>
            <w:r>
              <w:rPr>
                <w:lang w:val="en-US"/>
              </w:rPr>
              <w:t xml:space="preserve"> </w:t>
            </w:r>
          </w:p>
          <w:p w:rsidR="00313D46" w:rsidRDefault="00313D46" w:rsidP="004A5036">
            <w:r w:rsidRPr="00666BAC">
              <w:rPr>
                <w:lang w:val="en-US"/>
              </w:rPr>
              <w:t>HDC’s increasing complaint load is not unique, but is consistent with a trend being observed in complaints agencies both around New Zealand and internationally.</w:t>
            </w:r>
          </w:p>
        </w:tc>
      </w:tr>
    </w:tbl>
    <w:p w:rsidR="00D86226" w:rsidRDefault="00D86226" w:rsidP="00D86226">
      <w:pPr>
        <w:jc w:val="left"/>
        <w:rPr>
          <w:rFonts w:ascii="Calibri" w:hAnsi="Calibri"/>
          <w:szCs w:val="22"/>
        </w:rPr>
      </w:pPr>
      <w:r>
        <w:rPr>
          <w:lang w:eastAsia="en-NZ" w:bidi="ar-SA"/>
        </w:rPr>
        <w:lastRenderedPageBreak/>
        <w:br/>
      </w:r>
      <w:r>
        <w:rPr>
          <w:rFonts w:ascii="Calibri" w:hAnsi="Calibri"/>
          <w:szCs w:val="22"/>
        </w:rPr>
        <w:t>Table 4 shows the number and rate of complaints received by HDC for each DHB</w:t>
      </w:r>
      <w:r>
        <w:rPr>
          <w:rStyle w:val="FootnoteReference"/>
          <w:rFonts w:ascii="Calibri" w:hAnsi="Calibri"/>
          <w:szCs w:val="22"/>
        </w:rPr>
        <w:footnoteReference w:id="3"/>
      </w:r>
      <w:r>
        <w:rPr>
          <w:rFonts w:ascii="Calibri" w:hAnsi="Calibri"/>
          <w:szCs w:val="22"/>
        </w:rPr>
        <w:t>.</w:t>
      </w:r>
    </w:p>
    <w:p w:rsidR="00D86226" w:rsidRDefault="00D86226" w:rsidP="00D86226">
      <w:pPr>
        <w:rPr>
          <w:highlight w:val="yellow"/>
        </w:rPr>
      </w:pPr>
    </w:p>
    <w:p w:rsidR="00D86226" w:rsidRPr="00D12A0D" w:rsidRDefault="00D86226" w:rsidP="00D86226">
      <w:pPr>
        <w:spacing w:after="120"/>
        <w:rPr>
          <w:szCs w:val="22"/>
        </w:rPr>
      </w:pPr>
      <w:r w:rsidRPr="00D12A0D">
        <w:rPr>
          <w:b/>
          <w:szCs w:val="22"/>
        </w:rPr>
        <w:t>Table 4.</w:t>
      </w:r>
      <w:r w:rsidRPr="00D12A0D">
        <w:rPr>
          <w:szCs w:val="22"/>
        </w:rPr>
        <w:t xml:space="preserve"> Number and rate of complai</w:t>
      </w:r>
      <w:r>
        <w:rPr>
          <w:szCs w:val="22"/>
        </w:rPr>
        <w:t>nts received for each DHB in Jan-Jun 2017</w:t>
      </w:r>
    </w:p>
    <w:tbl>
      <w:tblPr>
        <w:tblStyle w:val="TableGrid"/>
        <w:tblW w:w="0" w:type="auto"/>
        <w:tblLook w:val="04A0" w:firstRow="1" w:lastRow="0" w:firstColumn="1" w:lastColumn="0" w:noHBand="0" w:noVBand="1"/>
      </w:tblPr>
      <w:tblGrid>
        <w:gridCol w:w="2310"/>
        <w:gridCol w:w="2310"/>
        <w:gridCol w:w="2311"/>
        <w:gridCol w:w="2311"/>
      </w:tblGrid>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spacing w:after="120"/>
              <w:jc w:val="center"/>
              <w:rPr>
                <w:b/>
                <w:szCs w:val="22"/>
              </w:rPr>
            </w:pPr>
            <w:r w:rsidRPr="00D12A0D">
              <w:rPr>
                <w:b/>
                <w:szCs w:val="22"/>
              </w:rPr>
              <w:t>DHB</w:t>
            </w:r>
          </w:p>
        </w:tc>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spacing w:after="120"/>
              <w:jc w:val="center"/>
              <w:rPr>
                <w:b/>
                <w:szCs w:val="22"/>
              </w:rPr>
            </w:pPr>
            <w:r w:rsidRPr="00D12A0D">
              <w:rPr>
                <w:b/>
                <w:szCs w:val="22"/>
              </w:rPr>
              <w:t>Number of complaints received</w:t>
            </w:r>
          </w:p>
        </w:tc>
        <w:tc>
          <w:tcPr>
            <w:tcW w:w="2311"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spacing w:after="120"/>
              <w:jc w:val="center"/>
              <w:rPr>
                <w:b/>
                <w:szCs w:val="22"/>
              </w:rPr>
            </w:pPr>
            <w:r w:rsidRPr="00D12A0D">
              <w:rPr>
                <w:b/>
                <w:szCs w:val="22"/>
              </w:rPr>
              <w:t>Number of discharges</w:t>
            </w:r>
          </w:p>
        </w:tc>
        <w:tc>
          <w:tcPr>
            <w:tcW w:w="2311"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spacing w:after="120"/>
              <w:jc w:val="center"/>
              <w:rPr>
                <w:b/>
                <w:szCs w:val="22"/>
              </w:rPr>
            </w:pPr>
            <w:r w:rsidRPr="00D12A0D">
              <w:rPr>
                <w:b/>
                <w:szCs w:val="22"/>
              </w:rPr>
              <w:t>Rate of complaints to HDC per 100,000 discharges</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Auckland</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69</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812BD7">
            <w:pPr>
              <w:jc w:val="center"/>
              <w:rPr>
                <w:rFonts w:ascii="Calibri" w:hAnsi="Calibri"/>
                <w:color w:val="000000"/>
                <w:lang w:eastAsia="en-NZ"/>
              </w:rPr>
            </w:pPr>
            <w:r w:rsidRPr="00EC7BC7">
              <w:rPr>
                <w:rFonts w:ascii="Calibri" w:hAnsi="Calibri"/>
                <w:color w:val="000000"/>
                <w:lang w:eastAsia="en-NZ"/>
              </w:rPr>
              <w:t>60</w:t>
            </w:r>
            <w:r>
              <w:rPr>
                <w:rFonts w:ascii="Calibri" w:hAnsi="Calibri"/>
                <w:color w:val="000000"/>
                <w:lang w:eastAsia="en-NZ"/>
              </w:rPr>
              <w:t>,</w:t>
            </w:r>
            <w:r w:rsidR="00812BD7">
              <w:rPr>
                <w:rFonts w:ascii="Calibri" w:hAnsi="Calibri"/>
                <w:color w:val="000000"/>
                <w:lang w:eastAsia="en-NZ"/>
              </w:rPr>
              <w:t>192</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812BD7" w:rsidP="00D86226">
            <w:pPr>
              <w:jc w:val="center"/>
              <w:rPr>
                <w:rFonts w:ascii="Calibri" w:hAnsi="Calibri"/>
                <w:color w:val="000000"/>
                <w:lang w:eastAsia="en-NZ"/>
              </w:rPr>
            </w:pPr>
            <w:r>
              <w:rPr>
                <w:rFonts w:ascii="Calibri" w:hAnsi="Calibri"/>
                <w:color w:val="000000"/>
                <w:lang w:eastAsia="en-NZ"/>
              </w:rPr>
              <w:t>114.63</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Bay of Plenty</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16</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25</w:t>
            </w:r>
            <w:r>
              <w:rPr>
                <w:rFonts w:ascii="Calibri" w:hAnsi="Calibri"/>
                <w:color w:val="000000"/>
                <w:lang w:eastAsia="en-NZ"/>
              </w:rPr>
              <w:t>,</w:t>
            </w:r>
            <w:r w:rsidRPr="00EC7BC7">
              <w:rPr>
                <w:rFonts w:ascii="Calibri" w:hAnsi="Calibri"/>
                <w:color w:val="000000"/>
                <w:lang w:eastAsia="en-NZ"/>
              </w:rPr>
              <w:t>810</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61.99</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Canterbury</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52</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56</w:t>
            </w:r>
            <w:r>
              <w:rPr>
                <w:rFonts w:ascii="Calibri" w:hAnsi="Calibri"/>
                <w:color w:val="000000"/>
                <w:lang w:eastAsia="en-NZ"/>
              </w:rPr>
              <w:t>,</w:t>
            </w:r>
            <w:r w:rsidR="00812BD7">
              <w:rPr>
                <w:rFonts w:ascii="Calibri" w:hAnsi="Calibri"/>
                <w:color w:val="000000"/>
                <w:lang w:eastAsia="en-NZ"/>
              </w:rPr>
              <w:t>513</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92.0</w:t>
            </w:r>
            <w:r w:rsidR="00812BD7">
              <w:rPr>
                <w:rFonts w:ascii="Calibri" w:hAnsi="Calibri"/>
                <w:color w:val="000000"/>
                <w:lang w:eastAsia="en-NZ"/>
              </w:rPr>
              <w:t>1</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Capital and Coast</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812BD7" w:rsidP="00D86226">
            <w:pPr>
              <w:jc w:val="center"/>
              <w:rPr>
                <w:rFonts w:ascii="Calibri" w:hAnsi="Calibri"/>
                <w:color w:val="000000"/>
                <w:lang w:eastAsia="en-NZ"/>
              </w:rPr>
            </w:pPr>
            <w:r>
              <w:rPr>
                <w:rFonts w:ascii="Calibri" w:hAnsi="Calibri"/>
                <w:color w:val="000000"/>
                <w:lang w:eastAsia="en-NZ"/>
              </w:rPr>
              <w:t>49</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31</w:t>
            </w:r>
            <w:r>
              <w:rPr>
                <w:rFonts w:ascii="Calibri" w:hAnsi="Calibri"/>
                <w:color w:val="000000"/>
                <w:lang w:eastAsia="en-NZ"/>
              </w:rPr>
              <w:t>,</w:t>
            </w:r>
            <w:r w:rsidR="00812BD7">
              <w:rPr>
                <w:rFonts w:ascii="Calibri" w:hAnsi="Calibri"/>
                <w:color w:val="000000"/>
                <w:lang w:eastAsia="en-NZ"/>
              </w:rPr>
              <w:t>022</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812BD7" w:rsidP="00D86226">
            <w:pPr>
              <w:jc w:val="center"/>
              <w:rPr>
                <w:rFonts w:ascii="Calibri" w:hAnsi="Calibri"/>
                <w:color w:val="000000"/>
                <w:lang w:eastAsia="en-NZ"/>
              </w:rPr>
            </w:pPr>
            <w:r>
              <w:rPr>
                <w:rFonts w:ascii="Calibri" w:hAnsi="Calibri"/>
                <w:color w:val="000000"/>
                <w:lang w:eastAsia="en-NZ"/>
              </w:rPr>
              <w:t>157.95</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 xml:space="preserve">Counties </w:t>
            </w:r>
            <w:proofErr w:type="spellStart"/>
            <w:r w:rsidRPr="00D12A0D">
              <w:rPr>
                <w:szCs w:val="22"/>
              </w:rPr>
              <w:t>Manukau</w:t>
            </w:r>
            <w:proofErr w:type="spellEnd"/>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41</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50</w:t>
            </w:r>
            <w:r>
              <w:rPr>
                <w:rFonts w:ascii="Calibri" w:hAnsi="Calibri"/>
                <w:color w:val="000000"/>
                <w:lang w:eastAsia="en-NZ"/>
              </w:rPr>
              <w:t>,</w:t>
            </w:r>
            <w:r w:rsidR="00812BD7">
              <w:rPr>
                <w:rFonts w:ascii="Calibri" w:hAnsi="Calibri"/>
                <w:color w:val="000000"/>
                <w:lang w:eastAsia="en-NZ"/>
              </w:rPr>
              <w:t>911</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812BD7" w:rsidP="00D86226">
            <w:pPr>
              <w:jc w:val="center"/>
              <w:rPr>
                <w:rFonts w:ascii="Calibri" w:hAnsi="Calibri"/>
                <w:color w:val="000000"/>
                <w:lang w:eastAsia="en-NZ"/>
              </w:rPr>
            </w:pPr>
            <w:r>
              <w:rPr>
                <w:rFonts w:ascii="Calibri" w:hAnsi="Calibri"/>
                <w:color w:val="000000"/>
                <w:lang w:eastAsia="en-NZ"/>
              </w:rPr>
              <w:t>80.53</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Hawke’s Bay</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19</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812BD7" w:rsidP="00D86226">
            <w:pPr>
              <w:jc w:val="center"/>
              <w:rPr>
                <w:rFonts w:ascii="Calibri" w:hAnsi="Calibri"/>
                <w:color w:val="000000"/>
                <w:lang w:eastAsia="en-NZ"/>
              </w:rPr>
            </w:pPr>
            <w:r>
              <w:rPr>
                <w:rFonts w:ascii="Calibri" w:hAnsi="Calibri"/>
                <w:color w:val="000000"/>
                <w:lang w:eastAsia="en-NZ"/>
              </w:rPr>
              <w:t>16,897</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747CE9" w:rsidP="00D86226">
            <w:pPr>
              <w:jc w:val="center"/>
              <w:rPr>
                <w:rFonts w:ascii="Calibri" w:hAnsi="Calibri"/>
                <w:color w:val="000000"/>
                <w:lang w:eastAsia="en-NZ"/>
              </w:rPr>
            </w:pPr>
            <w:r>
              <w:rPr>
                <w:rFonts w:ascii="Calibri" w:hAnsi="Calibri"/>
                <w:color w:val="000000"/>
                <w:lang w:eastAsia="en-NZ"/>
              </w:rPr>
              <w:t>112.45</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Hutt Valley</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20</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16</w:t>
            </w:r>
            <w:r>
              <w:rPr>
                <w:rFonts w:ascii="Calibri" w:hAnsi="Calibri"/>
                <w:color w:val="000000"/>
                <w:lang w:eastAsia="en-NZ"/>
              </w:rPr>
              <w:t>,</w:t>
            </w:r>
            <w:r w:rsidR="00812BD7">
              <w:rPr>
                <w:rFonts w:ascii="Calibri" w:hAnsi="Calibri"/>
                <w:color w:val="000000"/>
                <w:lang w:eastAsia="en-NZ"/>
              </w:rPr>
              <w:t>083</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747CE9" w:rsidP="00D86226">
            <w:pPr>
              <w:jc w:val="center"/>
              <w:rPr>
                <w:rFonts w:ascii="Calibri" w:hAnsi="Calibri"/>
                <w:color w:val="000000"/>
                <w:lang w:eastAsia="en-NZ"/>
              </w:rPr>
            </w:pPr>
            <w:r>
              <w:rPr>
                <w:rFonts w:ascii="Calibri" w:hAnsi="Calibri"/>
                <w:color w:val="000000"/>
                <w:lang w:eastAsia="en-NZ"/>
              </w:rPr>
              <w:t>124.35</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Lakes</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11</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11</w:t>
            </w:r>
            <w:r>
              <w:rPr>
                <w:rFonts w:ascii="Calibri" w:hAnsi="Calibri"/>
                <w:color w:val="000000"/>
                <w:lang w:eastAsia="en-NZ"/>
              </w:rPr>
              <w:t>,</w:t>
            </w:r>
            <w:r w:rsidRPr="00EC7BC7">
              <w:rPr>
                <w:rFonts w:ascii="Calibri" w:hAnsi="Calibri"/>
                <w:color w:val="000000"/>
                <w:lang w:eastAsia="en-NZ"/>
              </w:rPr>
              <w:t>674</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94.23</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proofErr w:type="spellStart"/>
            <w:r w:rsidRPr="00D12A0D">
              <w:rPr>
                <w:szCs w:val="22"/>
              </w:rPr>
              <w:t>MidCentral</w:t>
            </w:r>
            <w:proofErr w:type="spellEnd"/>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26</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15</w:t>
            </w:r>
            <w:r>
              <w:rPr>
                <w:rFonts w:ascii="Calibri" w:hAnsi="Calibri"/>
                <w:color w:val="000000"/>
                <w:lang w:eastAsia="en-NZ"/>
              </w:rPr>
              <w:t>,</w:t>
            </w:r>
            <w:r w:rsidR="00812BD7">
              <w:rPr>
                <w:rFonts w:ascii="Calibri" w:hAnsi="Calibri"/>
                <w:color w:val="000000"/>
                <w:lang w:eastAsia="en-NZ"/>
              </w:rPr>
              <w:t>359</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747CE9" w:rsidP="00D86226">
            <w:pPr>
              <w:jc w:val="center"/>
              <w:rPr>
                <w:rFonts w:ascii="Calibri" w:hAnsi="Calibri"/>
                <w:color w:val="000000"/>
                <w:lang w:eastAsia="en-NZ"/>
              </w:rPr>
            </w:pPr>
            <w:r>
              <w:rPr>
                <w:rFonts w:ascii="Calibri" w:hAnsi="Calibri"/>
                <w:color w:val="000000"/>
                <w:lang w:eastAsia="en-NZ"/>
              </w:rPr>
              <w:t>169.28</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Nelson Marlborough</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17</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12</w:t>
            </w:r>
            <w:r>
              <w:rPr>
                <w:rFonts w:ascii="Calibri" w:hAnsi="Calibri"/>
                <w:color w:val="000000"/>
                <w:lang w:eastAsia="en-NZ"/>
              </w:rPr>
              <w:t>,</w:t>
            </w:r>
            <w:r w:rsidR="00812BD7">
              <w:rPr>
                <w:rFonts w:ascii="Calibri" w:hAnsi="Calibri"/>
                <w:color w:val="000000"/>
                <w:lang w:eastAsia="en-NZ"/>
              </w:rPr>
              <w:t>145</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747CE9" w:rsidP="00D86226">
            <w:pPr>
              <w:jc w:val="center"/>
              <w:rPr>
                <w:rFonts w:ascii="Calibri" w:hAnsi="Calibri"/>
                <w:color w:val="000000"/>
                <w:lang w:eastAsia="en-NZ"/>
              </w:rPr>
            </w:pPr>
            <w:r>
              <w:rPr>
                <w:rFonts w:ascii="Calibri" w:hAnsi="Calibri"/>
                <w:color w:val="000000"/>
                <w:lang w:eastAsia="en-NZ"/>
              </w:rPr>
              <w:t>139.98</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Northland</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13</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20</w:t>
            </w:r>
            <w:r>
              <w:rPr>
                <w:rFonts w:ascii="Calibri" w:hAnsi="Calibri"/>
                <w:color w:val="000000"/>
                <w:lang w:eastAsia="en-NZ"/>
              </w:rPr>
              <w:t>,</w:t>
            </w:r>
            <w:r w:rsidR="00812BD7">
              <w:rPr>
                <w:rFonts w:ascii="Calibri" w:hAnsi="Calibri"/>
                <w:color w:val="000000"/>
                <w:lang w:eastAsia="en-NZ"/>
              </w:rPr>
              <w:t>34</w:t>
            </w:r>
            <w:r w:rsidRPr="00EC7BC7">
              <w:rPr>
                <w:rFonts w:ascii="Calibri" w:hAnsi="Calibri"/>
                <w:color w:val="000000"/>
                <w:lang w:eastAsia="en-NZ"/>
              </w:rPr>
              <w:t>1</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747CE9" w:rsidP="00D86226">
            <w:pPr>
              <w:jc w:val="center"/>
              <w:rPr>
                <w:rFonts w:ascii="Calibri" w:hAnsi="Calibri"/>
                <w:color w:val="000000"/>
                <w:lang w:eastAsia="en-NZ"/>
              </w:rPr>
            </w:pPr>
            <w:r>
              <w:rPr>
                <w:rFonts w:ascii="Calibri" w:hAnsi="Calibri"/>
                <w:color w:val="000000"/>
                <w:lang w:eastAsia="en-NZ"/>
              </w:rPr>
              <w:t>63.91</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South Canterbury</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6</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6</w:t>
            </w:r>
            <w:r>
              <w:rPr>
                <w:rFonts w:ascii="Calibri" w:hAnsi="Calibri"/>
                <w:color w:val="000000"/>
                <w:lang w:eastAsia="en-NZ"/>
              </w:rPr>
              <w:t>,</w:t>
            </w:r>
            <w:r w:rsidR="00812BD7">
              <w:rPr>
                <w:rFonts w:ascii="Calibri" w:hAnsi="Calibri"/>
                <w:color w:val="000000"/>
                <w:lang w:eastAsia="en-NZ"/>
              </w:rPr>
              <w:t>211</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747CE9" w:rsidP="00D86226">
            <w:pPr>
              <w:jc w:val="center"/>
              <w:rPr>
                <w:rFonts w:ascii="Calibri" w:hAnsi="Calibri"/>
                <w:color w:val="000000"/>
                <w:lang w:eastAsia="en-NZ"/>
              </w:rPr>
            </w:pPr>
            <w:r>
              <w:rPr>
                <w:rFonts w:ascii="Calibri" w:hAnsi="Calibri"/>
                <w:color w:val="000000"/>
                <w:lang w:eastAsia="en-NZ"/>
              </w:rPr>
              <w:t>96.60</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Southern</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42</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26</w:t>
            </w:r>
            <w:r>
              <w:rPr>
                <w:rFonts w:ascii="Calibri" w:hAnsi="Calibri"/>
                <w:color w:val="000000"/>
                <w:lang w:eastAsia="en-NZ"/>
              </w:rPr>
              <w:t>,</w:t>
            </w:r>
            <w:r w:rsidR="00812BD7">
              <w:rPr>
                <w:rFonts w:ascii="Calibri" w:hAnsi="Calibri"/>
                <w:color w:val="000000"/>
                <w:lang w:eastAsia="en-NZ"/>
              </w:rPr>
              <w:t>008</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747CE9" w:rsidP="00D86226">
            <w:pPr>
              <w:jc w:val="center"/>
              <w:rPr>
                <w:rFonts w:ascii="Calibri" w:hAnsi="Calibri"/>
                <w:color w:val="000000"/>
                <w:lang w:eastAsia="en-NZ"/>
              </w:rPr>
            </w:pPr>
            <w:r>
              <w:rPr>
                <w:rFonts w:ascii="Calibri" w:hAnsi="Calibri"/>
                <w:color w:val="000000"/>
                <w:lang w:eastAsia="en-NZ"/>
              </w:rPr>
              <w:t>161.49</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proofErr w:type="spellStart"/>
            <w:r w:rsidRPr="00D12A0D">
              <w:rPr>
                <w:szCs w:val="22"/>
              </w:rPr>
              <w:t>Tairawhiti</w:t>
            </w:r>
            <w:proofErr w:type="spellEnd"/>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6</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5</w:t>
            </w:r>
            <w:r>
              <w:rPr>
                <w:rFonts w:ascii="Calibri" w:hAnsi="Calibri"/>
                <w:color w:val="000000"/>
                <w:lang w:eastAsia="en-NZ"/>
              </w:rPr>
              <w:t>,</w:t>
            </w:r>
            <w:r w:rsidRPr="00EC7BC7">
              <w:rPr>
                <w:rFonts w:ascii="Calibri" w:hAnsi="Calibri"/>
                <w:color w:val="000000"/>
                <w:lang w:eastAsia="en-NZ"/>
              </w:rPr>
              <w:t>252</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114.24</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Taranaki</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6</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12</w:t>
            </w:r>
            <w:r>
              <w:rPr>
                <w:rFonts w:ascii="Calibri" w:hAnsi="Calibri"/>
                <w:color w:val="000000"/>
                <w:lang w:eastAsia="en-NZ"/>
              </w:rPr>
              <w:t>,</w:t>
            </w:r>
            <w:r w:rsidRPr="00EC7BC7">
              <w:rPr>
                <w:rFonts w:ascii="Calibri" w:hAnsi="Calibri"/>
                <w:color w:val="000000"/>
                <w:lang w:eastAsia="en-NZ"/>
              </w:rPr>
              <w:t>362</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48.54</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Waikato</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40</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47</w:t>
            </w:r>
            <w:r>
              <w:rPr>
                <w:rFonts w:ascii="Calibri" w:hAnsi="Calibri"/>
                <w:color w:val="000000"/>
                <w:lang w:eastAsia="en-NZ"/>
              </w:rPr>
              <w:t>,</w:t>
            </w:r>
            <w:r w:rsidR="00812BD7">
              <w:rPr>
                <w:rFonts w:ascii="Calibri" w:hAnsi="Calibri"/>
                <w:color w:val="000000"/>
                <w:lang w:eastAsia="en-NZ"/>
              </w:rPr>
              <w:t>567</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84.</w:t>
            </w:r>
            <w:r w:rsidR="00747CE9">
              <w:rPr>
                <w:rFonts w:ascii="Calibri" w:hAnsi="Calibri"/>
                <w:color w:val="000000"/>
                <w:lang w:eastAsia="en-NZ"/>
              </w:rPr>
              <w:t>09</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proofErr w:type="spellStart"/>
            <w:r w:rsidRPr="00D12A0D">
              <w:rPr>
                <w:szCs w:val="22"/>
              </w:rPr>
              <w:t>Wairarapa</w:t>
            </w:r>
            <w:proofErr w:type="spellEnd"/>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3</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4</w:t>
            </w:r>
            <w:r>
              <w:rPr>
                <w:rFonts w:ascii="Calibri" w:hAnsi="Calibri"/>
                <w:color w:val="000000"/>
                <w:lang w:eastAsia="en-NZ"/>
              </w:rPr>
              <w:t>,</w:t>
            </w:r>
            <w:r w:rsidRPr="00EC7BC7">
              <w:rPr>
                <w:rFonts w:ascii="Calibri" w:hAnsi="Calibri"/>
                <w:color w:val="000000"/>
                <w:lang w:eastAsia="en-NZ"/>
              </w:rPr>
              <w:t>222</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71.06</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proofErr w:type="spellStart"/>
            <w:r w:rsidRPr="00D12A0D">
              <w:rPr>
                <w:szCs w:val="22"/>
              </w:rPr>
              <w:t>Waitemata</w:t>
            </w:r>
            <w:proofErr w:type="spellEnd"/>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49</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53</w:t>
            </w:r>
            <w:r>
              <w:rPr>
                <w:rFonts w:ascii="Calibri" w:hAnsi="Calibri"/>
                <w:color w:val="000000"/>
                <w:lang w:eastAsia="en-NZ"/>
              </w:rPr>
              <w:t>,</w:t>
            </w:r>
            <w:r w:rsidR="00812BD7">
              <w:rPr>
                <w:rFonts w:ascii="Calibri" w:hAnsi="Calibri"/>
                <w:color w:val="000000"/>
                <w:lang w:eastAsia="en-NZ"/>
              </w:rPr>
              <w:t>072</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747CE9" w:rsidP="00D86226">
            <w:pPr>
              <w:jc w:val="center"/>
              <w:rPr>
                <w:rFonts w:ascii="Calibri" w:hAnsi="Calibri"/>
                <w:color w:val="000000"/>
                <w:lang w:eastAsia="en-NZ"/>
              </w:rPr>
            </w:pPr>
            <w:r>
              <w:rPr>
                <w:rFonts w:ascii="Calibri" w:hAnsi="Calibri"/>
                <w:color w:val="000000"/>
                <w:lang w:eastAsia="en-NZ"/>
              </w:rPr>
              <w:t>92.33</w:t>
            </w:r>
          </w:p>
        </w:tc>
      </w:tr>
      <w:tr w:rsidR="00D86226" w:rsidRPr="00D12A0D"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West Coast</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5</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3</w:t>
            </w:r>
            <w:r>
              <w:rPr>
                <w:rFonts w:ascii="Calibri" w:hAnsi="Calibri"/>
                <w:color w:val="000000"/>
                <w:lang w:eastAsia="en-NZ"/>
              </w:rPr>
              <w:t>,</w:t>
            </w:r>
            <w:r w:rsidRPr="00EC7BC7">
              <w:rPr>
                <w:rFonts w:ascii="Calibri" w:hAnsi="Calibri"/>
                <w:color w:val="000000"/>
                <w:lang w:eastAsia="en-NZ"/>
              </w:rPr>
              <w:t>229</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154.85</w:t>
            </w:r>
          </w:p>
        </w:tc>
      </w:tr>
      <w:tr w:rsidR="00D86226" w:rsidTr="00D86226">
        <w:tc>
          <w:tcPr>
            <w:tcW w:w="2310" w:type="dxa"/>
            <w:tcBorders>
              <w:top w:val="single" w:sz="4" w:space="0" w:color="auto"/>
              <w:left w:val="single" w:sz="4" w:space="0" w:color="auto"/>
              <w:bottom w:val="single" w:sz="4" w:space="0" w:color="auto"/>
              <w:right w:val="single" w:sz="4" w:space="0" w:color="auto"/>
            </w:tcBorders>
            <w:hideMark/>
          </w:tcPr>
          <w:p w:rsidR="00D86226" w:rsidRPr="00D12A0D" w:rsidRDefault="00D86226" w:rsidP="00D86226">
            <w:pPr>
              <w:rPr>
                <w:szCs w:val="22"/>
              </w:rPr>
            </w:pPr>
            <w:r w:rsidRPr="00D12A0D">
              <w:rPr>
                <w:szCs w:val="22"/>
              </w:rPr>
              <w:t>Whanganui</w:t>
            </w:r>
          </w:p>
        </w:tc>
        <w:tc>
          <w:tcPr>
            <w:tcW w:w="2310"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5</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6</w:t>
            </w:r>
            <w:r>
              <w:rPr>
                <w:rFonts w:ascii="Calibri" w:hAnsi="Calibri"/>
                <w:color w:val="000000"/>
                <w:lang w:eastAsia="en-NZ"/>
              </w:rPr>
              <w:t>,</w:t>
            </w:r>
            <w:r w:rsidRPr="00EC7BC7">
              <w:rPr>
                <w:rFonts w:ascii="Calibri" w:hAnsi="Calibri"/>
                <w:color w:val="000000"/>
                <w:lang w:eastAsia="en-NZ"/>
              </w:rPr>
              <w:t>199</w:t>
            </w:r>
          </w:p>
        </w:tc>
        <w:tc>
          <w:tcPr>
            <w:tcW w:w="2311" w:type="dxa"/>
            <w:tcBorders>
              <w:top w:val="single" w:sz="4" w:space="0" w:color="auto"/>
              <w:left w:val="single" w:sz="4" w:space="0" w:color="auto"/>
              <w:bottom w:val="single" w:sz="4" w:space="0" w:color="auto"/>
              <w:right w:val="single" w:sz="4" w:space="0" w:color="auto"/>
            </w:tcBorders>
          </w:tcPr>
          <w:p w:rsidR="00D86226" w:rsidRPr="00EC7BC7" w:rsidRDefault="00D86226" w:rsidP="00D86226">
            <w:pPr>
              <w:jc w:val="center"/>
              <w:rPr>
                <w:rFonts w:ascii="Calibri" w:hAnsi="Calibri"/>
                <w:color w:val="000000"/>
                <w:lang w:eastAsia="en-NZ"/>
              </w:rPr>
            </w:pPr>
            <w:r w:rsidRPr="00EC7BC7">
              <w:rPr>
                <w:rFonts w:ascii="Calibri" w:hAnsi="Calibri"/>
                <w:color w:val="000000"/>
                <w:lang w:eastAsia="en-NZ"/>
              </w:rPr>
              <w:t>80.66</w:t>
            </w:r>
          </w:p>
        </w:tc>
      </w:tr>
    </w:tbl>
    <w:p w:rsidR="00D86226" w:rsidRDefault="00D86226" w:rsidP="00D86226"/>
    <w:p w:rsidR="00D86226" w:rsidRDefault="00D86226" w:rsidP="00D86226"/>
    <w:tbl>
      <w:tblPr>
        <w:tblStyle w:val="TableGrid"/>
        <w:tblW w:w="0" w:type="auto"/>
        <w:tblLook w:val="04A0" w:firstRow="1" w:lastRow="0" w:firstColumn="1" w:lastColumn="0" w:noHBand="0" w:noVBand="1"/>
      </w:tblPr>
      <w:tblGrid>
        <w:gridCol w:w="9298"/>
      </w:tblGrid>
      <w:tr w:rsidR="00D86226" w:rsidTr="00D86226">
        <w:tc>
          <w:tcPr>
            <w:tcW w:w="9298" w:type="dxa"/>
          </w:tcPr>
          <w:p w:rsidR="00D86226" w:rsidRDefault="00D86226" w:rsidP="00D86226">
            <w:pPr>
              <w:spacing w:line="360" w:lineRule="auto"/>
              <w:jc w:val="center"/>
              <w:rPr>
                <w:b/>
                <w:szCs w:val="22"/>
              </w:rPr>
            </w:pPr>
            <w:r>
              <w:rPr>
                <w:b/>
                <w:szCs w:val="22"/>
              </w:rPr>
              <w:t>Notes on DHB’s n</w:t>
            </w:r>
            <w:r w:rsidRPr="008C3A00">
              <w:rPr>
                <w:b/>
                <w:szCs w:val="22"/>
              </w:rPr>
              <w:t>umber and rate of complaints</w:t>
            </w:r>
          </w:p>
          <w:p w:rsidR="00D86226" w:rsidRDefault="00D86226" w:rsidP="00D86226">
            <w:pPr>
              <w:rPr>
                <w:szCs w:val="22"/>
              </w:rPr>
            </w:pPr>
            <w:r w:rsidRPr="008C3A00">
              <w:rPr>
                <w:szCs w:val="22"/>
                <w:lang w:bidi="ar-SA"/>
              </w:rPr>
              <w:t>It should be noted that a DHB’s number and rate of complaints can vary considerably from one six month period to the next. Therefore, care should be taken before drawing conclusions on the basis of one six month period. For smaller DHBs, a very small absolute increase or decrease in</w:t>
            </w:r>
            <w:r>
              <w:rPr>
                <w:szCs w:val="22"/>
                <w:lang w:bidi="ar-SA"/>
              </w:rPr>
              <w:t xml:space="preserve"> the</w:t>
            </w:r>
            <w:r w:rsidRPr="008C3A00">
              <w:rPr>
                <w:szCs w:val="22"/>
                <w:lang w:bidi="ar-SA"/>
              </w:rPr>
              <w:t xml:space="preserve"> number of complaints receiv</w:t>
            </w:r>
            <w:r>
              <w:rPr>
                <w:szCs w:val="22"/>
                <w:lang w:bidi="ar-SA"/>
              </w:rPr>
              <w:t>ed can dramatically affect the</w:t>
            </w:r>
            <w:r w:rsidRPr="008C3A00">
              <w:rPr>
                <w:szCs w:val="22"/>
                <w:lang w:bidi="ar-SA"/>
              </w:rPr>
              <w:t xml:space="preserve"> rate of complaints. </w:t>
            </w:r>
            <w:r>
              <w:rPr>
                <w:szCs w:val="22"/>
                <w:lang w:bidi="ar-SA"/>
              </w:rPr>
              <w:t xml:space="preserve">Accordingly, </w:t>
            </w:r>
            <w:r w:rsidRPr="008C3A00">
              <w:rPr>
                <w:szCs w:val="22"/>
              </w:rPr>
              <w:t>much of the value in this data lies in how it changes over time, as such analysis allows trends to emerg</w:t>
            </w:r>
            <w:r>
              <w:rPr>
                <w:szCs w:val="22"/>
              </w:rPr>
              <w:t>e which may point to areas that</w:t>
            </w:r>
            <w:r w:rsidRPr="008C3A00">
              <w:rPr>
                <w:szCs w:val="22"/>
              </w:rPr>
              <w:t xml:space="preserve"> require further attention.</w:t>
            </w:r>
          </w:p>
          <w:p w:rsidR="00D86226" w:rsidRDefault="00D86226" w:rsidP="00D86226">
            <w:pPr>
              <w:rPr>
                <w:szCs w:val="22"/>
              </w:rPr>
            </w:pPr>
          </w:p>
          <w:p w:rsidR="00D86226" w:rsidRPr="004A5036" w:rsidRDefault="00D86226" w:rsidP="00D86226">
            <w:pPr>
              <w:rPr>
                <w:szCs w:val="22"/>
                <w:lang w:bidi="ar-SA"/>
              </w:rPr>
            </w:pPr>
            <w:r w:rsidRPr="008C3A00">
              <w:rPr>
                <w:szCs w:val="22"/>
                <w:lang w:bidi="ar-SA"/>
              </w:rPr>
              <w:t>It is also important to note that numbers of complaints received by HDC is not always a good proxy for quality of care provided and may instead, for example, be an indicator of the effectiveness of a DHB’s complaint system or features of the consumer population in a particular area.  Additionally,</w:t>
            </w:r>
            <w:r>
              <w:rPr>
                <w:szCs w:val="22"/>
                <w:lang w:bidi="ar-SA"/>
              </w:rPr>
              <w:t xml:space="preserve"> complaints received within a single 6 month period will, sometimes, relate to care provided within quite a different time period.</w:t>
            </w:r>
            <w:r w:rsidRPr="008C3A00">
              <w:rPr>
                <w:szCs w:val="22"/>
                <w:lang w:bidi="ar-SA"/>
              </w:rPr>
              <w:t xml:space="preserve"> </w:t>
            </w:r>
            <w:r>
              <w:rPr>
                <w:szCs w:val="22"/>
                <w:lang w:bidi="ar-SA"/>
              </w:rPr>
              <w:t>From time to time, s</w:t>
            </w:r>
            <w:r w:rsidRPr="008C3A00">
              <w:rPr>
                <w:szCs w:val="22"/>
                <w:lang w:bidi="ar-SA"/>
              </w:rPr>
              <w:t>ome DHBs may</w:t>
            </w:r>
            <w:r>
              <w:rPr>
                <w:szCs w:val="22"/>
                <w:lang w:bidi="ar-SA"/>
              </w:rPr>
              <w:t xml:space="preserve"> also</w:t>
            </w:r>
            <w:r w:rsidRPr="008C3A00">
              <w:rPr>
                <w:szCs w:val="22"/>
                <w:lang w:bidi="ar-SA"/>
              </w:rPr>
              <w:t xml:space="preserve"> be the subject of a number of complaints from a single complainant within one reporting period</w:t>
            </w:r>
            <w:r>
              <w:rPr>
                <w:szCs w:val="22"/>
                <w:lang w:bidi="ar-SA"/>
              </w:rPr>
              <w:t>. This is important context that is taken into account by DHBs when considering their own complaint patterns.</w:t>
            </w:r>
          </w:p>
        </w:tc>
      </w:tr>
    </w:tbl>
    <w:p w:rsidR="00D86226" w:rsidRDefault="00D86226" w:rsidP="00D86226">
      <w:pPr>
        <w:rPr>
          <w:lang w:bidi="ar-SA"/>
        </w:rPr>
      </w:pPr>
    </w:p>
    <w:p w:rsidR="00D86226" w:rsidRDefault="00D86226" w:rsidP="00D86226">
      <w:bookmarkStart w:id="42" w:name="_Toc426462630"/>
      <w:bookmarkStart w:id="43" w:name="_Toc443992225"/>
      <w:bookmarkStart w:id="44" w:name="_Toc445910049"/>
      <w:bookmarkStart w:id="45" w:name="_Toc447291333"/>
      <w:bookmarkStart w:id="46" w:name="_Toc447291471"/>
      <w:bookmarkStart w:id="47" w:name="_Toc447527528"/>
    </w:p>
    <w:p w:rsidR="00D86226" w:rsidRDefault="00D86226" w:rsidP="00D86226">
      <w:pPr>
        <w:rPr>
          <w:lang w:bidi="ar-SA"/>
        </w:rPr>
      </w:pPr>
    </w:p>
    <w:p w:rsidR="00D86226" w:rsidRDefault="00D86226" w:rsidP="00D86226">
      <w:pPr>
        <w:rPr>
          <w:lang w:bidi="ar-SA"/>
        </w:rPr>
      </w:pPr>
    </w:p>
    <w:p w:rsidR="00D86226" w:rsidRPr="009E57B6" w:rsidRDefault="00D86226" w:rsidP="00D86226">
      <w:pPr>
        <w:rPr>
          <w:lang w:bidi="ar-SA"/>
        </w:rPr>
      </w:pPr>
    </w:p>
    <w:p w:rsidR="00D86226" w:rsidRDefault="00D86226" w:rsidP="00D86226">
      <w:pPr>
        <w:pStyle w:val="Heading2"/>
        <w:spacing w:before="120"/>
        <w:rPr>
          <w:lang w:val="en-NZ"/>
        </w:rPr>
      </w:pPr>
      <w:bookmarkStart w:id="48" w:name="_Toc493680285"/>
      <w:bookmarkStart w:id="49" w:name="_Toc493684126"/>
      <w:r>
        <w:rPr>
          <w:lang w:val="en-NZ"/>
        </w:rPr>
        <w:lastRenderedPageBreak/>
        <w:t>2.0</w:t>
      </w:r>
      <w:r>
        <w:rPr>
          <w:lang w:val="en-NZ"/>
        </w:rPr>
        <w:tab/>
        <w:t>Service types complained about</w:t>
      </w:r>
      <w:bookmarkEnd w:id="42"/>
      <w:bookmarkEnd w:id="43"/>
      <w:bookmarkEnd w:id="44"/>
      <w:bookmarkEnd w:id="45"/>
      <w:bookmarkEnd w:id="46"/>
      <w:bookmarkEnd w:id="47"/>
      <w:bookmarkEnd w:id="48"/>
      <w:bookmarkEnd w:id="49"/>
      <w:r>
        <w:rPr>
          <w:lang w:val="en-NZ"/>
        </w:rPr>
        <w:t xml:space="preserve"> </w:t>
      </w:r>
    </w:p>
    <w:p w:rsidR="00D86226" w:rsidRDefault="00D86226" w:rsidP="00D86226">
      <w:pPr>
        <w:pStyle w:val="Heading3"/>
      </w:pPr>
      <w:bookmarkStart w:id="50" w:name="_Toc426462631"/>
      <w:bookmarkStart w:id="51" w:name="_Toc443992226"/>
      <w:bookmarkStart w:id="52" w:name="_Toc445910050"/>
      <w:bookmarkStart w:id="53" w:name="_Toc447291334"/>
      <w:bookmarkStart w:id="54" w:name="_Toc447291472"/>
      <w:bookmarkStart w:id="55" w:name="_Toc447527529"/>
      <w:bookmarkStart w:id="56" w:name="_Toc493680286"/>
      <w:bookmarkStart w:id="57" w:name="_Toc493684127"/>
      <w:r>
        <w:t>2.1</w:t>
      </w:r>
      <w:r>
        <w:tab/>
        <w:t>Service type category</w:t>
      </w:r>
      <w:bookmarkEnd w:id="50"/>
      <w:bookmarkEnd w:id="51"/>
      <w:bookmarkEnd w:id="52"/>
      <w:bookmarkEnd w:id="53"/>
      <w:bookmarkEnd w:id="54"/>
      <w:bookmarkEnd w:id="55"/>
      <w:bookmarkEnd w:id="56"/>
      <w:bookmarkEnd w:id="57"/>
    </w:p>
    <w:p w:rsidR="00D86226" w:rsidRDefault="00D86226" w:rsidP="00D86226">
      <w:pPr>
        <w:rPr>
          <w:i/>
        </w:rPr>
      </w:pPr>
      <w:r>
        <w:t>Complaints to HDC are shown by service type in Table 5. Please note that some complaints involve more than one DHB and/or more than one hospital, th</w:t>
      </w:r>
      <w:r w:rsidR="00747CE9">
        <w:t>erefore, although there were 477 complaints about DHBs, 497</w:t>
      </w:r>
      <w:r>
        <w:t xml:space="preserve"> services were complained about.</w:t>
      </w:r>
    </w:p>
    <w:p w:rsidR="00D86226" w:rsidRDefault="00D86226" w:rsidP="00D86226"/>
    <w:p w:rsidR="00D86226" w:rsidRDefault="00D86226" w:rsidP="00D86226">
      <w:pPr>
        <w:spacing w:after="120"/>
        <w:rPr>
          <w:b/>
        </w:rPr>
      </w:pPr>
      <w:r>
        <w:rPr>
          <w:b/>
        </w:rPr>
        <w:t xml:space="preserve">Table 5. </w:t>
      </w:r>
      <w:r>
        <w:t>Service types complained about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268"/>
        <w:gridCol w:w="1985"/>
      </w:tblGrid>
      <w:tr w:rsidR="00D86226" w:rsidTr="00D86226">
        <w:trPr>
          <w:trHeight w:val="467"/>
          <w:tblHeader/>
        </w:trPr>
        <w:tc>
          <w:tcPr>
            <w:tcW w:w="4678" w:type="dxa"/>
            <w:tcBorders>
              <w:top w:val="single" w:sz="4" w:space="0" w:color="auto"/>
              <w:left w:val="single" w:sz="4" w:space="0" w:color="auto"/>
              <w:bottom w:val="single" w:sz="4" w:space="0" w:color="auto"/>
              <w:right w:val="single" w:sz="4" w:space="0" w:color="auto"/>
            </w:tcBorders>
            <w:hideMark/>
          </w:tcPr>
          <w:p w:rsidR="00D86226" w:rsidRDefault="00D86226" w:rsidP="00D86226">
            <w:pPr>
              <w:tabs>
                <w:tab w:val="left" w:pos="1440"/>
                <w:tab w:val="decimal" w:pos="4320"/>
              </w:tabs>
              <w:spacing w:before="120" w:after="120"/>
              <w:jc w:val="center"/>
              <w:outlineLvl w:val="0"/>
              <w:rPr>
                <w:rFonts w:ascii="Calibri" w:hAnsi="Calibri"/>
                <w:b/>
                <w:szCs w:val="22"/>
                <w:vertAlign w:val="superscript"/>
              </w:rPr>
            </w:pPr>
            <w:r>
              <w:rPr>
                <w:rFonts w:ascii="Calibri" w:hAnsi="Calibri"/>
                <w:b/>
                <w:szCs w:val="22"/>
              </w:rPr>
              <w:t>Service type</w:t>
            </w:r>
          </w:p>
        </w:tc>
        <w:tc>
          <w:tcPr>
            <w:tcW w:w="2268" w:type="dxa"/>
            <w:tcBorders>
              <w:top w:val="single" w:sz="4" w:space="0" w:color="auto"/>
              <w:left w:val="single" w:sz="4" w:space="0" w:color="auto"/>
              <w:bottom w:val="single" w:sz="4" w:space="0" w:color="auto"/>
              <w:right w:val="single" w:sz="4" w:space="0" w:color="auto"/>
            </w:tcBorders>
            <w:hideMark/>
          </w:tcPr>
          <w:p w:rsidR="00D86226" w:rsidRDefault="00D86226" w:rsidP="00D86226">
            <w:pPr>
              <w:tabs>
                <w:tab w:val="left" w:pos="1440"/>
                <w:tab w:val="decimal" w:pos="4320"/>
              </w:tabs>
              <w:spacing w:before="120" w:after="120"/>
              <w:jc w:val="center"/>
              <w:outlineLvl w:val="0"/>
              <w:rPr>
                <w:rFonts w:ascii="Calibri" w:hAnsi="Calibri"/>
                <w:b/>
                <w:szCs w:val="22"/>
              </w:rPr>
            </w:pPr>
            <w:r>
              <w:rPr>
                <w:rFonts w:ascii="Calibri" w:hAnsi="Calibri"/>
                <w:b/>
                <w:szCs w:val="22"/>
              </w:rPr>
              <w:t>Number of complaints</w:t>
            </w:r>
          </w:p>
        </w:tc>
        <w:tc>
          <w:tcPr>
            <w:tcW w:w="1985" w:type="dxa"/>
            <w:tcBorders>
              <w:top w:val="single" w:sz="4" w:space="0" w:color="auto"/>
              <w:left w:val="single" w:sz="4" w:space="0" w:color="auto"/>
              <w:bottom w:val="single" w:sz="4" w:space="0" w:color="auto"/>
              <w:right w:val="single" w:sz="4" w:space="0" w:color="auto"/>
            </w:tcBorders>
            <w:hideMark/>
          </w:tcPr>
          <w:p w:rsidR="00D86226" w:rsidRDefault="00D86226" w:rsidP="00D86226">
            <w:pPr>
              <w:tabs>
                <w:tab w:val="left" w:pos="1440"/>
                <w:tab w:val="decimal" w:pos="4320"/>
              </w:tabs>
              <w:spacing w:before="120" w:after="120"/>
              <w:jc w:val="center"/>
              <w:outlineLvl w:val="0"/>
              <w:rPr>
                <w:rFonts w:ascii="Calibri" w:hAnsi="Calibri"/>
                <w:b/>
                <w:szCs w:val="22"/>
              </w:rPr>
            </w:pPr>
            <w:r>
              <w:rPr>
                <w:rFonts w:ascii="Calibri" w:hAnsi="Calibri"/>
                <w:b/>
                <w:szCs w:val="22"/>
              </w:rPr>
              <w:t>Percentage</w:t>
            </w:r>
          </w:p>
        </w:tc>
      </w:tr>
      <w:tr w:rsidR="00D86226" w:rsidTr="00D86226">
        <w:trPr>
          <w:trHeight w:val="252"/>
        </w:trPr>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ascii="Calibri" w:hAnsi="Calibri" w:cs="Calibri"/>
                <w:b/>
                <w:color w:val="000000"/>
                <w:szCs w:val="22"/>
              </w:rPr>
            </w:pPr>
            <w:r>
              <w:rPr>
                <w:rFonts w:ascii="Calibri" w:hAnsi="Calibri" w:cs="Calibri"/>
                <w:b/>
                <w:color w:val="000000"/>
                <w:szCs w:val="22"/>
              </w:rPr>
              <w:t>Alcohol and drug</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3</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0.6%</w:t>
            </w:r>
          </w:p>
        </w:tc>
      </w:tr>
      <w:tr w:rsidR="00D86226" w:rsidTr="00D86226">
        <w:trPr>
          <w:trHeight w:val="255"/>
        </w:trPr>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ascii="Calibri" w:hAnsi="Calibri" w:cs="Calibri"/>
                <w:b/>
                <w:color w:val="000000"/>
                <w:szCs w:val="22"/>
              </w:rPr>
            </w:pPr>
            <w:r>
              <w:rPr>
                <w:rFonts w:ascii="Calibri" w:hAnsi="Calibri" w:cs="Calibri"/>
                <w:b/>
                <w:color w:val="000000"/>
                <w:szCs w:val="22"/>
              </w:rPr>
              <w:t>Anaesthetics/pain medicine</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2</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0.4%</w:t>
            </w:r>
          </w:p>
        </w:tc>
      </w:tr>
      <w:tr w:rsidR="00D86226" w:rsidTr="00D86226">
        <w:trPr>
          <w:trHeight w:val="274"/>
        </w:trPr>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ascii="Calibri" w:hAnsi="Calibri" w:cs="Calibri"/>
                <w:b/>
                <w:color w:val="000000"/>
                <w:szCs w:val="22"/>
              </w:rPr>
            </w:pPr>
            <w:r>
              <w:rPr>
                <w:rFonts w:ascii="Calibri" w:hAnsi="Calibri" w:cs="Calibri"/>
                <w:b/>
                <w:color w:val="000000"/>
                <w:szCs w:val="22"/>
              </w:rPr>
              <w:t xml:space="preserve">Dental </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5</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1.0%</w:t>
            </w:r>
          </w:p>
        </w:tc>
      </w:tr>
      <w:tr w:rsidR="00D86226" w:rsidTr="00D86226">
        <w:trPr>
          <w:trHeight w:val="263"/>
        </w:trPr>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cs="Arial"/>
                <w:b/>
                <w:szCs w:val="22"/>
              </w:rPr>
            </w:pPr>
            <w:r>
              <w:rPr>
                <w:rFonts w:cs="Arial"/>
                <w:b/>
                <w:szCs w:val="22"/>
              </w:rPr>
              <w:t>Diagnostics</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17</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3.4%</w:t>
            </w:r>
          </w:p>
        </w:tc>
      </w:tr>
      <w:tr w:rsidR="00D86226" w:rsidTr="00D86226">
        <w:trPr>
          <w:trHeight w:val="282"/>
        </w:trPr>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cs="Arial"/>
                <w:b/>
                <w:szCs w:val="22"/>
              </w:rPr>
            </w:pPr>
            <w:r>
              <w:rPr>
                <w:rFonts w:cs="Arial"/>
                <w:b/>
                <w:szCs w:val="22"/>
              </w:rPr>
              <w:t>Disability services</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7</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1.4%</w:t>
            </w:r>
          </w:p>
        </w:tc>
      </w:tr>
      <w:tr w:rsidR="00D86226" w:rsidTr="00D86226">
        <w:trPr>
          <w:trHeight w:val="257"/>
        </w:trPr>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cs="Arial"/>
                <w:b/>
                <w:szCs w:val="22"/>
              </w:rPr>
            </w:pPr>
            <w:r>
              <w:rPr>
                <w:rFonts w:cs="Arial"/>
                <w:b/>
                <w:szCs w:val="22"/>
              </w:rPr>
              <w:t xml:space="preserve">District nursing </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4</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0.8%</w:t>
            </w:r>
          </w:p>
        </w:tc>
      </w:tr>
      <w:tr w:rsidR="00D86226" w:rsidTr="00D86226">
        <w:trPr>
          <w:trHeight w:val="262"/>
        </w:trPr>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jc w:val="left"/>
              <w:rPr>
                <w:rFonts w:ascii="Calibri" w:hAnsi="Calibri" w:cs="Calibri"/>
                <w:b/>
                <w:color w:val="000000"/>
                <w:szCs w:val="22"/>
              </w:rPr>
            </w:pPr>
            <w:r>
              <w:rPr>
                <w:rFonts w:ascii="Calibri" w:hAnsi="Calibri" w:cs="Calibri"/>
                <w:b/>
                <w:color w:val="000000"/>
                <w:szCs w:val="22"/>
              </w:rPr>
              <w:t xml:space="preserve">Emergency department </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56</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747CE9" w:rsidP="00D86226">
            <w:pPr>
              <w:jc w:val="center"/>
              <w:rPr>
                <w:rFonts w:ascii="Calibri" w:hAnsi="Calibri"/>
                <w:b/>
                <w:color w:val="000000"/>
                <w:szCs w:val="22"/>
              </w:rPr>
            </w:pPr>
            <w:r>
              <w:rPr>
                <w:rFonts w:ascii="Calibri" w:hAnsi="Calibri"/>
                <w:b/>
                <w:color w:val="000000"/>
                <w:szCs w:val="22"/>
              </w:rPr>
              <w:t>11.3</w:t>
            </w:r>
            <w:r w:rsidR="00D86226">
              <w:rPr>
                <w:rFonts w:ascii="Calibri" w:hAnsi="Calibri"/>
                <w:b/>
                <w:color w:val="000000"/>
                <w:szCs w:val="22"/>
              </w:rPr>
              <w:t>%</w:t>
            </w:r>
          </w:p>
        </w:tc>
      </w:tr>
      <w:tr w:rsidR="00D86226" w:rsidTr="00D86226">
        <w:trPr>
          <w:trHeight w:val="337"/>
        </w:trPr>
        <w:tc>
          <w:tcPr>
            <w:tcW w:w="4678" w:type="dxa"/>
            <w:tcBorders>
              <w:top w:val="single" w:sz="4" w:space="0" w:color="auto"/>
              <w:left w:val="single" w:sz="4" w:space="0" w:color="auto"/>
              <w:bottom w:val="single" w:sz="4" w:space="0" w:color="auto"/>
              <w:right w:val="single" w:sz="4" w:space="0" w:color="auto"/>
            </w:tcBorders>
            <w:hideMark/>
          </w:tcPr>
          <w:p w:rsidR="00D86226" w:rsidRDefault="00D86226" w:rsidP="00D86226">
            <w:pPr>
              <w:jc w:val="left"/>
              <w:rPr>
                <w:rFonts w:ascii="Calibri" w:hAnsi="Calibri" w:cs="Calibri"/>
                <w:b/>
                <w:color w:val="000000"/>
                <w:szCs w:val="22"/>
              </w:rPr>
            </w:pPr>
            <w:r>
              <w:rPr>
                <w:rFonts w:ascii="Calibri" w:hAnsi="Calibri" w:cs="Calibri"/>
                <w:b/>
                <w:color w:val="000000"/>
                <w:szCs w:val="22"/>
              </w:rPr>
              <w:t>General medicine</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Cardiology</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Dermatology</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Endocrinology</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Gastroenterology</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Geriatric medicine</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Haematology</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Infectious diseases</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Neurology</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Oncology</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Renal/nephrology</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Respiratory</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Rheumatology</w:t>
            </w:r>
          </w:p>
          <w:p w:rsidR="00D86226" w:rsidRDefault="00D86226" w:rsidP="00D86226">
            <w:pPr>
              <w:jc w:val="left"/>
              <w:rPr>
                <w:rFonts w:ascii="Calibri" w:hAnsi="Calibri" w:cs="Calibri"/>
                <w:color w:val="000000"/>
                <w:szCs w:val="22"/>
              </w:rPr>
            </w:pPr>
            <w:r>
              <w:rPr>
                <w:rFonts w:ascii="Calibri" w:hAnsi="Calibri" w:cs="Calibri"/>
                <w:color w:val="000000"/>
                <w:szCs w:val="22"/>
              </w:rPr>
              <w:t xml:space="preserve">  Other/unspecified</w:t>
            </w:r>
          </w:p>
        </w:tc>
        <w:tc>
          <w:tcPr>
            <w:tcW w:w="2268" w:type="dxa"/>
            <w:tcBorders>
              <w:top w:val="single" w:sz="4" w:space="0" w:color="auto"/>
              <w:left w:val="single" w:sz="4" w:space="0" w:color="auto"/>
              <w:bottom w:val="single" w:sz="4" w:space="0" w:color="auto"/>
              <w:right w:val="single" w:sz="4" w:space="0" w:color="auto"/>
            </w:tcBorders>
          </w:tcPr>
          <w:p w:rsidR="00D86226" w:rsidRPr="00D87105" w:rsidRDefault="00747CE9" w:rsidP="00D86226">
            <w:pPr>
              <w:jc w:val="center"/>
              <w:rPr>
                <w:rFonts w:ascii="Calibri" w:hAnsi="Calibri"/>
                <w:b/>
                <w:color w:val="000000"/>
                <w:szCs w:val="22"/>
              </w:rPr>
            </w:pPr>
            <w:r>
              <w:rPr>
                <w:rFonts w:ascii="Calibri" w:hAnsi="Calibri"/>
                <w:b/>
                <w:color w:val="000000"/>
                <w:szCs w:val="22"/>
              </w:rPr>
              <w:t>100</w:t>
            </w:r>
          </w:p>
          <w:p w:rsidR="00D86226" w:rsidRDefault="00D86226" w:rsidP="00D86226">
            <w:pPr>
              <w:jc w:val="center"/>
              <w:rPr>
                <w:rFonts w:ascii="Calibri" w:hAnsi="Calibri"/>
                <w:color w:val="000000"/>
                <w:szCs w:val="22"/>
              </w:rPr>
            </w:pPr>
            <w:r>
              <w:rPr>
                <w:rFonts w:ascii="Calibri" w:hAnsi="Calibri"/>
                <w:color w:val="000000"/>
                <w:szCs w:val="22"/>
              </w:rPr>
              <w:t>13</w:t>
            </w:r>
          </w:p>
          <w:p w:rsidR="00D86226" w:rsidRDefault="00D86226" w:rsidP="00D86226">
            <w:pPr>
              <w:jc w:val="center"/>
              <w:rPr>
                <w:rFonts w:ascii="Calibri" w:hAnsi="Calibri"/>
                <w:color w:val="000000"/>
                <w:szCs w:val="22"/>
              </w:rPr>
            </w:pPr>
            <w:r>
              <w:rPr>
                <w:rFonts w:ascii="Calibri" w:hAnsi="Calibri"/>
                <w:color w:val="000000"/>
                <w:szCs w:val="22"/>
              </w:rPr>
              <w:t>1</w:t>
            </w:r>
          </w:p>
          <w:p w:rsidR="00D86226" w:rsidRDefault="00D86226" w:rsidP="00D86226">
            <w:pPr>
              <w:jc w:val="center"/>
              <w:rPr>
                <w:rFonts w:ascii="Calibri" w:hAnsi="Calibri"/>
                <w:color w:val="000000"/>
                <w:szCs w:val="22"/>
              </w:rPr>
            </w:pPr>
            <w:r>
              <w:rPr>
                <w:rFonts w:ascii="Calibri" w:hAnsi="Calibri"/>
                <w:color w:val="000000"/>
                <w:szCs w:val="22"/>
              </w:rPr>
              <w:t>2</w:t>
            </w:r>
          </w:p>
          <w:p w:rsidR="00D86226" w:rsidRDefault="00747CE9" w:rsidP="00D86226">
            <w:pPr>
              <w:jc w:val="center"/>
              <w:rPr>
                <w:rFonts w:ascii="Calibri" w:hAnsi="Calibri"/>
                <w:color w:val="000000"/>
                <w:szCs w:val="22"/>
              </w:rPr>
            </w:pPr>
            <w:r>
              <w:rPr>
                <w:rFonts w:ascii="Calibri" w:hAnsi="Calibri"/>
                <w:color w:val="000000"/>
                <w:szCs w:val="22"/>
              </w:rPr>
              <w:t>9</w:t>
            </w:r>
          </w:p>
          <w:p w:rsidR="00D86226" w:rsidRDefault="00D86226" w:rsidP="00D86226">
            <w:pPr>
              <w:jc w:val="center"/>
              <w:rPr>
                <w:rFonts w:ascii="Calibri" w:hAnsi="Calibri"/>
                <w:color w:val="000000"/>
                <w:szCs w:val="22"/>
              </w:rPr>
            </w:pPr>
            <w:r>
              <w:rPr>
                <w:rFonts w:ascii="Calibri" w:hAnsi="Calibri"/>
                <w:color w:val="000000"/>
                <w:szCs w:val="22"/>
              </w:rPr>
              <w:t>9</w:t>
            </w:r>
          </w:p>
          <w:p w:rsidR="00D86226" w:rsidRDefault="00D86226" w:rsidP="00D86226">
            <w:pPr>
              <w:jc w:val="center"/>
              <w:rPr>
                <w:rFonts w:ascii="Calibri" w:hAnsi="Calibri"/>
                <w:color w:val="000000"/>
                <w:szCs w:val="22"/>
              </w:rPr>
            </w:pPr>
            <w:r>
              <w:rPr>
                <w:rFonts w:ascii="Calibri" w:hAnsi="Calibri"/>
                <w:color w:val="000000"/>
                <w:szCs w:val="22"/>
              </w:rPr>
              <w:t>4</w:t>
            </w:r>
          </w:p>
          <w:p w:rsidR="00D86226" w:rsidRDefault="00D86226" w:rsidP="00D86226">
            <w:pPr>
              <w:jc w:val="center"/>
              <w:rPr>
                <w:rFonts w:ascii="Calibri" w:hAnsi="Calibri"/>
                <w:color w:val="000000"/>
                <w:szCs w:val="22"/>
              </w:rPr>
            </w:pPr>
            <w:r>
              <w:rPr>
                <w:rFonts w:ascii="Calibri" w:hAnsi="Calibri"/>
                <w:color w:val="000000"/>
                <w:szCs w:val="22"/>
              </w:rPr>
              <w:t>2</w:t>
            </w:r>
          </w:p>
          <w:p w:rsidR="00D86226" w:rsidRDefault="00D86226" w:rsidP="00D86226">
            <w:pPr>
              <w:jc w:val="center"/>
              <w:rPr>
                <w:rFonts w:ascii="Calibri" w:hAnsi="Calibri"/>
                <w:color w:val="000000"/>
                <w:szCs w:val="22"/>
              </w:rPr>
            </w:pPr>
            <w:r>
              <w:rPr>
                <w:rFonts w:ascii="Calibri" w:hAnsi="Calibri"/>
                <w:color w:val="000000"/>
                <w:szCs w:val="22"/>
              </w:rPr>
              <w:t>18</w:t>
            </w:r>
          </w:p>
          <w:p w:rsidR="00D86226" w:rsidRDefault="00D86226" w:rsidP="00D86226">
            <w:pPr>
              <w:jc w:val="center"/>
              <w:rPr>
                <w:rFonts w:ascii="Calibri" w:hAnsi="Calibri"/>
                <w:color w:val="000000"/>
                <w:szCs w:val="22"/>
              </w:rPr>
            </w:pPr>
            <w:r>
              <w:rPr>
                <w:rFonts w:ascii="Calibri" w:hAnsi="Calibri"/>
                <w:color w:val="000000"/>
                <w:szCs w:val="22"/>
              </w:rPr>
              <w:t>9</w:t>
            </w:r>
          </w:p>
          <w:p w:rsidR="00D86226" w:rsidRDefault="00D86226" w:rsidP="00D86226">
            <w:pPr>
              <w:jc w:val="center"/>
              <w:rPr>
                <w:rFonts w:ascii="Calibri" w:hAnsi="Calibri"/>
                <w:color w:val="000000"/>
                <w:szCs w:val="22"/>
              </w:rPr>
            </w:pPr>
            <w:r>
              <w:rPr>
                <w:rFonts w:ascii="Calibri" w:hAnsi="Calibri"/>
                <w:color w:val="000000"/>
                <w:szCs w:val="22"/>
              </w:rPr>
              <w:t>5</w:t>
            </w:r>
          </w:p>
          <w:p w:rsidR="00D86226" w:rsidRDefault="00D86226" w:rsidP="00D86226">
            <w:pPr>
              <w:jc w:val="center"/>
              <w:rPr>
                <w:rFonts w:ascii="Calibri" w:hAnsi="Calibri"/>
                <w:color w:val="000000"/>
                <w:szCs w:val="22"/>
              </w:rPr>
            </w:pPr>
            <w:r>
              <w:rPr>
                <w:rFonts w:ascii="Calibri" w:hAnsi="Calibri"/>
                <w:color w:val="000000"/>
                <w:szCs w:val="22"/>
              </w:rPr>
              <w:t>7</w:t>
            </w:r>
          </w:p>
          <w:p w:rsidR="00D86226" w:rsidRDefault="00D86226" w:rsidP="00D86226">
            <w:pPr>
              <w:jc w:val="center"/>
              <w:rPr>
                <w:rFonts w:ascii="Calibri" w:hAnsi="Calibri"/>
                <w:color w:val="000000"/>
                <w:szCs w:val="22"/>
              </w:rPr>
            </w:pPr>
            <w:r>
              <w:rPr>
                <w:rFonts w:ascii="Calibri" w:hAnsi="Calibri"/>
                <w:color w:val="000000"/>
                <w:szCs w:val="22"/>
              </w:rPr>
              <w:t>1</w:t>
            </w:r>
          </w:p>
          <w:p w:rsidR="00D86226" w:rsidRDefault="00D86226" w:rsidP="00D86226">
            <w:pPr>
              <w:jc w:val="center"/>
              <w:rPr>
                <w:rFonts w:ascii="Calibri" w:hAnsi="Calibri"/>
                <w:color w:val="000000"/>
                <w:szCs w:val="22"/>
              </w:rPr>
            </w:pPr>
            <w:r>
              <w:rPr>
                <w:rFonts w:ascii="Calibri" w:hAnsi="Calibri"/>
                <w:color w:val="000000"/>
                <w:szCs w:val="22"/>
              </w:rPr>
              <w:t>20</w:t>
            </w:r>
          </w:p>
        </w:tc>
        <w:tc>
          <w:tcPr>
            <w:tcW w:w="1985" w:type="dxa"/>
            <w:tcBorders>
              <w:top w:val="single" w:sz="4" w:space="0" w:color="auto"/>
              <w:left w:val="single" w:sz="4" w:space="0" w:color="auto"/>
              <w:bottom w:val="single" w:sz="4" w:space="0" w:color="auto"/>
              <w:right w:val="single" w:sz="4" w:space="0" w:color="auto"/>
            </w:tcBorders>
          </w:tcPr>
          <w:p w:rsidR="00D86226" w:rsidRDefault="00747CE9" w:rsidP="00D86226">
            <w:pPr>
              <w:jc w:val="center"/>
              <w:rPr>
                <w:rFonts w:ascii="Calibri" w:hAnsi="Calibri"/>
                <w:b/>
                <w:color w:val="000000"/>
                <w:szCs w:val="22"/>
              </w:rPr>
            </w:pPr>
            <w:r>
              <w:rPr>
                <w:rFonts w:ascii="Calibri" w:hAnsi="Calibri"/>
                <w:b/>
                <w:color w:val="000000"/>
                <w:szCs w:val="22"/>
              </w:rPr>
              <w:t>20.1</w:t>
            </w:r>
            <w:r w:rsidR="00D86226">
              <w:rPr>
                <w:rFonts w:ascii="Calibri" w:hAnsi="Calibri"/>
                <w:b/>
                <w:color w:val="000000"/>
                <w:szCs w:val="22"/>
              </w:rPr>
              <w:t>%</w:t>
            </w:r>
          </w:p>
          <w:p w:rsidR="00D86226" w:rsidRDefault="00D86226" w:rsidP="00D86226">
            <w:pPr>
              <w:jc w:val="center"/>
              <w:rPr>
                <w:rFonts w:ascii="Calibri" w:hAnsi="Calibri"/>
                <w:color w:val="000000"/>
                <w:szCs w:val="22"/>
              </w:rPr>
            </w:pPr>
            <w:r>
              <w:rPr>
                <w:rFonts w:ascii="Calibri" w:hAnsi="Calibri"/>
                <w:color w:val="000000"/>
                <w:szCs w:val="22"/>
              </w:rPr>
              <w:t>2.6%</w:t>
            </w:r>
          </w:p>
          <w:p w:rsidR="00D86226" w:rsidRDefault="00D86226" w:rsidP="00D86226">
            <w:pPr>
              <w:jc w:val="center"/>
              <w:rPr>
                <w:rFonts w:ascii="Calibri" w:hAnsi="Calibri"/>
                <w:color w:val="000000"/>
                <w:szCs w:val="22"/>
              </w:rPr>
            </w:pPr>
            <w:r>
              <w:rPr>
                <w:rFonts w:ascii="Calibri" w:hAnsi="Calibri"/>
                <w:color w:val="000000"/>
                <w:szCs w:val="22"/>
              </w:rPr>
              <w:t>0.2%</w:t>
            </w:r>
          </w:p>
          <w:p w:rsidR="00D86226" w:rsidRDefault="00D86226" w:rsidP="00D86226">
            <w:pPr>
              <w:jc w:val="center"/>
              <w:rPr>
                <w:rFonts w:ascii="Calibri" w:hAnsi="Calibri"/>
                <w:color w:val="000000"/>
                <w:szCs w:val="22"/>
              </w:rPr>
            </w:pPr>
            <w:r>
              <w:rPr>
                <w:rFonts w:ascii="Calibri" w:hAnsi="Calibri"/>
                <w:color w:val="000000"/>
                <w:szCs w:val="22"/>
              </w:rPr>
              <w:t>0.4%</w:t>
            </w:r>
          </w:p>
          <w:p w:rsidR="00D86226" w:rsidRDefault="00747CE9" w:rsidP="00D86226">
            <w:pPr>
              <w:jc w:val="center"/>
              <w:rPr>
                <w:rFonts w:ascii="Calibri" w:hAnsi="Calibri"/>
                <w:color w:val="000000"/>
                <w:szCs w:val="22"/>
              </w:rPr>
            </w:pPr>
            <w:r>
              <w:rPr>
                <w:rFonts w:ascii="Calibri" w:hAnsi="Calibri"/>
                <w:color w:val="000000"/>
                <w:szCs w:val="22"/>
              </w:rPr>
              <w:t>1.8</w:t>
            </w:r>
            <w:r w:rsidR="00D86226">
              <w:rPr>
                <w:rFonts w:ascii="Calibri" w:hAnsi="Calibri"/>
                <w:color w:val="000000"/>
                <w:szCs w:val="22"/>
              </w:rPr>
              <w:t>%</w:t>
            </w:r>
          </w:p>
          <w:p w:rsidR="00D86226" w:rsidRDefault="00D86226" w:rsidP="00D86226">
            <w:pPr>
              <w:jc w:val="center"/>
              <w:rPr>
                <w:rFonts w:ascii="Calibri" w:hAnsi="Calibri"/>
                <w:color w:val="000000"/>
                <w:szCs w:val="22"/>
              </w:rPr>
            </w:pPr>
            <w:r>
              <w:rPr>
                <w:rFonts w:ascii="Calibri" w:hAnsi="Calibri"/>
                <w:color w:val="000000"/>
                <w:szCs w:val="22"/>
              </w:rPr>
              <w:t>1.8%</w:t>
            </w:r>
          </w:p>
          <w:p w:rsidR="00D86226" w:rsidRDefault="00D86226" w:rsidP="00D86226">
            <w:pPr>
              <w:jc w:val="center"/>
              <w:rPr>
                <w:rFonts w:ascii="Calibri" w:hAnsi="Calibri"/>
                <w:color w:val="000000"/>
                <w:szCs w:val="22"/>
              </w:rPr>
            </w:pPr>
            <w:r>
              <w:rPr>
                <w:rFonts w:ascii="Calibri" w:hAnsi="Calibri"/>
                <w:color w:val="000000"/>
                <w:szCs w:val="22"/>
              </w:rPr>
              <w:t>0.8%</w:t>
            </w:r>
          </w:p>
          <w:p w:rsidR="00D86226" w:rsidRDefault="00D86226" w:rsidP="00D86226">
            <w:pPr>
              <w:jc w:val="center"/>
              <w:rPr>
                <w:rFonts w:ascii="Calibri" w:hAnsi="Calibri"/>
                <w:color w:val="000000"/>
                <w:szCs w:val="22"/>
              </w:rPr>
            </w:pPr>
            <w:r>
              <w:rPr>
                <w:rFonts w:ascii="Calibri" w:hAnsi="Calibri"/>
                <w:color w:val="000000"/>
                <w:szCs w:val="22"/>
              </w:rPr>
              <w:t>0.4%</w:t>
            </w:r>
          </w:p>
          <w:p w:rsidR="00D86226" w:rsidRDefault="00D86226" w:rsidP="00D86226">
            <w:pPr>
              <w:jc w:val="center"/>
              <w:rPr>
                <w:rFonts w:ascii="Calibri" w:hAnsi="Calibri"/>
                <w:color w:val="000000"/>
                <w:szCs w:val="22"/>
              </w:rPr>
            </w:pPr>
            <w:r>
              <w:rPr>
                <w:rFonts w:ascii="Calibri" w:hAnsi="Calibri"/>
                <w:color w:val="000000"/>
                <w:szCs w:val="22"/>
              </w:rPr>
              <w:t>3.6%</w:t>
            </w:r>
          </w:p>
          <w:p w:rsidR="00D86226" w:rsidRDefault="00D86226" w:rsidP="00D86226">
            <w:pPr>
              <w:jc w:val="center"/>
              <w:rPr>
                <w:rFonts w:ascii="Calibri" w:hAnsi="Calibri"/>
                <w:color w:val="000000"/>
                <w:szCs w:val="22"/>
              </w:rPr>
            </w:pPr>
            <w:r>
              <w:rPr>
                <w:rFonts w:ascii="Calibri" w:hAnsi="Calibri"/>
                <w:color w:val="000000"/>
                <w:szCs w:val="22"/>
              </w:rPr>
              <w:t>1.8%</w:t>
            </w:r>
          </w:p>
          <w:p w:rsidR="00D86226" w:rsidRDefault="00D86226" w:rsidP="00D86226">
            <w:pPr>
              <w:jc w:val="center"/>
              <w:rPr>
                <w:rFonts w:ascii="Calibri" w:hAnsi="Calibri"/>
                <w:color w:val="000000"/>
                <w:szCs w:val="22"/>
              </w:rPr>
            </w:pPr>
            <w:r>
              <w:rPr>
                <w:rFonts w:ascii="Calibri" w:hAnsi="Calibri"/>
                <w:color w:val="000000"/>
                <w:szCs w:val="22"/>
              </w:rPr>
              <w:t>1.0%</w:t>
            </w:r>
          </w:p>
          <w:p w:rsidR="00D86226" w:rsidRDefault="00D86226" w:rsidP="00D86226">
            <w:pPr>
              <w:jc w:val="center"/>
              <w:rPr>
                <w:rFonts w:ascii="Calibri" w:hAnsi="Calibri"/>
                <w:color w:val="000000"/>
                <w:szCs w:val="22"/>
              </w:rPr>
            </w:pPr>
            <w:r>
              <w:rPr>
                <w:rFonts w:ascii="Calibri" w:hAnsi="Calibri"/>
                <w:color w:val="000000"/>
                <w:szCs w:val="22"/>
              </w:rPr>
              <w:t>1.4%</w:t>
            </w:r>
          </w:p>
          <w:p w:rsidR="00D86226" w:rsidRDefault="00D86226" w:rsidP="00D86226">
            <w:pPr>
              <w:jc w:val="center"/>
              <w:rPr>
                <w:rFonts w:ascii="Calibri" w:hAnsi="Calibri"/>
                <w:color w:val="000000"/>
                <w:szCs w:val="22"/>
              </w:rPr>
            </w:pPr>
            <w:r>
              <w:rPr>
                <w:rFonts w:ascii="Calibri" w:hAnsi="Calibri"/>
                <w:color w:val="000000"/>
                <w:szCs w:val="22"/>
              </w:rPr>
              <w:t>0.2%</w:t>
            </w:r>
          </w:p>
          <w:p w:rsidR="00D86226" w:rsidRPr="0071217A" w:rsidRDefault="00D86226" w:rsidP="00D86226">
            <w:pPr>
              <w:jc w:val="center"/>
              <w:rPr>
                <w:rFonts w:ascii="Calibri" w:hAnsi="Calibri"/>
                <w:color w:val="000000"/>
                <w:szCs w:val="22"/>
              </w:rPr>
            </w:pPr>
            <w:r>
              <w:rPr>
                <w:rFonts w:ascii="Calibri" w:hAnsi="Calibri"/>
                <w:color w:val="000000"/>
                <w:szCs w:val="22"/>
              </w:rPr>
              <w:t>4.0%</w:t>
            </w:r>
          </w:p>
        </w:tc>
      </w:tr>
      <w:tr w:rsidR="00D86226" w:rsidTr="00D86226">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jc w:val="left"/>
              <w:rPr>
                <w:rFonts w:ascii="Calibri" w:hAnsi="Calibri" w:cs="Calibri"/>
                <w:b/>
                <w:color w:val="000000"/>
                <w:szCs w:val="22"/>
              </w:rPr>
            </w:pPr>
            <w:r>
              <w:rPr>
                <w:rFonts w:ascii="Calibri" w:hAnsi="Calibri" w:cs="Calibri"/>
                <w:b/>
                <w:color w:val="000000"/>
                <w:szCs w:val="22"/>
              </w:rPr>
              <w:t>Hearing services</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0.2%</w:t>
            </w:r>
          </w:p>
        </w:tc>
      </w:tr>
      <w:tr w:rsidR="00D86226" w:rsidTr="00D86226">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ascii="Calibri" w:hAnsi="Calibri" w:cs="Calibri"/>
                <w:b/>
                <w:color w:val="000000"/>
                <w:szCs w:val="22"/>
              </w:rPr>
            </w:pPr>
            <w:r>
              <w:rPr>
                <w:rFonts w:ascii="Calibri" w:hAnsi="Calibri" w:cs="Calibri"/>
                <w:b/>
                <w:color w:val="000000"/>
                <w:szCs w:val="22"/>
              </w:rPr>
              <w:t>Intensive care/critical care</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8</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1.6%</w:t>
            </w:r>
          </w:p>
        </w:tc>
      </w:tr>
      <w:tr w:rsidR="00D86226" w:rsidTr="00D86226">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ascii="Calibri" w:hAnsi="Calibri" w:cs="Calibri"/>
                <w:b/>
                <w:color w:val="000000"/>
                <w:szCs w:val="22"/>
              </w:rPr>
            </w:pPr>
            <w:r>
              <w:rPr>
                <w:rFonts w:ascii="Calibri" w:hAnsi="Calibri" w:cs="Calibri"/>
                <w:b/>
                <w:color w:val="000000"/>
                <w:szCs w:val="22"/>
              </w:rPr>
              <w:t>Maternity</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27</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5.4%</w:t>
            </w:r>
          </w:p>
        </w:tc>
      </w:tr>
      <w:tr w:rsidR="00D86226" w:rsidTr="00D86226">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ascii="Calibri" w:hAnsi="Calibri" w:cs="Calibri"/>
                <w:b/>
                <w:color w:val="000000"/>
                <w:szCs w:val="22"/>
              </w:rPr>
            </w:pPr>
            <w:r>
              <w:rPr>
                <w:rFonts w:ascii="Calibri" w:hAnsi="Calibri" w:cs="Calibri"/>
                <w:b/>
                <w:color w:val="000000"/>
                <w:szCs w:val="22"/>
              </w:rPr>
              <w:t xml:space="preserve">Mental health </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98</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19.7%</w:t>
            </w:r>
          </w:p>
        </w:tc>
      </w:tr>
      <w:tr w:rsidR="00D86226" w:rsidTr="00D86226">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cs="Arial"/>
                <w:b/>
                <w:szCs w:val="22"/>
              </w:rPr>
            </w:pPr>
            <w:r>
              <w:rPr>
                <w:rFonts w:cs="Arial"/>
                <w:b/>
                <w:szCs w:val="22"/>
              </w:rPr>
              <w:t>Paediatrics (not surgical)</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10</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2.0%</w:t>
            </w:r>
          </w:p>
        </w:tc>
      </w:tr>
      <w:tr w:rsidR="00D86226" w:rsidTr="00D86226">
        <w:tc>
          <w:tcPr>
            <w:tcW w:w="4678" w:type="dxa"/>
            <w:tcBorders>
              <w:top w:val="single" w:sz="4" w:space="0" w:color="auto"/>
              <w:left w:val="single" w:sz="4" w:space="0" w:color="auto"/>
              <w:bottom w:val="single" w:sz="4" w:space="0" w:color="auto"/>
              <w:right w:val="single" w:sz="4" w:space="0" w:color="auto"/>
            </w:tcBorders>
            <w:vAlign w:val="bottom"/>
          </w:tcPr>
          <w:p w:rsidR="00D86226" w:rsidRDefault="00D86226" w:rsidP="00D86226">
            <w:pPr>
              <w:rPr>
                <w:rFonts w:ascii="Calibri" w:hAnsi="Calibri" w:cs="Calibri"/>
                <w:b/>
                <w:color w:val="000000"/>
                <w:szCs w:val="22"/>
              </w:rPr>
            </w:pPr>
            <w:r>
              <w:rPr>
                <w:rFonts w:ascii="Calibri" w:hAnsi="Calibri" w:cs="Calibri"/>
                <w:b/>
                <w:color w:val="000000"/>
                <w:szCs w:val="22"/>
              </w:rPr>
              <w:t>Pharmacy</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0.2%</w:t>
            </w:r>
          </w:p>
        </w:tc>
      </w:tr>
      <w:tr w:rsidR="00D86226" w:rsidTr="00D86226">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ascii="Calibri" w:hAnsi="Calibri" w:cs="Calibri"/>
                <w:b/>
                <w:color w:val="000000"/>
                <w:szCs w:val="22"/>
              </w:rPr>
            </w:pPr>
            <w:r>
              <w:rPr>
                <w:rFonts w:ascii="Calibri" w:hAnsi="Calibri" w:cs="Calibri"/>
                <w:b/>
                <w:color w:val="000000"/>
                <w:szCs w:val="22"/>
              </w:rPr>
              <w:t xml:space="preserve">Rehabilitation services </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2</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0.4%</w:t>
            </w:r>
          </w:p>
        </w:tc>
      </w:tr>
      <w:tr w:rsidR="00D86226" w:rsidTr="00D86226">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ascii="Calibri" w:hAnsi="Calibri" w:cs="Calibri"/>
                <w:b/>
                <w:color w:val="000000"/>
                <w:szCs w:val="22"/>
              </w:rPr>
            </w:pPr>
            <w:r>
              <w:rPr>
                <w:rFonts w:ascii="Calibri" w:hAnsi="Calibri" w:cs="Calibri"/>
                <w:b/>
                <w:color w:val="000000"/>
                <w:szCs w:val="22"/>
              </w:rPr>
              <w:t>Surgery</w:t>
            </w:r>
          </w:p>
          <w:p w:rsidR="00D86226" w:rsidRDefault="00D86226" w:rsidP="00D86226">
            <w:pPr>
              <w:rPr>
                <w:rFonts w:ascii="Calibri" w:hAnsi="Calibri" w:cs="Calibri"/>
                <w:color w:val="000000"/>
                <w:szCs w:val="22"/>
              </w:rPr>
            </w:pPr>
            <w:r>
              <w:rPr>
                <w:rFonts w:ascii="Calibri" w:hAnsi="Calibri" w:cs="Calibri"/>
                <w:b/>
                <w:color w:val="000000"/>
                <w:szCs w:val="22"/>
              </w:rPr>
              <w:t xml:space="preserve">  </w:t>
            </w:r>
            <w:r>
              <w:rPr>
                <w:rFonts w:ascii="Calibri" w:hAnsi="Calibri" w:cs="Calibri"/>
                <w:color w:val="000000"/>
                <w:szCs w:val="22"/>
              </w:rPr>
              <w:t>Cardiothoracic</w:t>
            </w:r>
          </w:p>
          <w:p w:rsidR="00D86226" w:rsidRDefault="00D86226" w:rsidP="00D86226">
            <w:pPr>
              <w:rPr>
                <w:rFonts w:ascii="Calibri" w:hAnsi="Calibri" w:cs="Calibri"/>
                <w:color w:val="000000"/>
                <w:szCs w:val="22"/>
              </w:rPr>
            </w:pPr>
            <w:r>
              <w:rPr>
                <w:rFonts w:ascii="Calibri" w:hAnsi="Calibri" w:cs="Calibri"/>
                <w:color w:val="000000"/>
                <w:szCs w:val="22"/>
              </w:rPr>
              <w:t xml:space="preserve">  General</w:t>
            </w:r>
          </w:p>
          <w:p w:rsidR="00D86226" w:rsidRDefault="00D86226" w:rsidP="00D86226">
            <w:pPr>
              <w:rPr>
                <w:rFonts w:ascii="Calibri" w:hAnsi="Calibri" w:cs="Calibri"/>
                <w:color w:val="000000"/>
                <w:szCs w:val="22"/>
              </w:rPr>
            </w:pPr>
            <w:r>
              <w:rPr>
                <w:rFonts w:ascii="Calibri" w:hAnsi="Calibri" w:cs="Calibri"/>
                <w:color w:val="000000"/>
                <w:szCs w:val="22"/>
              </w:rPr>
              <w:t xml:space="preserve">  Gynaecology</w:t>
            </w:r>
          </w:p>
          <w:p w:rsidR="00D86226" w:rsidRDefault="00D86226" w:rsidP="00D86226">
            <w:pPr>
              <w:rPr>
                <w:rFonts w:ascii="Calibri" w:hAnsi="Calibri" w:cs="Calibri"/>
                <w:color w:val="000000"/>
                <w:szCs w:val="22"/>
              </w:rPr>
            </w:pPr>
            <w:r>
              <w:rPr>
                <w:rFonts w:ascii="Calibri" w:hAnsi="Calibri" w:cs="Calibri"/>
                <w:color w:val="000000"/>
                <w:szCs w:val="22"/>
              </w:rPr>
              <w:t xml:space="preserve">  Neurosurgery</w:t>
            </w:r>
          </w:p>
          <w:p w:rsidR="00D86226" w:rsidRDefault="00D86226" w:rsidP="00D86226">
            <w:pPr>
              <w:rPr>
                <w:rFonts w:ascii="Calibri" w:hAnsi="Calibri" w:cs="Calibri"/>
                <w:color w:val="000000"/>
                <w:szCs w:val="22"/>
              </w:rPr>
            </w:pPr>
            <w:r>
              <w:rPr>
                <w:rFonts w:ascii="Calibri" w:hAnsi="Calibri" w:cs="Calibri"/>
                <w:color w:val="000000"/>
                <w:szCs w:val="22"/>
              </w:rPr>
              <w:t xml:space="preserve">  Ophthalmology</w:t>
            </w:r>
          </w:p>
          <w:p w:rsidR="00D86226" w:rsidRDefault="00D86226" w:rsidP="00D86226">
            <w:pPr>
              <w:rPr>
                <w:rFonts w:ascii="Calibri" w:hAnsi="Calibri" w:cs="Calibri"/>
                <w:color w:val="000000"/>
                <w:szCs w:val="22"/>
              </w:rPr>
            </w:pPr>
            <w:r>
              <w:rPr>
                <w:rFonts w:ascii="Calibri" w:hAnsi="Calibri" w:cs="Calibri"/>
                <w:color w:val="000000"/>
                <w:szCs w:val="22"/>
              </w:rPr>
              <w:t xml:space="preserve">  Orthopaedics</w:t>
            </w:r>
          </w:p>
          <w:p w:rsidR="00D86226" w:rsidRDefault="00D86226" w:rsidP="00D86226">
            <w:pPr>
              <w:rPr>
                <w:rFonts w:ascii="Calibri" w:hAnsi="Calibri" w:cs="Calibri"/>
                <w:color w:val="000000"/>
                <w:szCs w:val="22"/>
              </w:rPr>
            </w:pPr>
            <w:r>
              <w:rPr>
                <w:rFonts w:ascii="Calibri" w:hAnsi="Calibri" w:cs="Calibri"/>
                <w:color w:val="000000"/>
                <w:szCs w:val="22"/>
              </w:rPr>
              <w:t xml:space="preserve">  Otolaryngology</w:t>
            </w:r>
          </w:p>
          <w:p w:rsidR="00D86226" w:rsidRDefault="00D86226" w:rsidP="00D86226">
            <w:pPr>
              <w:rPr>
                <w:rFonts w:ascii="Calibri" w:hAnsi="Calibri" w:cs="Calibri"/>
                <w:color w:val="000000"/>
                <w:szCs w:val="22"/>
              </w:rPr>
            </w:pPr>
            <w:r>
              <w:rPr>
                <w:rFonts w:ascii="Calibri" w:hAnsi="Calibri" w:cs="Calibri"/>
                <w:color w:val="000000"/>
                <w:szCs w:val="22"/>
              </w:rPr>
              <w:t xml:space="preserve">  Paediatrics</w:t>
            </w:r>
          </w:p>
          <w:p w:rsidR="00D86226" w:rsidRDefault="00D86226" w:rsidP="00D86226">
            <w:pPr>
              <w:rPr>
                <w:rFonts w:ascii="Calibri" w:hAnsi="Calibri" w:cs="Calibri"/>
                <w:color w:val="000000"/>
                <w:szCs w:val="22"/>
              </w:rPr>
            </w:pPr>
            <w:r>
              <w:rPr>
                <w:rFonts w:ascii="Calibri" w:hAnsi="Calibri" w:cs="Calibri"/>
                <w:color w:val="000000"/>
                <w:szCs w:val="22"/>
              </w:rPr>
              <w:t xml:space="preserve">  Plastic and Reconstructive</w:t>
            </w:r>
          </w:p>
          <w:p w:rsidR="00D86226" w:rsidRDefault="00D86226" w:rsidP="00D86226">
            <w:pPr>
              <w:rPr>
                <w:rFonts w:ascii="Calibri" w:hAnsi="Calibri" w:cs="Calibri"/>
                <w:color w:val="000000"/>
                <w:szCs w:val="22"/>
              </w:rPr>
            </w:pPr>
            <w:r>
              <w:rPr>
                <w:rFonts w:ascii="Calibri" w:hAnsi="Calibri" w:cs="Calibri"/>
                <w:color w:val="000000"/>
                <w:szCs w:val="22"/>
              </w:rPr>
              <w:t xml:space="preserve">  Urology</w:t>
            </w:r>
          </w:p>
          <w:p w:rsidR="00D86226" w:rsidRDefault="00D86226" w:rsidP="00D86226">
            <w:pPr>
              <w:rPr>
                <w:rFonts w:ascii="Calibri" w:hAnsi="Calibri" w:cs="Calibri"/>
                <w:color w:val="000000"/>
                <w:szCs w:val="22"/>
              </w:rPr>
            </w:pPr>
            <w:r>
              <w:rPr>
                <w:rFonts w:ascii="Calibri" w:hAnsi="Calibri" w:cs="Calibri"/>
                <w:color w:val="000000"/>
                <w:szCs w:val="22"/>
              </w:rPr>
              <w:t xml:space="preserve">  Vascular</w:t>
            </w:r>
          </w:p>
        </w:tc>
        <w:tc>
          <w:tcPr>
            <w:tcW w:w="2268" w:type="dxa"/>
            <w:tcBorders>
              <w:top w:val="single" w:sz="4" w:space="0" w:color="auto"/>
              <w:left w:val="single" w:sz="4" w:space="0" w:color="auto"/>
              <w:bottom w:val="single" w:sz="4" w:space="0" w:color="auto"/>
              <w:right w:val="single" w:sz="4" w:space="0" w:color="auto"/>
            </w:tcBorders>
          </w:tcPr>
          <w:p w:rsidR="00D86226" w:rsidRPr="00D87105" w:rsidRDefault="00D86226" w:rsidP="00D86226">
            <w:pPr>
              <w:jc w:val="center"/>
              <w:rPr>
                <w:rFonts w:ascii="Calibri" w:hAnsi="Calibri"/>
                <w:b/>
                <w:color w:val="000000"/>
                <w:szCs w:val="22"/>
              </w:rPr>
            </w:pPr>
            <w:r>
              <w:rPr>
                <w:rFonts w:ascii="Calibri" w:hAnsi="Calibri"/>
                <w:b/>
                <w:color w:val="000000"/>
                <w:szCs w:val="22"/>
              </w:rPr>
              <w:t>150</w:t>
            </w:r>
          </w:p>
          <w:p w:rsidR="00D86226" w:rsidRDefault="00D86226" w:rsidP="00D86226">
            <w:pPr>
              <w:jc w:val="center"/>
              <w:rPr>
                <w:rFonts w:ascii="Calibri" w:hAnsi="Calibri"/>
                <w:color w:val="000000"/>
                <w:szCs w:val="22"/>
              </w:rPr>
            </w:pPr>
            <w:r>
              <w:rPr>
                <w:rFonts w:ascii="Calibri" w:hAnsi="Calibri"/>
                <w:color w:val="000000"/>
                <w:szCs w:val="22"/>
              </w:rPr>
              <w:t>3</w:t>
            </w:r>
          </w:p>
          <w:p w:rsidR="00D86226" w:rsidRDefault="00D86226" w:rsidP="00D86226">
            <w:pPr>
              <w:jc w:val="center"/>
              <w:rPr>
                <w:rFonts w:ascii="Calibri" w:hAnsi="Calibri"/>
                <w:color w:val="000000"/>
                <w:szCs w:val="22"/>
              </w:rPr>
            </w:pPr>
            <w:r>
              <w:rPr>
                <w:rFonts w:ascii="Calibri" w:hAnsi="Calibri"/>
                <w:color w:val="000000"/>
                <w:szCs w:val="22"/>
              </w:rPr>
              <w:t>24</w:t>
            </w:r>
          </w:p>
          <w:p w:rsidR="00D86226" w:rsidRDefault="00D86226" w:rsidP="00D86226">
            <w:pPr>
              <w:jc w:val="center"/>
              <w:rPr>
                <w:rFonts w:ascii="Calibri" w:hAnsi="Calibri"/>
                <w:color w:val="000000"/>
                <w:szCs w:val="22"/>
              </w:rPr>
            </w:pPr>
            <w:r>
              <w:rPr>
                <w:rFonts w:ascii="Calibri" w:hAnsi="Calibri"/>
                <w:color w:val="000000"/>
                <w:szCs w:val="22"/>
              </w:rPr>
              <w:t>17</w:t>
            </w:r>
          </w:p>
          <w:p w:rsidR="00D86226" w:rsidRDefault="00D86226" w:rsidP="00D86226">
            <w:pPr>
              <w:jc w:val="center"/>
              <w:rPr>
                <w:rFonts w:ascii="Calibri" w:hAnsi="Calibri"/>
                <w:color w:val="000000"/>
                <w:szCs w:val="22"/>
              </w:rPr>
            </w:pPr>
            <w:r>
              <w:rPr>
                <w:rFonts w:ascii="Calibri" w:hAnsi="Calibri"/>
                <w:color w:val="000000"/>
                <w:szCs w:val="22"/>
              </w:rPr>
              <w:t>5</w:t>
            </w:r>
          </w:p>
          <w:p w:rsidR="00D86226" w:rsidRDefault="00D86226" w:rsidP="00D86226">
            <w:pPr>
              <w:jc w:val="center"/>
              <w:rPr>
                <w:rFonts w:ascii="Calibri" w:hAnsi="Calibri"/>
                <w:color w:val="000000"/>
                <w:szCs w:val="22"/>
              </w:rPr>
            </w:pPr>
            <w:r>
              <w:rPr>
                <w:rFonts w:ascii="Calibri" w:hAnsi="Calibri"/>
                <w:color w:val="000000"/>
                <w:szCs w:val="22"/>
              </w:rPr>
              <w:t>13</w:t>
            </w:r>
          </w:p>
          <w:p w:rsidR="00D86226" w:rsidRDefault="00D86226" w:rsidP="00D86226">
            <w:pPr>
              <w:jc w:val="center"/>
              <w:rPr>
                <w:rFonts w:ascii="Calibri" w:hAnsi="Calibri"/>
                <w:color w:val="000000"/>
                <w:szCs w:val="22"/>
              </w:rPr>
            </w:pPr>
            <w:r>
              <w:rPr>
                <w:rFonts w:ascii="Calibri" w:hAnsi="Calibri"/>
                <w:color w:val="000000"/>
                <w:szCs w:val="22"/>
              </w:rPr>
              <w:t>50</w:t>
            </w:r>
          </w:p>
          <w:p w:rsidR="00D86226" w:rsidRDefault="00D86226" w:rsidP="00D86226">
            <w:pPr>
              <w:jc w:val="center"/>
              <w:rPr>
                <w:rFonts w:ascii="Calibri" w:hAnsi="Calibri"/>
                <w:color w:val="000000"/>
                <w:szCs w:val="22"/>
              </w:rPr>
            </w:pPr>
            <w:r>
              <w:rPr>
                <w:rFonts w:ascii="Calibri" w:hAnsi="Calibri"/>
                <w:color w:val="000000"/>
                <w:szCs w:val="22"/>
              </w:rPr>
              <w:t>14</w:t>
            </w:r>
          </w:p>
          <w:p w:rsidR="00D86226" w:rsidRDefault="00D86226" w:rsidP="00D86226">
            <w:pPr>
              <w:jc w:val="center"/>
              <w:rPr>
                <w:rFonts w:ascii="Calibri" w:hAnsi="Calibri"/>
                <w:color w:val="000000"/>
                <w:szCs w:val="22"/>
              </w:rPr>
            </w:pPr>
            <w:r>
              <w:rPr>
                <w:rFonts w:ascii="Calibri" w:hAnsi="Calibri"/>
                <w:color w:val="000000"/>
                <w:szCs w:val="22"/>
              </w:rPr>
              <w:t>2</w:t>
            </w:r>
          </w:p>
          <w:p w:rsidR="00D86226" w:rsidRDefault="00D86226" w:rsidP="00D86226">
            <w:pPr>
              <w:jc w:val="center"/>
              <w:rPr>
                <w:rFonts w:ascii="Calibri" w:hAnsi="Calibri"/>
                <w:color w:val="000000"/>
                <w:szCs w:val="22"/>
              </w:rPr>
            </w:pPr>
            <w:r>
              <w:rPr>
                <w:rFonts w:ascii="Calibri" w:hAnsi="Calibri"/>
                <w:color w:val="000000"/>
                <w:szCs w:val="22"/>
              </w:rPr>
              <w:t>8</w:t>
            </w:r>
          </w:p>
          <w:p w:rsidR="00D86226" w:rsidRDefault="00D86226" w:rsidP="00D86226">
            <w:pPr>
              <w:jc w:val="center"/>
              <w:rPr>
                <w:rFonts w:ascii="Calibri" w:hAnsi="Calibri"/>
                <w:color w:val="000000"/>
                <w:szCs w:val="22"/>
              </w:rPr>
            </w:pPr>
            <w:r>
              <w:rPr>
                <w:rFonts w:ascii="Calibri" w:hAnsi="Calibri"/>
                <w:color w:val="000000"/>
                <w:szCs w:val="22"/>
              </w:rPr>
              <w:t>7</w:t>
            </w:r>
          </w:p>
          <w:p w:rsidR="00D86226" w:rsidRDefault="00D86226" w:rsidP="00D86226">
            <w:pPr>
              <w:jc w:val="center"/>
              <w:rPr>
                <w:rFonts w:ascii="Calibri" w:hAnsi="Calibri"/>
                <w:color w:val="000000"/>
                <w:szCs w:val="22"/>
              </w:rPr>
            </w:pPr>
            <w:r>
              <w:rPr>
                <w:rFonts w:ascii="Calibri" w:hAnsi="Calibri"/>
                <w:color w:val="000000"/>
                <w:szCs w:val="22"/>
              </w:rPr>
              <w:t>7</w:t>
            </w:r>
          </w:p>
        </w:tc>
        <w:tc>
          <w:tcPr>
            <w:tcW w:w="1985" w:type="dxa"/>
            <w:tcBorders>
              <w:top w:val="single" w:sz="4" w:space="0" w:color="auto"/>
              <w:left w:val="single" w:sz="4" w:space="0" w:color="auto"/>
              <w:bottom w:val="single" w:sz="4" w:space="0" w:color="auto"/>
              <w:right w:val="single" w:sz="4" w:space="0" w:color="auto"/>
            </w:tcBorders>
          </w:tcPr>
          <w:p w:rsidR="00D86226" w:rsidRDefault="00747CE9" w:rsidP="00D86226">
            <w:pPr>
              <w:jc w:val="center"/>
              <w:rPr>
                <w:rFonts w:ascii="Calibri" w:hAnsi="Calibri"/>
                <w:b/>
                <w:color w:val="000000"/>
                <w:szCs w:val="22"/>
              </w:rPr>
            </w:pPr>
            <w:r>
              <w:rPr>
                <w:rFonts w:ascii="Calibri" w:hAnsi="Calibri"/>
                <w:b/>
                <w:color w:val="000000"/>
                <w:szCs w:val="22"/>
              </w:rPr>
              <w:t>30.2</w:t>
            </w:r>
            <w:r w:rsidR="00D86226" w:rsidRPr="0071217A">
              <w:rPr>
                <w:rFonts w:ascii="Calibri" w:hAnsi="Calibri"/>
                <w:b/>
                <w:color w:val="000000"/>
                <w:szCs w:val="22"/>
              </w:rPr>
              <w:t>%</w:t>
            </w:r>
          </w:p>
          <w:p w:rsidR="00D86226" w:rsidRPr="0071217A" w:rsidRDefault="00D86226" w:rsidP="00D86226">
            <w:pPr>
              <w:jc w:val="center"/>
              <w:rPr>
                <w:rFonts w:ascii="Calibri" w:hAnsi="Calibri"/>
                <w:color w:val="000000"/>
                <w:szCs w:val="22"/>
              </w:rPr>
            </w:pPr>
            <w:r w:rsidRPr="0071217A">
              <w:rPr>
                <w:rFonts w:ascii="Calibri" w:hAnsi="Calibri"/>
                <w:color w:val="000000"/>
                <w:szCs w:val="22"/>
              </w:rPr>
              <w:t>0.6%</w:t>
            </w:r>
          </w:p>
          <w:p w:rsidR="00D86226" w:rsidRPr="0071217A" w:rsidRDefault="00D86226" w:rsidP="00D86226">
            <w:pPr>
              <w:jc w:val="center"/>
              <w:rPr>
                <w:rFonts w:ascii="Calibri" w:hAnsi="Calibri"/>
                <w:color w:val="000000"/>
                <w:szCs w:val="22"/>
              </w:rPr>
            </w:pPr>
            <w:r w:rsidRPr="0071217A">
              <w:rPr>
                <w:rFonts w:ascii="Calibri" w:hAnsi="Calibri"/>
                <w:color w:val="000000"/>
                <w:szCs w:val="22"/>
              </w:rPr>
              <w:t>4.8%</w:t>
            </w:r>
          </w:p>
          <w:p w:rsidR="00D86226" w:rsidRPr="0071217A" w:rsidRDefault="00D86226" w:rsidP="00D86226">
            <w:pPr>
              <w:jc w:val="center"/>
              <w:rPr>
                <w:rFonts w:ascii="Calibri" w:hAnsi="Calibri"/>
                <w:color w:val="000000"/>
                <w:szCs w:val="22"/>
              </w:rPr>
            </w:pPr>
            <w:r w:rsidRPr="0071217A">
              <w:rPr>
                <w:rFonts w:ascii="Calibri" w:hAnsi="Calibri"/>
                <w:color w:val="000000"/>
                <w:szCs w:val="22"/>
              </w:rPr>
              <w:t>3.4%</w:t>
            </w:r>
          </w:p>
          <w:p w:rsidR="00D86226" w:rsidRPr="0071217A" w:rsidRDefault="00D86226" w:rsidP="00D86226">
            <w:pPr>
              <w:jc w:val="center"/>
              <w:rPr>
                <w:rFonts w:ascii="Calibri" w:hAnsi="Calibri"/>
                <w:color w:val="000000"/>
                <w:szCs w:val="22"/>
              </w:rPr>
            </w:pPr>
            <w:r w:rsidRPr="0071217A">
              <w:rPr>
                <w:rFonts w:ascii="Calibri" w:hAnsi="Calibri"/>
                <w:color w:val="000000"/>
                <w:szCs w:val="22"/>
              </w:rPr>
              <w:t>1.0%</w:t>
            </w:r>
          </w:p>
          <w:p w:rsidR="00D86226" w:rsidRPr="0071217A" w:rsidRDefault="00D86226" w:rsidP="00D86226">
            <w:pPr>
              <w:jc w:val="center"/>
              <w:rPr>
                <w:rFonts w:ascii="Calibri" w:hAnsi="Calibri"/>
                <w:color w:val="000000"/>
                <w:szCs w:val="22"/>
              </w:rPr>
            </w:pPr>
            <w:r w:rsidRPr="0071217A">
              <w:rPr>
                <w:rFonts w:ascii="Calibri" w:hAnsi="Calibri"/>
                <w:color w:val="000000"/>
                <w:szCs w:val="22"/>
              </w:rPr>
              <w:t>2.6%</w:t>
            </w:r>
          </w:p>
          <w:p w:rsidR="00D86226" w:rsidRPr="0071217A" w:rsidRDefault="00450394" w:rsidP="00D86226">
            <w:pPr>
              <w:jc w:val="center"/>
              <w:rPr>
                <w:rFonts w:ascii="Calibri" w:hAnsi="Calibri"/>
                <w:color w:val="000000"/>
                <w:szCs w:val="22"/>
              </w:rPr>
            </w:pPr>
            <w:r>
              <w:rPr>
                <w:rFonts w:ascii="Calibri" w:hAnsi="Calibri"/>
                <w:color w:val="000000"/>
                <w:szCs w:val="22"/>
              </w:rPr>
              <w:t>10.1</w:t>
            </w:r>
            <w:r w:rsidR="00D86226" w:rsidRPr="0071217A">
              <w:rPr>
                <w:rFonts w:ascii="Calibri" w:hAnsi="Calibri"/>
                <w:color w:val="000000"/>
                <w:szCs w:val="22"/>
              </w:rPr>
              <w:t>%</w:t>
            </w:r>
          </w:p>
          <w:p w:rsidR="00D86226" w:rsidRPr="0071217A" w:rsidRDefault="00D86226" w:rsidP="00D86226">
            <w:pPr>
              <w:jc w:val="center"/>
              <w:rPr>
                <w:rFonts w:ascii="Calibri" w:hAnsi="Calibri"/>
                <w:color w:val="000000"/>
                <w:szCs w:val="22"/>
              </w:rPr>
            </w:pPr>
            <w:r w:rsidRPr="0071217A">
              <w:rPr>
                <w:rFonts w:ascii="Calibri" w:hAnsi="Calibri"/>
                <w:color w:val="000000"/>
                <w:szCs w:val="22"/>
              </w:rPr>
              <w:t>2.8%</w:t>
            </w:r>
          </w:p>
          <w:p w:rsidR="00D86226" w:rsidRPr="0071217A" w:rsidRDefault="00D86226" w:rsidP="00D86226">
            <w:pPr>
              <w:jc w:val="center"/>
              <w:rPr>
                <w:rFonts w:ascii="Calibri" w:hAnsi="Calibri"/>
                <w:color w:val="000000"/>
                <w:szCs w:val="22"/>
              </w:rPr>
            </w:pPr>
            <w:r w:rsidRPr="0071217A">
              <w:rPr>
                <w:rFonts w:ascii="Calibri" w:hAnsi="Calibri"/>
                <w:color w:val="000000"/>
                <w:szCs w:val="22"/>
              </w:rPr>
              <w:t>0.4%</w:t>
            </w:r>
          </w:p>
          <w:p w:rsidR="00D86226" w:rsidRPr="0071217A" w:rsidRDefault="00D86226" w:rsidP="00D86226">
            <w:pPr>
              <w:jc w:val="center"/>
              <w:rPr>
                <w:rFonts w:ascii="Calibri" w:hAnsi="Calibri"/>
                <w:color w:val="000000"/>
                <w:szCs w:val="22"/>
              </w:rPr>
            </w:pPr>
            <w:r w:rsidRPr="0071217A">
              <w:rPr>
                <w:rFonts w:ascii="Calibri" w:hAnsi="Calibri"/>
                <w:color w:val="000000"/>
                <w:szCs w:val="22"/>
              </w:rPr>
              <w:t>1.6%</w:t>
            </w:r>
          </w:p>
          <w:p w:rsidR="00D86226" w:rsidRPr="0071217A" w:rsidRDefault="00D86226" w:rsidP="00D86226">
            <w:pPr>
              <w:jc w:val="center"/>
              <w:rPr>
                <w:rFonts w:ascii="Calibri" w:hAnsi="Calibri"/>
                <w:color w:val="000000"/>
                <w:szCs w:val="22"/>
              </w:rPr>
            </w:pPr>
            <w:r w:rsidRPr="0071217A">
              <w:rPr>
                <w:rFonts w:ascii="Calibri" w:hAnsi="Calibri"/>
                <w:color w:val="000000"/>
                <w:szCs w:val="22"/>
              </w:rPr>
              <w:t>1.4%</w:t>
            </w:r>
          </w:p>
          <w:p w:rsidR="00D86226" w:rsidRPr="005F17F8" w:rsidRDefault="00D86226" w:rsidP="00D86226">
            <w:pPr>
              <w:jc w:val="center"/>
              <w:rPr>
                <w:rFonts w:ascii="Calibri" w:hAnsi="Calibri"/>
                <w:color w:val="000000"/>
                <w:szCs w:val="22"/>
              </w:rPr>
            </w:pPr>
            <w:r w:rsidRPr="0071217A">
              <w:rPr>
                <w:rFonts w:ascii="Calibri" w:hAnsi="Calibri"/>
                <w:color w:val="000000"/>
                <w:szCs w:val="22"/>
              </w:rPr>
              <w:t>1.4%</w:t>
            </w:r>
          </w:p>
        </w:tc>
      </w:tr>
      <w:tr w:rsidR="00D86226" w:rsidTr="00D86226">
        <w:tc>
          <w:tcPr>
            <w:tcW w:w="4678"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rPr>
                <w:rFonts w:cs="Arial"/>
                <w:b/>
                <w:szCs w:val="22"/>
              </w:rPr>
            </w:pPr>
            <w:r>
              <w:rPr>
                <w:rFonts w:cs="Arial"/>
                <w:b/>
                <w:szCs w:val="22"/>
              </w:rPr>
              <w:t>Other/unknown health service</w:t>
            </w:r>
          </w:p>
        </w:tc>
        <w:tc>
          <w:tcPr>
            <w:tcW w:w="226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6</w:t>
            </w:r>
          </w:p>
        </w:tc>
        <w:tc>
          <w:tcPr>
            <w:tcW w:w="1985"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b/>
                <w:color w:val="000000"/>
                <w:szCs w:val="22"/>
              </w:rPr>
            </w:pPr>
            <w:r>
              <w:rPr>
                <w:rFonts w:ascii="Calibri" w:hAnsi="Calibri"/>
                <w:b/>
                <w:color w:val="000000"/>
                <w:szCs w:val="22"/>
              </w:rPr>
              <w:t>1.2%</w:t>
            </w:r>
          </w:p>
        </w:tc>
      </w:tr>
      <w:tr w:rsidR="00D86226" w:rsidTr="00D86226">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tabs>
                <w:tab w:val="left" w:pos="1440"/>
                <w:tab w:val="decimal" w:pos="4320"/>
              </w:tabs>
              <w:spacing w:before="100" w:beforeAutospacing="1" w:after="100" w:afterAutospacing="1"/>
              <w:jc w:val="left"/>
              <w:outlineLvl w:val="0"/>
              <w:rPr>
                <w:rFonts w:ascii="Calibri" w:hAnsi="Calibri"/>
                <w:b/>
                <w:szCs w:val="22"/>
              </w:rPr>
            </w:pPr>
            <w:r>
              <w:rPr>
                <w:rFonts w:ascii="Calibri" w:hAnsi="Calibri"/>
                <w:b/>
                <w:szCs w:val="22"/>
              </w:rPr>
              <w:t>TOTAL</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747CE9" w:rsidP="00D86226">
            <w:pPr>
              <w:jc w:val="center"/>
              <w:rPr>
                <w:rFonts w:ascii="Calibri" w:hAnsi="Calibri" w:cs="Calibri"/>
                <w:b/>
                <w:color w:val="000000"/>
                <w:szCs w:val="22"/>
              </w:rPr>
            </w:pPr>
            <w:r>
              <w:rPr>
                <w:rFonts w:ascii="Calibri" w:hAnsi="Calibri" w:cs="Calibri"/>
                <w:b/>
                <w:color w:val="000000"/>
                <w:szCs w:val="22"/>
              </w:rPr>
              <w:t>497</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jc w:val="center"/>
              <w:rPr>
                <w:rFonts w:ascii="Calibri" w:hAnsi="Calibri" w:cs="Calibri"/>
                <w:color w:val="000000"/>
                <w:szCs w:val="22"/>
              </w:rPr>
            </w:pPr>
          </w:p>
        </w:tc>
      </w:tr>
    </w:tbl>
    <w:p w:rsidR="00D86226" w:rsidRDefault="00D86226" w:rsidP="00D86226">
      <w:bookmarkStart w:id="58" w:name="_Toc426462632"/>
    </w:p>
    <w:p w:rsidR="00D86226" w:rsidRDefault="00450394" w:rsidP="00D86226">
      <w:r>
        <w:lastRenderedPageBreak/>
        <w:t>Surgical services (30.2</w:t>
      </w:r>
      <w:r w:rsidR="00D86226">
        <w:t xml:space="preserve">%) received the greatest number of complaints in Jan-Jun </w:t>
      </w:r>
      <w:r>
        <w:t>2017, with orthopaedics (10.1</w:t>
      </w:r>
      <w:r w:rsidR="004A5036">
        <w:t xml:space="preserve">%) </w:t>
      </w:r>
      <w:r w:rsidR="00D86226">
        <w:t>being the most commonly compl</w:t>
      </w:r>
      <w:r w:rsidR="004A5036">
        <w:t>ained about surgical specialty</w:t>
      </w:r>
      <w:r w:rsidR="00D86226">
        <w:t>. Other commonly complained about services</w:t>
      </w:r>
      <w:r>
        <w:t xml:space="preserve"> included general medicine (20.1</w:t>
      </w:r>
      <w:r w:rsidR="00D86226">
        <w:t>%), mental health (19.</w:t>
      </w:r>
      <w:r>
        <w:t>7%), emergency departments (11.3</w:t>
      </w:r>
      <w:r w:rsidR="00D86226">
        <w:t xml:space="preserve">%) and maternity services (5.4%). This is similar to what has been seen in previous periods. </w:t>
      </w:r>
    </w:p>
    <w:p w:rsidR="00D86226" w:rsidRDefault="00D86226" w:rsidP="00D86226">
      <w:pPr>
        <w:pStyle w:val="Heading2"/>
        <w:rPr>
          <w:lang w:val="en-NZ"/>
        </w:rPr>
      </w:pPr>
      <w:bookmarkStart w:id="59" w:name="_Toc443992227"/>
      <w:bookmarkStart w:id="60" w:name="_Toc445910051"/>
      <w:bookmarkStart w:id="61" w:name="_Toc447291335"/>
      <w:bookmarkStart w:id="62" w:name="_Toc447291473"/>
      <w:bookmarkStart w:id="63" w:name="_Toc447527530"/>
      <w:bookmarkStart w:id="64" w:name="_Toc493680287"/>
      <w:bookmarkStart w:id="65" w:name="_Toc493684128"/>
      <w:r>
        <w:rPr>
          <w:lang w:val="en-NZ"/>
        </w:rPr>
        <w:t>3.0</w:t>
      </w:r>
      <w:r>
        <w:rPr>
          <w:lang w:val="en-NZ"/>
        </w:rPr>
        <w:tab/>
        <w:t>Issues complained about</w:t>
      </w:r>
      <w:bookmarkEnd w:id="58"/>
      <w:bookmarkEnd w:id="59"/>
      <w:bookmarkEnd w:id="60"/>
      <w:bookmarkEnd w:id="61"/>
      <w:bookmarkEnd w:id="62"/>
      <w:bookmarkEnd w:id="63"/>
      <w:bookmarkEnd w:id="64"/>
      <w:bookmarkEnd w:id="65"/>
      <w:r>
        <w:rPr>
          <w:lang w:val="en-NZ"/>
        </w:rPr>
        <w:t xml:space="preserve"> </w:t>
      </w:r>
    </w:p>
    <w:p w:rsidR="00D86226" w:rsidRDefault="00D86226" w:rsidP="00D86226">
      <w:pPr>
        <w:pStyle w:val="Heading3"/>
        <w:spacing w:before="120" w:after="120"/>
      </w:pPr>
      <w:bookmarkStart w:id="66" w:name="_Toc426462633"/>
      <w:bookmarkStart w:id="67" w:name="_Toc443992228"/>
      <w:bookmarkStart w:id="68" w:name="_Toc445910052"/>
      <w:bookmarkStart w:id="69" w:name="_Toc447291336"/>
      <w:bookmarkStart w:id="70" w:name="_Toc447291474"/>
      <w:bookmarkStart w:id="71" w:name="_Toc447527531"/>
      <w:bookmarkStart w:id="72" w:name="_Toc493680288"/>
      <w:bookmarkStart w:id="73" w:name="_Toc493684129"/>
      <w:r>
        <w:t>3.1</w:t>
      </w:r>
      <w:r>
        <w:tab/>
        <w:t>Primary complaint issues</w:t>
      </w:r>
      <w:bookmarkEnd w:id="66"/>
      <w:bookmarkEnd w:id="67"/>
      <w:bookmarkEnd w:id="68"/>
      <w:bookmarkEnd w:id="69"/>
      <w:bookmarkEnd w:id="70"/>
      <w:bookmarkEnd w:id="71"/>
      <w:bookmarkEnd w:id="72"/>
      <w:bookmarkEnd w:id="73"/>
    </w:p>
    <w:p w:rsidR="00D86226" w:rsidRDefault="00D86226" w:rsidP="00D86226">
      <w:r>
        <w:t xml:space="preserve">For each complaint received by HDC, one primary complaint issue is identified. Categories with only one complaint have been grouped together and classified as ‘other’. The primary issues identified in complaints received in </w:t>
      </w:r>
      <w:r>
        <w:rPr>
          <w:lang w:eastAsia="en-NZ" w:bidi="ar-SA"/>
        </w:rPr>
        <w:t xml:space="preserve">Jan–Jun 2017 </w:t>
      </w:r>
      <w:r>
        <w:t xml:space="preserve">are listed in Table 6. </w:t>
      </w:r>
      <w:r w:rsidR="004A5036">
        <w:t xml:space="preserve">It should be noted that </w:t>
      </w:r>
      <w:r w:rsidR="004A5036" w:rsidRPr="00666BAC">
        <w:t>the issues included are as articul</w:t>
      </w:r>
      <w:r w:rsidR="004A5036">
        <w:t>ated by the complainant to HDC.</w:t>
      </w:r>
      <w:r w:rsidR="004A5036" w:rsidRPr="00666BAC">
        <w:t xml:space="preserve"> While not all issues raised in complaints are subsequently factually and/or clinically substantiated, those issues can still provide a valuable insight into the consumer’s experience of the services provided and the issues they care most about</w:t>
      </w:r>
      <w:r w:rsidR="00C84CA1">
        <w:t>.</w:t>
      </w:r>
    </w:p>
    <w:p w:rsidR="00D86226" w:rsidRDefault="00D86226" w:rsidP="00D86226"/>
    <w:p w:rsidR="00D86226" w:rsidRDefault="00D86226" w:rsidP="00D86226">
      <w:pPr>
        <w:spacing w:after="120"/>
        <w:rPr>
          <w:b/>
        </w:rPr>
      </w:pPr>
      <w:r>
        <w:rPr>
          <w:b/>
        </w:rPr>
        <w:t xml:space="preserve">Table 6. </w:t>
      </w:r>
      <w:r>
        <w:t>Primary issues complained about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701"/>
        <w:gridCol w:w="1418"/>
      </w:tblGrid>
      <w:tr w:rsidR="00D86226" w:rsidTr="00D86226">
        <w:trPr>
          <w:tblHeader/>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spacing w:before="120"/>
              <w:jc w:val="left"/>
              <w:outlineLvl w:val="0"/>
              <w:rPr>
                <w:rFonts w:ascii="Calibri" w:hAnsi="Calibri"/>
                <w:b/>
                <w:szCs w:val="22"/>
              </w:rPr>
            </w:pPr>
            <w:r>
              <w:rPr>
                <w:rFonts w:ascii="Calibri" w:hAnsi="Calibri"/>
                <w:b/>
                <w:szCs w:val="22"/>
              </w:rPr>
              <w:t xml:space="preserve">Primary issue in complaints </w:t>
            </w:r>
          </w:p>
        </w:tc>
        <w:tc>
          <w:tcPr>
            <w:tcW w:w="1701"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spacing w:before="120"/>
              <w:jc w:val="center"/>
              <w:outlineLvl w:val="0"/>
              <w:rPr>
                <w:rFonts w:ascii="Calibri" w:hAnsi="Calibri"/>
                <w:b/>
                <w:szCs w:val="22"/>
              </w:rPr>
            </w:pPr>
            <w:r>
              <w:rPr>
                <w:rFonts w:ascii="Calibri" w:hAnsi="Calibri"/>
                <w:b/>
                <w:szCs w:val="22"/>
              </w:rPr>
              <w:t xml:space="preserve">Number of complaints </w:t>
            </w:r>
          </w:p>
        </w:tc>
        <w:tc>
          <w:tcPr>
            <w:tcW w:w="1418"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spacing w:before="120"/>
              <w:jc w:val="center"/>
              <w:outlineLvl w:val="0"/>
              <w:rPr>
                <w:rFonts w:ascii="Calibri" w:hAnsi="Calibri"/>
                <w:b/>
                <w:szCs w:val="22"/>
              </w:rPr>
            </w:pPr>
            <w:r>
              <w:rPr>
                <w:rFonts w:ascii="Calibri" w:hAnsi="Calibri"/>
                <w:b/>
                <w:szCs w:val="22"/>
              </w:rPr>
              <w:t>Percentage</w:t>
            </w:r>
          </w:p>
        </w:tc>
      </w:tr>
      <w:tr w:rsidR="00D86226" w:rsidTr="00D86226">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86226" w:rsidRDefault="00D86226" w:rsidP="00D86226">
            <w:pPr>
              <w:keepNext/>
              <w:keepLines/>
              <w:rPr>
                <w:rFonts w:ascii="Calibri" w:hAnsi="Calibri" w:cs="Calibri"/>
                <w:b/>
                <w:i/>
                <w:color w:val="000000"/>
                <w:szCs w:val="22"/>
              </w:rPr>
            </w:pPr>
            <w:r>
              <w:rPr>
                <w:rFonts w:ascii="Calibri" w:hAnsi="Calibri" w:cs="Calibri"/>
                <w:b/>
                <w:i/>
                <w:color w:val="000000"/>
                <w:szCs w:val="22"/>
              </w:rPr>
              <w:t>Access/Funding</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jc w:val="center"/>
              <w:rPr>
                <w:rFonts w:ascii="Calibri" w:hAnsi="Calibri" w:cs="Calibri"/>
                <w:b/>
                <w:i/>
                <w:color w:val="000000"/>
                <w:szCs w:val="22"/>
              </w:rPr>
            </w:pPr>
            <w:r>
              <w:rPr>
                <w:rFonts w:ascii="Calibri" w:hAnsi="Calibri" w:cs="Calibri"/>
                <w:b/>
                <w:i/>
                <w:color w:val="000000"/>
                <w:szCs w:val="22"/>
              </w:rPr>
              <w:t>80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450394" w:rsidP="00D86226">
            <w:pPr>
              <w:keepNext/>
              <w:keepLines/>
              <w:jc w:val="center"/>
              <w:rPr>
                <w:rFonts w:ascii="Calibri" w:hAnsi="Calibri" w:cs="Calibri"/>
                <w:b/>
                <w:i/>
                <w:color w:val="000000"/>
                <w:szCs w:val="22"/>
              </w:rPr>
            </w:pPr>
            <w:r>
              <w:rPr>
                <w:rFonts w:ascii="Calibri" w:hAnsi="Calibri" w:cs="Calibri"/>
                <w:b/>
                <w:i/>
                <w:color w:val="000000"/>
                <w:szCs w:val="22"/>
              </w:rPr>
              <w:t>16.8</w:t>
            </w:r>
            <w:r w:rsidR="00D86226">
              <w:rPr>
                <w:rFonts w:ascii="Calibri" w:hAnsi="Calibri" w:cs="Calibri"/>
                <w:b/>
                <w: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tabs>
                <w:tab w:val="left" w:pos="176"/>
              </w:tabs>
              <w:ind w:left="176"/>
              <w:jc w:val="left"/>
              <w:rPr>
                <w:rFonts w:ascii="Calibri" w:hAnsi="Calibri" w:cs="Calibri"/>
                <w:color w:val="000000"/>
                <w:szCs w:val="22"/>
              </w:rPr>
            </w:pPr>
            <w:r>
              <w:rPr>
                <w:rFonts w:ascii="Calibri" w:hAnsi="Calibri" w:cs="Calibri"/>
                <w:color w:val="000000"/>
                <w:szCs w:val="22"/>
              </w:rPr>
              <w:t>Lack of access to services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28</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5.9%</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ind w:left="720" w:hanging="544"/>
              <w:rPr>
                <w:rFonts w:ascii="Calibri" w:hAnsi="Calibri" w:cs="Calibri"/>
                <w:color w:val="000000"/>
                <w:szCs w:val="22"/>
              </w:rPr>
            </w:pPr>
            <w:r>
              <w:rPr>
                <w:rFonts w:ascii="Calibri" w:hAnsi="Calibri" w:cs="Calibri"/>
                <w:color w:val="000000"/>
                <w:szCs w:val="22"/>
              </w:rPr>
              <w:t>Lack of access to subsidies/funding</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1.0%</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tabs>
                <w:tab w:val="left" w:pos="176"/>
              </w:tabs>
              <w:ind w:left="176"/>
              <w:rPr>
                <w:rFonts w:ascii="Calibri" w:hAnsi="Calibri" w:cs="Calibri"/>
                <w:color w:val="000000"/>
                <w:szCs w:val="22"/>
              </w:rPr>
            </w:pPr>
            <w:r>
              <w:rPr>
                <w:rFonts w:ascii="Calibri" w:hAnsi="Calibri" w:cs="Calibri"/>
                <w:color w:val="000000"/>
                <w:szCs w:val="22"/>
              </w:rPr>
              <w:t>Waiting list/prioritisation issue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47</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450394" w:rsidP="00D86226">
            <w:pPr>
              <w:keepNext/>
              <w:keepLines/>
              <w:jc w:val="center"/>
              <w:rPr>
                <w:rFonts w:ascii="Calibri" w:hAnsi="Calibri" w:cs="Calibri"/>
                <w:color w:val="000000"/>
                <w:szCs w:val="22"/>
              </w:rPr>
            </w:pPr>
            <w:r>
              <w:rPr>
                <w:rFonts w:ascii="Calibri" w:hAnsi="Calibri" w:cs="Calibri"/>
                <w:color w:val="000000"/>
                <w:szCs w:val="22"/>
              </w:rPr>
              <w:t>9.9</w:t>
            </w:r>
            <w:r w:rsidR="00D86226">
              <w:rPr>
                <w:rFonts w:ascii="Calibri" w:hAnsi="Calibri" w:cs="Calibr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86226" w:rsidRDefault="00D86226" w:rsidP="00D86226">
            <w:pPr>
              <w:keepNext/>
              <w:keepLines/>
              <w:rPr>
                <w:rFonts w:ascii="Calibri" w:hAnsi="Calibri" w:cs="Calibri"/>
                <w:b/>
                <w:i/>
                <w:color w:val="000000"/>
                <w:szCs w:val="22"/>
              </w:rPr>
            </w:pPr>
            <w:r>
              <w:rPr>
                <w:rFonts w:ascii="Calibri" w:hAnsi="Calibri" w:cs="Calibri"/>
                <w:b/>
                <w:i/>
                <w:color w:val="000000"/>
                <w:szCs w:val="22"/>
              </w:rPr>
              <w:t>Boundary violation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jc w:val="center"/>
              <w:rPr>
                <w:rFonts w:ascii="Calibri" w:hAnsi="Calibri" w:cs="Calibri"/>
                <w:b/>
                <w:i/>
                <w:color w:val="000000"/>
                <w:szCs w:val="22"/>
              </w:rPr>
            </w:pPr>
            <w:r>
              <w:rPr>
                <w:rFonts w:ascii="Calibri" w:hAnsi="Calibri" w:cs="Calibri"/>
                <w:b/>
                <w:i/>
                <w:color w:val="000000"/>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jc w:val="center"/>
              <w:rPr>
                <w:rFonts w:ascii="Calibri" w:hAnsi="Calibri" w:cs="Calibri"/>
                <w:b/>
                <w:i/>
                <w:color w:val="000000"/>
                <w:szCs w:val="22"/>
              </w:rPr>
            </w:pPr>
            <w:r>
              <w:rPr>
                <w:rFonts w:ascii="Calibri" w:hAnsi="Calibri" w:cs="Calibri"/>
                <w:b/>
                <w:i/>
                <w:color w:val="000000"/>
                <w:szCs w:val="22"/>
              </w:rPr>
              <w:t>0.4%</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tabs>
                <w:tab w:val="left" w:pos="176"/>
              </w:tabs>
              <w:ind w:left="176"/>
              <w:rPr>
                <w:rFonts w:ascii="Calibri" w:hAnsi="Calibri" w:cs="Calibri"/>
                <w:color w:val="000000"/>
                <w:szCs w:val="22"/>
              </w:rPr>
            </w:pPr>
            <w:r>
              <w:rPr>
                <w:rFonts w:ascii="Calibri" w:hAnsi="Calibri" w:cs="Calibri"/>
                <w:color w:val="000000"/>
                <w:szCs w:val="22"/>
              </w:rPr>
              <w:t>Inappropriate sexual physical contact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0.2%</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tabs>
                <w:tab w:val="left" w:pos="176"/>
              </w:tabs>
              <w:ind w:left="176"/>
              <w:rPr>
                <w:rFonts w:ascii="Calibri" w:hAnsi="Calibri" w:cs="Calibri"/>
                <w:color w:val="000000"/>
                <w:szCs w:val="22"/>
              </w:rPr>
            </w:pPr>
            <w:r>
              <w:rPr>
                <w:rFonts w:ascii="Calibri" w:hAnsi="Calibri" w:cs="Calibri"/>
                <w:color w:val="000000"/>
                <w:szCs w:val="22"/>
              </w:rPr>
              <w:t>Inappropriate non-sexual relationship</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0.2%</w:t>
            </w:r>
          </w:p>
        </w:tc>
      </w:tr>
      <w:tr w:rsidR="00D86226" w:rsidTr="00D86226">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86226" w:rsidRDefault="00D86226" w:rsidP="00D86226">
            <w:pPr>
              <w:keepNext/>
              <w:keepLines/>
              <w:tabs>
                <w:tab w:val="left" w:pos="176"/>
              </w:tabs>
              <w:jc w:val="left"/>
              <w:rPr>
                <w:rFonts w:ascii="Calibri" w:hAnsi="Calibri" w:cs="Calibri"/>
                <w:b/>
                <w:i/>
                <w:color w:val="000000"/>
                <w:szCs w:val="22"/>
              </w:rPr>
            </w:pPr>
            <w:r>
              <w:rPr>
                <w:rFonts w:ascii="Calibri" w:hAnsi="Calibri" w:cs="Calibri"/>
                <w:b/>
                <w:i/>
                <w:color w:val="000000"/>
                <w:szCs w:val="22"/>
              </w:rPr>
              <w:t>Care/Treatment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jc w:val="center"/>
              <w:rPr>
                <w:rFonts w:ascii="Calibri" w:hAnsi="Calibri" w:cs="Calibri"/>
                <w:b/>
                <w:i/>
                <w:color w:val="000000"/>
                <w:szCs w:val="22"/>
              </w:rPr>
            </w:pPr>
            <w:r>
              <w:rPr>
                <w:rFonts w:ascii="Calibri" w:hAnsi="Calibri" w:cs="Calibri"/>
                <w:b/>
                <w:i/>
                <w:color w:val="000000"/>
                <w:szCs w:val="22"/>
              </w:rPr>
              <w:t>233</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jc w:val="center"/>
              <w:rPr>
                <w:rFonts w:ascii="Calibri" w:hAnsi="Calibri" w:cs="Calibri"/>
                <w:b/>
                <w:i/>
                <w:color w:val="000000"/>
                <w:szCs w:val="22"/>
              </w:rPr>
            </w:pPr>
            <w:r>
              <w:rPr>
                <w:rFonts w:ascii="Calibri" w:hAnsi="Calibri" w:cs="Calibri"/>
                <w:b/>
                <w:i/>
                <w:color w:val="000000"/>
                <w:szCs w:val="22"/>
              </w:rPr>
              <w:t>48</w:t>
            </w:r>
            <w:r w:rsidR="00450394">
              <w:rPr>
                <w:rFonts w:ascii="Calibri" w:hAnsi="Calibri" w:cs="Calibri"/>
                <w:b/>
                <w:i/>
                <w:color w:val="000000"/>
                <w:szCs w:val="22"/>
              </w:rPr>
              <w:t>.8</w:t>
            </w:r>
            <w:r>
              <w:rPr>
                <w:rFonts w:ascii="Calibri" w:hAnsi="Calibri" w:cs="Calibri"/>
                <w:b/>
                <w: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tabs>
                <w:tab w:val="left" w:pos="176"/>
              </w:tabs>
              <w:ind w:left="176"/>
              <w:rPr>
                <w:rFonts w:ascii="Calibri" w:hAnsi="Calibri" w:cs="Calibri"/>
                <w:color w:val="000000"/>
                <w:szCs w:val="22"/>
              </w:rPr>
            </w:pPr>
            <w:r>
              <w:rPr>
                <w:rFonts w:ascii="Calibri" w:hAnsi="Calibri" w:cs="Calibri"/>
                <w:color w:val="000000"/>
                <w:szCs w:val="22"/>
              </w:rPr>
              <w:t>Delay in 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1.9%</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tabs>
                <w:tab w:val="left" w:pos="176"/>
              </w:tabs>
              <w:ind w:left="176"/>
              <w:rPr>
                <w:rFonts w:ascii="Calibri" w:hAnsi="Calibri" w:cs="Calibri"/>
                <w:color w:val="000000"/>
                <w:szCs w:val="22"/>
              </w:rPr>
            </w:pPr>
            <w:r>
              <w:rPr>
                <w:rFonts w:ascii="Calibri" w:hAnsi="Calibri" w:cs="Calibri"/>
                <w:color w:val="000000"/>
                <w:szCs w:val="22"/>
              </w:rPr>
              <w:t>Delayed/inadequate/inappropriate referral</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0.6%</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tabs>
                <w:tab w:val="left" w:pos="204"/>
              </w:tabs>
              <w:ind w:firstLine="176"/>
              <w:rPr>
                <w:rFonts w:ascii="Calibri" w:hAnsi="Calibri" w:cs="Calibri"/>
                <w:color w:val="000000"/>
                <w:szCs w:val="22"/>
              </w:rPr>
            </w:pPr>
            <w:r>
              <w:rPr>
                <w:rFonts w:ascii="Calibri" w:hAnsi="Calibri" w:cs="Calibri"/>
                <w:color w:val="000000"/>
                <w:szCs w:val="22"/>
              </w:rPr>
              <w:t>Inadequate coordination of care/treatment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1.9%</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76"/>
                <w:tab w:val="left" w:pos="1440"/>
                <w:tab w:val="decimal" w:pos="4320"/>
              </w:tabs>
              <w:ind w:left="176"/>
              <w:jc w:val="left"/>
              <w:outlineLvl w:val="0"/>
              <w:rPr>
                <w:rFonts w:ascii="Calibri" w:hAnsi="Calibri"/>
                <w:szCs w:val="22"/>
              </w:rPr>
            </w:pPr>
            <w:r>
              <w:rPr>
                <w:rFonts w:ascii="Calibri" w:hAnsi="Calibri"/>
                <w:szCs w:val="22"/>
              </w:rPr>
              <w:t>Inadequate/inappropriate clinical 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28</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5.9%</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76"/>
                <w:tab w:val="left" w:pos="1440"/>
                <w:tab w:val="decimal" w:pos="4320"/>
              </w:tabs>
              <w:ind w:left="176"/>
              <w:jc w:val="left"/>
              <w:outlineLvl w:val="0"/>
              <w:rPr>
                <w:rFonts w:ascii="Calibri" w:hAnsi="Calibri"/>
                <w:szCs w:val="22"/>
              </w:rPr>
            </w:pPr>
            <w:r>
              <w:rPr>
                <w:rFonts w:ascii="Calibri" w:hAnsi="Calibri"/>
                <w:szCs w:val="22"/>
              </w:rPr>
              <w:t>Inadequate/inappropriate examination/assessment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2.9%</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tabs>
                <w:tab w:val="left" w:pos="176"/>
              </w:tabs>
              <w:ind w:left="176"/>
              <w:rPr>
                <w:rFonts w:ascii="Calibri" w:hAnsi="Calibri" w:cs="Calibri"/>
                <w:color w:val="000000"/>
                <w:szCs w:val="22"/>
              </w:rPr>
            </w:pPr>
            <w:r>
              <w:rPr>
                <w:rFonts w:ascii="Calibri" w:hAnsi="Calibri" w:cs="Calibri"/>
                <w:color w:val="000000"/>
                <w:szCs w:val="22"/>
              </w:rPr>
              <w:t>Inadequate/inappropriate follow-up</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1.5%</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tabs>
                <w:tab w:val="left" w:pos="176"/>
              </w:tabs>
              <w:ind w:left="176"/>
              <w:rPr>
                <w:rFonts w:ascii="Calibri" w:hAnsi="Calibri" w:cs="Calibri"/>
                <w:color w:val="000000"/>
                <w:szCs w:val="22"/>
              </w:rPr>
            </w:pPr>
            <w:r>
              <w:rPr>
                <w:rFonts w:ascii="Calibri" w:hAnsi="Calibri" w:cs="Calibri"/>
                <w:color w:val="000000"/>
                <w:szCs w:val="22"/>
              </w:rPr>
              <w:t>Inadequate/inappropriate monitoring</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2.1%</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tabs>
                <w:tab w:val="left" w:pos="176"/>
              </w:tabs>
              <w:ind w:left="176"/>
              <w:rPr>
                <w:rFonts w:ascii="Calibri" w:hAnsi="Calibri" w:cs="Calibri"/>
                <w:color w:val="000000"/>
                <w:szCs w:val="22"/>
              </w:rPr>
            </w:pPr>
            <w:r>
              <w:rPr>
                <w:rFonts w:ascii="Calibri" w:hAnsi="Calibri" w:cs="Calibri"/>
                <w:color w:val="000000"/>
                <w:szCs w:val="22"/>
              </w:rPr>
              <w:t>Inadequate/inappropriate non-clinical care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1.0%</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tcPr>
          <w:p w:rsidR="00D86226" w:rsidRDefault="00D86226" w:rsidP="00D86226">
            <w:pPr>
              <w:tabs>
                <w:tab w:val="left" w:pos="176"/>
              </w:tabs>
              <w:ind w:left="176"/>
              <w:rPr>
                <w:rFonts w:ascii="Calibri" w:hAnsi="Calibri" w:cs="Calibri"/>
                <w:color w:val="000000"/>
                <w:szCs w:val="22"/>
              </w:rPr>
            </w:pPr>
            <w:r>
              <w:rPr>
                <w:rFonts w:ascii="Calibri" w:hAnsi="Calibri" w:cs="Calibri"/>
                <w:color w:val="000000"/>
                <w:szCs w:val="22"/>
              </w:rPr>
              <w:t>Inadequate/inappropriate testing</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0.4%</w:t>
            </w:r>
          </w:p>
        </w:tc>
      </w:tr>
      <w:tr w:rsidR="00D86226" w:rsidTr="00D86226">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Inappropriate admission/failure to admit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0.6%</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Inappropriate/delayed discharge/transfer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2.7%</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tabs>
                <w:tab w:val="left" w:pos="176"/>
              </w:tabs>
              <w:ind w:left="176"/>
              <w:rPr>
                <w:rFonts w:ascii="Calibri" w:hAnsi="Calibri" w:cs="Calibri"/>
                <w:color w:val="000000"/>
                <w:szCs w:val="22"/>
              </w:rPr>
            </w:pPr>
            <w:r>
              <w:rPr>
                <w:rFonts w:ascii="Calibri" w:hAnsi="Calibri" w:cs="Calibri"/>
                <w:color w:val="000000"/>
                <w:szCs w:val="22"/>
              </w:rPr>
              <w:t>Inappropriate withdrawal of 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0.6%</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Missed/incorrect/delayed diagnosis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70</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450394" w:rsidP="00D86226">
            <w:pPr>
              <w:widowControl w:val="0"/>
              <w:jc w:val="center"/>
              <w:rPr>
                <w:rFonts w:ascii="Calibri" w:hAnsi="Calibri" w:cs="Calibri"/>
                <w:color w:val="000000"/>
                <w:szCs w:val="22"/>
              </w:rPr>
            </w:pPr>
            <w:r>
              <w:rPr>
                <w:rFonts w:ascii="Calibri" w:hAnsi="Calibri" w:cs="Calibri"/>
                <w:color w:val="000000"/>
                <w:szCs w:val="22"/>
              </w:rPr>
              <w:t>14.7</w:t>
            </w:r>
            <w:r w:rsidR="00D86226">
              <w:rPr>
                <w:rFonts w:ascii="Calibri" w:hAnsi="Calibri" w:cs="Calibr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Personal privacy not respected</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0.2%</w:t>
            </w:r>
          </w:p>
        </w:tc>
      </w:tr>
      <w:tr w:rsidR="00D86226" w:rsidTr="00D86226">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Refusal to assist/attend</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1.0%</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Refusal to treat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0.4%</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Rough/painful care or 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1.0%</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Unexpected treatment outcome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9.2%</w:t>
            </w:r>
          </w:p>
        </w:tc>
      </w:tr>
      <w:tr w:rsidR="00D86226" w:rsidTr="00D86226">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ind w:left="176" w:hanging="176"/>
              <w:jc w:val="left"/>
              <w:outlineLvl w:val="0"/>
              <w:rPr>
                <w:rFonts w:ascii="Calibri" w:hAnsi="Calibri"/>
                <w:b/>
                <w:i/>
                <w:szCs w:val="22"/>
              </w:rPr>
            </w:pPr>
            <w:r>
              <w:rPr>
                <w:rFonts w:ascii="Calibri" w:hAnsi="Calibri"/>
                <w:b/>
                <w:i/>
                <w:szCs w:val="22"/>
              </w:rPr>
              <w:t>Communication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47</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450394" w:rsidP="00D86226">
            <w:pPr>
              <w:widowControl w:val="0"/>
              <w:jc w:val="center"/>
              <w:rPr>
                <w:rFonts w:ascii="Calibri" w:hAnsi="Calibri" w:cs="Calibri"/>
                <w:b/>
                <w:i/>
                <w:color w:val="000000"/>
                <w:szCs w:val="22"/>
              </w:rPr>
            </w:pPr>
            <w:r>
              <w:rPr>
                <w:rFonts w:ascii="Calibri" w:hAnsi="Calibri" w:cs="Calibri"/>
                <w:b/>
                <w:i/>
                <w:color w:val="000000"/>
                <w:szCs w:val="22"/>
              </w:rPr>
              <w:t>9.9</w:t>
            </w:r>
            <w:r w:rsidR="00D86226">
              <w:rPr>
                <w:rFonts w:ascii="Calibri" w:hAnsi="Calibri" w:cs="Calibri"/>
                <w:b/>
                <w: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Disrespectful manner/attitude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4.4%</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Failure to communicate openly/honestly/effectively with consumer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2.1%</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Failure to communicate openly/honestly/effectively with family</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2.9%</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Insensitive/inappropriate comments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ind w:left="176" w:hanging="176"/>
              <w:jc w:val="left"/>
              <w:outlineLvl w:val="0"/>
              <w:rPr>
                <w:rFonts w:ascii="Calibri" w:hAnsi="Calibri"/>
                <w:b/>
                <w:i/>
                <w:szCs w:val="22"/>
              </w:rPr>
            </w:pPr>
            <w:r>
              <w:rPr>
                <w:rFonts w:ascii="Calibri" w:hAnsi="Calibri"/>
                <w:b/>
                <w:i/>
                <w:szCs w:val="22"/>
              </w:rPr>
              <w:t>Complaints process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1.0%</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lastRenderedPageBreak/>
              <w:t>Inadequate response to complaint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0.8%</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Retaliation/discrimination as a result of a complaint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Consent/Information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55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11.5%</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Consent not obtained/adequate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2.1%</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adverse event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rPr>
                <w:rFonts w:ascii="Calibri" w:hAnsi="Calibri" w:cs="Calibri"/>
                <w:color w:val="000000"/>
                <w:szCs w:val="22"/>
              </w:rPr>
              <w:t>0.4%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condition</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rPr>
                <w:rFonts w:ascii="Calibri" w:hAnsi="Calibri" w:cs="Calibri"/>
                <w:color w:val="000000"/>
                <w:szCs w:val="22"/>
              </w:rPr>
              <w:t>0.8%</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fees/costs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provider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results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rPr>
                <w:rFonts w:ascii="Calibri" w:hAnsi="Calibri" w:cs="Calibri"/>
                <w:color w:val="000000"/>
                <w:szCs w:val="22"/>
              </w:rPr>
              <w:t>0.4%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6</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1.3%</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Incorrect/misleading information provided</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Issues with involuntary admission/treatment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26</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450394" w:rsidP="00D86226">
            <w:pPr>
              <w:widowControl w:val="0"/>
              <w:jc w:val="center"/>
              <w:rPr>
                <w:rFonts w:ascii="Calibri" w:hAnsi="Calibri" w:cs="Calibri"/>
                <w:color w:val="000000"/>
                <w:szCs w:val="22"/>
              </w:rPr>
            </w:pPr>
            <w:r>
              <w:rPr>
                <w:rFonts w:ascii="Calibri" w:hAnsi="Calibri" w:cs="Calibri"/>
                <w:color w:val="000000"/>
                <w:szCs w:val="22"/>
              </w:rPr>
              <w:t>5.5</w:t>
            </w:r>
            <w:r w:rsidR="00D86226">
              <w:rPr>
                <w:rFonts w:ascii="Calibri" w:hAnsi="Calibri" w:cs="Calibri"/>
                <w:color w:val="000000"/>
                <w:szCs w:val="22"/>
              </w:rPr>
              <w:t>%</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Other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Documentation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1.0%</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Delay/failure to disclose documentation</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 xml:space="preserve">Inadequate/inaccurate documentation </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0.8%</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Facility issues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15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3.1%</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Accreditation/statutory obligations not met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Cleanliness/hygiene issue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Failure to follow policies/procedures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rPr>
                <w:rFonts w:ascii="Calibri" w:hAnsi="Calibri" w:cs="Calibri"/>
                <w:color w:val="000000"/>
                <w:szCs w:val="22"/>
              </w:rPr>
              <w:t>0.4%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General safety issue for consumer in facility</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6</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1.3%</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Inadequate/inappropriate policies/procedures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rPr>
                <w:rFonts w:ascii="Calibri" w:hAnsi="Calibri" w:cs="Calibri"/>
                <w:color w:val="000000"/>
                <w:szCs w:val="22"/>
              </w:rPr>
              <w:t>0.4%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Issue with sharing facility with other consumers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Staffing/rostering/other HR issue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Waiting times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Medication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20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4.2%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Administration error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Dispensing error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Inappropriate administration</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0.8%</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Inappropriate prescribing</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1.9%</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Refusal to prescribe/dispense/supply</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0.8%</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Reports/Certificates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1.3%</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Inaccurate report/certificate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1.0%</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Refusal to complete report/certificate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Other professional conduct issues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7</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1.5%</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Assault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Inappropriate collection/use/disclosure of information</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0.8%</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Threatening/bullying/harassing behaviour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Other issues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450394" w:rsidP="00D86226">
            <w:pPr>
              <w:widowControl w:val="0"/>
              <w:jc w:val="center"/>
              <w:rPr>
                <w:rFonts w:ascii="Calibri" w:hAnsi="Calibri" w:cs="Calibri"/>
                <w:b/>
                <w:i/>
                <w:color w:val="000000"/>
                <w:szCs w:val="22"/>
              </w:rPr>
            </w:pPr>
            <w:r>
              <w:rPr>
                <w:rFonts w:ascii="Calibri" w:hAnsi="Calibri" w:cs="Calibri"/>
                <w:b/>
                <w:i/>
                <w:color w:val="000000"/>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450394" w:rsidP="00D86226">
            <w:pPr>
              <w:widowControl w:val="0"/>
              <w:jc w:val="center"/>
              <w:rPr>
                <w:rFonts w:ascii="Calibri" w:hAnsi="Calibri" w:cs="Calibri"/>
                <w:b/>
                <w:i/>
                <w:color w:val="000000"/>
                <w:szCs w:val="22"/>
              </w:rPr>
            </w:pPr>
            <w:r>
              <w:rPr>
                <w:rFonts w:ascii="Calibri" w:hAnsi="Calibri" w:cs="Calibri"/>
                <w:b/>
                <w:i/>
                <w:color w:val="000000"/>
                <w:szCs w:val="22"/>
              </w:rPr>
              <w:t>0.4</w:t>
            </w:r>
            <w:r w:rsidR="00D86226">
              <w:rPr>
                <w:rFonts w:ascii="Calibri" w:hAnsi="Calibri" w:cs="Calibri"/>
                <w:b/>
                <w:i/>
                <w:color w:val="000000"/>
                <w:szCs w:val="22"/>
              </w:rPr>
              <w:t>%</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szCs w:val="22"/>
              </w:rPr>
            </w:pPr>
            <w:r>
              <w:rPr>
                <w:rFonts w:ascii="Calibri" w:hAnsi="Calibri"/>
                <w:b/>
                <w:szCs w:val="22"/>
              </w:rPr>
              <w:t>TOTAL</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450394" w:rsidP="00D86226">
            <w:pPr>
              <w:widowControl w:val="0"/>
              <w:jc w:val="center"/>
              <w:rPr>
                <w:rFonts w:ascii="Calibri" w:hAnsi="Calibri" w:cs="Calibri"/>
                <w:b/>
                <w:color w:val="000000"/>
                <w:szCs w:val="22"/>
              </w:rPr>
            </w:pPr>
            <w:r>
              <w:rPr>
                <w:rFonts w:ascii="Calibri" w:hAnsi="Calibri" w:cs="Calibri"/>
                <w:b/>
                <w:color w:val="000000"/>
                <w:szCs w:val="22"/>
              </w:rPr>
              <w:t>477</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color w:val="000000"/>
                <w:szCs w:val="22"/>
              </w:rPr>
            </w:pPr>
          </w:p>
        </w:tc>
      </w:tr>
    </w:tbl>
    <w:p w:rsidR="00D86226" w:rsidRDefault="00D86226" w:rsidP="00D86226"/>
    <w:p w:rsidR="00D86226" w:rsidRDefault="00D86226" w:rsidP="00D86226">
      <w:pPr>
        <w:spacing w:before="120"/>
      </w:pPr>
      <w:r>
        <w:t>The most common primary issue categorie</w:t>
      </w:r>
      <w:r w:rsidR="00450394">
        <w:t>s concerned care/treatment (48.8</w:t>
      </w:r>
      <w:r>
        <w:t>%), access/funding (1</w:t>
      </w:r>
      <w:r w:rsidR="00450394">
        <w:t>6.8</w:t>
      </w:r>
      <w:r>
        <w:t>%), consent/informatio</w:t>
      </w:r>
      <w:r w:rsidR="00450394">
        <w:t>n (11.5%) and communication (9.9</w:t>
      </w:r>
      <w:r>
        <w:t>%). Among these, the most common specific primary issues in complaints about DHBs were ‘missed/in</w:t>
      </w:r>
      <w:r w:rsidR="00450394">
        <w:t>correct/delayed diagnosis’ (14.7</w:t>
      </w:r>
      <w:r>
        <w:t>%), ‘waiting</w:t>
      </w:r>
      <w:r w:rsidR="00450394">
        <w:t xml:space="preserve"> list/prioritisation issue’ (9.9</w:t>
      </w:r>
      <w:r>
        <w:t>%), ‘unexpected treatment outcome’ (9.2%), ‘inadequate/inappropriate clinical treatment’ (5.9%) and ‘lack of access to services’ (5.9%). This is broadly similar to what was seen last period.</w:t>
      </w:r>
    </w:p>
    <w:p w:rsidR="00D86226" w:rsidRDefault="00D86226" w:rsidP="00D86226"/>
    <w:p w:rsidR="00D86226" w:rsidRDefault="00D86226" w:rsidP="00D86226">
      <w:r>
        <w:lastRenderedPageBreak/>
        <w:t>Table 7 shows a comparison over time for the top five primary issues complained about. The top five primary issues have remained broadly consistent over time. However, ‘waiting list/prioritisation issue’ became the second most commonly complained about primary issue for</w:t>
      </w:r>
      <w:r w:rsidR="00A214E3">
        <w:t xml:space="preserve"> the first time in Jan-Jun 2017.</w:t>
      </w:r>
    </w:p>
    <w:p w:rsidR="00D86226" w:rsidRDefault="00D86226" w:rsidP="00D86226">
      <w:pPr>
        <w:spacing w:after="120"/>
        <w:rPr>
          <w:b/>
        </w:rPr>
      </w:pPr>
    </w:p>
    <w:p w:rsidR="00D86226" w:rsidRDefault="00D86226" w:rsidP="00D86226">
      <w:pPr>
        <w:spacing w:after="120"/>
        <w:rPr>
          <w:b/>
        </w:rPr>
      </w:pPr>
      <w:r>
        <w:rPr>
          <w:b/>
        </w:rPr>
        <w:t xml:space="preserve">Table 7. </w:t>
      </w:r>
      <w:r>
        <w:t>Top five primary issues in complaints received over the last four six month periods</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565"/>
        <w:gridCol w:w="1685"/>
        <w:gridCol w:w="565"/>
        <w:gridCol w:w="1690"/>
        <w:gridCol w:w="563"/>
        <w:gridCol w:w="1738"/>
        <w:gridCol w:w="709"/>
      </w:tblGrid>
      <w:tr w:rsidR="00D86226" w:rsidTr="00D86226">
        <w:trPr>
          <w:tblHead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tabs>
                <w:tab w:val="left" w:pos="1440"/>
                <w:tab w:val="decimal" w:pos="4320"/>
              </w:tabs>
              <w:spacing w:before="120" w:after="120"/>
              <w:jc w:val="center"/>
              <w:outlineLvl w:val="0"/>
              <w:rPr>
                <w:rFonts w:ascii="Calibri" w:hAnsi="Calibri"/>
                <w:b/>
              </w:rPr>
            </w:pPr>
            <w:r>
              <w:rPr>
                <w:rFonts w:ascii="Calibri" w:hAnsi="Calibri"/>
                <w:b/>
                <w:szCs w:val="22"/>
              </w:rPr>
              <w:t xml:space="preserve">Top five primary issues in all complaints </w:t>
            </w:r>
            <w:r>
              <w:rPr>
                <w:rFonts w:ascii="Calibri" w:hAnsi="Calibri"/>
                <w:szCs w:val="22"/>
              </w:rPr>
              <w:t>(%)</w:t>
            </w:r>
          </w:p>
        </w:tc>
      </w:tr>
      <w:tr w:rsidR="00D86226" w:rsidTr="00D86226">
        <w:tc>
          <w:tcPr>
            <w:tcW w:w="1225" w:type="pct"/>
            <w:gridSpan w:val="2"/>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ind w:firstLine="152"/>
              <w:jc w:val="center"/>
              <w:outlineLvl w:val="0"/>
              <w:rPr>
                <w:rFonts w:ascii="Calibri" w:hAnsi="Calibri"/>
                <w:b/>
              </w:rPr>
            </w:pPr>
            <w:r>
              <w:rPr>
                <w:rFonts w:ascii="Calibri" w:hAnsi="Calibri"/>
                <w:b/>
                <w:szCs w:val="22"/>
              </w:rPr>
              <w:t>Jul–Dec 15</w:t>
            </w:r>
          </w:p>
          <w:p w:rsidR="00D86226" w:rsidRDefault="00D86226" w:rsidP="00D86226">
            <w:pPr>
              <w:keepNext/>
              <w:keepLines/>
              <w:tabs>
                <w:tab w:val="left" w:pos="1440"/>
                <w:tab w:val="decimal" w:pos="4320"/>
              </w:tabs>
              <w:ind w:left="139" w:right="10" w:firstLine="13"/>
              <w:jc w:val="center"/>
              <w:outlineLvl w:val="0"/>
              <w:rPr>
                <w:rFonts w:ascii="Calibri" w:hAnsi="Calibri"/>
                <w:b/>
                <w:szCs w:val="22"/>
              </w:rPr>
            </w:pPr>
            <w:r>
              <w:rPr>
                <w:rFonts w:ascii="Calibri" w:hAnsi="Calibri"/>
                <w:b/>
                <w:szCs w:val="22"/>
              </w:rPr>
              <w:t>n=422</w:t>
            </w:r>
          </w:p>
        </w:tc>
        <w:tc>
          <w:tcPr>
            <w:tcW w:w="1222" w:type="pct"/>
            <w:gridSpan w:val="2"/>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ind w:firstLine="152"/>
              <w:jc w:val="center"/>
              <w:outlineLvl w:val="0"/>
              <w:rPr>
                <w:rFonts w:ascii="Calibri" w:hAnsi="Calibri"/>
                <w:b/>
              </w:rPr>
            </w:pPr>
            <w:r>
              <w:rPr>
                <w:rFonts w:ascii="Calibri" w:hAnsi="Calibri"/>
                <w:b/>
                <w:szCs w:val="22"/>
              </w:rPr>
              <w:t>Jan–Jun 16</w:t>
            </w:r>
          </w:p>
          <w:p w:rsidR="00D86226" w:rsidRDefault="00D86226" w:rsidP="00D86226">
            <w:pPr>
              <w:keepNext/>
              <w:keepLines/>
              <w:tabs>
                <w:tab w:val="left" w:pos="1440"/>
                <w:tab w:val="decimal" w:pos="4320"/>
              </w:tabs>
              <w:ind w:left="139" w:right="10" w:firstLine="13"/>
              <w:jc w:val="center"/>
              <w:outlineLvl w:val="0"/>
              <w:rPr>
                <w:rFonts w:ascii="Calibri" w:hAnsi="Calibri"/>
                <w:b/>
                <w:szCs w:val="22"/>
              </w:rPr>
            </w:pPr>
            <w:r>
              <w:rPr>
                <w:rFonts w:ascii="Calibri" w:hAnsi="Calibri"/>
                <w:b/>
                <w:szCs w:val="22"/>
              </w:rPr>
              <w:t>n=381</w:t>
            </w:r>
          </w:p>
        </w:tc>
        <w:tc>
          <w:tcPr>
            <w:tcW w:w="1224" w:type="pct"/>
            <w:gridSpan w:val="2"/>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ind w:firstLine="152"/>
              <w:jc w:val="center"/>
              <w:outlineLvl w:val="0"/>
              <w:rPr>
                <w:rFonts w:ascii="Calibri" w:hAnsi="Calibri"/>
                <w:b/>
              </w:rPr>
            </w:pPr>
            <w:r>
              <w:rPr>
                <w:rFonts w:ascii="Calibri" w:hAnsi="Calibri"/>
                <w:b/>
                <w:szCs w:val="22"/>
              </w:rPr>
              <w:t>Jul–Dec 16</w:t>
            </w:r>
          </w:p>
          <w:p w:rsidR="00D86226" w:rsidRDefault="00D86226" w:rsidP="00D86226">
            <w:pPr>
              <w:keepNext/>
              <w:keepLines/>
              <w:tabs>
                <w:tab w:val="left" w:pos="1440"/>
                <w:tab w:val="decimal" w:pos="4320"/>
              </w:tabs>
              <w:ind w:left="139" w:right="10" w:firstLine="13"/>
              <w:jc w:val="center"/>
              <w:outlineLvl w:val="0"/>
              <w:rPr>
                <w:rFonts w:ascii="Calibri" w:hAnsi="Calibri"/>
                <w:b/>
                <w:szCs w:val="22"/>
              </w:rPr>
            </w:pPr>
            <w:r>
              <w:rPr>
                <w:rFonts w:ascii="Calibri" w:hAnsi="Calibri"/>
                <w:b/>
                <w:szCs w:val="22"/>
              </w:rPr>
              <w:t>n=386</w:t>
            </w:r>
          </w:p>
        </w:tc>
        <w:tc>
          <w:tcPr>
            <w:tcW w:w="1329" w:type="pct"/>
            <w:gridSpan w:val="2"/>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ind w:firstLine="152"/>
              <w:jc w:val="center"/>
              <w:outlineLvl w:val="0"/>
              <w:rPr>
                <w:rFonts w:ascii="Calibri" w:hAnsi="Calibri"/>
                <w:b/>
              </w:rPr>
            </w:pPr>
            <w:r>
              <w:rPr>
                <w:rFonts w:ascii="Calibri" w:hAnsi="Calibri"/>
                <w:b/>
                <w:szCs w:val="22"/>
              </w:rPr>
              <w:t>Jan–Jun 17</w:t>
            </w:r>
          </w:p>
          <w:p w:rsidR="00D86226" w:rsidRDefault="00702112" w:rsidP="00D86226">
            <w:pPr>
              <w:jc w:val="center"/>
              <w:rPr>
                <w:rFonts w:ascii="Calibri" w:hAnsi="Calibri"/>
                <w:b/>
                <w:szCs w:val="22"/>
              </w:rPr>
            </w:pPr>
            <w:r>
              <w:rPr>
                <w:rFonts w:ascii="Calibri" w:hAnsi="Calibri"/>
                <w:b/>
                <w:szCs w:val="22"/>
              </w:rPr>
              <w:t>n=477</w:t>
            </w:r>
          </w:p>
        </w:tc>
      </w:tr>
      <w:tr w:rsidR="00D86226" w:rsidTr="00D86226">
        <w:trPr>
          <w:trHeight w:val="450"/>
        </w:trPr>
        <w:tc>
          <w:tcPr>
            <w:tcW w:w="91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Misdiagnosis</w:t>
            </w:r>
          </w:p>
        </w:tc>
        <w:tc>
          <w:tcPr>
            <w:tcW w:w="30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16%</w:t>
            </w:r>
          </w:p>
        </w:tc>
        <w:tc>
          <w:tcPr>
            <w:tcW w:w="91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Misdiagnosis</w:t>
            </w:r>
          </w:p>
        </w:tc>
        <w:tc>
          <w:tcPr>
            <w:tcW w:w="30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16%</w:t>
            </w:r>
          </w:p>
        </w:tc>
        <w:tc>
          <w:tcPr>
            <w:tcW w:w="91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Misdiagnosis</w:t>
            </w:r>
          </w:p>
        </w:tc>
        <w:tc>
          <w:tcPr>
            <w:tcW w:w="30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15%</w:t>
            </w:r>
          </w:p>
        </w:tc>
        <w:tc>
          <w:tcPr>
            <w:tcW w:w="944"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Misdiagnosis</w:t>
            </w:r>
          </w:p>
        </w:tc>
        <w:tc>
          <w:tcPr>
            <w:tcW w:w="38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15%</w:t>
            </w:r>
          </w:p>
        </w:tc>
      </w:tr>
      <w:tr w:rsidR="00D86226" w:rsidTr="00D86226">
        <w:trPr>
          <w:trHeight w:val="400"/>
        </w:trPr>
        <w:tc>
          <w:tcPr>
            <w:tcW w:w="91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Unexpected treatment outcome</w:t>
            </w:r>
          </w:p>
        </w:tc>
        <w:tc>
          <w:tcPr>
            <w:tcW w:w="30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12%</w:t>
            </w:r>
          </w:p>
        </w:tc>
        <w:tc>
          <w:tcPr>
            <w:tcW w:w="91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Inadequate treatment</w:t>
            </w:r>
          </w:p>
        </w:tc>
        <w:tc>
          <w:tcPr>
            <w:tcW w:w="30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9%</w:t>
            </w:r>
          </w:p>
        </w:tc>
        <w:tc>
          <w:tcPr>
            <w:tcW w:w="91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Unexpected treatment outcome</w:t>
            </w:r>
          </w:p>
        </w:tc>
        <w:tc>
          <w:tcPr>
            <w:tcW w:w="30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8%</w:t>
            </w:r>
          </w:p>
        </w:tc>
        <w:tc>
          <w:tcPr>
            <w:tcW w:w="944"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Waiting list/</w:t>
            </w:r>
          </w:p>
          <w:p w:rsidR="00D86226" w:rsidRDefault="00D86226" w:rsidP="00D86226">
            <w:pPr>
              <w:jc w:val="left"/>
              <w:rPr>
                <w:rFonts w:ascii="Calibri" w:hAnsi="Calibri"/>
                <w:sz w:val="20"/>
                <w:szCs w:val="20"/>
              </w:rPr>
            </w:pPr>
            <w:r>
              <w:rPr>
                <w:rFonts w:ascii="Calibri" w:hAnsi="Calibri"/>
                <w:sz w:val="20"/>
                <w:szCs w:val="20"/>
              </w:rPr>
              <w:t>prioritisation</w:t>
            </w:r>
          </w:p>
        </w:tc>
        <w:tc>
          <w:tcPr>
            <w:tcW w:w="38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10%</w:t>
            </w:r>
          </w:p>
        </w:tc>
      </w:tr>
      <w:tr w:rsidR="00D86226" w:rsidTr="00D86226">
        <w:tc>
          <w:tcPr>
            <w:tcW w:w="91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tabs>
                <w:tab w:val="left" w:pos="1440"/>
                <w:tab w:val="decimal" w:pos="4320"/>
              </w:tabs>
              <w:spacing w:before="100" w:beforeAutospacing="1"/>
              <w:jc w:val="left"/>
              <w:outlineLvl w:val="0"/>
              <w:rPr>
                <w:rFonts w:ascii="Calibri" w:hAnsi="Calibri"/>
                <w:sz w:val="20"/>
                <w:szCs w:val="20"/>
              </w:rPr>
            </w:pPr>
            <w:r>
              <w:rPr>
                <w:rFonts w:ascii="Calibri" w:hAnsi="Calibri"/>
                <w:sz w:val="20"/>
                <w:szCs w:val="20"/>
              </w:rPr>
              <w:t>Inadequate treatment</w:t>
            </w:r>
          </w:p>
        </w:tc>
        <w:tc>
          <w:tcPr>
            <w:tcW w:w="30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9%</w:t>
            </w:r>
          </w:p>
        </w:tc>
        <w:tc>
          <w:tcPr>
            <w:tcW w:w="91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Unexpected treatment outcome</w:t>
            </w:r>
          </w:p>
        </w:tc>
        <w:tc>
          <w:tcPr>
            <w:tcW w:w="30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8%</w:t>
            </w:r>
          </w:p>
        </w:tc>
        <w:tc>
          <w:tcPr>
            <w:tcW w:w="91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Inadequate treatment</w:t>
            </w:r>
          </w:p>
        </w:tc>
        <w:tc>
          <w:tcPr>
            <w:tcW w:w="30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8%</w:t>
            </w:r>
          </w:p>
        </w:tc>
        <w:tc>
          <w:tcPr>
            <w:tcW w:w="944"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Unexpected treatment outcome</w:t>
            </w:r>
          </w:p>
        </w:tc>
        <w:tc>
          <w:tcPr>
            <w:tcW w:w="38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9%</w:t>
            </w:r>
          </w:p>
        </w:tc>
      </w:tr>
      <w:tr w:rsidR="00D86226" w:rsidTr="00D86226">
        <w:trPr>
          <w:trHeight w:val="639"/>
        </w:trPr>
        <w:tc>
          <w:tcPr>
            <w:tcW w:w="91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Waiting list/</w:t>
            </w:r>
          </w:p>
          <w:p w:rsidR="00D86226" w:rsidRDefault="00D8622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prioritisation</w:t>
            </w:r>
          </w:p>
        </w:tc>
        <w:tc>
          <w:tcPr>
            <w:tcW w:w="30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7%</w:t>
            </w:r>
          </w:p>
        </w:tc>
        <w:tc>
          <w:tcPr>
            <w:tcW w:w="91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Lack of access to services</w:t>
            </w:r>
          </w:p>
        </w:tc>
        <w:tc>
          <w:tcPr>
            <w:tcW w:w="30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6%</w:t>
            </w:r>
          </w:p>
        </w:tc>
        <w:tc>
          <w:tcPr>
            <w:tcW w:w="91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Lack of access to services</w:t>
            </w:r>
          </w:p>
        </w:tc>
        <w:tc>
          <w:tcPr>
            <w:tcW w:w="30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 xml:space="preserve">8% </w:t>
            </w:r>
          </w:p>
        </w:tc>
        <w:tc>
          <w:tcPr>
            <w:tcW w:w="944"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Inadequate treatment</w:t>
            </w:r>
          </w:p>
        </w:tc>
        <w:tc>
          <w:tcPr>
            <w:tcW w:w="38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 xml:space="preserve">6% </w:t>
            </w:r>
          </w:p>
        </w:tc>
      </w:tr>
      <w:tr w:rsidR="00D86226" w:rsidTr="00D86226">
        <w:trPr>
          <w:trHeight w:val="561"/>
        </w:trPr>
        <w:tc>
          <w:tcPr>
            <w:tcW w:w="91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Lack of access to services</w:t>
            </w:r>
          </w:p>
        </w:tc>
        <w:tc>
          <w:tcPr>
            <w:tcW w:w="30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6%</w:t>
            </w:r>
          </w:p>
        </w:tc>
        <w:tc>
          <w:tcPr>
            <w:tcW w:w="91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Waiting list/</w:t>
            </w:r>
          </w:p>
          <w:p w:rsidR="00D86226" w:rsidRDefault="00D86226" w:rsidP="00D86226">
            <w:pPr>
              <w:jc w:val="left"/>
              <w:rPr>
                <w:rFonts w:ascii="Calibri" w:hAnsi="Calibri"/>
                <w:sz w:val="20"/>
                <w:szCs w:val="20"/>
              </w:rPr>
            </w:pPr>
            <w:r>
              <w:rPr>
                <w:rFonts w:ascii="Calibri" w:hAnsi="Calibri"/>
                <w:sz w:val="20"/>
                <w:szCs w:val="20"/>
              </w:rPr>
              <w:t>prioritisation</w:t>
            </w:r>
          </w:p>
        </w:tc>
        <w:tc>
          <w:tcPr>
            <w:tcW w:w="30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5%</w:t>
            </w:r>
          </w:p>
        </w:tc>
        <w:tc>
          <w:tcPr>
            <w:tcW w:w="918"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Waiting list/</w:t>
            </w:r>
          </w:p>
          <w:p w:rsidR="00D86226" w:rsidRDefault="00D86226" w:rsidP="00D86226">
            <w:pPr>
              <w:jc w:val="left"/>
              <w:rPr>
                <w:rFonts w:ascii="Calibri" w:hAnsi="Calibri"/>
                <w:sz w:val="20"/>
                <w:szCs w:val="20"/>
              </w:rPr>
            </w:pPr>
            <w:r>
              <w:rPr>
                <w:rFonts w:ascii="Calibri" w:hAnsi="Calibri"/>
                <w:sz w:val="20"/>
                <w:szCs w:val="20"/>
              </w:rPr>
              <w:t>prioritisation</w:t>
            </w:r>
          </w:p>
        </w:tc>
        <w:tc>
          <w:tcPr>
            <w:tcW w:w="30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 xml:space="preserve">7% </w:t>
            </w:r>
          </w:p>
        </w:tc>
        <w:tc>
          <w:tcPr>
            <w:tcW w:w="944"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left"/>
              <w:rPr>
                <w:rFonts w:ascii="Calibri" w:hAnsi="Calibri"/>
                <w:sz w:val="20"/>
                <w:szCs w:val="20"/>
              </w:rPr>
            </w:pPr>
            <w:r>
              <w:rPr>
                <w:rFonts w:ascii="Calibri" w:hAnsi="Calibri"/>
                <w:sz w:val="20"/>
                <w:szCs w:val="20"/>
              </w:rPr>
              <w:t>Lack of access to services</w:t>
            </w:r>
          </w:p>
        </w:tc>
        <w:tc>
          <w:tcPr>
            <w:tcW w:w="385"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jc w:val="center"/>
              <w:rPr>
                <w:rFonts w:ascii="Calibri" w:hAnsi="Calibri"/>
                <w:sz w:val="20"/>
                <w:szCs w:val="20"/>
              </w:rPr>
            </w:pPr>
            <w:r>
              <w:rPr>
                <w:rFonts w:ascii="Calibri" w:hAnsi="Calibri"/>
                <w:sz w:val="20"/>
                <w:szCs w:val="20"/>
              </w:rPr>
              <w:t xml:space="preserve">6% </w:t>
            </w:r>
          </w:p>
        </w:tc>
      </w:tr>
    </w:tbl>
    <w:p w:rsidR="00D86226" w:rsidRDefault="00D86226" w:rsidP="00D86226"/>
    <w:p w:rsidR="00D86226" w:rsidRDefault="00D86226" w:rsidP="00D86226"/>
    <w:p w:rsidR="00D86226" w:rsidRDefault="00D86226" w:rsidP="00D86226">
      <w:pPr>
        <w:pStyle w:val="Heading3"/>
      </w:pPr>
      <w:bookmarkStart w:id="74" w:name="_Toc426462634"/>
      <w:bookmarkStart w:id="75" w:name="_Toc443992229"/>
      <w:bookmarkStart w:id="76" w:name="_Toc445910053"/>
      <w:bookmarkStart w:id="77" w:name="_Toc447291337"/>
      <w:bookmarkStart w:id="78" w:name="_Toc447291475"/>
      <w:bookmarkStart w:id="79" w:name="_Toc447527532"/>
      <w:bookmarkStart w:id="80" w:name="_Toc493680289"/>
      <w:bookmarkStart w:id="81" w:name="_Toc493684130"/>
      <w:r>
        <w:t>3.2</w:t>
      </w:r>
      <w:r>
        <w:tab/>
        <w:t>All complaint  issues</w:t>
      </w:r>
      <w:bookmarkEnd w:id="74"/>
      <w:bookmarkEnd w:id="75"/>
      <w:bookmarkEnd w:id="76"/>
      <w:bookmarkEnd w:id="77"/>
      <w:bookmarkEnd w:id="78"/>
      <w:bookmarkEnd w:id="79"/>
      <w:bookmarkEnd w:id="80"/>
      <w:bookmarkEnd w:id="81"/>
    </w:p>
    <w:p w:rsidR="00D86226" w:rsidRDefault="00D86226" w:rsidP="00D86226">
      <w:pPr>
        <w:rPr>
          <w:rFonts w:ascii="Calibri" w:hAnsi="Calibri"/>
          <w:szCs w:val="22"/>
        </w:rPr>
      </w:pPr>
      <w:r>
        <w:rPr>
          <w:rFonts w:ascii="Calibri" w:hAnsi="Calibri"/>
          <w:szCs w:val="22"/>
        </w:rPr>
        <w:t>As well as the primary complaint issue, up to six additional other complaint issues are identified for each complaint received by HDC. Table 8 includes these additional complaint issues</w:t>
      </w:r>
      <w:r w:rsidR="004A5036">
        <w:rPr>
          <w:rFonts w:ascii="Calibri" w:hAnsi="Calibri"/>
          <w:szCs w:val="22"/>
        </w:rPr>
        <w:t>,</w:t>
      </w:r>
      <w:r>
        <w:rPr>
          <w:rFonts w:ascii="Calibri" w:hAnsi="Calibri"/>
          <w:szCs w:val="22"/>
        </w:rPr>
        <w:t xml:space="preserve"> as well as the primary complaint issues</w:t>
      </w:r>
      <w:r w:rsidR="004A5036">
        <w:rPr>
          <w:rFonts w:ascii="Calibri" w:hAnsi="Calibri"/>
          <w:szCs w:val="22"/>
        </w:rPr>
        <w:t>,</w:t>
      </w:r>
      <w:r>
        <w:rPr>
          <w:rFonts w:ascii="Calibri" w:hAnsi="Calibri"/>
          <w:szCs w:val="22"/>
        </w:rPr>
        <w:t xml:space="preserve"> to show all issues identified in complaints received. </w:t>
      </w:r>
    </w:p>
    <w:p w:rsidR="00D86226" w:rsidRDefault="00D86226" w:rsidP="00D86226">
      <w:pPr>
        <w:rPr>
          <w:rFonts w:ascii="Calibri" w:hAnsi="Calibri"/>
          <w:szCs w:val="22"/>
        </w:rPr>
      </w:pPr>
    </w:p>
    <w:p w:rsidR="00D86226" w:rsidRDefault="00D86226" w:rsidP="00D86226">
      <w:pPr>
        <w:rPr>
          <w:lang w:eastAsia="en-NZ" w:bidi="ar-SA"/>
        </w:rPr>
      </w:pPr>
      <w:r>
        <w:rPr>
          <w:rFonts w:ascii="Calibri" w:hAnsi="Calibri"/>
          <w:szCs w:val="22"/>
        </w:rPr>
        <w:t xml:space="preserve">On analysis of all issues identified in complaints about DHBs, the most common complaint issue categories were </w:t>
      </w:r>
      <w:r w:rsidR="00FB3A46">
        <w:rPr>
          <w:rFonts w:ascii="Calibri" w:hAnsi="Calibri"/>
          <w:szCs w:val="22"/>
        </w:rPr>
        <w:t>care/treatment (present for 80.9</w:t>
      </w:r>
      <w:r>
        <w:rPr>
          <w:rFonts w:ascii="Calibri" w:hAnsi="Calibri"/>
          <w:szCs w:val="22"/>
        </w:rPr>
        <w:t>% of all complaints</w:t>
      </w:r>
      <w:r w:rsidR="00FB3A46">
        <w:rPr>
          <w:rFonts w:ascii="Calibri" w:hAnsi="Calibri"/>
          <w:szCs w:val="22"/>
        </w:rPr>
        <w:t>), communication (present for 66.0</w:t>
      </w:r>
      <w:r>
        <w:rPr>
          <w:rFonts w:ascii="Calibri" w:hAnsi="Calibri"/>
          <w:szCs w:val="22"/>
        </w:rPr>
        <w:t>% of all complaints), consent/information (present for 26.</w:t>
      </w:r>
      <w:r w:rsidR="00FB3A46">
        <w:rPr>
          <w:rFonts w:ascii="Calibri" w:hAnsi="Calibri"/>
          <w:szCs w:val="22"/>
        </w:rPr>
        <w:t>0</w:t>
      </w:r>
      <w:r>
        <w:rPr>
          <w:rFonts w:ascii="Calibri" w:hAnsi="Calibri"/>
          <w:szCs w:val="22"/>
        </w:rPr>
        <w:t xml:space="preserve">% of all complaints) and access/funding (present for 22.2% of all complaints). The most common specific issues were ‘failure to communicate </w:t>
      </w:r>
      <w:r w:rsidR="00FB3A46">
        <w:rPr>
          <w:rFonts w:ascii="Calibri" w:hAnsi="Calibri"/>
          <w:szCs w:val="22"/>
        </w:rPr>
        <w:t>effectively with consumer’ (36.3</w:t>
      </w:r>
      <w:r>
        <w:rPr>
          <w:rFonts w:ascii="Calibri" w:hAnsi="Calibri"/>
          <w:szCs w:val="22"/>
        </w:rPr>
        <w:t>%), ‘inadequate/inappro</w:t>
      </w:r>
      <w:r w:rsidR="00FB3A46">
        <w:rPr>
          <w:rFonts w:ascii="Calibri" w:hAnsi="Calibri"/>
          <w:szCs w:val="22"/>
        </w:rPr>
        <w:t>priate clinical treatment’ (34.8</w:t>
      </w:r>
      <w:r>
        <w:rPr>
          <w:rFonts w:ascii="Calibri" w:hAnsi="Calibri"/>
          <w:szCs w:val="22"/>
        </w:rPr>
        <w:t>%) ‘inadequate/inappropria</w:t>
      </w:r>
      <w:r w:rsidR="00FB3A46">
        <w:rPr>
          <w:rFonts w:ascii="Calibri" w:hAnsi="Calibri"/>
          <w:szCs w:val="22"/>
        </w:rPr>
        <w:t>te examination/assessment’ (23.5</w:t>
      </w:r>
      <w:r>
        <w:rPr>
          <w:rFonts w:ascii="Calibri" w:hAnsi="Calibri"/>
          <w:szCs w:val="22"/>
        </w:rPr>
        <w:t>%), ‘failure to communicate effectively with family’ (22.4%),  ‘missed/incorrect/delayed diagnosis’ (22.0%), ‘inadequate coordination of care/treatment’ (21.8%), ‘delay in treatment’ (20.5%), ‘disrespectful manner/attitude’ (19.5%) and ‘inadequate response to the consumer’s complaint by the DHB’ (17.4%). This is broadly similar to what was seen last period.</w:t>
      </w:r>
    </w:p>
    <w:p w:rsidR="00D86226" w:rsidRDefault="00D86226" w:rsidP="00D86226">
      <w:pPr>
        <w:rPr>
          <w:rFonts w:ascii="Calibri" w:hAnsi="Calibri"/>
          <w:szCs w:val="22"/>
        </w:rPr>
      </w:pPr>
    </w:p>
    <w:p w:rsidR="00D86226" w:rsidRDefault="00D86226" w:rsidP="00D86226">
      <w:pPr>
        <w:rPr>
          <w:rFonts w:ascii="Calibri" w:hAnsi="Calibri"/>
          <w:szCs w:val="22"/>
        </w:rPr>
      </w:pPr>
      <w:r>
        <w:rPr>
          <w:rFonts w:ascii="Calibri" w:hAnsi="Calibri"/>
          <w:szCs w:val="22"/>
        </w:rPr>
        <w:t>Also similar to the last six-month period, many complaints involved issues with a consumer’s care/treatment, such as ‘unexpected treatment outcome’ (15.3%), ‘inadequate/inappropriate testing’ (13.8%), ‘inadequate/inappropriate follow-up’ (13.0%) and ‘inappropriate/d</w:t>
      </w:r>
      <w:r w:rsidR="00FB3A46">
        <w:rPr>
          <w:rFonts w:ascii="Calibri" w:hAnsi="Calibri"/>
          <w:szCs w:val="22"/>
        </w:rPr>
        <w:t>elayed discharge/transfer’ (12.4</w:t>
      </w:r>
      <w:r>
        <w:rPr>
          <w:rFonts w:ascii="Calibri" w:hAnsi="Calibri"/>
          <w:szCs w:val="22"/>
        </w:rPr>
        <w:t>%).</w:t>
      </w:r>
    </w:p>
    <w:p w:rsidR="00D86226" w:rsidRDefault="00D86226" w:rsidP="00D86226">
      <w:pPr>
        <w:rPr>
          <w:rFonts w:ascii="Calibri" w:hAnsi="Calibri"/>
          <w:szCs w:val="22"/>
        </w:rPr>
      </w:pPr>
    </w:p>
    <w:p w:rsidR="00D86226" w:rsidRDefault="00D86226" w:rsidP="00D86226">
      <w:pPr>
        <w:widowControl w:val="0"/>
        <w:rPr>
          <w:rFonts w:ascii="Calibri" w:hAnsi="Calibri"/>
          <w:b/>
          <w:szCs w:val="22"/>
        </w:rPr>
      </w:pPr>
    </w:p>
    <w:p w:rsidR="00D86226" w:rsidRDefault="00D86226" w:rsidP="00D86226">
      <w:pPr>
        <w:widowControl w:val="0"/>
        <w:rPr>
          <w:rFonts w:ascii="Calibri" w:hAnsi="Calibri"/>
          <w:b/>
          <w:szCs w:val="22"/>
        </w:rPr>
      </w:pPr>
    </w:p>
    <w:p w:rsidR="00D86226" w:rsidRDefault="00D86226" w:rsidP="00D86226">
      <w:pPr>
        <w:widowControl w:val="0"/>
        <w:rPr>
          <w:rFonts w:ascii="Calibri" w:hAnsi="Calibri"/>
          <w:b/>
          <w:szCs w:val="22"/>
        </w:rPr>
      </w:pPr>
    </w:p>
    <w:p w:rsidR="00D86226" w:rsidRDefault="00D86226" w:rsidP="00D86226">
      <w:pPr>
        <w:widowControl w:val="0"/>
        <w:rPr>
          <w:rFonts w:ascii="Calibri" w:hAnsi="Calibri"/>
          <w:b/>
          <w:szCs w:val="22"/>
        </w:rPr>
      </w:pPr>
    </w:p>
    <w:p w:rsidR="008427E2" w:rsidRDefault="008427E2" w:rsidP="00D86226">
      <w:pPr>
        <w:widowControl w:val="0"/>
        <w:rPr>
          <w:rFonts w:ascii="Calibri" w:hAnsi="Calibri"/>
          <w:b/>
          <w:szCs w:val="22"/>
        </w:rPr>
      </w:pPr>
    </w:p>
    <w:p w:rsidR="008427E2" w:rsidRDefault="008427E2" w:rsidP="00D86226">
      <w:pPr>
        <w:widowControl w:val="0"/>
        <w:rPr>
          <w:rFonts w:ascii="Calibri" w:hAnsi="Calibri"/>
          <w:b/>
          <w:szCs w:val="22"/>
        </w:rPr>
      </w:pPr>
    </w:p>
    <w:p w:rsidR="008427E2" w:rsidRDefault="008427E2" w:rsidP="00D86226">
      <w:pPr>
        <w:widowControl w:val="0"/>
        <w:rPr>
          <w:rFonts w:ascii="Calibri" w:hAnsi="Calibri"/>
          <w:b/>
          <w:szCs w:val="22"/>
        </w:rPr>
      </w:pPr>
    </w:p>
    <w:p w:rsidR="008427E2" w:rsidRDefault="008427E2" w:rsidP="00D86226">
      <w:pPr>
        <w:widowControl w:val="0"/>
        <w:rPr>
          <w:rFonts w:ascii="Calibri" w:hAnsi="Calibri"/>
          <w:b/>
          <w:szCs w:val="22"/>
        </w:rPr>
      </w:pPr>
    </w:p>
    <w:p w:rsidR="00D86226" w:rsidRDefault="00D86226" w:rsidP="00D86226">
      <w:pPr>
        <w:widowControl w:val="0"/>
        <w:rPr>
          <w:rFonts w:ascii="Calibri" w:hAnsi="Calibri"/>
          <w:b/>
          <w:szCs w:val="22"/>
        </w:rPr>
      </w:pPr>
    </w:p>
    <w:p w:rsidR="00D86226" w:rsidRDefault="00D86226" w:rsidP="00D86226">
      <w:pPr>
        <w:widowControl w:val="0"/>
        <w:spacing w:after="120"/>
        <w:rPr>
          <w:rFonts w:ascii="Calibri" w:hAnsi="Calibri"/>
          <w:szCs w:val="22"/>
        </w:rPr>
      </w:pPr>
      <w:r>
        <w:rPr>
          <w:rFonts w:ascii="Calibri" w:hAnsi="Calibri"/>
          <w:b/>
          <w:szCs w:val="22"/>
        </w:rPr>
        <w:t xml:space="preserve">Table 8. </w:t>
      </w:r>
      <w:r>
        <w:rPr>
          <w:rFonts w:ascii="Calibri" w:hAnsi="Calibri"/>
          <w:szCs w:val="22"/>
        </w:rPr>
        <w:t>All issues identified in complaints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701"/>
        <w:gridCol w:w="1418"/>
      </w:tblGrid>
      <w:tr w:rsidR="00D86226" w:rsidTr="00D86226">
        <w:trPr>
          <w:tblHeader/>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spacing w:before="120"/>
              <w:jc w:val="left"/>
              <w:outlineLvl w:val="0"/>
              <w:rPr>
                <w:rFonts w:ascii="Calibri" w:hAnsi="Calibri"/>
                <w:b/>
                <w:szCs w:val="22"/>
              </w:rPr>
            </w:pPr>
            <w:r>
              <w:rPr>
                <w:rFonts w:ascii="Calibri" w:hAnsi="Calibri"/>
                <w:b/>
                <w:szCs w:val="22"/>
              </w:rPr>
              <w:lastRenderedPageBreak/>
              <w:t xml:space="preserve">All issues in complaints </w:t>
            </w:r>
          </w:p>
        </w:tc>
        <w:tc>
          <w:tcPr>
            <w:tcW w:w="1701"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spacing w:before="120"/>
              <w:jc w:val="center"/>
              <w:outlineLvl w:val="0"/>
              <w:rPr>
                <w:rFonts w:ascii="Calibri" w:hAnsi="Calibri"/>
                <w:b/>
                <w:szCs w:val="22"/>
              </w:rPr>
            </w:pPr>
            <w:r>
              <w:rPr>
                <w:rFonts w:ascii="Calibri" w:hAnsi="Calibri"/>
                <w:b/>
                <w:szCs w:val="22"/>
              </w:rPr>
              <w:t xml:space="preserve">Number of complaints </w:t>
            </w:r>
          </w:p>
        </w:tc>
        <w:tc>
          <w:tcPr>
            <w:tcW w:w="1418"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spacing w:before="120"/>
              <w:jc w:val="center"/>
              <w:outlineLvl w:val="0"/>
              <w:rPr>
                <w:rFonts w:ascii="Calibri" w:hAnsi="Calibri"/>
                <w:b/>
                <w:szCs w:val="22"/>
              </w:rPr>
            </w:pPr>
            <w:r>
              <w:rPr>
                <w:rFonts w:ascii="Calibri" w:hAnsi="Calibri"/>
                <w:b/>
                <w:szCs w:val="22"/>
              </w:rPr>
              <w:t>Percentage</w:t>
            </w:r>
          </w:p>
        </w:tc>
      </w:tr>
      <w:tr w:rsidR="00D86226" w:rsidTr="00D86226">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86226" w:rsidRDefault="00D86226" w:rsidP="00D86226">
            <w:pPr>
              <w:keepNext/>
              <w:keepLines/>
              <w:rPr>
                <w:rFonts w:ascii="Calibri" w:hAnsi="Calibri" w:cs="Calibri"/>
                <w:b/>
                <w:i/>
                <w:color w:val="000000"/>
                <w:szCs w:val="22"/>
              </w:rPr>
            </w:pPr>
            <w:r>
              <w:rPr>
                <w:rFonts w:ascii="Calibri" w:hAnsi="Calibri" w:cs="Calibri"/>
                <w:b/>
                <w:i/>
                <w:color w:val="000000"/>
                <w:szCs w:val="22"/>
              </w:rPr>
              <w:t>Access/Funding</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jc w:val="center"/>
              <w:rPr>
                <w:rFonts w:ascii="Calibri" w:hAnsi="Calibri" w:cs="Calibri"/>
                <w:b/>
                <w:i/>
                <w:color w:val="000000"/>
                <w:szCs w:val="22"/>
              </w:rPr>
            </w:pPr>
            <w:r>
              <w:rPr>
                <w:rFonts w:ascii="Calibri" w:hAnsi="Calibri" w:cs="Calibri"/>
                <w:b/>
                <w:i/>
                <w:color w:val="000000"/>
                <w:szCs w:val="22"/>
              </w:rPr>
              <w:t>106</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jc w:val="center"/>
              <w:rPr>
                <w:rFonts w:ascii="Calibri" w:hAnsi="Calibri" w:cs="Calibri"/>
                <w:b/>
                <w:i/>
                <w:color w:val="000000"/>
                <w:szCs w:val="22"/>
              </w:rPr>
            </w:pPr>
            <w:r>
              <w:rPr>
                <w:rFonts w:ascii="Calibri" w:hAnsi="Calibri" w:cs="Calibri"/>
                <w:b/>
                <w:i/>
                <w:color w:val="000000"/>
                <w:szCs w:val="22"/>
              </w:rPr>
              <w:t>22.2%</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tcPr>
          <w:p w:rsidR="00D86226" w:rsidRDefault="00D86226" w:rsidP="00D86226">
            <w:pPr>
              <w:keepNext/>
              <w:keepLines/>
              <w:tabs>
                <w:tab w:val="left" w:pos="176"/>
              </w:tabs>
              <w:ind w:left="176"/>
              <w:jc w:val="left"/>
              <w:rPr>
                <w:rFonts w:ascii="Calibri" w:hAnsi="Calibri" w:cs="Calibri"/>
                <w:color w:val="000000"/>
                <w:szCs w:val="22"/>
              </w:rPr>
            </w:pPr>
            <w:r>
              <w:rPr>
                <w:rFonts w:ascii="Calibri" w:hAnsi="Calibri" w:cs="Calibri"/>
                <w:color w:val="000000"/>
                <w:szCs w:val="22"/>
              </w:rPr>
              <w:t>ACC compensation issue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0.6%</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tabs>
                <w:tab w:val="left" w:pos="176"/>
              </w:tabs>
              <w:ind w:left="176"/>
              <w:jc w:val="left"/>
              <w:rPr>
                <w:rFonts w:ascii="Calibri" w:hAnsi="Calibri" w:cs="Calibri"/>
                <w:color w:val="000000"/>
                <w:szCs w:val="22"/>
              </w:rPr>
            </w:pPr>
            <w:r>
              <w:rPr>
                <w:rFonts w:ascii="Calibri" w:hAnsi="Calibri" w:cs="Calibri"/>
                <w:color w:val="000000"/>
                <w:szCs w:val="22"/>
              </w:rPr>
              <w:t>Lack of access to services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57</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11.9%</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ind w:left="720" w:hanging="544"/>
              <w:rPr>
                <w:rFonts w:ascii="Calibri" w:hAnsi="Calibri" w:cs="Calibri"/>
                <w:color w:val="000000"/>
                <w:szCs w:val="22"/>
              </w:rPr>
            </w:pPr>
            <w:r>
              <w:rPr>
                <w:rFonts w:ascii="Calibri" w:hAnsi="Calibri" w:cs="Calibri"/>
                <w:color w:val="000000"/>
                <w:szCs w:val="22"/>
              </w:rPr>
              <w:t>Lack of access to subsidies/funding</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1.9%</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tabs>
                <w:tab w:val="left" w:pos="176"/>
              </w:tabs>
              <w:ind w:left="176"/>
              <w:rPr>
                <w:rFonts w:ascii="Calibri" w:hAnsi="Calibri" w:cs="Calibri"/>
                <w:color w:val="000000"/>
                <w:szCs w:val="22"/>
              </w:rPr>
            </w:pPr>
            <w:r>
              <w:rPr>
                <w:rFonts w:ascii="Calibri" w:hAnsi="Calibri" w:cs="Calibri"/>
                <w:color w:val="000000"/>
                <w:szCs w:val="22"/>
              </w:rPr>
              <w:t>Waiting list/prioritisation issue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67</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14.0%</w:t>
            </w:r>
          </w:p>
        </w:tc>
      </w:tr>
      <w:tr w:rsidR="00D86226" w:rsidTr="00D86226">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86226" w:rsidRDefault="00D86226" w:rsidP="00D86226">
            <w:pPr>
              <w:keepNext/>
              <w:keepLines/>
              <w:rPr>
                <w:rFonts w:ascii="Calibri" w:hAnsi="Calibri" w:cs="Calibri"/>
                <w:b/>
                <w:i/>
                <w:color w:val="000000"/>
                <w:szCs w:val="22"/>
              </w:rPr>
            </w:pPr>
            <w:r>
              <w:rPr>
                <w:rFonts w:ascii="Calibri" w:hAnsi="Calibri" w:cs="Calibri"/>
                <w:b/>
                <w:i/>
                <w:color w:val="000000"/>
                <w:szCs w:val="22"/>
              </w:rPr>
              <w:t>Boundary violation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jc w:val="center"/>
              <w:rPr>
                <w:rFonts w:ascii="Calibri" w:hAnsi="Calibri" w:cs="Calibri"/>
                <w:b/>
                <w:i/>
                <w:color w:val="000000"/>
                <w:szCs w:val="22"/>
              </w:rPr>
            </w:pPr>
            <w:r>
              <w:rPr>
                <w:rFonts w:ascii="Calibri" w:hAnsi="Calibri" w:cs="Calibri"/>
                <w:b/>
                <w:i/>
                <w:color w:val="000000"/>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jc w:val="center"/>
              <w:rPr>
                <w:rFonts w:ascii="Calibri" w:hAnsi="Calibri" w:cs="Calibri"/>
                <w:b/>
                <w:i/>
                <w:color w:val="000000"/>
                <w:szCs w:val="22"/>
              </w:rPr>
            </w:pPr>
            <w:r>
              <w:rPr>
                <w:rFonts w:ascii="Calibri" w:hAnsi="Calibri" w:cs="Calibri"/>
                <w:b/>
                <w:i/>
                <w:color w:val="000000"/>
                <w:szCs w:val="22"/>
              </w:rPr>
              <w:t>0.6%</w:t>
            </w:r>
          </w:p>
        </w:tc>
      </w:tr>
      <w:tr w:rsidR="00D86226" w:rsidTr="00D86226">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86226" w:rsidRDefault="00D86226" w:rsidP="00D86226">
            <w:pPr>
              <w:keepNext/>
              <w:keepLines/>
              <w:tabs>
                <w:tab w:val="left" w:pos="176"/>
              </w:tabs>
              <w:jc w:val="left"/>
              <w:rPr>
                <w:rFonts w:ascii="Calibri" w:hAnsi="Calibri" w:cs="Calibri"/>
                <w:b/>
                <w:i/>
                <w:color w:val="000000"/>
                <w:szCs w:val="22"/>
              </w:rPr>
            </w:pPr>
            <w:r>
              <w:rPr>
                <w:rFonts w:ascii="Calibri" w:hAnsi="Calibri" w:cs="Calibri"/>
                <w:b/>
                <w:i/>
                <w:color w:val="000000"/>
                <w:szCs w:val="22"/>
              </w:rPr>
              <w:t>Care/Treatment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jc w:val="center"/>
              <w:rPr>
                <w:rFonts w:ascii="Calibri" w:hAnsi="Calibri" w:cs="Calibri"/>
                <w:b/>
                <w:i/>
                <w:color w:val="000000"/>
                <w:szCs w:val="22"/>
              </w:rPr>
            </w:pPr>
            <w:r>
              <w:rPr>
                <w:rFonts w:ascii="Calibri" w:hAnsi="Calibri" w:cs="Calibri"/>
                <w:b/>
                <w:i/>
                <w:color w:val="000000"/>
                <w:szCs w:val="22"/>
              </w:rPr>
              <w:t>386</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450394" w:rsidP="00D86226">
            <w:pPr>
              <w:keepNext/>
              <w:keepLines/>
              <w:jc w:val="center"/>
              <w:rPr>
                <w:rFonts w:ascii="Calibri" w:hAnsi="Calibri" w:cs="Calibri"/>
                <w:b/>
                <w:i/>
                <w:color w:val="000000"/>
                <w:szCs w:val="22"/>
              </w:rPr>
            </w:pPr>
            <w:r>
              <w:rPr>
                <w:rFonts w:ascii="Calibri" w:hAnsi="Calibri" w:cs="Calibri"/>
                <w:b/>
                <w:i/>
                <w:color w:val="000000"/>
                <w:szCs w:val="22"/>
              </w:rPr>
              <w:t>80.9</w:t>
            </w:r>
            <w:r w:rsidR="00D86226">
              <w:rPr>
                <w:rFonts w:ascii="Calibri" w:hAnsi="Calibri" w:cs="Calibri"/>
                <w:b/>
                <w: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tabs>
                <w:tab w:val="left" w:pos="176"/>
              </w:tabs>
              <w:ind w:left="176"/>
              <w:rPr>
                <w:rFonts w:ascii="Calibri" w:hAnsi="Calibri" w:cs="Calibri"/>
                <w:color w:val="000000"/>
                <w:szCs w:val="22"/>
              </w:rPr>
            </w:pPr>
            <w:r>
              <w:rPr>
                <w:rFonts w:ascii="Calibri" w:hAnsi="Calibri" w:cs="Calibri"/>
                <w:color w:val="000000"/>
                <w:szCs w:val="22"/>
              </w:rPr>
              <w:t>Delay in 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98</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20.5%</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keepNext/>
              <w:keepLines/>
              <w:tabs>
                <w:tab w:val="left" w:pos="176"/>
              </w:tabs>
              <w:ind w:left="176"/>
              <w:rPr>
                <w:rFonts w:ascii="Calibri" w:hAnsi="Calibri" w:cs="Calibri"/>
                <w:color w:val="000000"/>
                <w:szCs w:val="22"/>
              </w:rPr>
            </w:pPr>
            <w:r>
              <w:rPr>
                <w:rFonts w:ascii="Calibri" w:hAnsi="Calibri" w:cs="Calibri"/>
                <w:color w:val="000000"/>
                <w:szCs w:val="22"/>
              </w:rPr>
              <w:t>Delayed/inadequate/inappropriate referral</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33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center"/>
              <w:rPr>
                <w:rFonts w:ascii="Calibri" w:hAnsi="Calibri" w:cs="Calibri"/>
                <w:color w:val="000000"/>
                <w:szCs w:val="22"/>
              </w:rPr>
            </w:pPr>
            <w:r>
              <w:rPr>
                <w:rFonts w:ascii="Calibri" w:hAnsi="Calibri" w:cs="Calibri"/>
                <w:color w:val="000000"/>
                <w:szCs w:val="22"/>
              </w:rPr>
              <w:t>6.9%</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tabs>
                <w:tab w:val="left" w:pos="204"/>
              </w:tabs>
              <w:ind w:firstLine="176"/>
              <w:rPr>
                <w:rFonts w:ascii="Calibri" w:hAnsi="Calibri" w:cs="Calibri"/>
                <w:color w:val="000000"/>
                <w:szCs w:val="22"/>
              </w:rPr>
            </w:pPr>
            <w:r>
              <w:rPr>
                <w:rFonts w:ascii="Calibri" w:hAnsi="Calibri" w:cs="Calibri"/>
                <w:color w:val="000000"/>
                <w:szCs w:val="22"/>
              </w:rPr>
              <w:t>Inadequate coordination of care/treatment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104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21.8%</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76"/>
                <w:tab w:val="left" w:pos="1440"/>
                <w:tab w:val="decimal" w:pos="4320"/>
              </w:tabs>
              <w:ind w:left="176"/>
              <w:jc w:val="left"/>
              <w:outlineLvl w:val="0"/>
              <w:rPr>
                <w:rFonts w:ascii="Calibri" w:hAnsi="Calibri"/>
                <w:szCs w:val="22"/>
              </w:rPr>
            </w:pPr>
            <w:r>
              <w:rPr>
                <w:rFonts w:ascii="Calibri" w:hAnsi="Calibri"/>
                <w:szCs w:val="22"/>
              </w:rPr>
              <w:t>Inadequate/inappropriate clinical 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166</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450394" w:rsidP="00D86226">
            <w:pPr>
              <w:jc w:val="center"/>
              <w:rPr>
                <w:rFonts w:ascii="Calibri" w:hAnsi="Calibri" w:cs="Calibri"/>
                <w:color w:val="000000"/>
                <w:szCs w:val="22"/>
              </w:rPr>
            </w:pPr>
            <w:r>
              <w:rPr>
                <w:rFonts w:ascii="Calibri" w:hAnsi="Calibri" w:cs="Calibri"/>
                <w:color w:val="000000"/>
                <w:szCs w:val="22"/>
              </w:rPr>
              <w:t>34.8</w:t>
            </w:r>
            <w:r w:rsidR="00D86226">
              <w:rPr>
                <w:rFonts w:ascii="Calibri" w:hAnsi="Calibri" w:cs="Calibr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76"/>
                <w:tab w:val="left" w:pos="1440"/>
                <w:tab w:val="decimal" w:pos="4320"/>
              </w:tabs>
              <w:ind w:left="176"/>
              <w:jc w:val="left"/>
              <w:outlineLvl w:val="0"/>
              <w:rPr>
                <w:rFonts w:ascii="Calibri" w:hAnsi="Calibri"/>
                <w:szCs w:val="22"/>
              </w:rPr>
            </w:pPr>
            <w:r>
              <w:rPr>
                <w:rFonts w:ascii="Calibri" w:hAnsi="Calibri"/>
                <w:szCs w:val="22"/>
              </w:rPr>
              <w:t>Inadequate/inappropriate examination/assessment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112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450394" w:rsidP="00D86226">
            <w:pPr>
              <w:jc w:val="center"/>
              <w:rPr>
                <w:rFonts w:ascii="Calibri" w:hAnsi="Calibri" w:cs="Calibri"/>
                <w:color w:val="000000"/>
                <w:szCs w:val="22"/>
              </w:rPr>
            </w:pPr>
            <w:r>
              <w:rPr>
                <w:rFonts w:ascii="Calibri" w:hAnsi="Calibri" w:cs="Calibri"/>
                <w:color w:val="000000"/>
                <w:szCs w:val="22"/>
              </w:rPr>
              <w:t>23.5</w:t>
            </w:r>
            <w:r w:rsidR="00D86226">
              <w:rPr>
                <w:rFonts w:ascii="Calibri" w:hAnsi="Calibri" w:cs="Calibr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tabs>
                <w:tab w:val="left" w:pos="176"/>
              </w:tabs>
              <w:ind w:left="176"/>
              <w:rPr>
                <w:rFonts w:ascii="Calibri" w:hAnsi="Calibri" w:cs="Calibri"/>
                <w:color w:val="000000"/>
                <w:szCs w:val="22"/>
              </w:rPr>
            </w:pPr>
            <w:r>
              <w:rPr>
                <w:rFonts w:ascii="Calibri" w:hAnsi="Calibri" w:cs="Calibri"/>
                <w:color w:val="000000"/>
                <w:szCs w:val="22"/>
              </w:rPr>
              <w:t>Inadequate/inappropriate follow-up</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62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13.0%</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tabs>
                <w:tab w:val="left" w:pos="176"/>
              </w:tabs>
              <w:ind w:left="176"/>
              <w:rPr>
                <w:rFonts w:ascii="Calibri" w:hAnsi="Calibri" w:cs="Calibri"/>
                <w:color w:val="000000"/>
                <w:szCs w:val="22"/>
              </w:rPr>
            </w:pPr>
            <w:r>
              <w:rPr>
                <w:rFonts w:ascii="Calibri" w:hAnsi="Calibri" w:cs="Calibri"/>
                <w:color w:val="000000"/>
                <w:szCs w:val="22"/>
              </w:rPr>
              <w:t>Inadequate/inappropriate monitoring</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44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9.2%</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tabs>
                <w:tab w:val="left" w:pos="176"/>
              </w:tabs>
              <w:ind w:left="176"/>
              <w:rPr>
                <w:rFonts w:ascii="Calibri" w:hAnsi="Calibri" w:cs="Calibri"/>
                <w:color w:val="000000"/>
                <w:szCs w:val="22"/>
              </w:rPr>
            </w:pPr>
            <w:r>
              <w:rPr>
                <w:rFonts w:ascii="Calibri" w:hAnsi="Calibri" w:cs="Calibri"/>
                <w:color w:val="000000"/>
                <w:szCs w:val="22"/>
              </w:rPr>
              <w:t>Inadequate/inappropriate non-clinical care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34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7.1%</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tcPr>
          <w:p w:rsidR="00D86226" w:rsidRDefault="00D86226" w:rsidP="00D86226">
            <w:pPr>
              <w:tabs>
                <w:tab w:val="left" w:pos="176"/>
              </w:tabs>
              <w:ind w:left="176"/>
              <w:rPr>
                <w:rFonts w:ascii="Calibri" w:hAnsi="Calibri" w:cs="Calibri"/>
                <w:color w:val="000000"/>
                <w:szCs w:val="22"/>
              </w:rPr>
            </w:pPr>
            <w:r>
              <w:rPr>
                <w:rFonts w:ascii="Calibri" w:hAnsi="Calibri" w:cs="Calibri"/>
                <w:color w:val="000000"/>
                <w:szCs w:val="22"/>
              </w:rPr>
              <w:t>Inadequate/inappropriate testing</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66</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13.8%</w:t>
            </w:r>
          </w:p>
        </w:tc>
      </w:tr>
      <w:tr w:rsidR="00D86226" w:rsidTr="00D86226">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Inappropriate admission/failure to admit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16</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450394" w:rsidP="00D86226">
            <w:pPr>
              <w:widowControl w:val="0"/>
              <w:jc w:val="center"/>
              <w:rPr>
                <w:rFonts w:ascii="Calibri" w:hAnsi="Calibri" w:cs="Calibri"/>
                <w:color w:val="000000"/>
                <w:szCs w:val="22"/>
              </w:rPr>
            </w:pPr>
            <w:r>
              <w:rPr>
                <w:rFonts w:ascii="Calibri" w:hAnsi="Calibri" w:cs="Calibri"/>
                <w:color w:val="000000"/>
                <w:szCs w:val="22"/>
              </w:rPr>
              <w:t>3.4</w:t>
            </w:r>
            <w:r w:rsidR="00D86226">
              <w:rPr>
                <w:rFonts w:ascii="Calibri" w:hAnsi="Calibri" w:cs="Calibr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Inappropriate/delayed discharge/transfer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59</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450394" w:rsidP="00D86226">
            <w:pPr>
              <w:widowControl w:val="0"/>
              <w:jc w:val="center"/>
              <w:rPr>
                <w:rFonts w:ascii="Calibri" w:hAnsi="Calibri" w:cs="Calibri"/>
                <w:color w:val="000000"/>
                <w:szCs w:val="22"/>
              </w:rPr>
            </w:pPr>
            <w:r>
              <w:rPr>
                <w:rFonts w:ascii="Calibri" w:hAnsi="Calibri" w:cs="Calibri"/>
                <w:color w:val="000000"/>
                <w:szCs w:val="22"/>
              </w:rPr>
              <w:t>12.4</w:t>
            </w:r>
            <w:r w:rsidR="00D86226">
              <w:rPr>
                <w:rFonts w:ascii="Calibri" w:hAnsi="Calibri" w:cs="Calibr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vAlign w:val="bottom"/>
            <w:hideMark/>
          </w:tcPr>
          <w:p w:rsidR="00D86226" w:rsidRDefault="00D86226" w:rsidP="00D86226">
            <w:pPr>
              <w:tabs>
                <w:tab w:val="left" w:pos="176"/>
              </w:tabs>
              <w:ind w:left="176"/>
              <w:rPr>
                <w:rFonts w:ascii="Calibri" w:hAnsi="Calibri" w:cs="Calibri"/>
                <w:color w:val="000000"/>
                <w:szCs w:val="22"/>
              </w:rPr>
            </w:pPr>
            <w:r>
              <w:rPr>
                <w:rFonts w:ascii="Calibri" w:hAnsi="Calibri" w:cs="Calibri"/>
                <w:color w:val="000000"/>
                <w:szCs w:val="22"/>
              </w:rPr>
              <w:t>Inappropriate withdrawal of 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2.3%</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Missed/incorrect/delayed diagnosis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105</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22.0%</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Personal privacy not respected</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0.2%</w:t>
            </w:r>
          </w:p>
        </w:tc>
      </w:tr>
      <w:tr w:rsidR="00D86226" w:rsidTr="00D86226">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Refusal to assist/attend</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16</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450394" w:rsidP="00D86226">
            <w:pPr>
              <w:widowControl w:val="0"/>
              <w:jc w:val="center"/>
              <w:rPr>
                <w:rFonts w:ascii="Calibri" w:hAnsi="Calibri" w:cs="Calibri"/>
                <w:color w:val="000000"/>
                <w:szCs w:val="22"/>
              </w:rPr>
            </w:pPr>
            <w:r>
              <w:rPr>
                <w:rFonts w:ascii="Calibri" w:hAnsi="Calibri" w:cs="Calibri"/>
                <w:color w:val="000000"/>
                <w:szCs w:val="22"/>
              </w:rPr>
              <w:t>3.4</w:t>
            </w:r>
            <w:r w:rsidR="00D86226">
              <w:rPr>
                <w:rFonts w:ascii="Calibri" w:hAnsi="Calibri" w:cs="Calibr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Refusal to treat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16</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450394" w:rsidP="00D86226">
            <w:pPr>
              <w:widowControl w:val="0"/>
              <w:jc w:val="center"/>
              <w:rPr>
                <w:rFonts w:ascii="Calibri" w:hAnsi="Calibri" w:cs="Calibri"/>
                <w:color w:val="000000"/>
                <w:szCs w:val="22"/>
              </w:rPr>
            </w:pPr>
            <w:r>
              <w:rPr>
                <w:rFonts w:ascii="Calibri" w:hAnsi="Calibri" w:cs="Calibri"/>
                <w:color w:val="000000"/>
                <w:szCs w:val="22"/>
              </w:rPr>
              <w:t>3.4</w:t>
            </w:r>
            <w:r w:rsidR="00D86226">
              <w:rPr>
                <w:rFonts w:ascii="Calibri" w:hAnsi="Calibri" w:cs="Calibr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Rough/painful care or 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25</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5.2%</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Unexpected treatment outcome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73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15.3%</w:t>
            </w:r>
          </w:p>
        </w:tc>
      </w:tr>
      <w:tr w:rsidR="00D86226" w:rsidTr="00D86226">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Unnecessary treatment/over-servicing</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0.8%</w:t>
            </w:r>
          </w:p>
        </w:tc>
      </w:tr>
      <w:tr w:rsidR="00D86226" w:rsidTr="00D86226">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ind w:left="176" w:hanging="176"/>
              <w:jc w:val="left"/>
              <w:outlineLvl w:val="0"/>
              <w:rPr>
                <w:rFonts w:ascii="Calibri" w:hAnsi="Calibri"/>
                <w:b/>
                <w:i/>
                <w:szCs w:val="22"/>
              </w:rPr>
            </w:pPr>
            <w:r>
              <w:rPr>
                <w:rFonts w:ascii="Calibri" w:hAnsi="Calibri"/>
                <w:b/>
                <w:i/>
                <w:szCs w:val="22"/>
              </w:rPr>
              <w:t>Communication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315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450394" w:rsidP="00D86226">
            <w:pPr>
              <w:widowControl w:val="0"/>
              <w:jc w:val="center"/>
              <w:rPr>
                <w:rFonts w:ascii="Calibri" w:hAnsi="Calibri" w:cs="Calibri"/>
                <w:b/>
                <w:i/>
                <w:color w:val="000000"/>
                <w:szCs w:val="22"/>
              </w:rPr>
            </w:pPr>
            <w:r>
              <w:rPr>
                <w:rFonts w:ascii="Calibri" w:hAnsi="Calibri" w:cs="Calibri"/>
                <w:b/>
                <w:i/>
                <w:color w:val="000000"/>
                <w:szCs w:val="22"/>
              </w:rPr>
              <w:t>66.0</w:t>
            </w:r>
            <w:r w:rsidR="00D86226">
              <w:rPr>
                <w:rFonts w:ascii="Calibri" w:hAnsi="Calibri" w:cs="Calibri"/>
                <w:b/>
                <w:i/>
                <w:color w:val="000000"/>
                <w:szCs w:val="22"/>
              </w:rPr>
              <w:t>%</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Disrespectful manner/attitude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93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19.5%</w:t>
            </w:r>
          </w:p>
        </w:tc>
      </w:tr>
      <w:tr w:rsidR="00D86226" w:rsidTr="00D86226">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Failure to accommodate cultural/language needs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1.7%</w:t>
            </w:r>
          </w:p>
        </w:tc>
      </w:tr>
      <w:tr w:rsidR="00D86226" w:rsidTr="00D86226">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Failure to communicate openly/honestly/effectively with consumer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173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FB3A46" w:rsidP="00D86226">
            <w:pPr>
              <w:widowControl w:val="0"/>
              <w:jc w:val="center"/>
              <w:rPr>
                <w:rFonts w:ascii="Calibri" w:hAnsi="Calibri" w:cs="Calibri"/>
                <w:color w:val="000000"/>
                <w:szCs w:val="22"/>
              </w:rPr>
            </w:pPr>
            <w:r>
              <w:rPr>
                <w:rFonts w:ascii="Calibri" w:hAnsi="Calibri" w:cs="Calibri"/>
                <w:color w:val="000000"/>
                <w:szCs w:val="22"/>
              </w:rPr>
              <w:t>36.3</w:t>
            </w:r>
            <w:r w:rsidR="00D86226">
              <w:rPr>
                <w:rFonts w:ascii="Calibri" w:hAnsi="Calibri" w:cs="Calibri"/>
                <w:color w:val="000000"/>
                <w:szCs w:val="22"/>
              </w:rPr>
              <w:t>%</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Failure to communicate openly/honestly/effectively with family</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107</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22.4%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Insensitive/inappropriate comments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2.1%</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ind w:left="176" w:hanging="176"/>
              <w:jc w:val="left"/>
              <w:outlineLvl w:val="0"/>
              <w:rPr>
                <w:rFonts w:ascii="Calibri" w:hAnsi="Calibri"/>
                <w:b/>
                <w:i/>
                <w:szCs w:val="22"/>
              </w:rPr>
            </w:pPr>
            <w:r>
              <w:rPr>
                <w:rFonts w:ascii="Calibri" w:hAnsi="Calibri"/>
                <w:b/>
                <w:i/>
                <w:szCs w:val="22"/>
              </w:rPr>
              <w:t>Complaints process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84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17.6%</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Inadequate response to complaint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83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17.4%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Inadequate information provided re complaints process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Retaliation/discrimination as a result of a complaint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Consent/Information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FB3A46" w:rsidP="00D86226">
            <w:pPr>
              <w:widowControl w:val="0"/>
              <w:jc w:val="center"/>
              <w:rPr>
                <w:rFonts w:ascii="Calibri" w:hAnsi="Calibri" w:cs="Calibri"/>
                <w:b/>
                <w:i/>
                <w:color w:val="000000"/>
                <w:szCs w:val="22"/>
              </w:rPr>
            </w:pPr>
            <w:r>
              <w:rPr>
                <w:rFonts w:ascii="Calibri" w:hAnsi="Calibri" w:cs="Calibri"/>
                <w:b/>
                <w:i/>
                <w:color w:val="000000"/>
                <w:szCs w:val="22"/>
              </w:rPr>
              <w:t>124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FB3A46" w:rsidP="00D86226">
            <w:pPr>
              <w:widowControl w:val="0"/>
              <w:jc w:val="center"/>
              <w:rPr>
                <w:rFonts w:ascii="Calibri" w:hAnsi="Calibri" w:cs="Calibri"/>
                <w:b/>
                <w:i/>
                <w:color w:val="000000"/>
                <w:szCs w:val="22"/>
              </w:rPr>
            </w:pPr>
            <w:r>
              <w:rPr>
                <w:rFonts w:ascii="Calibri" w:hAnsi="Calibri" w:cs="Calibri"/>
                <w:b/>
                <w:i/>
                <w:color w:val="000000"/>
                <w:szCs w:val="22"/>
              </w:rPr>
              <w:t>26.0</w:t>
            </w:r>
            <w:r w:rsidR="00D86226">
              <w:rPr>
                <w:rFonts w:ascii="Calibri" w:hAnsi="Calibri" w:cs="Calibri"/>
                <w:b/>
                <w:i/>
                <w:color w:val="000000"/>
                <w:szCs w:val="22"/>
              </w:rPr>
              <w:t>%</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Consent not obtained/adequate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26</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FB3A46" w:rsidP="00D86226">
            <w:pPr>
              <w:widowControl w:val="0"/>
              <w:jc w:val="center"/>
              <w:rPr>
                <w:rFonts w:ascii="Calibri" w:hAnsi="Calibri" w:cs="Calibri"/>
                <w:color w:val="000000"/>
                <w:szCs w:val="22"/>
              </w:rPr>
            </w:pPr>
            <w:r>
              <w:rPr>
                <w:rFonts w:ascii="Calibri" w:hAnsi="Calibri" w:cs="Calibri"/>
                <w:color w:val="000000"/>
                <w:szCs w:val="22"/>
              </w:rPr>
              <w:t>5.5</w:t>
            </w:r>
            <w:r w:rsidR="00D86226">
              <w:rPr>
                <w:rFonts w:ascii="Calibri" w:hAnsi="Calibri" w:cs="Calibri"/>
                <w:color w:val="000000"/>
                <w:szCs w:val="22"/>
              </w:rPr>
              <w:t>%</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Failure to assess capacity to consent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5</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1.0%</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adverse event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6</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1.3%</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condition</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10</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rPr>
                <w:rFonts w:ascii="Calibri" w:hAnsi="Calibri" w:cs="Calibri"/>
                <w:color w:val="000000"/>
                <w:szCs w:val="22"/>
              </w:rPr>
              <w:t>2.1%</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options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13</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2.7%</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provider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rPr>
                <w:rFonts w:ascii="Calibri" w:hAnsi="Calibri" w:cs="Calibri"/>
                <w:color w:val="000000"/>
                <w:szCs w:val="22"/>
              </w:rPr>
              <w:t>0.8%</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results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11</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rPr>
                <w:rFonts w:ascii="Calibri" w:hAnsi="Calibri" w:cs="Calibri"/>
                <w:color w:val="000000"/>
                <w:szCs w:val="22"/>
              </w:rPr>
              <w:t>2.3%</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 information provided regarding 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41</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8.6%</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Incorrect/misleading information provided</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2.1%</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Issues with involuntary admission/treatment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28</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5.9%</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Other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FB3A46" w:rsidP="00D86226">
            <w:pPr>
              <w:widowControl w:val="0"/>
              <w:jc w:val="center"/>
              <w:rPr>
                <w:rFonts w:ascii="Calibri" w:hAnsi="Calibri" w:cs="Calibri"/>
                <w:color w:val="000000"/>
                <w:szCs w:val="22"/>
              </w:rPr>
            </w:pPr>
            <w:r>
              <w:rPr>
                <w:rFonts w:ascii="Calibri" w:hAnsi="Calibri" w:cs="Calibri"/>
                <w:color w:val="000000"/>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lastRenderedPageBreak/>
              <w:t>Documentation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28</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5.9%</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Delay/failure to disclose documentation</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1.3%</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Delay/failure to transfer documentation</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0.8%</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 xml:space="preserve">Inadequate/inaccurate documentation </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18</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3.8%</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Intentionally misleading/altered documentation</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Facility issues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19.7%</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Accreditation/statutory obligations not met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3</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0.6%</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Cleanliness/hygiene issue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8</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rPr>
                <w:rFonts w:ascii="Calibri" w:hAnsi="Calibri" w:cs="Calibri"/>
                <w:color w:val="000000"/>
                <w:szCs w:val="22"/>
              </w:rPr>
              <w:t>1.7%</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Failure to follow policies/procedures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9</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1.9%</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General safety issue for consumer in facility</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21</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4.4%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Inadequate/inappropriate policies/procedures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19</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4.0%</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Issue with quality of aids/equipment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6</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1.3%</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Issue with sharing facility with other consumers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9</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1.9%</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Staffing/rostering/other HR issue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22</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t>4.6%</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left="176"/>
              <w:jc w:val="left"/>
              <w:outlineLvl w:val="0"/>
              <w:rPr>
                <w:rFonts w:ascii="Calibri" w:hAnsi="Calibri"/>
                <w:szCs w:val="22"/>
              </w:rPr>
            </w:pPr>
            <w:r>
              <w:rPr>
                <w:rFonts w:ascii="Calibri" w:hAnsi="Calibri"/>
                <w:szCs w:val="22"/>
              </w:rPr>
              <w:t>Waiting times</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16</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rPr>
                <w:rFonts w:ascii="Calibri" w:hAnsi="Calibri" w:cs="Calibri"/>
                <w:color w:val="000000"/>
                <w:szCs w:val="22"/>
              </w:rPr>
              <w:t>3.3%</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Medication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60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12.6%</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Administration error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1.7%</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Dispensing error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0.2%</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Inappropriate administration</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1.7%</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Inappropriate prescribing</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37</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FB3A46" w:rsidP="00D86226">
            <w:pPr>
              <w:widowControl w:val="0"/>
              <w:jc w:val="center"/>
              <w:rPr>
                <w:rFonts w:ascii="Calibri" w:hAnsi="Calibri" w:cs="Calibri"/>
                <w:color w:val="000000"/>
                <w:szCs w:val="22"/>
              </w:rPr>
            </w:pPr>
            <w:r>
              <w:rPr>
                <w:rFonts w:ascii="Calibri" w:hAnsi="Calibri" w:cs="Calibri"/>
                <w:color w:val="000000"/>
                <w:szCs w:val="22"/>
              </w:rPr>
              <w:t>7.8</w:t>
            </w:r>
            <w:r w:rsidR="00D86226">
              <w:rPr>
                <w:rFonts w:ascii="Calibri" w:hAnsi="Calibri" w:cs="Calibri"/>
                <w:color w:val="000000"/>
                <w:szCs w:val="22"/>
              </w:rPr>
              <w:t>%</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Refusal to prescribe/dispense/supply</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8</w:t>
            </w:r>
          </w:p>
        </w:tc>
        <w:tc>
          <w:tcPr>
            <w:tcW w:w="1418" w:type="dxa"/>
            <w:tcBorders>
              <w:top w:val="single" w:sz="4" w:space="0" w:color="auto"/>
              <w:left w:val="single" w:sz="4" w:space="0" w:color="auto"/>
              <w:bottom w:val="single" w:sz="4" w:space="0" w:color="auto"/>
              <w:right w:val="single" w:sz="4" w:space="0" w:color="auto"/>
            </w:tcBorders>
          </w:tcPr>
          <w:p w:rsidR="00D86226" w:rsidRDefault="00D86226" w:rsidP="00D86226">
            <w:pPr>
              <w:jc w:val="center"/>
            </w:pPr>
            <w:r>
              <w:rPr>
                <w:rFonts w:ascii="Calibri" w:hAnsi="Calibri" w:cs="Calibri"/>
                <w:color w:val="000000"/>
                <w:szCs w:val="22"/>
              </w:rPr>
              <w:t>1.7%</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Reports/Certificates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13</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2.7%</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Inaccurate report/certificate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1.9%</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Refusal to complete report/certificate</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0.8%</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Teamwork/supervision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13</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2.7%</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Delayed/inadequate/inappropriate handover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Inadequate supervision/oversight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2.3%</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Other professional conduct issues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r>
              <w:rPr>
                <w:rFonts w:ascii="Calibri" w:hAnsi="Calibri" w:cs="Calibri"/>
                <w:b/>
                <w:i/>
                <w:color w:val="000000"/>
                <w:szCs w:val="22"/>
              </w:rPr>
              <w:t>27</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FB3A46" w:rsidP="00D86226">
            <w:pPr>
              <w:widowControl w:val="0"/>
              <w:jc w:val="center"/>
              <w:rPr>
                <w:rFonts w:ascii="Calibri" w:hAnsi="Calibri" w:cs="Calibri"/>
                <w:b/>
                <w:i/>
                <w:color w:val="000000"/>
                <w:szCs w:val="22"/>
              </w:rPr>
            </w:pPr>
            <w:r>
              <w:rPr>
                <w:rFonts w:ascii="Calibri" w:hAnsi="Calibri" w:cs="Calibri"/>
                <w:b/>
                <w:i/>
                <w:color w:val="000000"/>
                <w:szCs w:val="22"/>
              </w:rPr>
              <w:t>5.7</w:t>
            </w:r>
            <w:r w:rsidR="00D86226">
              <w:rPr>
                <w:rFonts w:ascii="Calibri" w:hAnsi="Calibri" w:cs="Calibri"/>
                <w:b/>
                <w:i/>
                <w:color w:val="000000"/>
                <w:szCs w:val="22"/>
              </w:rPr>
              <w:t>%</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Assault</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0.4%</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Disrespectful behaviour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11</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2.3%</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Inappropriate collection/use/disclosure of information</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13</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2.7%</w:t>
            </w: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hideMark/>
          </w:tcPr>
          <w:p w:rsidR="00D86226" w:rsidRDefault="00D86226" w:rsidP="00D86226">
            <w:pPr>
              <w:widowControl w:val="0"/>
              <w:tabs>
                <w:tab w:val="left" w:pos="176"/>
                <w:tab w:val="left" w:pos="1440"/>
                <w:tab w:val="decimal" w:pos="4320"/>
              </w:tabs>
              <w:ind w:firstLine="176"/>
              <w:jc w:val="left"/>
              <w:outlineLvl w:val="0"/>
              <w:rPr>
                <w:rFonts w:ascii="Calibri" w:hAnsi="Calibri"/>
                <w:szCs w:val="22"/>
              </w:rPr>
            </w:pPr>
            <w:r>
              <w:rPr>
                <w:rFonts w:ascii="Calibri" w:hAnsi="Calibri"/>
                <w:szCs w:val="22"/>
              </w:rPr>
              <w:t>Other</w:t>
            </w:r>
          </w:p>
        </w:tc>
        <w:tc>
          <w:tcPr>
            <w:tcW w:w="1701"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r>
              <w:rPr>
                <w:rFonts w:ascii="Calibri" w:hAnsi="Calibri" w:cs="Calibri"/>
                <w:color w:val="000000"/>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widowControl w:val="0"/>
              <w:jc w:val="center"/>
              <w:rPr>
                <w:rFonts w:ascii="Calibri" w:hAnsi="Calibri" w:cs="Calibri"/>
                <w:color w:val="000000"/>
                <w:szCs w:val="22"/>
              </w:rPr>
            </w:pPr>
          </w:p>
        </w:tc>
      </w:tr>
      <w:tr w:rsidR="00D86226" w:rsidTr="00D86226">
        <w:trPr>
          <w:trHeight w:val="28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widowControl w:val="0"/>
              <w:tabs>
                <w:tab w:val="left" w:pos="176"/>
                <w:tab w:val="left" w:pos="1440"/>
                <w:tab w:val="decimal" w:pos="4320"/>
              </w:tabs>
              <w:jc w:val="left"/>
              <w:outlineLvl w:val="0"/>
              <w:rPr>
                <w:rFonts w:ascii="Calibri" w:hAnsi="Calibri"/>
                <w:b/>
                <w:i/>
                <w:szCs w:val="22"/>
              </w:rPr>
            </w:pPr>
            <w:r>
              <w:rPr>
                <w:rFonts w:ascii="Calibri" w:hAnsi="Calibri"/>
                <w:b/>
                <w:i/>
                <w:szCs w:val="22"/>
              </w:rPr>
              <w:t>Other issues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FB3A46" w:rsidP="00D86226">
            <w:pPr>
              <w:widowControl w:val="0"/>
              <w:jc w:val="center"/>
              <w:rPr>
                <w:rFonts w:ascii="Calibri" w:hAnsi="Calibri" w:cs="Calibri"/>
                <w:b/>
                <w:i/>
                <w:color w:val="000000"/>
                <w:szCs w:val="22"/>
              </w:rPr>
            </w:pPr>
            <w:r>
              <w:rPr>
                <w:rFonts w:ascii="Calibri" w:hAnsi="Calibri" w:cs="Calibri"/>
                <w:b/>
                <w:i/>
                <w:color w:val="000000"/>
                <w:szCs w:val="22"/>
              </w:rPr>
              <w:t>16</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widowControl w:val="0"/>
              <w:jc w:val="center"/>
              <w:rPr>
                <w:rFonts w:ascii="Calibri" w:hAnsi="Calibri" w:cs="Calibri"/>
                <w:b/>
                <w:i/>
                <w:color w:val="000000"/>
                <w:szCs w:val="22"/>
              </w:rPr>
            </w:pPr>
          </w:p>
        </w:tc>
      </w:tr>
    </w:tbl>
    <w:p w:rsidR="00D86226" w:rsidRPr="001F7765" w:rsidRDefault="00D86226" w:rsidP="00D86226">
      <w:pPr>
        <w:widowControl w:val="0"/>
        <w:spacing w:after="120"/>
        <w:rPr>
          <w:rFonts w:ascii="Calibri" w:hAnsi="Calibri"/>
          <w:szCs w:val="22"/>
        </w:rPr>
      </w:pPr>
    </w:p>
    <w:p w:rsidR="00D86226" w:rsidRDefault="00D86226" w:rsidP="00D86226"/>
    <w:p w:rsidR="00D86226" w:rsidRDefault="00D86226" w:rsidP="00D86226"/>
    <w:p w:rsidR="00D86226" w:rsidRDefault="00D86226" w:rsidP="00D86226"/>
    <w:p w:rsidR="00D86226" w:rsidRDefault="00D86226" w:rsidP="00D86226"/>
    <w:p w:rsidR="00D86226" w:rsidRDefault="00D86226" w:rsidP="00D86226"/>
    <w:p w:rsidR="00D86226" w:rsidRDefault="00D86226" w:rsidP="00D86226"/>
    <w:p w:rsidR="00D86226" w:rsidRDefault="00D86226" w:rsidP="00D86226"/>
    <w:p w:rsidR="00D86226" w:rsidRDefault="00D86226" w:rsidP="00D86226"/>
    <w:p w:rsidR="008427E2" w:rsidRDefault="008427E2" w:rsidP="00D86226"/>
    <w:p w:rsidR="008427E2" w:rsidRDefault="008427E2" w:rsidP="00D86226"/>
    <w:p w:rsidR="00D86226" w:rsidRDefault="00D86226" w:rsidP="00D86226"/>
    <w:p w:rsidR="00FB3A46" w:rsidRDefault="00FB3A46" w:rsidP="00D86226"/>
    <w:p w:rsidR="00D86226" w:rsidRDefault="00D86226" w:rsidP="00D86226"/>
    <w:p w:rsidR="00D86226" w:rsidRDefault="00D86226" w:rsidP="00D86226">
      <w:pPr>
        <w:pStyle w:val="Heading3"/>
        <w:keepNext w:val="0"/>
        <w:widowControl w:val="0"/>
        <w:jc w:val="left"/>
        <w:rPr>
          <w:rFonts w:ascii="Calibri" w:hAnsi="Calibri"/>
          <w:b/>
          <w:vanish/>
          <w:szCs w:val="22"/>
        </w:rPr>
      </w:pPr>
    </w:p>
    <w:p w:rsidR="00D86226" w:rsidRDefault="00D86226" w:rsidP="00D86226">
      <w:pPr>
        <w:pStyle w:val="Heading3"/>
        <w:keepNext w:val="0"/>
        <w:widowControl w:val="0"/>
        <w:jc w:val="left"/>
      </w:pPr>
      <w:r>
        <w:rPr>
          <w:rFonts w:ascii="Calibri" w:hAnsi="Calibri"/>
          <w:b/>
          <w:vanish/>
          <w:szCs w:val="22"/>
          <w:highlight w:val="yellow"/>
        </w:rPr>
        <w:t>nappropriate/unlawful to ommon primary issues were inadequate/inappropriate treatment and missed/incorrect/delayed diagnosis</w:t>
      </w:r>
      <w:bookmarkStart w:id="82" w:name="_Toc426462635"/>
      <w:bookmarkStart w:id="83" w:name="_Toc443992230"/>
      <w:bookmarkStart w:id="84" w:name="_Toc445910054"/>
      <w:bookmarkStart w:id="85" w:name="_Toc447291338"/>
      <w:bookmarkStart w:id="86" w:name="_Toc447291476"/>
      <w:bookmarkStart w:id="87" w:name="_Toc447527533"/>
      <w:bookmarkStart w:id="88" w:name="_Toc493680290"/>
      <w:bookmarkStart w:id="89" w:name="_Toc493684131"/>
      <w:r>
        <w:t>3.3</w:t>
      </w:r>
      <w:r>
        <w:tab/>
        <w:t>Service type and primary issues</w:t>
      </w:r>
      <w:bookmarkEnd w:id="82"/>
      <w:bookmarkEnd w:id="83"/>
      <w:bookmarkEnd w:id="84"/>
      <w:bookmarkEnd w:id="85"/>
      <w:bookmarkEnd w:id="86"/>
      <w:bookmarkEnd w:id="87"/>
      <w:bookmarkEnd w:id="88"/>
      <w:bookmarkEnd w:id="89"/>
    </w:p>
    <w:p w:rsidR="00D86226" w:rsidRDefault="00D86226" w:rsidP="00D86226">
      <w:pPr>
        <w:keepNext/>
        <w:keepLines/>
        <w:spacing w:after="240"/>
      </w:pPr>
      <w:r>
        <w:lastRenderedPageBreak/>
        <w:t>Table 9 shows the top three primary issues in complaints concerning the most commonly complained about service types. This is broadly similar to what was seen in the last six-month period. However, waiting list/prioritisation issues became more prominent for general medicine and emergency department (complaints relating to the triage process) services in Jan-Jun 2017.</w:t>
      </w:r>
    </w:p>
    <w:p w:rsidR="00D86226" w:rsidRDefault="00D86226" w:rsidP="00D86226">
      <w:pPr>
        <w:keepNext/>
        <w:keepLines/>
        <w:spacing w:after="120"/>
        <w:rPr>
          <w:szCs w:val="22"/>
        </w:rPr>
      </w:pPr>
      <w:r>
        <w:rPr>
          <w:b/>
          <w:szCs w:val="22"/>
        </w:rPr>
        <w:t xml:space="preserve">Table 9. </w:t>
      </w:r>
      <w:r>
        <w:rPr>
          <w:szCs w:val="22"/>
        </w:rPr>
        <w:t>Three most common primary issues in complaints by service type</w:t>
      </w:r>
    </w:p>
    <w:tbl>
      <w:tblPr>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72"/>
        <w:gridCol w:w="1411"/>
        <w:gridCol w:w="707"/>
        <w:gridCol w:w="1411"/>
        <w:gridCol w:w="707"/>
        <w:gridCol w:w="1411"/>
        <w:gridCol w:w="566"/>
        <w:gridCol w:w="1411"/>
        <w:gridCol w:w="566"/>
      </w:tblGrid>
      <w:tr w:rsidR="00D86226" w:rsidTr="00D86226">
        <w:tc>
          <w:tcPr>
            <w:tcW w:w="960" w:type="pct"/>
            <w:gridSpan w:val="2"/>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ind w:left="139" w:right="10" w:firstLine="13"/>
              <w:jc w:val="center"/>
              <w:outlineLvl w:val="0"/>
              <w:rPr>
                <w:rFonts w:ascii="Calibri" w:hAnsi="Calibri"/>
                <w:b/>
                <w:sz w:val="20"/>
                <w:szCs w:val="20"/>
              </w:rPr>
            </w:pPr>
            <w:r>
              <w:rPr>
                <w:rFonts w:ascii="Calibri" w:hAnsi="Calibri"/>
                <w:b/>
                <w:sz w:val="20"/>
                <w:szCs w:val="20"/>
              </w:rPr>
              <w:t>Surgery</w:t>
            </w:r>
          </w:p>
          <w:p w:rsidR="00D86226" w:rsidRDefault="00D86226" w:rsidP="00D86226">
            <w:pPr>
              <w:keepNext/>
              <w:keepLines/>
              <w:tabs>
                <w:tab w:val="left" w:pos="1440"/>
                <w:tab w:val="decimal" w:pos="4320"/>
              </w:tabs>
              <w:ind w:left="139" w:right="10" w:firstLine="13"/>
              <w:jc w:val="center"/>
              <w:outlineLvl w:val="0"/>
              <w:rPr>
                <w:rFonts w:ascii="Calibri" w:hAnsi="Calibri"/>
                <w:b/>
                <w:sz w:val="20"/>
                <w:szCs w:val="20"/>
              </w:rPr>
            </w:pPr>
            <w:r>
              <w:rPr>
                <w:rFonts w:ascii="Calibri" w:hAnsi="Calibri"/>
                <w:b/>
                <w:sz w:val="20"/>
                <w:szCs w:val="20"/>
              </w:rPr>
              <w:t>n=150</w:t>
            </w:r>
          </w:p>
        </w:tc>
        <w:tc>
          <w:tcPr>
            <w:tcW w:w="1045" w:type="pct"/>
            <w:gridSpan w:val="2"/>
            <w:tcBorders>
              <w:top w:val="single" w:sz="4" w:space="0" w:color="auto"/>
              <w:left w:val="single" w:sz="4" w:space="0" w:color="auto"/>
              <w:bottom w:val="single" w:sz="4" w:space="0" w:color="auto"/>
              <w:right w:val="single" w:sz="4" w:space="0" w:color="auto"/>
            </w:tcBorders>
            <w:hideMark/>
          </w:tcPr>
          <w:p w:rsidR="00D86226" w:rsidRDefault="004A5036" w:rsidP="00D86226">
            <w:pPr>
              <w:keepNext/>
              <w:keepLines/>
              <w:tabs>
                <w:tab w:val="left" w:pos="1440"/>
                <w:tab w:val="decimal" w:pos="4320"/>
              </w:tabs>
              <w:ind w:left="139" w:right="10" w:firstLine="13"/>
              <w:jc w:val="center"/>
              <w:outlineLvl w:val="0"/>
              <w:rPr>
                <w:rFonts w:ascii="Calibri" w:hAnsi="Calibri"/>
                <w:b/>
                <w:sz w:val="20"/>
                <w:szCs w:val="20"/>
              </w:rPr>
            </w:pPr>
            <w:r>
              <w:rPr>
                <w:rFonts w:ascii="Calibri" w:hAnsi="Calibri"/>
                <w:b/>
                <w:sz w:val="20"/>
                <w:szCs w:val="20"/>
              </w:rPr>
              <w:t>General medicine</w:t>
            </w:r>
          </w:p>
          <w:p w:rsidR="00D86226" w:rsidRDefault="004A5036" w:rsidP="00D86226">
            <w:pPr>
              <w:keepNext/>
              <w:keepLines/>
              <w:tabs>
                <w:tab w:val="left" w:pos="1440"/>
                <w:tab w:val="decimal" w:pos="4320"/>
              </w:tabs>
              <w:ind w:left="139" w:right="10" w:firstLine="13"/>
              <w:jc w:val="center"/>
              <w:outlineLvl w:val="0"/>
              <w:rPr>
                <w:rFonts w:ascii="Calibri" w:hAnsi="Calibri"/>
                <w:b/>
                <w:sz w:val="20"/>
                <w:szCs w:val="20"/>
              </w:rPr>
            </w:pPr>
            <w:r>
              <w:rPr>
                <w:rFonts w:ascii="Calibri" w:hAnsi="Calibri"/>
                <w:b/>
                <w:sz w:val="20"/>
                <w:szCs w:val="20"/>
              </w:rPr>
              <w:t>n=10</w:t>
            </w:r>
            <w:r w:rsidR="00FB3A46">
              <w:rPr>
                <w:rFonts w:ascii="Calibri" w:hAnsi="Calibri"/>
                <w:b/>
                <w:sz w:val="20"/>
                <w:szCs w:val="20"/>
              </w:rPr>
              <w:t>0</w:t>
            </w:r>
          </w:p>
        </w:tc>
        <w:tc>
          <w:tcPr>
            <w:tcW w:w="1045" w:type="pct"/>
            <w:gridSpan w:val="2"/>
            <w:tcBorders>
              <w:top w:val="single" w:sz="4" w:space="0" w:color="auto"/>
              <w:left w:val="single" w:sz="4" w:space="0" w:color="auto"/>
              <w:bottom w:val="single" w:sz="4" w:space="0" w:color="auto"/>
              <w:right w:val="single" w:sz="4" w:space="0" w:color="auto"/>
            </w:tcBorders>
            <w:hideMark/>
          </w:tcPr>
          <w:p w:rsidR="004A5036" w:rsidRDefault="004A5036" w:rsidP="004A5036">
            <w:pPr>
              <w:keepNext/>
              <w:keepLines/>
              <w:tabs>
                <w:tab w:val="left" w:pos="1440"/>
                <w:tab w:val="decimal" w:pos="4320"/>
              </w:tabs>
              <w:ind w:left="139" w:right="10" w:firstLine="13"/>
              <w:jc w:val="center"/>
              <w:outlineLvl w:val="0"/>
              <w:rPr>
                <w:rFonts w:ascii="Calibri" w:hAnsi="Calibri"/>
                <w:b/>
                <w:sz w:val="20"/>
                <w:szCs w:val="20"/>
              </w:rPr>
            </w:pPr>
            <w:r>
              <w:rPr>
                <w:rFonts w:ascii="Calibri" w:hAnsi="Calibri"/>
                <w:b/>
                <w:sz w:val="20"/>
                <w:szCs w:val="20"/>
              </w:rPr>
              <w:t>Mental health</w:t>
            </w:r>
          </w:p>
          <w:p w:rsidR="00D86226" w:rsidRDefault="004A5036" w:rsidP="004A5036">
            <w:pPr>
              <w:keepNext/>
              <w:keepLines/>
              <w:tabs>
                <w:tab w:val="left" w:pos="1440"/>
                <w:tab w:val="decimal" w:pos="4320"/>
              </w:tabs>
              <w:ind w:left="139" w:right="10" w:firstLine="13"/>
              <w:jc w:val="center"/>
              <w:outlineLvl w:val="0"/>
              <w:rPr>
                <w:rFonts w:ascii="Calibri" w:hAnsi="Calibri"/>
                <w:b/>
                <w:sz w:val="20"/>
                <w:szCs w:val="20"/>
              </w:rPr>
            </w:pPr>
            <w:r>
              <w:rPr>
                <w:rFonts w:ascii="Calibri" w:hAnsi="Calibri"/>
                <w:b/>
                <w:sz w:val="20"/>
                <w:szCs w:val="20"/>
              </w:rPr>
              <w:t>n=98</w:t>
            </w:r>
          </w:p>
        </w:tc>
        <w:tc>
          <w:tcPr>
            <w:tcW w:w="975" w:type="pct"/>
            <w:gridSpan w:val="2"/>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ind w:left="139" w:right="10" w:firstLine="13"/>
              <w:jc w:val="center"/>
              <w:outlineLvl w:val="0"/>
              <w:rPr>
                <w:rFonts w:ascii="Calibri" w:hAnsi="Calibri"/>
                <w:b/>
                <w:sz w:val="20"/>
                <w:szCs w:val="20"/>
              </w:rPr>
            </w:pPr>
            <w:r>
              <w:rPr>
                <w:rFonts w:ascii="Calibri" w:hAnsi="Calibri"/>
                <w:b/>
                <w:sz w:val="20"/>
                <w:szCs w:val="20"/>
              </w:rPr>
              <w:t>Emergency department</w:t>
            </w:r>
          </w:p>
          <w:p w:rsidR="00D86226" w:rsidRDefault="00D86226" w:rsidP="00D86226">
            <w:pPr>
              <w:keepNext/>
              <w:keepLines/>
              <w:tabs>
                <w:tab w:val="left" w:pos="1440"/>
                <w:tab w:val="decimal" w:pos="4320"/>
              </w:tabs>
              <w:ind w:left="139" w:right="10" w:firstLine="13"/>
              <w:jc w:val="center"/>
              <w:outlineLvl w:val="0"/>
              <w:rPr>
                <w:rFonts w:ascii="Calibri" w:hAnsi="Calibri"/>
                <w:b/>
                <w:sz w:val="20"/>
                <w:szCs w:val="20"/>
              </w:rPr>
            </w:pPr>
            <w:r>
              <w:rPr>
                <w:rFonts w:ascii="Calibri" w:hAnsi="Calibri"/>
                <w:b/>
                <w:sz w:val="20"/>
                <w:szCs w:val="20"/>
              </w:rPr>
              <w:t>n=56</w:t>
            </w:r>
          </w:p>
        </w:tc>
        <w:tc>
          <w:tcPr>
            <w:tcW w:w="975" w:type="pct"/>
            <w:gridSpan w:val="2"/>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jc w:val="center"/>
              <w:rPr>
                <w:b/>
                <w:sz w:val="20"/>
                <w:szCs w:val="20"/>
              </w:rPr>
            </w:pPr>
            <w:r>
              <w:rPr>
                <w:b/>
                <w:sz w:val="20"/>
                <w:szCs w:val="20"/>
              </w:rPr>
              <w:t>Maternity</w:t>
            </w:r>
          </w:p>
          <w:p w:rsidR="00D86226" w:rsidRDefault="00D86226" w:rsidP="00D86226">
            <w:pPr>
              <w:keepNext/>
              <w:keepLines/>
              <w:jc w:val="center"/>
              <w:rPr>
                <w:b/>
                <w:sz w:val="20"/>
                <w:szCs w:val="20"/>
              </w:rPr>
            </w:pPr>
            <w:r>
              <w:rPr>
                <w:b/>
                <w:sz w:val="20"/>
                <w:szCs w:val="20"/>
              </w:rPr>
              <w:t>n=27</w:t>
            </w:r>
          </w:p>
        </w:tc>
      </w:tr>
      <w:tr w:rsidR="004A5036" w:rsidTr="004A5036">
        <w:tc>
          <w:tcPr>
            <w:tcW w:w="678"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Unexpected treatment outcome</w:t>
            </w:r>
          </w:p>
        </w:tc>
        <w:tc>
          <w:tcPr>
            <w:tcW w:w="281"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22%</w:t>
            </w:r>
          </w:p>
        </w:tc>
        <w:tc>
          <w:tcPr>
            <w:tcW w:w="696"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4A5036">
            <w:pPr>
              <w:keepNext/>
              <w:keepLines/>
              <w:tabs>
                <w:tab w:val="left" w:pos="1440"/>
                <w:tab w:val="decimal" w:pos="4320"/>
              </w:tabs>
              <w:jc w:val="left"/>
              <w:outlineLvl w:val="0"/>
              <w:rPr>
                <w:rFonts w:ascii="Calibri" w:hAnsi="Calibri"/>
                <w:sz w:val="20"/>
                <w:szCs w:val="20"/>
              </w:rPr>
            </w:pPr>
            <w:r>
              <w:rPr>
                <w:rFonts w:ascii="Calibri" w:hAnsi="Calibri"/>
                <w:sz w:val="20"/>
                <w:szCs w:val="20"/>
              </w:rPr>
              <w:t>Missed/</w:t>
            </w:r>
          </w:p>
          <w:p w:rsidR="004A5036" w:rsidRDefault="004A5036" w:rsidP="004A5036">
            <w:pPr>
              <w:keepNext/>
              <w:keepLines/>
              <w:tabs>
                <w:tab w:val="left" w:pos="1440"/>
                <w:tab w:val="decimal" w:pos="4320"/>
              </w:tabs>
              <w:jc w:val="left"/>
              <w:outlineLvl w:val="0"/>
              <w:rPr>
                <w:rFonts w:ascii="Calibri" w:hAnsi="Calibri"/>
                <w:sz w:val="20"/>
                <w:szCs w:val="20"/>
              </w:rPr>
            </w:pPr>
            <w:r>
              <w:rPr>
                <w:rFonts w:ascii="Calibri" w:hAnsi="Calibri"/>
                <w:sz w:val="20"/>
                <w:szCs w:val="20"/>
              </w:rPr>
              <w:t>incorrect/</w:t>
            </w:r>
          </w:p>
          <w:p w:rsidR="004A5036" w:rsidRDefault="004A5036" w:rsidP="004A5036">
            <w:pPr>
              <w:keepNext/>
              <w:keepLines/>
              <w:tabs>
                <w:tab w:val="left" w:pos="1440"/>
                <w:tab w:val="decimal" w:pos="4320"/>
              </w:tabs>
              <w:jc w:val="left"/>
              <w:outlineLvl w:val="0"/>
              <w:rPr>
                <w:rFonts w:ascii="Calibri" w:hAnsi="Calibri"/>
                <w:sz w:val="20"/>
                <w:szCs w:val="20"/>
              </w:rPr>
            </w:pPr>
            <w:r>
              <w:rPr>
                <w:rFonts w:ascii="Calibri" w:hAnsi="Calibri"/>
                <w:sz w:val="20"/>
                <w:szCs w:val="20"/>
              </w:rPr>
              <w:t>delayed diagnosis</w:t>
            </w:r>
          </w:p>
        </w:tc>
        <w:tc>
          <w:tcPr>
            <w:tcW w:w="349" w:type="pct"/>
            <w:tcBorders>
              <w:top w:val="single" w:sz="4" w:space="0" w:color="auto"/>
              <w:left w:val="single" w:sz="4" w:space="0" w:color="auto"/>
              <w:bottom w:val="single" w:sz="4" w:space="0" w:color="auto"/>
              <w:right w:val="single" w:sz="4" w:space="0" w:color="auto"/>
            </w:tcBorders>
            <w:vAlign w:val="center"/>
            <w:hideMark/>
          </w:tcPr>
          <w:p w:rsidR="004A5036" w:rsidRDefault="000A2BD7"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11</w:t>
            </w:r>
            <w:r w:rsidR="004A5036">
              <w:rPr>
                <w:rFonts w:ascii="Calibri" w:hAnsi="Calibri"/>
                <w:sz w:val="20"/>
                <w:szCs w:val="20"/>
              </w:rPr>
              <w:t>%</w:t>
            </w:r>
          </w:p>
        </w:tc>
        <w:tc>
          <w:tcPr>
            <w:tcW w:w="696"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4A5036">
            <w:pPr>
              <w:keepNext/>
              <w:keepLines/>
              <w:tabs>
                <w:tab w:val="left" w:pos="1440"/>
                <w:tab w:val="decimal" w:pos="4320"/>
              </w:tabs>
              <w:jc w:val="left"/>
              <w:outlineLvl w:val="0"/>
              <w:rPr>
                <w:rFonts w:ascii="Calibri" w:hAnsi="Calibri"/>
                <w:sz w:val="20"/>
                <w:szCs w:val="20"/>
              </w:rPr>
            </w:pPr>
            <w:r>
              <w:rPr>
                <w:rFonts w:ascii="Calibri" w:hAnsi="Calibri"/>
                <w:sz w:val="20"/>
                <w:szCs w:val="20"/>
              </w:rPr>
              <w:t>Issues with involuntary admission/</w:t>
            </w:r>
          </w:p>
          <w:p w:rsidR="004A5036" w:rsidRDefault="004A5036" w:rsidP="004A5036">
            <w:pPr>
              <w:keepNext/>
              <w:keepLines/>
              <w:tabs>
                <w:tab w:val="left" w:pos="1440"/>
                <w:tab w:val="decimal" w:pos="4320"/>
              </w:tabs>
              <w:jc w:val="left"/>
              <w:outlineLvl w:val="0"/>
              <w:rPr>
                <w:rFonts w:ascii="Calibri" w:hAnsi="Calibri"/>
                <w:sz w:val="20"/>
                <w:szCs w:val="20"/>
              </w:rPr>
            </w:pPr>
            <w:r>
              <w:rPr>
                <w:rFonts w:ascii="Calibri" w:hAnsi="Calibri"/>
                <w:sz w:val="20"/>
                <w:szCs w:val="20"/>
              </w:rPr>
              <w:t>treatment</w:t>
            </w:r>
          </w:p>
        </w:tc>
        <w:tc>
          <w:tcPr>
            <w:tcW w:w="349"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4A5036">
            <w:pPr>
              <w:keepNext/>
              <w:keepLines/>
              <w:tabs>
                <w:tab w:val="left" w:pos="1440"/>
                <w:tab w:val="decimal" w:pos="4320"/>
              </w:tabs>
              <w:jc w:val="center"/>
              <w:outlineLvl w:val="0"/>
              <w:rPr>
                <w:rFonts w:ascii="Calibri" w:hAnsi="Calibri"/>
                <w:sz w:val="20"/>
                <w:szCs w:val="20"/>
              </w:rPr>
            </w:pPr>
            <w:r>
              <w:rPr>
                <w:rFonts w:ascii="Calibri" w:hAnsi="Calibri"/>
                <w:sz w:val="20"/>
                <w:szCs w:val="20"/>
              </w:rPr>
              <w:t>27%</w:t>
            </w:r>
          </w:p>
        </w:tc>
        <w:tc>
          <w:tcPr>
            <w:tcW w:w="696"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Missed/</w:t>
            </w:r>
          </w:p>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incorrect/</w:t>
            </w:r>
          </w:p>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delayed diagnosis</w:t>
            </w:r>
          </w:p>
        </w:tc>
        <w:tc>
          <w:tcPr>
            <w:tcW w:w="279"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46%</w:t>
            </w:r>
          </w:p>
        </w:tc>
        <w:tc>
          <w:tcPr>
            <w:tcW w:w="696"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Inadequate/</w:t>
            </w:r>
          </w:p>
          <w:p w:rsidR="004A5036" w:rsidRDefault="004A5036" w:rsidP="00D86226">
            <w:pPr>
              <w:keepNext/>
              <w:keepLines/>
              <w:jc w:val="left"/>
              <w:rPr>
                <w:sz w:val="20"/>
                <w:szCs w:val="20"/>
              </w:rPr>
            </w:pPr>
            <w:r>
              <w:rPr>
                <w:rFonts w:ascii="Calibri" w:hAnsi="Calibri"/>
                <w:sz w:val="20"/>
                <w:szCs w:val="20"/>
              </w:rPr>
              <w:t>inappropriate treatment</w:t>
            </w:r>
          </w:p>
        </w:tc>
        <w:tc>
          <w:tcPr>
            <w:tcW w:w="279"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rPr>
                <w:sz w:val="20"/>
                <w:szCs w:val="20"/>
              </w:rPr>
            </w:pPr>
            <w:r>
              <w:rPr>
                <w:sz w:val="20"/>
                <w:szCs w:val="20"/>
              </w:rPr>
              <w:t>21%</w:t>
            </w:r>
          </w:p>
        </w:tc>
      </w:tr>
      <w:tr w:rsidR="004A5036" w:rsidTr="004A5036">
        <w:tc>
          <w:tcPr>
            <w:tcW w:w="678"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Missed/</w:t>
            </w:r>
          </w:p>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incorrect/</w:t>
            </w:r>
          </w:p>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delayed diagnosis</w:t>
            </w:r>
          </w:p>
        </w:tc>
        <w:tc>
          <w:tcPr>
            <w:tcW w:w="281"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16%</w:t>
            </w:r>
          </w:p>
        </w:tc>
        <w:tc>
          <w:tcPr>
            <w:tcW w:w="696" w:type="pct"/>
            <w:tcBorders>
              <w:top w:val="single" w:sz="4" w:space="0" w:color="auto"/>
              <w:left w:val="single" w:sz="4" w:space="0" w:color="auto"/>
              <w:bottom w:val="single" w:sz="4" w:space="0" w:color="auto"/>
              <w:right w:val="single" w:sz="4" w:space="0" w:color="auto"/>
            </w:tcBorders>
            <w:vAlign w:val="center"/>
            <w:hideMark/>
          </w:tcPr>
          <w:p w:rsidR="000A2BD7" w:rsidRDefault="000A2BD7" w:rsidP="000A2BD7">
            <w:pPr>
              <w:keepNext/>
              <w:keepLines/>
              <w:tabs>
                <w:tab w:val="left" w:pos="1440"/>
                <w:tab w:val="decimal" w:pos="4320"/>
              </w:tabs>
              <w:jc w:val="left"/>
              <w:outlineLvl w:val="0"/>
              <w:rPr>
                <w:rFonts w:ascii="Calibri" w:hAnsi="Calibri"/>
                <w:sz w:val="20"/>
                <w:szCs w:val="20"/>
              </w:rPr>
            </w:pPr>
            <w:r>
              <w:rPr>
                <w:rFonts w:ascii="Calibri" w:hAnsi="Calibri"/>
                <w:sz w:val="20"/>
                <w:szCs w:val="20"/>
              </w:rPr>
              <w:t>Waiting list/</w:t>
            </w:r>
          </w:p>
          <w:p w:rsidR="004A5036" w:rsidRDefault="000A2BD7" w:rsidP="000A2BD7">
            <w:pPr>
              <w:keepNext/>
              <w:keepLines/>
              <w:tabs>
                <w:tab w:val="left" w:pos="1440"/>
                <w:tab w:val="decimal" w:pos="4320"/>
              </w:tabs>
              <w:jc w:val="left"/>
              <w:outlineLvl w:val="0"/>
              <w:rPr>
                <w:rFonts w:ascii="Calibri" w:hAnsi="Calibri"/>
                <w:sz w:val="20"/>
                <w:szCs w:val="20"/>
              </w:rPr>
            </w:pPr>
            <w:r>
              <w:rPr>
                <w:rFonts w:ascii="Calibri" w:hAnsi="Calibri"/>
                <w:sz w:val="20"/>
                <w:szCs w:val="20"/>
              </w:rPr>
              <w:t>prioritisation issue</w:t>
            </w:r>
          </w:p>
        </w:tc>
        <w:tc>
          <w:tcPr>
            <w:tcW w:w="349"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9%</w:t>
            </w:r>
          </w:p>
        </w:tc>
        <w:tc>
          <w:tcPr>
            <w:tcW w:w="696"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4A5036">
            <w:pPr>
              <w:keepNext/>
              <w:keepLines/>
              <w:tabs>
                <w:tab w:val="left" w:pos="1440"/>
                <w:tab w:val="decimal" w:pos="4320"/>
              </w:tabs>
              <w:jc w:val="left"/>
              <w:outlineLvl w:val="0"/>
              <w:rPr>
                <w:rFonts w:ascii="Calibri" w:hAnsi="Calibri"/>
                <w:sz w:val="20"/>
                <w:szCs w:val="20"/>
              </w:rPr>
            </w:pPr>
            <w:r>
              <w:rPr>
                <w:rFonts w:ascii="Calibri" w:hAnsi="Calibri"/>
                <w:sz w:val="20"/>
                <w:szCs w:val="20"/>
              </w:rPr>
              <w:t>Inadequate</w:t>
            </w:r>
          </w:p>
          <w:p w:rsidR="004A5036" w:rsidRDefault="004A5036" w:rsidP="004A5036">
            <w:pPr>
              <w:keepNext/>
              <w:keepLines/>
              <w:tabs>
                <w:tab w:val="left" w:pos="1440"/>
                <w:tab w:val="decimal" w:pos="4320"/>
              </w:tabs>
              <w:jc w:val="left"/>
              <w:outlineLvl w:val="0"/>
              <w:rPr>
                <w:rFonts w:ascii="Calibri" w:hAnsi="Calibri"/>
                <w:sz w:val="20"/>
                <w:szCs w:val="20"/>
              </w:rPr>
            </w:pPr>
            <w:r>
              <w:rPr>
                <w:rFonts w:ascii="Calibri" w:hAnsi="Calibri"/>
                <w:sz w:val="20"/>
                <w:szCs w:val="20"/>
              </w:rPr>
              <w:t>examination/</w:t>
            </w:r>
          </w:p>
          <w:p w:rsidR="004A5036" w:rsidRDefault="004A5036" w:rsidP="004A5036">
            <w:pPr>
              <w:keepNext/>
              <w:keepLines/>
              <w:tabs>
                <w:tab w:val="left" w:pos="1440"/>
                <w:tab w:val="decimal" w:pos="4320"/>
              </w:tabs>
              <w:jc w:val="left"/>
              <w:outlineLvl w:val="0"/>
              <w:rPr>
                <w:rFonts w:ascii="Calibri" w:hAnsi="Calibri"/>
                <w:sz w:val="20"/>
                <w:szCs w:val="20"/>
              </w:rPr>
            </w:pPr>
            <w:r>
              <w:rPr>
                <w:rFonts w:ascii="Calibri" w:hAnsi="Calibri"/>
                <w:sz w:val="20"/>
                <w:szCs w:val="20"/>
              </w:rPr>
              <w:t>assessment</w:t>
            </w:r>
          </w:p>
        </w:tc>
        <w:tc>
          <w:tcPr>
            <w:tcW w:w="349"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4A5036">
            <w:pPr>
              <w:keepNext/>
              <w:keepLines/>
              <w:tabs>
                <w:tab w:val="left" w:pos="1440"/>
                <w:tab w:val="decimal" w:pos="4320"/>
              </w:tabs>
              <w:jc w:val="center"/>
              <w:outlineLvl w:val="0"/>
              <w:rPr>
                <w:rFonts w:ascii="Calibri" w:hAnsi="Calibri"/>
                <w:sz w:val="20"/>
                <w:szCs w:val="20"/>
              </w:rPr>
            </w:pPr>
            <w:r>
              <w:rPr>
                <w:rFonts w:ascii="Calibri" w:hAnsi="Calibri"/>
                <w:sz w:val="20"/>
                <w:szCs w:val="20"/>
              </w:rPr>
              <w:t>9%</w:t>
            </w:r>
          </w:p>
        </w:tc>
        <w:tc>
          <w:tcPr>
            <w:tcW w:w="696"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Disrespectful manner/</w:t>
            </w:r>
          </w:p>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attitude</w:t>
            </w:r>
          </w:p>
        </w:tc>
        <w:tc>
          <w:tcPr>
            <w:tcW w:w="279"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7%</w:t>
            </w:r>
          </w:p>
        </w:tc>
        <w:tc>
          <w:tcPr>
            <w:tcW w:w="696"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Missed/</w:t>
            </w:r>
          </w:p>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incorrect/</w:t>
            </w:r>
          </w:p>
          <w:p w:rsidR="004A5036" w:rsidRDefault="004A5036" w:rsidP="00D86226">
            <w:pPr>
              <w:keepNext/>
              <w:keepLines/>
              <w:jc w:val="left"/>
            </w:pPr>
            <w:r>
              <w:rPr>
                <w:rFonts w:ascii="Calibri" w:hAnsi="Calibri"/>
                <w:sz w:val="20"/>
                <w:szCs w:val="20"/>
              </w:rPr>
              <w:t>delayed diagnosis</w:t>
            </w:r>
          </w:p>
        </w:tc>
        <w:tc>
          <w:tcPr>
            <w:tcW w:w="279"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rPr>
                <w:sz w:val="20"/>
                <w:szCs w:val="20"/>
              </w:rPr>
            </w:pPr>
            <w:r>
              <w:rPr>
                <w:sz w:val="20"/>
                <w:szCs w:val="20"/>
              </w:rPr>
              <w:t>14%</w:t>
            </w:r>
          </w:p>
        </w:tc>
      </w:tr>
      <w:tr w:rsidR="004A5036" w:rsidTr="004A5036">
        <w:tc>
          <w:tcPr>
            <w:tcW w:w="678"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Waiting list/</w:t>
            </w:r>
          </w:p>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prioritisation issue</w:t>
            </w:r>
          </w:p>
        </w:tc>
        <w:tc>
          <w:tcPr>
            <w:tcW w:w="281" w:type="pct"/>
            <w:tcBorders>
              <w:top w:val="single" w:sz="4" w:space="0" w:color="auto"/>
              <w:left w:val="single" w:sz="4" w:space="0" w:color="auto"/>
              <w:bottom w:val="single" w:sz="4" w:space="0" w:color="auto"/>
              <w:right w:val="single" w:sz="4" w:space="0" w:color="auto"/>
            </w:tcBorders>
            <w:vAlign w:val="center"/>
          </w:tcPr>
          <w:p w:rsidR="004A5036" w:rsidRDefault="004A503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15%</w:t>
            </w:r>
          </w:p>
          <w:p w:rsidR="004A5036" w:rsidRDefault="004A5036" w:rsidP="00D86226">
            <w:pPr>
              <w:keepNext/>
              <w:keepLines/>
              <w:tabs>
                <w:tab w:val="left" w:pos="1440"/>
                <w:tab w:val="decimal" w:pos="4320"/>
              </w:tabs>
              <w:jc w:val="center"/>
              <w:outlineLvl w:val="0"/>
              <w:rPr>
                <w:rFonts w:ascii="Calibri" w:hAnsi="Calibri"/>
                <w:sz w:val="20"/>
                <w:szCs w:val="20"/>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0A2BD7" w:rsidRDefault="000A2BD7" w:rsidP="000A2BD7">
            <w:pPr>
              <w:keepNext/>
              <w:keepLines/>
              <w:tabs>
                <w:tab w:val="left" w:pos="1440"/>
                <w:tab w:val="decimal" w:pos="4320"/>
              </w:tabs>
              <w:jc w:val="left"/>
              <w:outlineLvl w:val="0"/>
              <w:rPr>
                <w:rFonts w:ascii="Calibri" w:hAnsi="Calibri"/>
                <w:sz w:val="20"/>
                <w:szCs w:val="20"/>
              </w:rPr>
            </w:pPr>
            <w:r>
              <w:rPr>
                <w:rFonts w:ascii="Calibri" w:hAnsi="Calibri"/>
                <w:sz w:val="20"/>
                <w:szCs w:val="20"/>
              </w:rPr>
              <w:t>Inadequate/</w:t>
            </w:r>
          </w:p>
          <w:p w:rsidR="004A5036" w:rsidRDefault="000A2BD7" w:rsidP="000A2BD7">
            <w:pPr>
              <w:keepNext/>
              <w:keepLines/>
              <w:tabs>
                <w:tab w:val="left" w:pos="1440"/>
                <w:tab w:val="decimal" w:pos="4320"/>
              </w:tabs>
              <w:jc w:val="left"/>
              <w:outlineLvl w:val="0"/>
              <w:rPr>
                <w:rFonts w:ascii="Calibri" w:hAnsi="Calibri"/>
                <w:sz w:val="20"/>
                <w:szCs w:val="20"/>
              </w:rPr>
            </w:pPr>
            <w:r>
              <w:rPr>
                <w:rFonts w:ascii="Calibri" w:hAnsi="Calibri"/>
                <w:sz w:val="20"/>
                <w:szCs w:val="20"/>
              </w:rPr>
              <w:t>inappropriate treatment</w:t>
            </w:r>
          </w:p>
        </w:tc>
        <w:tc>
          <w:tcPr>
            <w:tcW w:w="349" w:type="pct"/>
            <w:tcBorders>
              <w:top w:val="single" w:sz="4" w:space="0" w:color="auto"/>
              <w:left w:val="single" w:sz="4" w:space="0" w:color="auto"/>
              <w:bottom w:val="single" w:sz="4" w:space="0" w:color="auto"/>
              <w:right w:val="single" w:sz="4" w:space="0" w:color="auto"/>
            </w:tcBorders>
            <w:vAlign w:val="center"/>
          </w:tcPr>
          <w:p w:rsidR="004A5036" w:rsidRDefault="000A2BD7"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8</w:t>
            </w:r>
            <w:r w:rsidR="004A5036">
              <w:rPr>
                <w:rFonts w:ascii="Calibri" w:hAnsi="Calibri"/>
                <w:sz w:val="20"/>
                <w:szCs w:val="20"/>
              </w:rPr>
              <w:t>%</w:t>
            </w:r>
          </w:p>
          <w:p w:rsidR="004A5036" w:rsidRDefault="004A5036" w:rsidP="000A2BD7">
            <w:pPr>
              <w:keepNext/>
              <w:keepLines/>
              <w:tabs>
                <w:tab w:val="left" w:pos="1440"/>
                <w:tab w:val="decimal" w:pos="4320"/>
              </w:tabs>
              <w:jc w:val="center"/>
              <w:outlineLvl w:val="0"/>
              <w:rPr>
                <w:rFonts w:ascii="Calibri" w:hAnsi="Calibri"/>
                <w:sz w:val="20"/>
                <w:szCs w:val="20"/>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4A5036">
            <w:pPr>
              <w:keepNext/>
              <w:keepLines/>
              <w:tabs>
                <w:tab w:val="left" w:pos="1440"/>
                <w:tab w:val="decimal" w:pos="4320"/>
              </w:tabs>
              <w:jc w:val="left"/>
              <w:outlineLvl w:val="0"/>
              <w:rPr>
                <w:rFonts w:ascii="Calibri" w:hAnsi="Calibri"/>
                <w:sz w:val="20"/>
                <w:szCs w:val="20"/>
              </w:rPr>
            </w:pPr>
            <w:r>
              <w:rPr>
                <w:rFonts w:ascii="Calibri" w:hAnsi="Calibri"/>
                <w:sz w:val="20"/>
                <w:szCs w:val="20"/>
              </w:rPr>
              <w:t>Waiting list/</w:t>
            </w:r>
          </w:p>
          <w:p w:rsidR="004A5036" w:rsidRDefault="004A5036" w:rsidP="004A5036">
            <w:pPr>
              <w:keepNext/>
              <w:keepLines/>
              <w:tabs>
                <w:tab w:val="left" w:pos="1440"/>
                <w:tab w:val="decimal" w:pos="4320"/>
              </w:tabs>
              <w:jc w:val="left"/>
              <w:outlineLvl w:val="0"/>
              <w:rPr>
                <w:rFonts w:ascii="Calibri" w:hAnsi="Calibri"/>
                <w:sz w:val="20"/>
                <w:szCs w:val="20"/>
              </w:rPr>
            </w:pPr>
            <w:r>
              <w:rPr>
                <w:rFonts w:ascii="Calibri" w:hAnsi="Calibri"/>
                <w:sz w:val="20"/>
                <w:szCs w:val="20"/>
              </w:rPr>
              <w:t>prioritisation issue &amp; Lack of access to services</w:t>
            </w:r>
          </w:p>
        </w:tc>
        <w:tc>
          <w:tcPr>
            <w:tcW w:w="349" w:type="pct"/>
            <w:tcBorders>
              <w:top w:val="single" w:sz="4" w:space="0" w:color="auto"/>
              <w:left w:val="single" w:sz="4" w:space="0" w:color="auto"/>
              <w:bottom w:val="single" w:sz="4" w:space="0" w:color="auto"/>
              <w:right w:val="single" w:sz="4" w:space="0" w:color="auto"/>
            </w:tcBorders>
            <w:vAlign w:val="center"/>
          </w:tcPr>
          <w:p w:rsidR="004A5036" w:rsidRDefault="004A5036" w:rsidP="004A5036">
            <w:pPr>
              <w:keepNext/>
              <w:keepLines/>
              <w:tabs>
                <w:tab w:val="left" w:pos="1440"/>
                <w:tab w:val="decimal" w:pos="4320"/>
              </w:tabs>
              <w:jc w:val="center"/>
              <w:outlineLvl w:val="0"/>
              <w:rPr>
                <w:rFonts w:ascii="Calibri" w:hAnsi="Calibri"/>
                <w:sz w:val="20"/>
                <w:szCs w:val="20"/>
              </w:rPr>
            </w:pPr>
            <w:r>
              <w:rPr>
                <w:rFonts w:ascii="Calibri" w:hAnsi="Calibri"/>
                <w:sz w:val="20"/>
                <w:szCs w:val="20"/>
              </w:rPr>
              <w:t>5%</w:t>
            </w:r>
          </w:p>
          <w:p w:rsidR="004A5036" w:rsidRDefault="004A5036" w:rsidP="004A5036">
            <w:pPr>
              <w:keepNext/>
              <w:keepLines/>
              <w:tabs>
                <w:tab w:val="left" w:pos="1440"/>
                <w:tab w:val="decimal" w:pos="4320"/>
              </w:tabs>
              <w:jc w:val="center"/>
              <w:outlineLvl w:val="0"/>
              <w:rPr>
                <w:rFonts w:ascii="Calibri" w:hAnsi="Calibri"/>
                <w:sz w:val="20"/>
                <w:szCs w:val="20"/>
              </w:rPr>
            </w:pPr>
            <w:r>
              <w:rPr>
                <w:rFonts w:ascii="Calibri" w:hAnsi="Calibri"/>
                <w:sz w:val="20"/>
                <w:szCs w:val="20"/>
              </w:rPr>
              <w:t>each</w:t>
            </w:r>
          </w:p>
          <w:p w:rsidR="004A5036" w:rsidRDefault="004A5036" w:rsidP="004A5036">
            <w:pPr>
              <w:keepNext/>
              <w:keepLines/>
              <w:tabs>
                <w:tab w:val="left" w:pos="1440"/>
                <w:tab w:val="decimal" w:pos="4320"/>
              </w:tabs>
              <w:jc w:val="center"/>
              <w:outlineLvl w:val="0"/>
              <w:rPr>
                <w:rFonts w:ascii="Calibri" w:hAnsi="Calibri"/>
                <w:sz w:val="20"/>
                <w:szCs w:val="20"/>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Waiting list/</w:t>
            </w:r>
          </w:p>
          <w:p w:rsidR="004A5036" w:rsidRDefault="004A5036" w:rsidP="00D86226">
            <w:pPr>
              <w:keepNext/>
              <w:keepLines/>
              <w:tabs>
                <w:tab w:val="left" w:pos="1440"/>
                <w:tab w:val="decimal" w:pos="4320"/>
              </w:tabs>
              <w:jc w:val="left"/>
              <w:outlineLvl w:val="0"/>
              <w:rPr>
                <w:rFonts w:ascii="Calibri" w:hAnsi="Calibri"/>
                <w:sz w:val="20"/>
                <w:szCs w:val="20"/>
              </w:rPr>
            </w:pPr>
            <w:r>
              <w:rPr>
                <w:rFonts w:ascii="Calibri" w:hAnsi="Calibri"/>
                <w:sz w:val="20"/>
                <w:szCs w:val="20"/>
              </w:rPr>
              <w:t>prioritisation issue</w:t>
            </w:r>
          </w:p>
        </w:tc>
        <w:tc>
          <w:tcPr>
            <w:tcW w:w="279"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center"/>
              <w:outlineLvl w:val="0"/>
              <w:rPr>
                <w:rFonts w:ascii="Calibri" w:hAnsi="Calibri"/>
                <w:sz w:val="20"/>
                <w:szCs w:val="20"/>
              </w:rPr>
            </w:pPr>
            <w:r>
              <w:rPr>
                <w:rFonts w:ascii="Calibri" w:hAnsi="Calibri"/>
                <w:sz w:val="20"/>
                <w:szCs w:val="20"/>
              </w:rPr>
              <w:t>7%</w:t>
            </w:r>
          </w:p>
        </w:tc>
        <w:tc>
          <w:tcPr>
            <w:tcW w:w="696"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tabs>
                <w:tab w:val="left" w:pos="1440"/>
                <w:tab w:val="decimal" w:pos="4320"/>
              </w:tabs>
              <w:jc w:val="left"/>
              <w:outlineLvl w:val="0"/>
            </w:pPr>
            <w:r>
              <w:rPr>
                <w:rFonts w:ascii="Calibri" w:hAnsi="Calibri"/>
                <w:sz w:val="20"/>
                <w:szCs w:val="20"/>
              </w:rPr>
              <w:t>Delay in treatment</w:t>
            </w:r>
          </w:p>
        </w:tc>
        <w:tc>
          <w:tcPr>
            <w:tcW w:w="279" w:type="pct"/>
            <w:tcBorders>
              <w:top w:val="single" w:sz="4" w:space="0" w:color="auto"/>
              <w:left w:val="single" w:sz="4" w:space="0" w:color="auto"/>
              <w:bottom w:val="single" w:sz="4" w:space="0" w:color="auto"/>
              <w:right w:val="single" w:sz="4" w:space="0" w:color="auto"/>
            </w:tcBorders>
            <w:vAlign w:val="center"/>
            <w:hideMark/>
          </w:tcPr>
          <w:p w:rsidR="004A5036" w:rsidRDefault="004A5036" w:rsidP="00D86226">
            <w:pPr>
              <w:keepNext/>
              <w:keepLines/>
              <w:rPr>
                <w:sz w:val="20"/>
                <w:szCs w:val="20"/>
              </w:rPr>
            </w:pPr>
            <w:r>
              <w:rPr>
                <w:sz w:val="20"/>
                <w:szCs w:val="20"/>
              </w:rPr>
              <w:t>14%</w:t>
            </w:r>
          </w:p>
        </w:tc>
      </w:tr>
    </w:tbl>
    <w:p w:rsidR="00D86226" w:rsidRDefault="00D86226" w:rsidP="00D86226"/>
    <w:p w:rsidR="00D86226" w:rsidRDefault="00D86226" w:rsidP="00D86226"/>
    <w:p w:rsidR="00D86226" w:rsidRDefault="00D86226" w:rsidP="00D86226"/>
    <w:p w:rsidR="00D86226" w:rsidRDefault="00D86226" w:rsidP="00D86226"/>
    <w:p w:rsidR="00D86226" w:rsidRDefault="00D86226" w:rsidP="00D86226"/>
    <w:p w:rsidR="00D86226" w:rsidRDefault="00D86226" w:rsidP="00D86226"/>
    <w:p w:rsidR="00D86226" w:rsidRDefault="00D86226" w:rsidP="00D86226"/>
    <w:p w:rsidR="00D86226" w:rsidRDefault="00D86226" w:rsidP="00D86226"/>
    <w:p w:rsidR="00D86226" w:rsidRDefault="00D86226" w:rsidP="00D86226"/>
    <w:p w:rsidR="00D86226" w:rsidRDefault="00D86226" w:rsidP="00D86226"/>
    <w:p w:rsidR="00D86226" w:rsidRDefault="00D86226" w:rsidP="00D86226"/>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pStyle w:val="Heading2"/>
        <w:spacing w:before="360"/>
        <w:rPr>
          <w:lang w:val="en-NZ"/>
        </w:rPr>
      </w:pPr>
      <w:bookmarkStart w:id="90" w:name="_Toc443992231"/>
      <w:bookmarkStart w:id="91" w:name="_Toc493680291"/>
      <w:bookmarkStart w:id="92" w:name="_Toc493684132"/>
      <w:r>
        <w:rPr>
          <w:lang w:val="en-NZ"/>
        </w:rPr>
        <w:t>4.0</w:t>
      </w:r>
      <w:r>
        <w:rPr>
          <w:lang w:val="en-NZ"/>
        </w:rPr>
        <w:tab/>
        <w:t>Complaints closed</w:t>
      </w:r>
      <w:bookmarkEnd w:id="90"/>
      <w:bookmarkEnd w:id="91"/>
      <w:bookmarkEnd w:id="92"/>
      <w:r>
        <w:rPr>
          <w:lang w:val="en-NZ"/>
        </w:rPr>
        <w:t xml:space="preserve"> </w:t>
      </w:r>
    </w:p>
    <w:p w:rsidR="00D86226" w:rsidRDefault="00D86226" w:rsidP="00D86226">
      <w:pPr>
        <w:pStyle w:val="Heading3"/>
      </w:pPr>
      <w:bookmarkStart w:id="93" w:name="_Toc426462637"/>
      <w:bookmarkStart w:id="94" w:name="_Toc443992232"/>
      <w:bookmarkStart w:id="95" w:name="_Toc493680292"/>
      <w:bookmarkStart w:id="96" w:name="_Toc493684133"/>
      <w:r>
        <w:t>4.1</w:t>
      </w:r>
      <w:r>
        <w:tab/>
        <w:t>Number of complaints closed</w:t>
      </w:r>
      <w:bookmarkEnd w:id="93"/>
      <w:bookmarkEnd w:id="94"/>
      <w:bookmarkEnd w:id="95"/>
      <w:bookmarkEnd w:id="96"/>
    </w:p>
    <w:p w:rsidR="00D86226" w:rsidRDefault="00D86226" w:rsidP="00D86226">
      <w:r>
        <w:t xml:space="preserve">HDC closed </w:t>
      </w:r>
      <w:r>
        <w:rPr>
          <w:b/>
        </w:rPr>
        <w:t>465</w:t>
      </w:r>
      <w:r>
        <w:rPr>
          <w:rStyle w:val="FootnoteReference"/>
          <w:rFonts w:ascii="Calibri" w:hAnsi="Calibri"/>
          <w:szCs w:val="22"/>
        </w:rPr>
        <w:footnoteReference w:id="4"/>
      </w:r>
      <w:r>
        <w:rPr>
          <w:b/>
        </w:rPr>
        <w:t xml:space="preserve"> </w:t>
      </w:r>
      <w:r>
        <w:t>complaints involving DHBs in the period Jan–Jun 2017. Table 10 shows the number of complaints closed in previous six month periods.</w:t>
      </w:r>
    </w:p>
    <w:p w:rsidR="00D86226" w:rsidRDefault="00D86226" w:rsidP="00D86226"/>
    <w:p w:rsidR="00D86226" w:rsidRDefault="00D86226" w:rsidP="00D86226">
      <w:pPr>
        <w:spacing w:after="120"/>
      </w:pPr>
      <w:r>
        <w:rPr>
          <w:b/>
        </w:rPr>
        <w:t>Table 10.</w:t>
      </w:r>
      <w:r>
        <w:t xml:space="preserve"> Number of complaints about DHBs closed in last five years</w:t>
      </w:r>
    </w:p>
    <w:tbl>
      <w:tblPr>
        <w:tblStyle w:val="TableGrid"/>
        <w:tblpPr w:leftFromText="180" w:rightFromText="180" w:vertAnchor="text" w:horzAnchor="margin" w:tblpX="114" w:tblpY="105"/>
        <w:tblW w:w="4900" w:type="pct"/>
        <w:tblLook w:val="04A0" w:firstRow="1" w:lastRow="0" w:firstColumn="1" w:lastColumn="0" w:noHBand="0" w:noVBand="1"/>
      </w:tblPr>
      <w:tblGrid>
        <w:gridCol w:w="1226"/>
        <w:gridCol w:w="703"/>
        <w:gridCol w:w="588"/>
        <w:gridCol w:w="698"/>
        <w:gridCol w:w="701"/>
        <w:gridCol w:w="701"/>
        <w:gridCol w:w="701"/>
        <w:gridCol w:w="703"/>
        <w:gridCol w:w="701"/>
        <w:gridCol w:w="702"/>
        <w:gridCol w:w="996"/>
        <w:gridCol w:w="692"/>
      </w:tblGrid>
      <w:tr w:rsidR="00D86226" w:rsidTr="00D86226">
        <w:tc>
          <w:tcPr>
            <w:tcW w:w="674" w:type="pct"/>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jc w:val="left"/>
              <w:rPr>
                <w:rFonts w:ascii="Calibri" w:hAnsi="Calibri"/>
                <w:b/>
                <w:sz w:val="20"/>
                <w:szCs w:val="20"/>
              </w:rPr>
            </w:pPr>
          </w:p>
          <w:p w:rsidR="00D86226" w:rsidRDefault="00D86226" w:rsidP="00D86226">
            <w:pPr>
              <w:keepNext/>
              <w:keepLines/>
              <w:jc w:val="left"/>
              <w:rPr>
                <w:rFonts w:ascii="Calibri" w:hAnsi="Calibri"/>
                <w:b/>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b/>
                <w:sz w:val="20"/>
                <w:szCs w:val="20"/>
              </w:rPr>
            </w:pPr>
            <w:r>
              <w:rPr>
                <w:rFonts w:ascii="Calibri" w:hAnsi="Calibri"/>
                <w:b/>
                <w:sz w:val="20"/>
                <w:szCs w:val="20"/>
              </w:rPr>
              <w:t>Jul–Dec 12</w:t>
            </w:r>
          </w:p>
        </w:tc>
        <w:tc>
          <w:tcPr>
            <w:tcW w:w="310"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b/>
                <w:sz w:val="20"/>
                <w:szCs w:val="20"/>
              </w:rPr>
            </w:pPr>
            <w:r>
              <w:rPr>
                <w:rFonts w:ascii="Calibri" w:hAnsi="Calibri"/>
                <w:b/>
                <w:sz w:val="20"/>
                <w:szCs w:val="20"/>
              </w:rPr>
              <w:t>Jan–Jun 13</w:t>
            </w:r>
          </w:p>
        </w:tc>
        <w:tc>
          <w:tcPr>
            <w:tcW w:w="384"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Jul–Dec 13</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 xml:space="preserve">Jan–Jun </w:t>
            </w:r>
            <w:r>
              <w:rPr>
                <w:rFonts w:ascii="Calibri" w:hAnsi="Calibri"/>
                <w:b/>
                <w:sz w:val="20"/>
                <w:szCs w:val="20"/>
              </w:rPr>
              <w:br/>
              <w:t>14</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 xml:space="preserve">Jul–Dec </w:t>
            </w:r>
            <w:r>
              <w:rPr>
                <w:rFonts w:ascii="Calibri" w:hAnsi="Calibri"/>
                <w:b/>
                <w:sz w:val="20"/>
                <w:szCs w:val="20"/>
              </w:rPr>
              <w:br/>
              <w:t>14</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Jan–Jun</w:t>
            </w:r>
            <w:r>
              <w:rPr>
                <w:rFonts w:ascii="Calibri" w:hAnsi="Calibri"/>
                <w:b/>
                <w:sz w:val="20"/>
                <w:szCs w:val="20"/>
              </w:rPr>
              <w:br/>
              <w:t>15</w:t>
            </w:r>
          </w:p>
        </w:tc>
        <w:tc>
          <w:tcPr>
            <w:tcW w:w="387"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Jul–Dec</w:t>
            </w:r>
            <w:r>
              <w:rPr>
                <w:rFonts w:ascii="Calibri" w:hAnsi="Calibri"/>
                <w:b/>
                <w:sz w:val="20"/>
                <w:szCs w:val="20"/>
              </w:rPr>
              <w:br/>
              <w:t>15</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Jan–Jun</w:t>
            </w:r>
            <w:r>
              <w:rPr>
                <w:rFonts w:ascii="Calibri" w:hAnsi="Calibri"/>
                <w:b/>
                <w:sz w:val="20"/>
                <w:szCs w:val="20"/>
              </w:rPr>
              <w:br/>
              <w:t>16</w:t>
            </w:r>
          </w:p>
        </w:tc>
        <w:tc>
          <w:tcPr>
            <w:tcW w:w="386"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Jul–Dec</w:t>
            </w:r>
            <w:r>
              <w:rPr>
                <w:rFonts w:ascii="Calibri" w:hAnsi="Calibri"/>
                <w:b/>
                <w:sz w:val="20"/>
                <w:szCs w:val="20"/>
              </w:rPr>
              <w:br/>
              <w:t>16</w:t>
            </w:r>
          </w:p>
        </w:tc>
        <w:tc>
          <w:tcPr>
            <w:tcW w:w="547"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20"/>
              <w:jc w:val="center"/>
              <w:rPr>
                <w:rFonts w:ascii="Calibri" w:hAnsi="Calibri"/>
                <w:b/>
                <w:sz w:val="20"/>
                <w:szCs w:val="20"/>
              </w:rPr>
            </w:pPr>
            <w:r>
              <w:rPr>
                <w:rFonts w:ascii="Calibri" w:hAnsi="Calibri"/>
                <w:b/>
                <w:sz w:val="20"/>
                <w:szCs w:val="20"/>
              </w:rPr>
              <w:t xml:space="preserve">Average of last 4  </w:t>
            </w:r>
          </w:p>
          <w:p w:rsidR="00D86226" w:rsidRDefault="00D86226" w:rsidP="00D86226">
            <w:pPr>
              <w:keepNext/>
              <w:keepLines/>
              <w:jc w:val="center"/>
              <w:rPr>
                <w:rFonts w:ascii="Calibri" w:hAnsi="Calibri"/>
                <w:b/>
                <w:sz w:val="20"/>
                <w:szCs w:val="20"/>
              </w:rPr>
            </w:pPr>
            <w:r>
              <w:rPr>
                <w:rFonts w:ascii="Calibri" w:hAnsi="Calibri"/>
                <w:b/>
                <w:sz w:val="20"/>
                <w:szCs w:val="20"/>
              </w:rPr>
              <w:t>6-month periods</w:t>
            </w:r>
          </w:p>
        </w:tc>
        <w:tc>
          <w:tcPr>
            <w:tcW w:w="380" w:type="pct"/>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spacing w:before="180"/>
              <w:jc w:val="center"/>
              <w:rPr>
                <w:rFonts w:ascii="Calibri" w:hAnsi="Calibri"/>
                <w:b/>
                <w:sz w:val="20"/>
                <w:szCs w:val="20"/>
              </w:rPr>
            </w:pPr>
            <w:r>
              <w:rPr>
                <w:rFonts w:ascii="Calibri" w:hAnsi="Calibri"/>
                <w:b/>
                <w:sz w:val="20"/>
                <w:szCs w:val="20"/>
              </w:rPr>
              <w:t>Jan–Jul</w:t>
            </w:r>
          </w:p>
          <w:p w:rsidR="00D86226" w:rsidRDefault="00D86226" w:rsidP="00D86226">
            <w:pPr>
              <w:keepNext/>
              <w:keepLines/>
              <w:jc w:val="center"/>
              <w:rPr>
                <w:rFonts w:ascii="Calibri" w:hAnsi="Calibri"/>
                <w:b/>
                <w:sz w:val="20"/>
                <w:szCs w:val="20"/>
              </w:rPr>
            </w:pPr>
            <w:r>
              <w:rPr>
                <w:rFonts w:ascii="Calibri" w:hAnsi="Calibri"/>
                <w:b/>
                <w:sz w:val="20"/>
                <w:szCs w:val="20"/>
              </w:rPr>
              <w:t>17</w:t>
            </w:r>
          </w:p>
        </w:tc>
      </w:tr>
      <w:tr w:rsidR="00D86226" w:rsidTr="00D86226">
        <w:tc>
          <w:tcPr>
            <w:tcW w:w="674"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spacing w:after="40"/>
              <w:jc w:val="left"/>
              <w:rPr>
                <w:rFonts w:ascii="Calibri" w:hAnsi="Calibri"/>
                <w:b/>
                <w:sz w:val="20"/>
                <w:szCs w:val="20"/>
              </w:rPr>
            </w:pPr>
            <w:r>
              <w:rPr>
                <w:rFonts w:ascii="Calibri" w:hAnsi="Calibri"/>
                <w:b/>
                <w:sz w:val="20"/>
                <w:szCs w:val="20"/>
              </w:rPr>
              <w:t>Number of complaints closed</w:t>
            </w:r>
          </w:p>
        </w:tc>
        <w:tc>
          <w:tcPr>
            <w:tcW w:w="38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254</w:t>
            </w:r>
          </w:p>
        </w:tc>
        <w:tc>
          <w:tcPr>
            <w:tcW w:w="310"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337</w:t>
            </w:r>
          </w:p>
        </w:tc>
        <w:tc>
          <w:tcPr>
            <w:tcW w:w="384"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280</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411</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344</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410</w:t>
            </w:r>
          </w:p>
        </w:tc>
        <w:tc>
          <w:tcPr>
            <w:tcW w:w="38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365</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482</w:t>
            </w:r>
          </w:p>
        </w:tc>
        <w:tc>
          <w:tcPr>
            <w:tcW w:w="386"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sz w:val="20"/>
                <w:szCs w:val="20"/>
              </w:rPr>
            </w:pPr>
            <w:r>
              <w:rPr>
                <w:rFonts w:ascii="Calibri" w:hAnsi="Calibri"/>
                <w:sz w:val="20"/>
                <w:szCs w:val="20"/>
              </w:rPr>
              <w:t>316</w:t>
            </w:r>
          </w:p>
        </w:tc>
        <w:tc>
          <w:tcPr>
            <w:tcW w:w="547"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b/>
                <w:sz w:val="20"/>
                <w:szCs w:val="20"/>
              </w:rPr>
            </w:pPr>
            <w:r>
              <w:rPr>
                <w:rFonts w:ascii="Calibri" w:hAnsi="Calibri"/>
                <w:b/>
                <w:sz w:val="20"/>
                <w:szCs w:val="20"/>
              </w:rPr>
              <w:t>393</w:t>
            </w:r>
          </w:p>
        </w:tc>
        <w:tc>
          <w:tcPr>
            <w:tcW w:w="380" w:type="pct"/>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keepNext/>
              <w:keepLines/>
              <w:jc w:val="center"/>
              <w:rPr>
                <w:rFonts w:ascii="Calibri" w:hAnsi="Calibri"/>
                <w:b/>
                <w:sz w:val="20"/>
                <w:szCs w:val="20"/>
              </w:rPr>
            </w:pPr>
            <w:r>
              <w:rPr>
                <w:rFonts w:ascii="Calibri" w:hAnsi="Calibri"/>
                <w:b/>
                <w:sz w:val="20"/>
                <w:szCs w:val="20"/>
              </w:rPr>
              <w:t>465</w:t>
            </w:r>
          </w:p>
        </w:tc>
      </w:tr>
    </w:tbl>
    <w:p w:rsidR="00D86226" w:rsidRDefault="00D86226" w:rsidP="00D86226"/>
    <w:p w:rsidR="00D86226" w:rsidRDefault="00D86226" w:rsidP="00D86226">
      <w:bookmarkStart w:id="97" w:name="_Toc415221219"/>
      <w:bookmarkStart w:id="98" w:name="_Toc415153518"/>
      <w:bookmarkStart w:id="99" w:name="_Toc415147244"/>
      <w:bookmarkStart w:id="100" w:name="_Toc415135530"/>
      <w:bookmarkStart w:id="101" w:name="_Toc415046458"/>
      <w:bookmarkStart w:id="102" w:name="_Toc415039802"/>
      <w:bookmarkStart w:id="103" w:name="_Toc414952831"/>
      <w:bookmarkStart w:id="104" w:name="_Toc414886546"/>
      <w:bookmarkStart w:id="105" w:name="_Toc414875836"/>
      <w:bookmarkStart w:id="106" w:name="_Toc414461838"/>
      <w:bookmarkStart w:id="107" w:name="_Toc414442657"/>
    </w:p>
    <w:p w:rsidR="00D86226" w:rsidRDefault="00D86226" w:rsidP="00D86226">
      <w:pPr>
        <w:pStyle w:val="Heading3"/>
      </w:pPr>
      <w:bookmarkStart w:id="108" w:name="_Toc426462638"/>
      <w:bookmarkStart w:id="109" w:name="_Toc443992233"/>
      <w:bookmarkStart w:id="110" w:name="_Toc493680293"/>
      <w:bookmarkStart w:id="111" w:name="_Toc493684134"/>
      <w:r>
        <w:t>4.2</w:t>
      </w:r>
      <w:r>
        <w:tab/>
        <w:t>Outcomes of complaints closed</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D86226" w:rsidRDefault="00D86226" w:rsidP="00D86226">
      <w:pPr>
        <w:rPr>
          <w:lang w:eastAsia="en-NZ" w:bidi="ar-SA"/>
        </w:rPr>
      </w:pPr>
      <w:r>
        <w:t xml:space="preserve">Complaints that are within HDC’s jurisdiction are classified into two groups according to the manner of resolution </w:t>
      </w:r>
      <w:r>
        <w:rPr>
          <w:rFonts w:ascii="Calibri" w:hAnsi="Calibri"/>
        </w:rPr>
        <w:t>—</w:t>
      </w:r>
      <w:r>
        <w:t xml:space="preserve"> whether formal investigation or other resolution. Within each classification, there is a variety of possible outcomes. Once HDC has notified a DHB that a complaint concerning that DHB is to be investigated, the complaint remains </w:t>
      </w:r>
      <w:r>
        <w:rPr>
          <w:rFonts w:cs="Calibri"/>
        </w:rPr>
        <w:t>classified</w:t>
      </w:r>
      <w:r>
        <w:t xml:space="preserve"> as an investigation, even though an alternative manner of resolution may subsequently be adopted. Notification of investigation generally indicates more serious or </w:t>
      </w:r>
      <w:r>
        <w:rPr>
          <w:lang w:eastAsia="en-NZ" w:bidi="ar-SA"/>
        </w:rPr>
        <w:t xml:space="preserve">complex issues. </w:t>
      </w:r>
    </w:p>
    <w:p w:rsidR="00D86226" w:rsidRDefault="00D86226" w:rsidP="00D86226">
      <w:pPr>
        <w:rPr>
          <w:lang w:eastAsia="en-NZ" w:bidi="ar-SA"/>
        </w:rPr>
      </w:pPr>
    </w:p>
    <w:p w:rsidR="00D86226" w:rsidRDefault="00D86226" w:rsidP="00D86226">
      <w:pPr>
        <w:rPr>
          <w:lang w:eastAsia="en-NZ"/>
        </w:rPr>
      </w:pPr>
      <w:r w:rsidRPr="009332E6">
        <w:rPr>
          <w:lang w:eastAsia="en-NZ"/>
        </w:rPr>
        <w:t xml:space="preserve">In the </w:t>
      </w:r>
      <w:r>
        <w:t>Jan</w:t>
      </w:r>
      <w:r w:rsidRPr="009332E6">
        <w:t>–</w:t>
      </w:r>
      <w:r>
        <w:t>Jun 2017</w:t>
      </w:r>
      <w:r w:rsidRPr="009332E6">
        <w:t xml:space="preserve"> </w:t>
      </w:r>
      <w:r w:rsidRPr="009332E6">
        <w:rPr>
          <w:lang w:eastAsia="en-NZ"/>
        </w:rPr>
        <w:t>period,</w:t>
      </w:r>
      <w:r>
        <w:rPr>
          <w:b/>
          <w:lang w:eastAsia="en-NZ"/>
        </w:rPr>
        <w:t xml:space="preserve"> 4</w:t>
      </w:r>
      <w:r w:rsidRPr="009332E6">
        <w:rPr>
          <w:b/>
          <w:lang w:eastAsia="en-NZ"/>
        </w:rPr>
        <w:t xml:space="preserve"> </w:t>
      </w:r>
      <w:r w:rsidRPr="009332E6">
        <w:rPr>
          <w:lang w:eastAsia="en-NZ"/>
        </w:rPr>
        <w:t>DHBs had no investigations closed,</w:t>
      </w:r>
      <w:r>
        <w:rPr>
          <w:b/>
          <w:lang w:eastAsia="en-NZ"/>
        </w:rPr>
        <w:t xml:space="preserve"> 8</w:t>
      </w:r>
      <w:r w:rsidRPr="009332E6">
        <w:rPr>
          <w:b/>
          <w:lang w:eastAsia="en-NZ"/>
        </w:rPr>
        <w:t xml:space="preserve"> </w:t>
      </w:r>
      <w:r w:rsidRPr="009332E6">
        <w:rPr>
          <w:lang w:eastAsia="en-NZ"/>
        </w:rPr>
        <w:t xml:space="preserve">DHBs </w:t>
      </w:r>
      <w:r>
        <w:rPr>
          <w:lang w:eastAsia="en-NZ"/>
        </w:rPr>
        <w:t>had one investigation closed,</w:t>
      </w:r>
      <w:r w:rsidRPr="009332E6">
        <w:rPr>
          <w:lang w:eastAsia="en-NZ"/>
        </w:rPr>
        <w:t xml:space="preserve"> </w:t>
      </w:r>
      <w:r>
        <w:rPr>
          <w:b/>
          <w:lang w:eastAsia="en-NZ"/>
        </w:rPr>
        <w:t>2</w:t>
      </w:r>
      <w:r w:rsidRPr="009332E6">
        <w:rPr>
          <w:lang w:eastAsia="en-NZ"/>
        </w:rPr>
        <w:t xml:space="preserve"> DHBs had two investigations closed</w:t>
      </w:r>
      <w:r>
        <w:rPr>
          <w:lang w:eastAsia="en-NZ"/>
        </w:rPr>
        <w:t xml:space="preserve">, </w:t>
      </w:r>
      <w:r>
        <w:rPr>
          <w:b/>
          <w:lang w:eastAsia="en-NZ"/>
        </w:rPr>
        <w:t>4</w:t>
      </w:r>
      <w:r>
        <w:rPr>
          <w:lang w:eastAsia="en-NZ"/>
        </w:rPr>
        <w:t xml:space="preserve"> DHBs had three</w:t>
      </w:r>
      <w:r w:rsidRPr="009332E6">
        <w:rPr>
          <w:lang w:eastAsia="en-NZ"/>
        </w:rPr>
        <w:t xml:space="preserve"> investigations closed</w:t>
      </w:r>
      <w:r>
        <w:rPr>
          <w:lang w:eastAsia="en-NZ"/>
        </w:rPr>
        <w:t xml:space="preserve">, </w:t>
      </w:r>
      <w:r>
        <w:rPr>
          <w:b/>
          <w:lang w:eastAsia="en-NZ"/>
        </w:rPr>
        <w:t>1</w:t>
      </w:r>
      <w:r>
        <w:rPr>
          <w:lang w:eastAsia="en-NZ"/>
        </w:rPr>
        <w:t xml:space="preserve"> DHB had four</w:t>
      </w:r>
      <w:r w:rsidRPr="009332E6">
        <w:rPr>
          <w:lang w:eastAsia="en-NZ"/>
        </w:rPr>
        <w:t xml:space="preserve"> investigations closed</w:t>
      </w:r>
      <w:r>
        <w:rPr>
          <w:lang w:eastAsia="en-NZ"/>
        </w:rPr>
        <w:t xml:space="preserve"> and </w:t>
      </w:r>
      <w:r>
        <w:rPr>
          <w:b/>
          <w:lang w:eastAsia="en-NZ"/>
        </w:rPr>
        <w:t>1</w:t>
      </w:r>
      <w:r>
        <w:rPr>
          <w:lang w:eastAsia="en-NZ"/>
        </w:rPr>
        <w:t xml:space="preserve"> DHB had six</w:t>
      </w:r>
      <w:r w:rsidRPr="009332E6">
        <w:rPr>
          <w:lang w:eastAsia="en-NZ"/>
        </w:rPr>
        <w:t xml:space="preserve"> investigations closed by HDC.</w:t>
      </w:r>
    </w:p>
    <w:p w:rsidR="00D86226" w:rsidRDefault="00D86226" w:rsidP="00D86226">
      <w:pPr>
        <w:rPr>
          <w:rFonts w:ascii="Calibri" w:hAnsi="Calibri"/>
        </w:rPr>
      </w:pPr>
      <w:r>
        <w:rPr>
          <w:rFonts w:ascii="Calibri" w:hAnsi="Calibri"/>
          <w:lang w:eastAsia="en-NZ"/>
        </w:rPr>
        <w:br/>
      </w:r>
      <w:r>
        <w:rPr>
          <w:rFonts w:ascii="Calibri" w:hAnsi="Calibri"/>
        </w:rPr>
        <w:t xml:space="preserve">The manner of resolution </w:t>
      </w:r>
      <w:r>
        <w:rPr>
          <w:rFonts w:ascii="Calibri" w:hAnsi="Calibri" w:cs="Calibri"/>
        </w:rPr>
        <w:t>and</w:t>
      </w:r>
      <w:r w:rsidR="000A2BD7">
        <w:rPr>
          <w:rFonts w:ascii="Calibri" w:hAnsi="Calibri"/>
        </w:rPr>
        <w:t xml:space="preserve"> outcomes of all </w:t>
      </w:r>
      <w:r>
        <w:rPr>
          <w:rFonts w:ascii="Calibri" w:hAnsi="Calibri"/>
        </w:rPr>
        <w:t>complaints</w:t>
      </w:r>
      <w:r w:rsidR="000A2BD7">
        <w:rPr>
          <w:rFonts w:ascii="Calibri" w:hAnsi="Calibri"/>
        </w:rPr>
        <w:t xml:space="preserve"> about DHBs</w:t>
      </w:r>
      <w:r>
        <w:rPr>
          <w:rFonts w:ascii="Calibri" w:hAnsi="Calibri"/>
        </w:rPr>
        <w:t xml:space="preserve"> closed in </w:t>
      </w:r>
      <w:r>
        <w:t xml:space="preserve">Jan–Jun 2017 </w:t>
      </w:r>
      <w:r>
        <w:rPr>
          <w:rFonts w:ascii="Calibri" w:hAnsi="Calibri"/>
        </w:rPr>
        <w:t xml:space="preserve">is shown in Table 11. </w:t>
      </w:r>
    </w:p>
    <w:p w:rsidR="00D86226" w:rsidRDefault="00D86226" w:rsidP="00D86226">
      <w:pPr>
        <w:rPr>
          <w:rFonts w:ascii="Calibri" w:hAnsi="Calibri"/>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rFonts w:ascii="Calibri" w:hAnsi="Calibri"/>
          <w:b/>
          <w:szCs w:val="22"/>
        </w:rPr>
      </w:pPr>
    </w:p>
    <w:p w:rsidR="00D86226" w:rsidRDefault="00D86226" w:rsidP="00D86226">
      <w:pPr>
        <w:spacing w:after="120"/>
        <w:rPr>
          <w:lang w:eastAsia="en-NZ"/>
        </w:rPr>
      </w:pPr>
      <w:r>
        <w:rPr>
          <w:rFonts w:ascii="Calibri" w:hAnsi="Calibri"/>
          <w:b/>
          <w:szCs w:val="22"/>
        </w:rPr>
        <w:t xml:space="preserve">Table 11. </w:t>
      </w:r>
      <w:r>
        <w:rPr>
          <w:rFonts w:ascii="Calibri" w:hAnsi="Calibri"/>
          <w:szCs w:val="22"/>
        </w:rPr>
        <w:t>Outcome for DHBs of complaints closed by complaint type</w:t>
      </w:r>
      <w:r>
        <w:rPr>
          <w:rStyle w:val="FootnoteReference"/>
          <w:rFonts w:ascii="Calibri" w:hAnsi="Calibri"/>
          <w:szCs w:val="22"/>
        </w:rPr>
        <w:footnoteReference w:id="5"/>
      </w:r>
    </w:p>
    <w:tbl>
      <w:tblPr>
        <w:tblStyle w:val="TableGrid"/>
        <w:tblW w:w="7230" w:type="dxa"/>
        <w:tblInd w:w="108" w:type="dxa"/>
        <w:tblLook w:val="04A0" w:firstRow="1" w:lastRow="0" w:firstColumn="1" w:lastColumn="0" w:noHBand="0" w:noVBand="1"/>
      </w:tblPr>
      <w:tblGrid>
        <w:gridCol w:w="4111"/>
        <w:gridCol w:w="3119"/>
      </w:tblGrid>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spacing w:before="60"/>
              <w:jc w:val="left"/>
              <w:outlineLvl w:val="0"/>
              <w:rPr>
                <w:rFonts w:ascii="Calibri" w:hAnsi="Calibri"/>
                <w:b/>
                <w:szCs w:val="22"/>
              </w:rPr>
            </w:pPr>
            <w:r>
              <w:rPr>
                <w:rFonts w:ascii="Calibri" w:hAnsi="Calibri"/>
                <w:b/>
                <w:szCs w:val="22"/>
              </w:rPr>
              <w:lastRenderedPageBreak/>
              <w:br w:type="page"/>
              <w:t>Outcome for DHBs</w:t>
            </w:r>
          </w:p>
        </w:tc>
        <w:tc>
          <w:tcPr>
            <w:tcW w:w="3119" w:type="dxa"/>
            <w:tcBorders>
              <w:top w:val="single" w:sz="4" w:space="0" w:color="auto"/>
              <w:left w:val="single" w:sz="4" w:space="0" w:color="auto"/>
              <w:bottom w:val="single" w:sz="4" w:space="0" w:color="auto"/>
              <w:right w:val="single" w:sz="4" w:space="0" w:color="auto"/>
            </w:tcBorders>
          </w:tcPr>
          <w:p w:rsidR="00D86226" w:rsidRDefault="00D86226" w:rsidP="00D86226">
            <w:pPr>
              <w:keepNext/>
              <w:keepLines/>
              <w:tabs>
                <w:tab w:val="left" w:pos="1440"/>
                <w:tab w:val="decimal" w:pos="4320"/>
              </w:tabs>
              <w:spacing w:before="60"/>
              <w:jc w:val="center"/>
              <w:outlineLvl w:val="0"/>
              <w:rPr>
                <w:rFonts w:ascii="Calibri" w:hAnsi="Calibri"/>
                <w:b/>
                <w:szCs w:val="22"/>
              </w:rPr>
            </w:pPr>
            <w:r>
              <w:rPr>
                <w:rFonts w:ascii="Calibri" w:hAnsi="Calibri"/>
                <w:b/>
                <w:szCs w:val="22"/>
              </w:rPr>
              <w:t>Number of complaints closed</w:t>
            </w:r>
          </w:p>
          <w:p w:rsidR="00D86226" w:rsidRDefault="00D86226" w:rsidP="00D86226">
            <w:pPr>
              <w:keepNext/>
              <w:keepLines/>
              <w:tabs>
                <w:tab w:val="left" w:pos="1440"/>
                <w:tab w:val="decimal" w:pos="4320"/>
              </w:tabs>
              <w:jc w:val="center"/>
              <w:outlineLvl w:val="0"/>
              <w:rPr>
                <w:rFonts w:ascii="Calibri" w:hAnsi="Calibri"/>
                <w:b/>
                <w:sz w:val="16"/>
                <w:szCs w:val="16"/>
              </w:rPr>
            </w:pPr>
          </w:p>
        </w:tc>
      </w:tr>
      <w:tr w:rsidR="00D86226" w:rsidTr="00D86226">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keepNext/>
              <w:keepLines/>
              <w:tabs>
                <w:tab w:val="left" w:pos="1440"/>
                <w:tab w:val="decimal" w:pos="4320"/>
              </w:tabs>
              <w:jc w:val="left"/>
              <w:outlineLvl w:val="0"/>
              <w:rPr>
                <w:rFonts w:ascii="Calibri" w:hAnsi="Calibri"/>
                <w:b/>
                <w:i/>
                <w:szCs w:val="22"/>
              </w:rPr>
            </w:pPr>
            <w:r>
              <w:rPr>
                <w:rFonts w:ascii="Calibri" w:hAnsi="Calibri"/>
                <w:b/>
                <w:i/>
                <w:szCs w:val="22"/>
              </w:rPr>
              <w:t>Investigation</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tabs>
                <w:tab w:val="left" w:pos="1440"/>
                <w:tab w:val="decimal" w:pos="4320"/>
              </w:tabs>
              <w:jc w:val="center"/>
              <w:outlineLvl w:val="0"/>
              <w:rPr>
                <w:rFonts w:ascii="Calibri" w:hAnsi="Calibri"/>
                <w:b/>
                <w:i/>
                <w:szCs w:val="22"/>
              </w:rPr>
            </w:pPr>
            <w:r>
              <w:rPr>
                <w:rFonts w:ascii="Calibri" w:hAnsi="Calibri"/>
                <w:b/>
                <w:i/>
                <w:szCs w:val="22"/>
              </w:rPr>
              <w:t>32</w:t>
            </w:r>
          </w:p>
        </w:tc>
      </w:tr>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jc w:val="left"/>
              <w:outlineLvl w:val="0"/>
              <w:rPr>
                <w:rFonts w:ascii="Calibri" w:hAnsi="Calibri"/>
                <w:szCs w:val="22"/>
              </w:rPr>
            </w:pPr>
            <w:r>
              <w:rPr>
                <w:rFonts w:ascii="Calibri" w:hAnsi="Calibri"/>
                <w:szCs w:val="22"/>
              </w:rPr>
              <w:t>Breach finding</w:t>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tabs>
                <w:tab w:val="left" w:pos="1440"/>
                <w:tab w:val="decimal" w:pos="4320"/>
              </w:tabs>
              <w:jc w:val="center"/>
              <w:outlineLvl w:val="0"/>
              <w:rPr>
                <w:rFonts w:ascii="Calibri" w:hAnsi="Calibri"/>
                <w:szCs w:val="22"/>
              </w:rPr>
            </w:pPr>
            <w:r>
              <w:rPr>
                <w:rFonts w:ascii="Calibri" w:hAnsi="Calibri"/>
                <w:szCs w:val="22"/>
              </w:rPr>
              <w:t>16</w:t>
            </w:r>
          </w:p>
        </w:tc>
      </w:tr>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CF2B9C">
            <w:pPr>
              <w:keepNext/>
              <w:keepLines/>
              <w:tabs>
                <w:tab w:val="left" w:pos="1440"/>
                <w:tab w:val="decimal" w:pos="4320"/>
              </w:tabs>
              <w:jc w:val="left"/>
              <w:outlineLvl w:val="0"/>
              <w:rPr>
                <w:rFonts w:ascii="Calibri" w:hAnsi="Calibri"/>
                <w:szCs w:val="22"/>
              </w:rPr>
            </w:pPr>
            <w:r>
              <w:rPr>
                <w:rFonts w:ascii="Calibri" w:hAnsi="Calibri"/>
                <w:szCs w:val="22"/>
              </w:rPr>
              <w:t>No further action with follow-up or educational comment</w:t>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tabs>
                <w:tab w:val="left" w:pos="1440"/>
                <w:tab w:val="decimal" w:pos="4320"/>
              </w:tabs>
              <w:jc w:val="center"/>
              <w:outlineLvl w:val="0"/>
              <w:rPr>
                <w:rFonts w:ascii="Calibri" w:hAnsi="Calibri"/>
                <w:szCs w:val="22"/>
              </w:rPr>
            </w:pPr>
            <w:r>
              <w:rPr>
                <w:rFonts w:ascii="Calibri" w:hAnsi="Calibri"/>
                <w:szCs w:val="22"/>
              </w:rPr>
              <w:t>7</w:t>
            </w:r>
          </w:p>
        </w:tc>
      </w:tr>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jc w:val="left"/>
              <w:outlineLvl w:val="0"/>
              <w:rPr>
                <w:rFonts w:ascii="Calibri" w:hAnsi="Calibri"/>
                <w:szCs w:val="22"/>
              </w:rPr>
            </w:pPr>
            <w:r>
              <w:rPr>
                <w:rFonts w:ascii="Calibri" w:hAnsi="Calibri"/>
                <w:szCs w:val="22"/>
              </w:rPr>
              <w:t>No further action</w:t>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tabs>
                <w:tab w:val="left" w:pos="1440"/>
                <w:tab w:val="decimal" w:pos="4320"/>
              </w:tabs>
              <w:jc w:val="center"/>
              <w:outlineLvl w:val="0"/>
              <w:rPr>
                <w:rFonts w:ascii="Calibri" w:hAnsi="Calibri"/>
                <w:szCs w:val="22"/>
              </w:rPr>
            </w:pPr>
            <w:r>
              <w:rPr>
                <w:rFonts w:ascii="Calibri" w:hAnsi="Calibri"/>
                <w:szCs w:val="22"/>
              </w:rPr>
              <w:t>5</w:t>
            </w:r>
          </w:p>
        </w:tc>
      </w:tr>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jc w:val="left"/>
              <w:outlineLvl w:val="0"/>
              <w:rPr>
                <w:rFonts w:ascii="Calibri" w:hAnsi="Calibri"/>
                <w:szCs w:val="22"/>
              </w:rPr>
            </w:pPr>
            <w:r>
              <w:rPr>
                <w:rFonts w:ascii="Calibri" w:hAnsi="Calibri"/>
                <w:szCs w:val="22"/>
              </w:rPr>
              <w:t>No breach finding</w:t>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tabs>
                <w:tab w:val="left" w:pos="1440"/>
                <w:tab w:val="decimal" w:pos="4320"/>
              </w:tabs>
              <w:jc w:val="center"/>
              <w:outlineLvl w:val="0"/>
              <w:rPr>
                <w:rFonts w:ascii="Calibri" w:hAnsi="Calibri"/>
                <w:szCs w:val="22"/>
              </w:rPr>
            </w:pPr>
            <w:r>
              <w:rPr>
                <w:rFonts w:ascii="Calibri" w:hAnsi="Calibri"/>
                <w:szCs w:val="22"/>
              </w:rPr>
              <w:t>4</w:t>
            </w:r>
          </w:p>
        </w:tc>
      </w:tr>
      <w:tr w:rsidR="00D86226" w:rsidTr="00D86226">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keepNext/>
              <w:keepLines/>
              <w:tabs>
                <w:tab w:val="left" w:pos="1440"/>
                <w:tab w:val="decimal" w:pos="4320"/>
              </w:tabs>
              <w:jc w:val="left"/>
              <w:outlineLvl w:val="0"/>
              <w:rPr>
                <w:rFonts w:ascii="Calibri" w:hAnsi="Calibri"/>
                <w:b/>
                <w:i/>
                <w:szCs w:val="22"/>
              </w:rPr>
            </w:pPr>
            <w:r>
              <w:rPr>
                <w:rFonts w:ascii="Calibri" w:hAnsi="Calibri"/>
                <w:b/>
                <w:i/>
                <w:szCs w:val="22"/>
              </w:rPr>
              <w:t>Other resolution following assessment</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tabs>
                <w:tab w:val="left" w:pos="1440"/>
                <w:tab w:val="decimal" w:pos="4320"/>
              </w:tabs>
              <w:jc w:val="center"/>
              <w:outlineLvl w:val="0"/>
              <w:rPr>
                <w:rFonts w:ascii="Calibri" w:hAnsi="Calibri"/>
                <w:b/>
                <w:i/>
                <w:szCs w:val="22"/>
              </w:rPr>
            </w:pPr>
            <w:r>
              <w:rPr>
                <w:rFonts w:ascii="Calibri" w:hAnsi="Calibri"/>
                <w:b/>
                <w:i/>
                <w:szCs w:val="22"/>
              </w:rPr>
              <w:t>420</w:t>
            </w:r>
          </w:p>
        </w:tc>
      </w:tr>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jc w:val="left"/>
              <w:outlineLvl w:val="0"/>
              <w:rPr>
                <w:rFonts w:ascii="Calibri" w:hAnsi="Calibri"/>
                <w:szCs w:val="22"/>
              </w:rPr>
            </w:pPr>
            <w:r>
              <w:rPr>
                <w:rFonts w:ascii="Calibri" w:hAnsi="Calibri"/>
                <w:szCs w:val="22"/>
              </w:rPr>
              <w:t>No further action</w:t>
            </w:r>
            <w:r w:rsidR="00CF2B9C">
              <w:rPr>
                <w:rStyle w:val="FootnoteReference"/>
                <w:rFonts w:ascii="Calibri" w:hAnsi="Calibri"/>
                <w:szCs w:val="22"/>
              </w:rPr>
              <w:footnoteReference w:id="6"/>
            </w:r>
            <w:r>
              <w:rPr>
                <w:rFonts w:ascii="Calibri" w:hAnsi="Calibri"/>
                <w:szCs w:val="22"/>
              </w:rPr>
              <w:t xml:space="preserve"> with follow-up or educational comment</w:t>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tabs>
                <w:tab w:val="left" w:pos="1440"/>
                <w:tab w:val="decimal" w:pos="4320"/>
              </w:tabs>
              <w:jc w:val="center"/>
              <w:outlineLvl w:val="0"/>
              <w:rPr>
                <w:rFonts w:ascii="Calibri" w:hAnsi="Calibri"/>
                <w:szCs w:val="22"/>
              </w:rPr>
            </w:pPr>
            <w:r>
              <w:rPr>
                <w:rFonts w:ascii="Calibri" w:hAnsi="Calibri"/>
                <w:szCs w:val="22"/>
              </w:rPr>
              <w:t>97</w:t>
            </w:r>
          </w:p>
        </w:tc>
      </w:tr>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D86226">
            <w:pPr>
              <w:rPr>
                <w:rFonts w:ascii="Calibri" w:hAnsi="Calibri" w:cs="Calibri"/>
                <w:color w:val="000000"/>
                <w:szCs w:val="22"/>
              </w:rPr>
            </w:pPr>
            <w:r>
              <w:rPr>
                <w:rFonts w:ascii="Calibri" w:hAnsi="Calibri" w:cs="Calibri"/>
                <w:color w:val="000000"/>
                <w:szCs w:val="22"/>
              </w:rPr>
              <w:t>Referred to Ministry of Health</w:t>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2</w:t>
            </w:r>
          </w:p>
        </w:tc>
      </w:tr>
      <w:tr w:rsidR="00D86226" w:rsidTr="00D86226">
        <w:tc>
          <w:tcPr>
            <w:tcW w:w="4111" w:type="dxa"/>
            <w:tcBorders>
              <w:top w:val="single" w:sz="4" w:space="0" w:color="auto"/>
              <w:left w:val="single" w:sz="4" w:space="0" w:color="auto"/>
              <w:bottom w:val="single" w:sz="4" w:space="0" w:color="auto"/>
              <w:right w:val="single" w:sz="4" w:space="0" w:color="auto"/>
            </w:tcBorders>
          </w:tcPr>
          <w:p w:rsidR="00D86226" w:rsidRDefault="00D86226" w:rsidP="00D86226">
            <w:pPr>
              <w:rPr>
                <w:rFonts w:ascii="Calibri" w:hAnsi="Calibri" w:cs="Calibri"/>
                <w:color w:val="000000"/>
                <w:szCs w:val="22"/>
              </w:rPr>
            </w:pPr>
            <w:r>
              <w:rPr>
                <w:rFonts w:ascii="Calibri" w:hAnsi="Calibri" w:cs="Calibri"/>
                <w:color w:val="000000"/>
                <w:szCs w:val="22"/>
              </w:rPr>
              <w:t>Referred to Privacy Commissioner</w:t>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w:t>
            </w:r>
          </w:p>
        </w:tc>
      </w:tr>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D86226">
            <w:pPr>
              <w:rPr>
                <w:rFonts w:ascii="Calibri" w:hAnsi="Calibri" w:cs="Calibri"/>
                <w:color w:val="000000"/>
                <w:szCs w:val="22"/>
              </w:rPr>
            </w:pPr>
            <w:r>
              <w:rPr>
                <w:rFonts w:ascii="Calibri" w:hAnsi="Calibri" w:cs="Calibri"/>
                <w:color w:val="000000"/>
                <w:szCs w:val="22"/>
              </w:rPr>
              <w:t xml:space="preserve">Referred to District Inspector </w:t>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22</w:t>
            </w:r>
          </w:p>
        </w:tc>
      </w:tr>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jc w:val="left"/>
              <w:outlineLvl w:val="0"/>
              <w:rPr>
                <w:rFonts w:ascii="Calibri" w:hAnsi="Calibri"/>
                <w:szCs w:val="22"/>
              </w:rPr>
            </w:pPr>
            <w:r>
              <w:rPr>
                <w:rFonts w:ascii="Calibri" w:hAnsi="Calibri"/>
                <w:szCs w:val="22"/>
              </w:rPr>
              <w:t>Referred to DHB</w:t>
            </w:r>
            <w:r>
              <w:rPr>
                <w:rStyle w:val="FootnoteReference"/>
                <w:rFonts w:ascii="Calibri" w:hAnsi="Calibri"/>
                <w:szCs w:val="22"/>
              </w:rPr>
              <w:footnoteReference w:id="7"/>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tabs>
                <w:tab w:val="left" w:pos="1440"/>
                <w:tab w:val="decimal" w:pos="4320"/>
              </w:tabs>
              <w:jc w:val="center"/>
              <w:outlineLvl w:val="0"/>
              <w:rPr>
                <w:rFonts w:ascii="Calibri" w:hAnsi="Calibri"/>
                <w:szCs w:val="22"/>
              </w:rPr>
            </w:pPr>
            <w:r>
              <w:rPr>
                <w:rFonts w:ascii="Calibri" w:hAnsi="Calibri"/>
                <w:szCs w:val="22"/>
              </w:rPr>
              <w:t>104</w:t>
            </w:r>
          </w:p>
        </w:tc>
      </w:tr>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jc w:val="left"/>
              <w:outlineLvl w:val="0"/>
              <w:rPr>
                <w:rFonts w:ascii="Calibri" w:hAnsi="Calibri" w:cs="Arial"/>
                <w:szCs w:val="22"/>
                <w:lang w:eastAsia="en-NZ" w:bidi="ar-SA"/>
              </w:rPr>
            </w:pPr>
            <w:r>
              <w:rPr>
                <w:rFonts w:ascii="Calibri" w:hAnsi="Calibri" w:cs="Arial"/>
                <w:szCs w:val="22"/>
                <w:lang w:eastAsia="en-NZ" w:bidi="ar-SA"/>
              </w:rPr>
              <w:t>Referred to Advocacy</w:t>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keepNext/>
              <w:keepLines/>
              <w:tabs>
                <w:tab w:val="left" w:pos="1440"/>
                <w:tab w:val="decimal" w:pos="4320"/>
              </w:tabs>
              <w:jc w:val="center"/>
              <w:outlineLvl w:val="0"/>
              <w:rPr>
                <w:rFonts w:ascii="Calibri" w:hAnsi="Calibri"/>
                <w:szCs w:val="22"/>
              </w:rPr>
            </w:pPr>
            <w:r>
              <w:rPr>
                <w:rFonts w:ascii="Calibri" w:hAnsi="Calibri"/>
                <w:szCs w:val="22"/>
              </w:rPr>
              <w:t>68</w:t>
            </w:r>
          </w:p>
        </w:tc>
      </w:tr>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jc w:val="left"/>
              <w:outlineLvl w:val="0"/>
              <w:rPr>
                <w:rFonts w:ascii="Calibri" w:hAnsi="Calibri" w:cs="Arial"/>
                <w:szCs w:val="22"/>
                <w:lang w:eastAsia="en-NZ" w:bidi="ar-SA"/>
              </w:rPr>
            </w:pPr>
            <w:r>
              <w:rPr>
                <w:rFonts w:ascii="Calibri" w:hAnsi="Calibri" w:cs="Arial"/>
                <w:szCs w:val="22"/>
                <w:lang w:eastAsia="en-NZ" w:bidi="ar-SA"/>
              </w:rPr>
              <w:t>No further action</w:t>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121</w:t>
            </w:r>
          </w:p>
        </w:tc>
      </w:tr>
      <w:tr w:rsidR="00D86226" w:rsidTr="00D86226">
        <w:tc>
          <w:tcPr>
            <w:tcW w:w="4111" w:type="dxa"/>
            <w:tcBorders>
              <w:top w:val="single" w:sz="4" w:space="0" w:color="auto"/>
              <w:left w:val="single" w:sz="4" w:space="0" w:color="auto"/>
              <w:bottom w:val="single" w:sz="4" w:space="0" w:color="auto"/>
              <w:right w:val="single" w:sz="4" w:space="0" w:color="auto"/>
            </w:tcBorders>
            <w:hideMark/>
          </w:tcPr>
          <w:p w:rsidR="00D86226" w:rsidRDefault="00D86226" w:rsidP="00D86226">
            <w:pPr>
              <w:keepNext/>
              <w:keepLines/>
              <w:tabs>
                <w:tab w:val="left" w:pos="1440"/>
                <w:tab w:val="decimal" w:pos="4320"/>
              </w:tabs>
              <w:jc w:val="left"/>
              <w:outlineLvl w:val="0"/>
              <w:rPr>
                <w:rFonts w:ascii="Calibri" w:hAnsi="Calibri" w:cs="Arial"/>
                <w:szCs w:val="22"/>
                <w:lang w:eastAsia="en-NZ" w:bidi="ar-SA"/>
              </w:rPr>
            </w:pPr>
            <w:r>
              <w:rPr>
                <w:rFonts w:ascii="Calibri" w:hAnsi="Calibri" w:cs="Arial"/>
                <w:szCs w:val="22"/>
                <w:lang w:eastAsia="en-NZ" w:bidi="ar-SA"/>
              </w:rPr>
              <w:t>Withdrawn</w:t>
            </w:r>
          </w:p>
        </w:tc>
        <w:tc>
          <w:tcPr>
            <w:tcW w:w="3119"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jc w:val="center"/>
              <w:rPr>
                <w:rFonts w:ascii="Calibri" w:hAnsi="Calibri" w:cs="Calibri"/>
                <w:color w:val="000000"/>
                <w:szCs w:val="22"/>
              </w:rPr>
            </w:pPr>
            <w:r>
              <w:rPr>
                <w:rFonts w:ascii="Calibri" w:hAnsi="Calibri" w:cs="Calibri"/>
                <w:color w:val="000000"/>
                <w:szCs w:val="22"/>
              </w:rPr>
              <w:t>5</w:t>
            </w:r>
          </w:p>
        </w:tc>
      </w:tr>
      <w:tr w:rsidR="00D86226" w:rsidTr="00D86226">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keepNext/>
              <w:keepLines/>
              <w:tabs>
                <w:tab w:val="left" w:pos="1440"/>
                <w:tab w:val="decimal" w:pos="4320"/>
              </w:tabs>
              <w:jc w:val="left"/>
              <w:outlineLvl w:val="0"/>
              <w:rPr>
                <w:rFonts w:ascii="Calibri" w:hAnsi="Calibri"/>
                <w:b/>
                <w:i/>
                <w:szCs w:val="22"/>
              </w:rPr>
            </w:pPr>
            <w:r>
              <w:rPr>
                <w:rFonts w:ascii="Calibri" w:hAnsi="Calibri"/>
                <w:b/>
                <w:i/>
                <w:szCs w:val="22"/>
              </w:rPr>
              <w:t xml:space="preserve">Outside jurisdiction </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226" w:rsidRDefault="00D86226" w:rsidP="00D86226">
            <w:pPr>
              <w:keepNext/>
              <w:keepLines/>
              <w:tabs>
                <w:tab w:val="left" w:pos="1440"/>
                <w:tab w:val="decimal" w:pos="4320"/>
              </w:tabs>
              <w:jc w:val="center"/>
              <w:outlineLvl w:val="0"/>
              <w:rPr>
                <w:rFonts w:ascii="Calibri" w:hAnsi="Calibri"/>
                <w:b/>
                <w:i/>
                <w:szCs w:val="22"/>
              </w:rPr>
            </w:pPr>
            <w:r>
              <w:rPr>
                <w:rFonts w:ascii="Calibri" w:hAnsi="Calibri"/>
                <w:b/>
                <w:i/>
                <w:szCs w:val="22"/>
              </w:rPr>
              <w:t>13</w:t>
            </w:r>
          </w:p>
        </w:tc>
      </w:tr>
      <w:tr w:rsidR="00D86226" w:rsidTr="00D86226">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keepNext/>
              <w:keepLines/>
              <w:tabs>
                <w:tab w:val="left" w:pos="1440"/>
                <w:tab w:val="decimal" w:pos="4320"/>
              </w:tabs>
              <w:jc w:val="left"/>
              <w:outlineLvl w:val="0"/>
              <w:rPr>
                <w:rFonts w:ascii="Calibri" w:hAnsi="Calibri" w:cs="Arial"/>
                <w:b/>
                <w:szCs w:val="22"/>
                <w:lang w:eastAsia="en-NZ" w:bidi="ar-SA"/>
              </w:rPr>
            </w:pPr>
            <w:r>
              <w:rPr>
                <w:rFonts w:ascii="Calibri" w:hAnsi="Calibri" w:cs="Arial"/>
                <w:b/>
                <w:szCs w:val="22"/>
                <w:lang w:eastAsia="en-NZ" w:bidi="ar-SA"/>
              </w:rPr>
              <w:t>TOTAL</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226" w:rsidRDefault="00D86226" w:rsidP="00D86226">
            <w:pPr>
              <w:jc w:val="center"/>
              <w:rPr>
                <w:rFonts w:ascii="Calibri" w:hAnsi="Calibri" w:cs="Calibri"/>
                <w:b/>
                <w:color w:val="000000"/>
                <w:szCs w:val="22"/>
              </w:rPr>
            </w:pPr>
            <w:r>
              <w:rPr>
                <w:rFonts w:ascii="Calibri" w:hAnsi="Calibri" w:cs="Calibri"/>
                <w:b/>
                <w:color w:val="000000"/>
                <w:szCs w:val="22"/>
              </w:rPr>
              <w:t>465</w:t>
            </w:r>
          </w:p>
        </w:tc>
      </w:tr>
    </w:tbl>
    <w:p w:rsidR="00D86226" w:rsidRDefault="00D86226" w:rsidP="00D86226">
      <w:pPr>
        <w:rPr>
          <w:lang w:eastAsia="en-NZ"/>
        </w:rPr>
      </w:pPr>
      <w:bookmarkStart w:id="112" w:name="_Toc415221220"/>
      <w:bookmarkStart w:id="113" w:name="_Toc415153519"/>
      <w:bookmarkStart w:id="114" w:name="_Toc415147245"/>
      <w:bookmarkStart w:id="115" w:name="_Toc415135531"/>
      <w:bookmarkStart w:id="116" w:name="_Toc415046459"/>
      <w:bookmarkStart w:id="117" w:name="_Toc415039803"/>
      <w:bookmarkStart w:id="118" w:name="_Toc414952832"/>
      <w:bookmarkStart w:id="119" w:name="_Toc414886547"/>
      <w:bookmarkStart w:id="120" w:name="_Toc414875837"/>
      <w:bookmarkStart w:id="121" w:name="_Toc414461839"/>
      <w:bookmarkStart w:id="122" w:name="_Toc414442658"/>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rPr>
          <w:lang w:eastAsia="en-NZ"/>
        </w:rPr>
      </w:pPr>
    </w:p>
    <w:p w:rsidR="00D86226" w:rsidRDefault="00D86226" w:rsidP="00D86226">
      <w:pPr>
        <w:pStyle w:val="Heading3"/>
        <w:spacing w:before="240"/>
        <w:rPr>
          <w:lang w:eastAsia="en-NZ"/>
        </w:rPr>
      </w:pPr>
      <w:bookmarkStart w:id="123" w:name="_Toc426462639"/>
      <w:bookmarkStart w:id="124" w:name="_Toc443992234"/>
      <w:bookmarkStart w:id="125" w:name="_Toc493680294"/>
      <w:bookmarkStart w:id="126" w:name="_Toc493684135"/>
      <w:r>
        <w:rPr>
          <w:lang w:eastAsia="en-NZ"/>
        </w:rPr>
        <w:t xml:space="preserve">4.3 </w:t>
      </w:r>
      <w:r>
        <w:rPr>
          <w:lang w:eastAsia="en-NZ"/>
        </w:rPr>
        <w:tab/>
      </w:r>
      <w:r>
        <w:t>Recommendations</w:t>
      </w:r>
      <w:r>
        <w:rPr>
          <w:lang w:eastAsia="en-NZ"/>
        </w:rPr>
        <w:t xml:space="preserve"> made to DHBs following a complaint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D86226" w:rsidRDefault="00D86226" w:rsidP="00D86226">
      <w:pPr>
        <w:pStyle w:val="NoSpacing"/>
        <w:spacing w:after="120"/>
        <w:rPr>
          <w:lang w:val="en-NZ" w:eastAsia="en-NZ"/>
        </w:rPr>
      </w:pPr>
      <w:r>
        <w:rPr>
          <w:lang w:val="en-NZ" w:eastAsia="en-NZ"/>
        </w:rPr>
        <w:t xml:space="preserve">Regardless of whether or not a complaint has been investigated, the Commissioner may make recommendations to a DHB. HDC then follows up with the DHB to ensure that these recommendations have been acted upon. Table 12 shows the recommendations made to DHBs in </w:t>
      </w:r>
      <w:r>
        <w:rPr>
          <w:lang w:val="en-NZ" w:eastAsia="en-NZ"/>
        </w:rPr>
        <w:lastRenderedPageBreak/>
        <w:t xml:space="preserve">complaints closed in Jan-Jun 2017. Please note that more than one recommendation may be made in relation to a single complaint. </w:t>
      </w:r>
    </w:p>
    <w:p w:rsidR="00D86226" w:rsidRDefault="00D86226" w:rsidP="00D86226">
      <w:pPr>
        <w:pStyle w:val="NoSpacing"/>
        <w:spacing w:after="120"/>
        <w:rPr>
          <w:b/>
          <w:lang w:val="en-NZ" w:eastAsia="en-NZ"/>
        </w:rPr>
      </w:pPr>
      <w:r>
        <w:rPr>
          <w:b/>
          <w:lang w:val="en-NZ" w:eastAsia="en-NZ"/>
        </w:rPr>
        <w:t xml:space="preserve">Table 12. </w:t>
      </w:r>
      <w:r>
        <w:rPr>
          <w:lang w:val="en-NZ" w:eastAsia="en-NZ"/>
        </w:rPr>
        <w:t>Recommendations made to DHBs following a complaint</w:t>
      </w:r>
    </w:p>
    <w:tbl>
      <w:tblPr>
        <w:tblStyle w:val="TableGrid"/>
        <w:tblW w:w="0" w:type="auto"/>
        <w:tblInd w:w="108" w:type="dxa"/>
        <w:tblLayout w:type="fixed"/>
        <w:tblLook w:val="04A0" w:firstRow="1" w:lastRow="0" w:firstColumn="1" w:lastColumn="0" w:noHBand="0" w:noVBand="1"/>
      </w:tblPr>
      <w:tblGrid>
        <w:gridCol w:w="3686"/>
        <w:gridCol w:w="1984"/>
      </w:tblGrid>
      <w:tr w:rsidR="00D86226" w:rsidTr="00D86226">
        <w:tc>
          <w:tcPr>
            <w:tcW w:w="3686" w:type="dxa"/>
            <w:tcBorders>
              <w:top w:val="single" w:sz="4" w:space="0" w:color="auto"/>
              <w:left w:val="single" w:sz="4" w:space="0" w:color="auto"/>
              <w:bottom w:val="single" w:sz="4" w:space="0" w:color="auto"/>
              <w:right w:val="single" w:sz="4" w:space="0" w:color="auto"/>
            </w:tcBorders>
            <w:vAlign w:val="center"/>
            <w:hideMark/>
          </w:tcPr>
          <w:p w:rsidR="00D86226" w:rsidRDefault="00D86226" w:rsidP="00D86226">
            <w:pPr>
              <w:pStyle w:val="NoSpacing"/>
              <w:jc w:val="center"/>
              <w:rPr>
                <w:b/>
                <w:lang w:val="en-NZ" w:eastAsia="en-NZ"/>
              </w:rPr>
            </w:pPr>
            <w:r>
              <w:rPr>
                <w:b/>
                <w:lang w:val="en-NZ" w:eastAsia="en-NZ"/>
              </w:rPr>
              <w:t>Recommendation</w:t>
            </w:r>
          </w:p>
        </w:tc>
        <w:tc>
          <w:tcPr>
            <w:tcW w:w="1984" w:type="dxa"/>
            <w:tcBorders>
              <w:top w:val="single" w:sz="4" w:space="0" w:color="auto"/>
              <w:left w:val="single" w:sz="4" w:space="0" w:color="auto"/>
              <w:bottom w:val="single" w:sz="4" w:space="0" w:color="auto"/>
              <w:right w:val="single" w:sz="4" w:space="0" w:color="auto"/>
            </w:tcBorders>
            <w:hideMark/>
          </w:tcPr>
          <w:p w:rsidR="00D86226" w:rsidRDefault="00D86226" w:rsidP="00D86226">
            <w:pPr>
              <w:pStyle w:val="NoSpacing"/>
              <w:jc w:val="center"/>
              <w:rPr>
                <w:b/>
                <w:lang w:val="en-NZ" w:eastAsia="en-NZ"/>
              </w:rPr>
            </w:pPr>
            <w:r>
              <w:rPr>
                <w:b/>
                <w:lang w:val="en-NZ" w:eastAsia="en-NZ"/>
              </w:rPr>
              <w:t>Number of recommendations made</w:t>
            </w:r>
          </w:p>
        </w:tc>
      </w:tr>
      <w:tr w:rsidR="00D86226" w:rsidTr="00D86226">
        <w:tc>
          <w:tcPr>
            <w:tcW w:w="3686" w:type="dxa"/>
            <w:tcBorders>
              <w:top w:val="single" w:sz="4" w:space="0" w:color="auto"/>
              <w:left w:val="single" w:sz="4" w:space="0" w:color="auto"/>
              <w:bottom w:val="single" w:sz="4" w:space="0" w:color="auto"/>
              <w:right w:val="single" w:sz="4" w:space="0" w:color="auto"/>
            </w:tcBorders>
            <w:hideMark/>
          </w:tcPr>
          <w:p w:rsidR="00D86226" w:rsidRDefault="00D86226" w:rsidP="00D86226">
            <w:pPr>
              <w:pStyle w:val="NoSpacing"/>
              <w:jc w:val="left"/>
              <w:rPr>
                <w:lang w:val="en-NZ" w:eastAsia="en-NZ"/>
              </w:rPr>
            </w:pPr>
            <w:r>
              <w:rPr>
                <w:lang w:val="en-NZ" w:eastAsia="en-NZ"/>
              </w:rPr>
              <w:t>Apology</w:t>
            </w:r>
          </w:p>
        </w:tc>
        <w:tc>
          <w:tcPr>
            <w:tcW w:w="1984" w:type="dxa"/>
            <w:tcBorders>
              <w:top w:val="single" w:sz="4" w:space="0" w:color="auto"/>
              <w:left w:val="single" w:sz="4" w:space="0" w:color="auto"/>
              <w:bottom w:val="single" w:sz="4" w:space="0" w:color="auto"/>
              <w:right w:val="single" w:sz="4" w:space="0" w:color="auto"/>
            </w:tcBorders>
          </w:tcPr>
          <w:p w:rsidR="00D86226" w:rsidRDefault="00D86226" w:rsidP="00D86226">
            <w:pPr>
              <w:pStyle w:val="NoSpacing"/>
              <w:jc w:val="center"/>
              <w:rPr>
                <w:lang w:val="en-NZ" w:eastAsia="en-NZ"/>
              </w:rPr>
            </w:pPr>
            <w:r>
              <w:rPr>
                <w:lang w:val="en-NZ" w:eastAsia="en-NZ"/>
              </w:rPr>
              <w:t>22</w:t>
            </w:r>
          </w:p>
        </w:tc>
      </w:tr>
      <w:tr w:rsidR="00D86226" w:rsidTr="00D86226">
        <w:trPr>
          <w:trHeight w:val="293"/>
        </w:trPr>
        <w:tc>
          <w:tcPr>
            <w:tcW w:w="3686" w:type="dxa"/>
            <w:tcBorders>
              <w:top w:val="single" w:sz="4" w:space="0" w:color="auto"/>
              <w:left w:val="single" w:sz="4" w:space="0" w:color="auto"/>
              <w:bottom w:val="single" w:sz="4" w:space="0" w:color="auto"/>
              <w:right w:val="single" w:sz="4" w:space="0" w:color="auto"/>
            </w:tcBorders>
            <w:hideMark/>
          </w:tcPr>
          <w:p w:rsidR="00D86226" w:rsidRDefault="00D86226" w:rsidP="00D86226">
            <w:pPr>
              <w:pStyle w:val="NoSpacing"/>
              <w:jc w:val="left"/>
              <w:rPr>
                <w:lang w:val="en-NZ" w:eastAsia="en-NZ"/>
              </w:rPr>
            </w:pPr>
            <w:r>
              <w:rPr>
                <w:lang w:val="en-NZ" w:eastAsia="en-NZ"/>
              </w:rPr>
              <w:t>Audit</w:t>
            </w:r>
          </w:p>
        </w:tc>
        <w:tc>
          <w:tcPr>
            <w:tcW w:w="1984" w:type="dxa"/>
            <w:tcBorders>
              <w:top w:val="single" w:sz="4" w:space="0" w:color="auto"/>
              <w:left w:val="single" w:sz="4" w:space="0" w:color="auto"/>
              <w:bottom w:val="single" w:sz="4" w:space="0" w:color="auto"/>
              <w:right w:val="single" w:sz="4" w:space="0" w:color="auto"/>
            </w:tcBorders>
          </w:tcPr>
          <w:p w:rsidR="00D86226" w:rsidRDefault="00D86226" w:rsidP="00D86226">
            <w:pPr>
              <w:pStyle w:val="NoSpacing"/>
              <w:jc w:val="center"/>
              <w:rPr>
                <w:lang w:val="en-NZ" w:eastAsia="en-NZ"/>
              </w:rPr>
            </w:pPr>
            <w:r>
              <w:rPr>
                <w:lang w:val="en-NZ" w:eastAsia="en-NZ"/>
              </w:rPr>
              <w:t>28</w:t>
            </w:r>
          </w:p>
        </w:tc>
      </w:tr>
      <w:tr w:rsidR="00D86226" w:rsidTr="00D86226">
        <w:tc>
          <w:tcPr>
            <w:tcW w:w="3686" w:type="dxa"/>
            <w:tcBorders>
              <w:top w:val="single" w:sz="4" w:space="0" w:color="auto"/>
              <w:left w:val="single" w:sz="4" w:space="0" w:color="auto"/>
              <w:bottom w:val="single" w:sz="4" w:space="0" w:color="auto"/>
              <w:right w:val="single" w:sz="4" w:space="0" w:color="auto"/>
            </w:tcBorders>
            <w:hideMark/>
          </w:tcPr>
          <w:p w:rsidR="00D86226" w:rsidRDefault="00D86226" w:rsidP="00D86226">
            <w:pPr>
              <w:pStyle w:val="NoSpacing"/>
              <w:jc w:val="left"/>
              <w:rPr>
                <w:lang w:val="en-NZ" w:eastAsia="en-NZ"/>
              </w:rPr>
            </w:pPr>
            <w:r>
              <w:rPr>
                <w:lang w:val="en-NZ" w:eastAsia="en-NZ"/>
              </w:rPr>
              <w:t>Meeting with consumer</w:t>
            </w:r>
          </w:p>
        </w:tc>
        <w:tc>
          <w:tcPr>
            <w:tcW w:w="1984"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pStyle w:val="NoSpacing"/>
              <w:jc w:val="center"/>
              <w:rPr>
                <w:sz w:val="24"/>
                <w:szCs w:val="24"/>
                <w:lang w:val="en-NZ" w:eastAsia="en-NZ"/>
              </w:rPr>
            </w:pPr>
            <w:r>
              <w:rPr>
                <w:sz w:val="24"/>
                <w:szCs w:val="24"/>
                <w:lang w:val="en-NZ" w:eastAsia="en-NZ"/>
              </w:rPr>
              <w:t>9</w:t>
            </w:r>
          </w:p>
        </w:tc>
      </w:tr>
      <w:tr w:rsidR="00D86226" w:rsidTr="00D86226">
        <w:tc>
          <w:tcPr>
            <w:tcW w:w="3686" w:type="dxa"/>
            <w:tcBorders>
              <w:top w:val="single" w:sz="4" w:space="0" w:color="auto"/>
              <w:left w:val="single" w:sz="4" w:space="0" w:color="auto"/>
              <w:bottom w:val="single" w:sz="4" w:space="0" w:color="auto"/>
              <w:right w:val="single" w:sz="4" w:space="0" w:color="auto"/>
            </w:tcBorders>
            <w:hideMark/>
          </w:tcPr>
          <w:p w:rsidR="00D86226" w:rsidRDefault="00D86226" w:rsidP="00D86226">
            <w:pPr>
              <w:pStyle w:val="NoSpacing"/>
              <w:jc w:val="left"/>
              <w:rPr>
                <w:lang w:val="en-NZ" w:eastAsia="en-NZ"/>
              </w:rPr>
            </w:pPr>
            <w:r>
              <w:rPr>
                <w:lang w:val="en-NZ" w:eastAsia="en-NZ"/>
              </w:rPr>
              <w:t>Presentation/discussion of complaint with others</w:t>
            </w:r>
          </w:p>
        </w:tc>
        <w:tc>
          <w:tcPr>
            <w:tcW w:w="1984" w:type="dxa"/>
            <w:tcBorders>
              <w:top w:val="single" w:sz="4" w:space="0" w:color="auto"/>
              <w:left w:val="single" w:sz="4" w:space="0" w:color="auto"/>
              <w:bottom w:val="single" w:sz="4" w:space="0" w:color="auto"/>
              <w:right w:val="single" w:sz="4" w:space="0" w:color="auto"/>
            </w:tcBorders>
            <w:vAlign w:val="center"/>
          </w:tcPr>
          <w:p w:rsidR="00D86226" w:rsidRDefault="00D86226" w:rsidP="00D86226">
            <w:pPr>
              <w:pStyle w:val="NoSpacing"/>
              <w:jc w:val="center"/>
              <w:rPr>
                <w:sz w:val="24"/>
                <w:szCs w:val="24"/>
                <w:lang w:val="en-NZ" w:eastAsia="en-NZ"/>
              </w:rPr>
            </w:pPr>
            <w:r>
              <w:rPr>
                <w:sz w:val="24"/>
                <w:szCs w:val="24"/>
                <w:lang w:val="en-NZ" w:eastAsia="en-NZ"/>
              </w:rPr>
              <w:t>17</w:t>
            </w:r>
          </w:p>
        </w:tc>
      </w:tr>
      <w:tr w:rsidR="00D86226" w:rsidTr="000A2BD7">
        <w:tc>
          <w:tcPr>
            <w:tcW w:w="3686" w:type="dxa"/>
            <w:tcBorders>
              <w:top w:val="single" w:sz="4" w:space="0" w:color="auto"/>
              <w:left w:val="single" w:sz="4" w:space="0" w:color="auto"/>
              <w:bottom w:val="single" w:sz="4" w:space="0" w:color="auto"/>
              <w:right w:val="single" w:sz="4" w:space="0" w:color="auto"/>
            </w:tcBorders>
            <w:hideMark/>
          </w:tcPr>
          <w:p w:rsidR="00D86226" w:rsidRDefault="00D86226" w:rsidP="00D86226">
            <w:pPr>
              <w:pStyle w:val="NoSpacing"/>
              <w:rPr>
                <w:lang w:val="en-NZ" w:eastAsia="en-NZ"/>
              </w:rPr>
            </w:pPr>
            <w:r>
              <w:rPr>
                <w:lang w:val="en-NZ" w:eastAsia="en-NZ"/>
              </w:rPr>
              <w:t>Provision of evidence of change to HDC</w:t>
            </w:r>
          </w:p>
        </w:tc>
        <w:tc>
          <w:tcPr>
            <w:tcW w:w="1984" w:type="dxa"/>
            <w:tcBorders>
              <w:top w:val="single" w:sz="4" w:space="0" w:color="auto"/>
              <w:left w:val="single" w:sz="4" w:space="0" w:color="auto"/>
              <w:bottom w:val="single" w:sz="4" w:space="0" w:color="auto"/>
              <w:right w:val="single" w:sz="4" w:space="0" w:color="auto"/>
            </w:tcBorders>
            <w:vAlign w:val="center"/>
          </w:tcPr>
          <w:p w:rsidR="00D86226" w:rsidRDefault="00D86226" w:rsidP="000A2BD7">
            <w:pPr>
              <w:pStyle w:val="NoSpacing"/>
              <w:jc w:val="center"/>
              <w:rPr>
                <w:sz w:val="24"/>
                <w:szCs w:val="24"/>
                <w:lang w:val="en-NZ" w:eastAsia="en-NZ"/>
              </w:rPr>
            </w:pPr>
            <w:r>
              <w:rPr>
                <w:sz w:val="24"/>
                <w:szCs w:val="24"/>
                <w:lang w:val="en-NZ" w:eastAsia="en-NZ"/>
              </w:rPr>
              <w:t>48</w:t>
            </w:r>
          </w:p>
        </w:tc>
      </w:tr>
      <w:tr w:rsidR="00D86226" w:rsidTr="00D86226">
        <w:tc>
          <w:tcPr>
            <w:tcW w:w="3686" w:type="dxa"/>
            <w:tcBorders>
              <w:top w:val="single" w:sz="4" w:space="0" w:color="auto"/>
              <w:left w:val="single" w:sz="4" w:space="0" w:color="auto"/>
              <w:bottom w:val="single" w:sz="4" w:space="0" w:color="auto"/>
              <w:right w:val="single" w:sz="4" w:space="0" w:color="auto"/>
            </w:tcBorders>
            <w:hideMark/>
          </w:tcPr>
          <w:p w:rsidR="00D86226" w:rsidRDefault="00D86226" w:rsidP="00D86226">
            <w:pPr>
              <w:pStyle w:val="NoSpacing"/>
              <w:jc w:val="left"/>
              <w:rPr>
                <w:lang w:val="en-NZ" w:eastAsia="en-NZ"/>
              </w:rPr>
            </w:pPr>
            <w:r>
              <w:rPr>
                <w:lang w:val="en-NZ" w:eastAsia="en-NZ"/>
              </w:rPr>
              <w:t>Reflection</w:t>
            </w:r>
          </w:p>
        </w:tc>
        <w:tc>
          <w:tcPr>
            <w:tcW w:w="1984" w:type="dxa"/>
            <w:tcBorders>
              <w:top w:val="single" w:sz="4" w:space="0" w:color="auto"/>
              <w:left w:val="single" w:sz="4" w:space="0" w:color="auto"/>
              <w:bottom w:val="single" w:sz="4" w:space="0" w:color="auto"/>
              <w:right w:val="single" w:sz="4" w:space="0" w:color="auto"/>
            </w:tcBorders>
          </w:tcPr>
          <w:p w:rsidR="00D86226" w:rsidRDefault="00D86226" w:rsidP="00D86226">
            <w:pPr>
              <w:pStyle w:val="NoSpacing"/>
              <w:jc w:val="center"/>
              <w:rPr>
                <w:sz w:val="24"/>
                <w:szCs w:val="24"/>
                <w:lang w:val="en-NZ" w:eastAsia="en-NZ"/>
              </w:rPr>
            </w:pPr>
            <w:r>
              <w:rPr>
                <w:sz w:val="24"/>
                <w:szCs w:val="24"/>
                <w:lang w:val="en-NZ" w:eastAsia="en-NZ"/>
              </w:rPr>
              <w:t>12</w:t>
            </w:r>
          </w:p>
        </w:tc>
      </w:tr>
      <w:tr w:rsidR="00D86226" w:rsidTr="000A2BD7">
        <w:tc>
          <w:tcPr>
            <w:tcW w:w="3686" w:type="dxa"/>
            <w:tcBorders>
              <w:top w:val="single" w:sz="4" w:space="0" w:color="auto"/>
              <w:left w:val="single" w:sz="4" w:space="0" w:color="auto"/>
              <w:bottom w:val="single" w:sz="4" w:space="0" w:color="auto"/>
              <w:right w:val="single" w:sz="4" w:space="0" w:color="auto"/>
            </w:tcBorders>
            <w:hideMark/>
          </w:tcPr>
          <w:p w:rsidR="00D86226" w:rsidRDefault="00D86226" w:rsidP="00D86226">
            <w:pPr>
              <w:pStyle w:val="NoSpacing"/>
              <w:jc w:val="left"/>
              <w:rPr>
                <w:lang w:val="en-NZ" w:eastAsia="en-NZ"/>
              </w:rPr>
            </w:pPr>
            <w:r>
              <w:rPr>
                <w:lang w:val="en-NZ" w:eastAsia="en-NZ"/>
              </w:rPr>
              <w:t>Review/implementation of policies/procedures</w:t>
            </w:r>
          </w:p>
        </w:tc>
        <w:tc>
          <w:tcPr>
            <w:tcW w:w="1984" w:type="dxa"/>
            <w:tcBorders>
              <w:top w:val="single" w:sz="4" w:space="0" w:color="auto"/>
              <w:left w:val="single" w:sz="4" w:space="0" w:color="auto"/>
              <w:bottom w:val="single" w:sz="4" w:space="0" w:color="auto"/>
              <w:right w:val="single" w:sz="4" w:space="0" w:color="auto"/>
            </w:tcBorders>
            <w:vAlign w:val="center"/>
          </w:tcPr>
          <w:p w:rsidR="00D86226" w:rsidRDefault="00D86226" w:rsidP="000A2BD7">
            <w:pPr>
              <w:pStyle w:val="NoSpacing"/>
              <w:jc w:val="center"/>
              <w:rPr>
                <w:sz w:val="24"/>
                <w:szCs w:val="24"/>
                <w:lang w:val="en-NZ" w:eastAsia="en-NZ"/>
              </w:rPr>
            </w:pPr>
            <w:r>
              <w:rPr>
                <w:sz w:val="24"/>
                <w:szCs w:val="24"/>
                <w:lang w:val="en-NZ" w:eastAsia="en-NZ"/>
              </w:rPr>
              <w:t>45</w:t>
            </w:r>
          </w:p>
        </w:tc>
      </w:tr>
      <w:tr w:rsidR="00D86226" w:rsidTr="00D86226">
        <w:tc>
          <w:tcPr>
            <w:tcW w:w="3686" w:type="dxa"/>
            <w:tcBorders>
              <w:top w:val="single" w:sz="4" w:space="0" w:color="auto"/>
              <w:left w:val="single" w:sz="4" w:space="0" w:color="auto"/>
              <w:bottom w:val="single" w:sz="4" w:space="0" w:color="auto"/>
              <w:right w:val="single" w:sz="4" w:space="0" w:color="auto"/>
            </w:tcBorders>
            <w:hideMark/>
          </w:tcPr>
          <w:p w:rsidR="00D86226" w:rsidRDefault="00D86226" w:rsidP="00D86226">
            <w:pPr>
              <w:pStyle w:val="NoSpacing"/>
              <w:rPr>
                <w:lang w:val="en-NZ" w:eastAsia="en-NZ"/>
              </w:rPr>
            </w:pPr>
            <w:r>
              <w:rPr>
                <w:lang w:val="en-NZ" w:eastAsia="en-NZ"/>
              </w:rPr>
              <w:t>Training/professional development</w:t>
            </w:r>
          </w:p>
        </w:tc>
        <w:tc>
          <w:tcPr>
            <w:tcW w:w="1984" w:type="dxa"/>
            <w:tcBorders>
              <w:top w:val="single" w:sz="4" w:space="0" w:color="auto"/>
              <w:left w:val="single" w:sz="4" w:space="0" w:color="auto"/>
              <w:bottom w:val="single" w:sz="4" w:space="0" w:color="auto"/>
              <w:right w:val="single" w:sz="4" w:space="0" w:color="auto"/>
            </w:tcBorders>
          </w:tcPr>
          <w:p w:rsidR="00D86226" w:rsidRDefault="00D86226" w:rsidP="00D86226">
            <w:pPr>
              <w:pStyle w:val="NoSpacing"/>
              <w:jc w:val="center"/>
              <w:rPr>
                <w:lang w:val="en-NZ" w:eastAsia="en-NZ"/>
              </w:rPr>
            </w:pPr>
            <w:r>
              <w:rPr>
                <w:lang w:val="en-NZ" w:eastAsia="en-NZ"/>
              </w:rPr>
              <w:t>32</w:t>
            </w:r>
          </w:p>
        </w:tc>
      </w:tr>
      <w:tr w:rsidR="00D86226" w:rsidTr="00D86226">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226" w:rsidRDefault="00D86226" w:rsidP="00D86226">
            <w:pPr>
              <w:pStyle w:val="NoSpacing"/>
              <w:rPr>
                <w:b/>
                <w:lang w:val="en-NZ" w:eastAsia="en-NZ"/>
              </w:rPr>
            </w:pPr>
            <w:r>
              <w:rPr>
                <w:b/>
                <w:lang w:val="en-NZ" w:eastAsia="en-NZ"/>
              </w:rPr>
              <w:t>Total</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226" w:rsidRDefault="00D86226" w:rsidP="00D86226">
            <w:pPr>
              <w:pStyle w:val="NoSpacing"/>
              <w:jc w:val="center"/>
              <w:rPr>
                <w:b/>
                <w:lang w:val="en-NZ" w:eastAsia="en-NZ"/>
              </w:rPr>
            </w:pPr>
            <w:r>
              <w:rPr>
                <w:b/>
                <w:lang w:val="en-NZ" w:eastAsia="en-NZ"/>
              </w:rPr>
              <w:fldChar w:fldCharType="begin"/>
            </w:r>
            <w:r>
              <w:rPr>
                <w:b/>
                <w:lang w:val="en-NZ" w:eastAsia="en-NZ"/>
              </w:rPr>
              <w:instrText xml:space="preserve"> =SUM(ABOVE) </w:instrText>
            </w:r>
            <w:r>
              <w:rPr>
                <w:b/>
                <w:lang w:val="en-NZ" w:eastAsia="en-NZ"/>
              </w:rPr>
              <w:fldChar w:fldCharType="separate"/>
            </w:r>
            <w:r>
              <w:rPr>
                <w:b/>
                <w:noProof/>
                <w:lang w:val="en-NZ" w:eastAsia="en-NZ"/>
              </w:rPr>
              <w:t>213</w:t>
            </w:r>
            <w:r>
              <w:rPr>
                <w:b/>
                <w:lang w:val="en-NZ" w:eastAsia="en-NZ"/>
              </w:rPr>
              <w:fldChar w:fldCharType="end"/>
            </w:r>
          </w:p>
        </w:tc>
      </w:tr>
    </w:tbl>
    <w:p w:rsidR="00D86226" w:rsidRDefault="00D86226" w:rsidP="00D86226">
      <w:pPr>
        <w:spacing w:before="240"/>
        <w:rPr>
          <w:b/>
        </w:rPr>
      </w:pPr>
      <w:r>
        <w:t>T</w:t>
      </w:r>
      <w:r>
        <w:rPr>
          <w:lang w:eastAsia="en-NZ"/>
        </w:rPr>
        <w:t xml:space="preserve">he most common recommendation made to DHBs was that they provide evidence to HDC of the changes they had made in response to the issues raised by the complaint (48 recommendations), followed by a review of their policies/procedures or implementation of new policies/procedures (45 recommendations). Audits were also often recommended (28 recommendations), this was most commonly in relation to ensuring that staff were following policies/procedures. When staff training was recommended this was most often in relation to clinical issues, followed by communication and documentation. On some occasions, HDC also recommended that an anonymised version of the complaint be used as a training tool for staff. </w:t>
      </w:r>
    </w:p>
    <w:p w:rsidR="00D86226" w:rsidRDefault="00D86226" w:rsidP="00D86226"/>
    <w:p w:rsidR="00D86226" w:rsidRDefault="00D86226" w:rsidP="00D86226"/>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rPr>
          <w:lang w:bidi="ar-SA"/>
        </w:rPr>
      </w:pPr>
    </w:p>
    <w:p w:rsidR="00D86226" w:rsidRDefault="00D86226" w:rsidP="00D86226">
      <w:pPr>
        <w:pStyle w:val="Heading2"/>
        <w:rPr>
          <w:lang w:val="en-NZ"/>
        </w:rPr>
      </w:pPr>
      <w:bookmarkStart w:id="127" w:name="_Toc426462640"/>
      <w:bookmarkStart w:id="128" w:name="_Toc443992235"/>
      <w:bookmarkStart w:id="129" w:name="_Toc493680295"/>
      <w:bookmarkStart w:id="130" w:name="_Toc493684136"/>
      <w:r>
        <w:rPr>
          <w:lang w:val="en-NZ"/>
        </w:rPr>
        <w:t>5.0</w:t>
      </w:r>
      <w:r>
        <w:rPr>
          <w:lang w:val="en-NZ"/>
        </w:rPr>
        <w:tab/>
        <w:t>Learning from complaints — HDC case reports</w:t>
      </w:r>
      <w:bookmarkEnd w:id="127"/>
      <w:bookmarkEnd w:id="128"/>
      <w:bookmarkEnd w:id="129"/>
      <w:bookmarkEnd w:id="130"/>
    </w:p>
    <w:p w:rsidR="00D86226" w:rsidRDefault="00D86226" w:rsidP="00D86226">
      <w:pPr>
        <w:rPr>
          <w:b/>
          <w:szCs w:val="22"/>
        </w:rPr>
      </w:pPr>
      <w:r>
        <w:rPr>
          <w:b/>
          <w:szCs w:val="22"/>
        </w:rPr>
        <w:t>Care of pregnant woman with diabetic ketoacidosis (</w:t>
      </w:r>
      <w:r>
        <w:rPr>
          <w:b/>
          <w:noProof/>
          <w:szCs w:val="22"/>
        </w:rPr>
        <w:t>15HDC01036</w:t>
      </w:r>
      <w:r>
        <w:rPr>
          <w:b/>
          <w:szCs w:val="22"/>
        </w:rPr>
        <w:t>)</w:t>
      </w:r>
    </w:p>
    <w:p w:rsidR="00D86226" w:rsidRDefault="00D86226" w:rsidP="00D86226">
      <w:pPr>
        <w:spacing w:before="120" w:after="120"/>
        <w:rPr>
          <w:i/>
          <w:szCs w:val="22"/>
        </w:rPr>
      </w:pPr>
      <w:r>
        <w:rPr>
          <w:i/>
          <w:szCs w:val="22"/>
        </w:rPr>
        <w:t>Background</w:t>
      </w:r>
    </w:p>
    <w:p w:rsidR="00D86226" w:rsidRDefault="00D86226" w:rsidP="00D86226">
      <w:pPr>
        <w:spacing w:before="120" w:after="120"/>
        <w:rPr>
          <w:szCs w:val="22"/>
        </w:rPr>
      </w:pPr>
      <w:r>
        <w:rPr>
          <w:szCs w:val="22"/>
        </w:rPr>
        <w:lastRenderedPageBreak/>
        <w:t xml:space="preserve">Mrs A, a woman in her thirties with a history of poorly controlled Type 1 diabetes mellitus, was pregnant for the third time. Mrs A was under the care of the DHB’s Diabetes and Pregnancy Service (the Service). Despite her pregnancy being managed by the multidisciplinary “high risk” antenatal clinic, Mrs A had not been informed about the signs and symptoms of diabetic ketoacidosis (DKA), a serious complication of diabetes when the body produces high levels of ketones. Additionally, HDC’s expert advisor considered that, in light of the high-risk nature of Mrs A’s pregnancy, her diabetes during her pregnancy should have been monitored more closely than it was by the Service, and that increased personal contact by clinicians was warranted.  </w:t>
      </w:r>
    </w:p>
    <w:p w:rsidR="00D86226" w:rsidRDefault="00D86226" w:rsidP="00D86226">
      <w:pPr>
        <w:spacing w:before="120" w:after="120"/>
        <w:rPr>
          <w:szCs w:val="22"/>
        </w:rPr>
      </w:pPr>
      <w:r>
        <w:rPr>
          <w:szCs w:val="22"/>
        </w:rPr>
        <w:t xml:space="preserve">When she was 31 weeks pregnant, Mrs A presented at the hospital’s emergency department (ED) with a headache, nausea and general illness. Mrs A was sent directly to the maternity unit without being triaged in ED. Mrs A told staff she had Type 1 diabetes mellitus and that she was under specialist obstetric and endocrinologist care. However, the Service was not advised of her admission. </w:t>
      </w:r>
    </w:p>
    <w:p w:rsidR="00D86226" w:rsidRPr="007351AA" w:rsidRDefault="00D86226" w:rsidP="00D86226">
      <w:pPr>
        <w:spacing w:before="120" w:after="120"/>
        <w:rPr>
          <w:szCs w:val="22"/>
        </w:rPr>
      </w:pPr>
      <w:r>
        <w:rPr>
          <w:szCs w:val="22"/>
        </w:rPr>
        <w:t>Mrs A was given IV fluids and analgesia for her headache. There is no record of her urine having been checked for ketones followin</w:t>
      </w:r>
      <w:r w:rsidR="000A2BD7">
        <w:rPr>
          <w:szCs w:val="22"/>
        </w:rPr>
        <w:t xml:space="preserve">g the administration of fluids. </w:t>
      </w:r>
      <w:r>
        <w:rPr>
          <w:szCs w:val="22"/>
        </w:rPr>
        <w:t xml:space="preserve">Her condition improved overnight with hydration, and Mrs A was discharged the following day despite poor glycaemic control and no inpatient assessment by the Service. Mrs A became unwell again and, in the early hours of the following morning, she re-presented to ED. Mrs A was seen by the ED registrar and the obstetric team, and a diagnosis of probable DKA was made. Given Mrs A’s life-threatening condition, an emergency Caesarean section was performed and a still born infant was delivered. When Mrs A was discharged there was no record of consideration of the reasons why Mrs A developed DKA, and no guidance was provided at discharge on how to reduce the risk of recurrence. </w:t>
      </w:r>
    </w:p>
    <w:p w:rsidR="00D86226" w:rsidRDefault="00D86226" w:rsidP="00D86226">
      <w:pPr>
        <w:spacing w:before="120" w:after="120"/>
        <w:rPr>
          <w:i/>
          <w:szCs w:val="22"/>
        </w:rPr>
      </w:pPr>
      <w:r>
        <w:rPr>
          <w:i/>
          <w:szCs w:val="22"/>
        </w:rPr>
        <w:t>Findings</w:t>
      </w:r>
    </w:p>
    <w:p w:rsidR="00D86226" w:rsidRDefault="00D86226" w:rsidP="00D86226">
      <w:pPr>
        <w:spacing w:before="120" w:after="120"/>
        <w:rPr>
          <w:szCs w:val="22"/>
        </w:rPr>
      </w:pPr>
      <w:r>
        <w:rPr>
          <w:szCs w:val="22"/>
        </w:rPr>
        <w:t>The Commissioner found that the DHB failed to provide Mrs A with care of an appropriate standard in the following respects:</w:t>
      </w:r>
    </w:p>
    <w:p w:rsidR="00D86226" w:rsidRDefault="00D86226" w:rsidP="00D86226">
      <w:pPr>
        <w:pStyle w:val="ListParagraph"/>
        <w:numPr>
          <w:ilvl w:val="0"/>
          <w:numId w:val="24"/>
        </w:numPr>
        <w:spacing w:before="120" w:after="120"/>
        <w:rPr>
          <w:szCs w:val="22"/>
        </w:rPr>
      </w:pPr>
      <w:r>
        <w:rPr>
          <w:szCs w:val="22"/>
        </w:rPr>
        <w:t>the signs and symptoms that Mrs A might expect to experience should she be suffering from DKA were not adequately communicated to her;</w:t>
      </w:r>
    </w:p>
    <w:p w:rsidR="00D86226" w:rsidRDefault="00D86226" w:rsidP="00D86226">
      <w:pPr>
        <w:pStyle w:val="ListParagraph"/>
        <w:numPr>
          <w:ilvl w:val="0"/>
          <w:numId w:val="24"/>
        </w:numPr>
        <w:spacing w:before="120" w:after="120"/>
        <w:rPr>
          <w:szCs w:val="22"/>
        </w:rPr>
      </w:pPr>
      <w:r>
        <w:rPr>
          <w:szCs w:val="22"/>
        </w:rPr>
        <w:t>Mrs A’s</w:t>
      </w:r>
      <w:r w:rsidRPr="003A401E">
        <w:rPr>
          <w:szCs w:val="22"/>
        </w:rPr>
        <w:t xml:space="preserve"> diabetes was not monitored sufficiently closely during the pregnancy, particularly through personal contact with clinicians</w:t>
      </w:r>
      <w:r>
        <w:rPr>
          <w:szCs w:val="22"/>
        </w:rPr>
        <w:t>;</w:t>
      </w:r>
    </w:p>
    <w:p w:rsidR="00D86226" w:rsidRDefault="00D86226" w:rsidP="00D86226">
      <w:pPr>
        <w:pStyle w:val="ListParagraph"/>
        <w:numPr>
          <w:ilvl w:val="0"/>
          <w:numId w:val="24"/>
        </w:numPr>
        <w:spacing w:before="120" w:after="120"/>
        <w:rPr>
          <w:szCs w:val="22"/>
        </w:rPr>
      </w:pPr>
      <w:r>
        <w:rPr>
          <w:szCs w:val="22"/>
        </w:rPr>
        <w:t>despite Mrs A telling hospital staff that she was a patient under specialist diabetes care, the Service was not contacted during her admission;</w:t>
      </w:r>
    </w:p>
    <w:p w:rsidR="00D86226" w:rsidRDefault="00D86226" w:rsidP="00D86226">
      <w:pPr>
        <w:pStyle w:val="ListParagraph"/>
        <w:numPr>
          <w:ilvl w:val="0"/>
          <w:numId w:val="24"/>
        </w:numPr>
        <w:spacing w:before="120" w:after="120"/>
        <w:rPr>
          <w:szCs w:val="22"/>
        </w:rPr>
      </w:pPr>
      <w:r>
        <w:rPr>
          <w:szCs w:val="22"/>
        </w:rPr>
        <w:t>various tests were not carried out during Mrs A’s hospital admission, the management of her diabetes was not reviewed, and she was not assessed by a diabetes clinician prior to discharge;</w:t>
      </w:r>
    </w:p>
    <w:p w:rsidR="00D86226" w:rsidRPr="003A401E" w:rsidRDefault="00D86226" w:rsidP="00D86226">
      <w:pPr>
        <w:pStyle w:val="ListParagraph"/>
        <w:numPr>
          <w:ilvl w:val="0"/>
          <w:numId w:val="24"/>
        </w:numPr>
        <w:spacing w:before="120" w:after="120"/>
        <w:rPr>
          <w:szCs w:val="22"/>
        </w:rPr>
      </w:pPr>
      <w:r>
        <w:rPr>
          <w:szCs w:val="22"/>
        </w:rPr>
        <w:t>the discharge summary following her second admission, does not state why Mrs A developed DKA, and gives no guidance on how to reduce the risk of recurrence of DKA.</w:t>
      </w:r>
    </w:p>
    <w:p w:rsidR="00D86226" w:rsidRDefault="00D86226" w:rsidP="00D86226">
      <w:pPr>
        <w:spacing w:before="120" w:after="120"/>
        <w:rPr>
          <w:szCs w:val="22"/>
        </w:rPr>
      </w:pPr>
      <w:r>
        <w:rPr>
          <w:szCs w:val="22"/>
        </w:rPr>
        <w:t>The Commissioner considered that the DHB team had sufficient information to provide Mrs A with appropriate care. However a series of judgement and communication failures meant that they did not do so. Accordingly the Commissioner found that the DHB failed to provide Mrs A with services with appropriate care and skill, in breach of Right 4(1) of the Code.</w:t>
      </w:r>
    </w:p>
    <w:p w:rsidR="00D86226" w:rsidRDefault="00D86226" w:rsidP="00D86226">
      <w:pPr>
        <w:spacing w:before="120" w:after="120"/>
        <w:rPr>
          <w:szCs w:val="22"/>
        </w:rPr>
      </w:pPr>
    </w:p>
    <w:p w:rsidR="00D86226" w:rsidRDefault="00D86226" w:rsidP="00D86226">
      <w:pPr>
        <w:spacing w:before="120" w:after="120"/>
        <w:rPr>
          <w:szCs w:val="22"/>
        </w:rPr>
      </w:pPr>
    </w:p>
    <w:p w:rsidR="00D86226" w:rsidRDefault="00D86226" w:rsidP="00D86226">
      <w:pPr>
        <w:spacing w:before="120" w:after="120"/>
        <w:rPr>
          <w:szCs w:val="22"/>
        </w:rPr>
      </w:pPr>
    </w:p>
    <w:p w:rsidR="008427E2" w:rsidRPr="00CD381B" w:rsidRDefault="008427E2" w:rsidP="00D86226">
      <w:pPr>
        <w:spacing w:before="120" w:after="120"/>
        <w:rPr>
          <w:szCs w:val="22"/>
        </w:rPr>
      </w:pPr>
      <w:bookmarkStart w:id="131" w:name="_GoBack"/>
      <w:bookmarkEnd w:id="131"/>
    </w:p>
    <w:p w:rsidR="00D86226" w:rsidRDefault="00D86226" w:rsidP="00D86226">
      <w:pPr>
        <w:spacing w:after="240"/>
        <w:rPr>
          <w:i/>
          <w:szCs w:val="22"/>
        </w:rPr>
      </w:pPr>
      <w:r>
        <w:rPr>
          <w:i/>
          <w:szCs w:val="22"/>
        </w:rPr>
        <w:t>Recommendations</w:t>
      </w:r>
    </w:p>
    <w:p w:rsidR="00D86226" w:rsidRDefault="00D86226" w:rsidP="00D86226">
      <w:pPr>
        <w:spacing w:after="120"/>
        <w:rPr>
          <w:szCs w:val="22"/>
        </w:rPr>
      </w:pPr>
      <w:r w:rsidRPr="000F076B">
        <w:rPr>
          <w:szCs w:val="22"/>
        </w:rPr>
        <w:t>The Commissio</w:t>
      </w:r>
      <w:r>
        <w:rPr>
          <w:szCs w:val="22"/>
        </w:rPr>
        <w:t>ner made a number of recommendations to the DHB, including that it provide an update to HDC on the actions it had taken following this complaint, including:</w:t>
      </w:r>
    </w:p>
    <w:p w:rsidR="00D86226" w:rsidRDefault="00D86226" w:rsidP="00D86226">
      <w:pPr>
        <w:pStyle w:val="ListParagraph"/>
        <w:numPr>
          <w:ilvl w:val="0"/>
          <w:numId w:val="26"/>
        </w:numPr>
        <w:spacing w:after="120"/>
        <w:ind w:left="714" w:hanging="357"/>
        <w:rPr>
          <w:szCs w:val="22"/>
        </w:rPr>
      </w:pPr>
      <w:r>
        <w:rPr>
          <w:szCs w:val="22"/>
        </w:rPr>
        <w:t>a review of the staffing of the Service;</w:t>
      </w:r>
    </w:p>
    <w:p w:rsidR="00D86226" w:rsidRDefault="00D86226" w:rsidP="00D86226">
      <w:pPr>
        <w:pStyle w:val="ListParagraph"/>
        <w:numPr>
          <w:ilvl w:val="0"/>
          <w:numId w:val="26"/>
        </w:numPr>
        <w:spacing w:after="120"/>
        <w:ind w:left="714" w:hanging="357"/>
        <w:rPr>
          <w:szCs w:val="22"/>
        </w:rPr>
      </w:pPr>
      <w:r>
        <w:rPr>
          <w:szCs w:val="22"/>
        </w:rPr>
        <w:lastRenderedPageBreak/>
        <w:t>a review of the physical layout and suitability of the Service, and an audit of the documentation of the care provided by the Service to pregnant women with diabetes;</w:t>
      </w:r>
    </w:p>
    <w:p w:rsidR="00D86226" w:rsidRDefault="00D86226" w:rsidP="00D86226">
      <w:pPr>
        <w:pStyle w:val="ListParagraph"/>
        <w:numPr>
          <w:ilvl w:val="0"/>
          <w:numId w:val="26"/>
        </w:numPr>
        <w:spacing w:after="120"/>
        <w:ind w:left="714" w:hanging="357"/>
        <w:rPr>
          <w:szCs w:val="22"/>
        </w:rPr>
      </w:pPr>
      <w:r>
        <w:rPr>
          <w:szCs w:val="22"/>
        </w:rPr>
        <w:t>a report on the national gestational diabetes guidelines, once implemented;</w:t>
      </w:r>
    </w:p>
    <w:p w:rsidR="00D86226" w:rsidRDefault="00D86226" w:rsidP="00D86226">
      <w:pPr>
        <w:pStyle w:val="ListParagraph"/>
        <w:numPr>
          <w:ilvl w:val="0"/>
          <w:numId w:val="26"/>
        </w:numPr>
        <w:spacing w:after="120"/>
        <w:ind w:left="714" w:hanging="357"/>
        <w:rPr>
          <w:szCs w:val="22"/>
        </w:rPr>
      </w:pPr>
      <w:r>
        <w:rPr>
          <w:szCs w:val="22"/>
        </w:rPr>
        <w:t>a copy of the patient information resource on diabetes management in pregnancy and the pregnancy-specific insulin infusion protocol, and any other relevant reviewed policies; and</w:t>
      </w:r>
    </w:p>
    <w:p w:rsidR="00D86226" w:rsidRDefault="00D86226" w:rsidP="00D86226">
      <w:pPr>
        <w:pStyle w:val="ListParagraph"/>
        <w:numPr>
          <w:ilvl w:val="0"/>
          <w:numId w:val="26"/>
        </w:numPr>
        <w:spacing w:after="120"/>
        <w:ind w:left="714" w:hanging="357"/>
        <w:rPr>
          <w:szCs w:val="22"/>
        </w:rPr>
      </w:pPr>
      <w:r>
        <w:rPr>
          <w:szCs w:val="22"/>
        </w:rPr>
        <w:t>a report on the establishment of a preconception clinic</w:t>
      </w:r>
      <w:r w:rsidR="000A2BD7">
        <w:rPr>
          <w:szCs w:val="22"/>
        </w:rPr>
        <w:t>.</w:t>
      </w:r>
      <w:r>
        <w:rPr>
          <w:szCs w:val="22"/>
        </w:rPr>
        <w:t xml:space="preserve"> </w:t>
      </w:r>
    </w:p>
    <w:p w:rsidR="00D86226" w:rsidRDefault="00D86226" w:rsidP="00D86226">
      <w:pPr>
        <w:rPr>
          <w:szCs w:val="22"/>
        </w:rPr>
      </w:pPr>
    </w:p>
    <w:p w:rsidR="00D86226" w:rsidRDefault="00D86226" w:rsidP="00D86226">
      <w:pPr>
        <w:spacing w:after="120"/>
        <w:rPr>
          <w:szCs w:val="22"/>
        </w:rPr>
      </w:pPr>
      <w:r>
        <w:rPr>
          <w:szCs w:val="22"/>
        </w:rPr>
        <w:t>The Commissioner also re</w:t>
      </w:r>
      <w:r w:rsidR="000A2BD7">
        <w:rPr>
          <w:szCs w:val="22"/>
        </w:rPr>
        <w:t>commended that the DHB</w:t>
      </w:r>
      <w:r>
        <w:rPr>
          <w:szCs w:val="22"/>
        </w:rPr>
        <w:t>:</w:t>
      </w:r>
    </w:p>
    <w:p w:rsidR="00D86226" w:rsidRDefault="000A2BD7" w:rsidP="00D86226">
      <w:pPr>
        <w:pStyle w:val="ListParagraph"/>
        <w:numPr>
          <w:ilvl w:val="0"/>
          <w:numId w:val="27"/>
        </w:numPr>
        <w:spacing w:after="120"/>
        <w:rPr>
          <w:szCs w:val="22"/>
        </w:rPr>
      </w:pPr>
      <w:r>
        <w:rPr>
          <w:szCs w:val="22"/>
        </w:rPr>
        <w:t xml:space="preserve">undertake </w:t>
      </w:r>
      <w:r w:rsidR="00D86226">
        <w:rPr>
          <w:szCs w:val="22"/>
        </w:rPr>
        <w:t>a consultation with other DHBs regarding the development of consistent glycaemic targets for pregnant women;</w:t>
      </w:r>
    </w:p>
    <w:p w:rsidR="00D86226" w:rsidRDefault="00D86226" w:rsidP="00D86226">
      <w:pPr>
        <w:pStyle w:val="ListParagraph"/>
        <w:numPr>
          <w:ilvl w:val="0"/>
          <w:numId w:val="27"/>
        </w:numPr>
        <w:spacing w:after="120"/>
        <w:rPr>
          <w:szCs w:val="22"/>
        </w:rPr>
      </w:pPr>
      <w:r>
        <w:rPr>
          <w:szCs w:val="22"/>
        </w:rPr>
        <w:t>include in any protocols developed a requirement that, in circumstances where a patient is receiving multidisciplinary care and is admitted to hospital, all disciplines are informed and involved in treatment decisions;</w:t>
      </w:r>
    </w:p>
    <w:p w:rsidR="00D86226" w:rsidRDefault="000A2BD7" w:rsidP="00D86226">
      <w:pPr>
        <w:pStyle w:val="ListParagraph"/>
        <w:numPr>
          <w:ilvl w:val="0"/>
          <w:numId w:val="27"/>
        </w:numPr>
        <w:spacing w:after="120"/>
        <w:rPr>
          <w:szCs w:val="22"/>
        </w:rPr>
      </w:pPr>
      <w:r>
        <w:rPr>
          <w:szCs w:val="22"/>
        </w:rPr>
        <w:t>give consideration to</w:t>
      </w:r>
      <w:r w:rsidR="00D86226">
        <w:rPr>
          <w:szCs w:val="22"/>
        </w:rPr>
        <w:t xml:space="preserve"> the development of a protocol to provide that, in cases where a woman’s glycaemic control is poor, there is a regular review of the records by a doctor and limited contact by telephone and email;</w:t>
      </w:r>
    </w:p>
    <w:p w:rsidR="00D86226" w:rsidRDefault="000A2BD7" w:rsidP="00D86226">
      <w:pPr>
        <w:pStyle w:val="ListParagraph"/>
        <w:numPr>
          <w:ilvl w:val="0"/>
          <w:numId w:val="27"/>
        </w:numPr>
        <w:spacing w:after="120"/>
        <w:rPr>
          <w:szCs w:val="22"/>
        </w:rPr>
      </w:pPr>
      <w:r>
        <w:rPr>
          <w:szCs w:val="22"/>
        </w:rPr>
        <w:t xml:space="preserve">undertake </w:t>
      </w:r>
      <w:r w:rsidR="00D86226">
        <w:rPr>
          <w:szCs w:val="22"/>
        </w:rPr>
        <w:t>a review of the diabetes assessment/education checklist to include DKA;</w:t>
      </w:r>
    </w:p>
    <w:p w:rsidR="00D86226" w:rsidRDefault="000A2BD7" w:rsidP="00D86226">
      <w:pPr>
        <w:pStyle w:val="ListParagraph"/>
        <w:numPr>
          <w:ilvl w:val="0"/>
          <w:numId w:val="27"/>
        </w:numPr>
        <w:spacing w:after="120"/>
        <w:rPr>
          <w:szCs w:val="22"/>
        </w:rPr>
      </w:pPr>
      <w:r>
        <w:rPr>
          <w:szCs w:val="22"/>
        </w:rPr>
        <w:t xml:space="preserve">undertake </w:t>
      </w:r>
      <w:r w:rsidR="00D86226">
        <w:rPr>
          <w:szCs w:val="22"/>
        </w:rPr>
        <w:t>an investigation of the possibility of a system whereby the readings from BGL meters are downloaded electronically; and</w:t>
      </w:r>
    </w:p>
    <w:p w:rsidR="00D86226" w:rsidRPr="009F21E7" w:rsidRDefault="000A2BD7" w:rsidP="00D86226">
      <w:pPr>
        <w:pStyle w:val="ListParagraph"/>
        <w:numPr>
          <w:ilvl w:val="0"/>
          <w:numId w:val="27"/>
        </w:numPr>
        <w:spacing w:after="120"/>
        <w:rPr>
          <w:szCs w:val="22"/>
        </w:rPr>
      </w:pPr>
      <w:r>
        <w:rPr>
          <w:szCs w:val="22"/>
        </w:rPr>
        <w:t xml:space="preserve">undertake </w:t>
      </w:r>
      <w:r w:rsidR="00D86226">
        <w:rPr>
          <w:szCs w:val="22"/>
        </w:rPr>
        <w:t xml:space="preserve">a review of the protocol regarding DKA in the Service guidelines, with a view to adding the risks and precipitating causes, pregnancy-vomiting-hydration. Consider adding the recommendation that the blood sugar level is </w:t>
      </w:r>
      <w:r w:rsidR="00D86226">
        <w:t>&gt; 40mmol/L before referral to ICU.</w:t>
      </w:r>
    </w:p>
    <w:p w:rsidR="00D86226" w:rsidRDefault="00D86226" w:rsidP="00D86226">
      <w:pPr>
        <w:rPr>
          <w:b/>
          <w:szCs w:val="22"/>
        </w:rPr>
      </w:pPr>
    </w:p>
    <w:p w:rsidR="00D86226" w:rsidRDefault="00D86226" w:rsidP="00D86226">
      <w:pPr>
        <w:rPr>
          <w:b/>
          <w:szCs w:val="22"/>
        </w:rPr>
      </w:pPr>
      <w:r>
        <w:rPr>
          <w:b/>
          <w:szCs w:val="22"/>
        </w:rPr>
        <w:t>Follow-up of X-ray results (</w:t>
      </w:r>
      <w:r>
        <w:rPr>
          <w:b/>
          <w:noProof/>
          <w:szCs w:val="22"/>
        </w:rPr>
        <w:t>15HDC00268</w:t>
      </w:r>
      <w:r>
        <w:rPr>
          <w:b/>
          <w:szCs w:val="22"/>
        </w:rPr>
        <w:t>)</w:t>
      </w:r>
    </w:p>
    <w:p w:rsidR="00D86226" w:rsidRDefault="00D86226" w:rsidP="00D86226">
      <w:pPr>
        <w:spacing w:before="120" w:after="120"/>
        <w:rPr>
          <w:i/>
          <w:szCs w:val="22"/>
        </w:rPr>
      </w:pPr>
      <w:r>
        <w:rPr>
          <w:i/>
          <w:szCs w:val="22"/>
        </w:rPr>
        <w:t>Background</w:t>
      </w:r>
    </w:p>
    <w:p w:rsidR="00D86226" w:rsidRDefault="00D86226" w:rsidP="00D86226">
      <w:pPr>
        <w:spacing w:before="120" w:after="120"/>
        <w:rPr>
          <w:szCs w:val="22"/>
        </w:rPr>
      </w:pPr>
      <w:r>
        <w:rPr>
          <w:szCs w:val="22"/>
        </w:rPr>
        <w:t>Mrs A presented to a public hospital’s ED with a history of a cough and chest tightness. She was examined by a medical officer, Dr C, who gave her nebulisers, after which she improved. Dr C ordered a chest X-ray and did not note anything of concern. She diagnosed Mrs A with chronic obstructive pulmonary disease with acute asthma. Mrs A was discharged home with her care discharged back to her GP. Her discharge report did not mention a pending X-ray report.</w:t>
      </w:r>
    </w:p>
    <w:p w:rsidR="00D86226" w:rsidRDefault="00D86226" w:rsidP="00D86226">
      <w:pPr>
        <w:spacing w:before="120" w:after="120"/>
        <w:rPr>
          <w:szCs w:val="22"/>
        </w:rPr>
      </w:pPr>
      <w:r>
        <w:rPr>
          <w:szCs w:val="22"/>
        </w:rPr>
        <w:t xml:space="preserve">Later that month, the formal radiologist’s report was sent electronically to Dr C’s inbox. In the report, the radiologist identified a mass and recommended a chest X-ray or CT scan in six weeks time. </w:t>
      </w:r>
    </w:p>
    <w:p w:rsidR="00D86226" w:rsidRDefault="00D86226" w:rsidP="00D86226">
      <w:pPr>
        <w:spacing w:before="120" w:after="120"/>
        <w:rPr>
          <w:szCs w:val="22"/>
        </w:rPr>
      </w:pPr>
      <w:r>
        <w:rPr>
          <w:szCs w:val="22"/>
        </w:rPr>
        <w:t>Dr C reviewed the X-ray report in the memo tab of her inbox, but did not electronically acknowledge the results. Dr C went on leave the following day for ten days. She stated the X-ray results were not immediately urgent, and she considered it appropriate to action them on her return. Dr C assumed that the result would still be visible in the memo tab on her return, and was not aware that the memo would drop off from her view after 24 hours.</w:t>
      </w:r>
    </w:p>
    <w:p w:rsidR="00D86226" w:rsidRDefault="00D86226" w:rsidP="00D86226">
      <w:pPr>
        <w:spacing w:before="120" w:after="120"/>
        <w:rPr>
          <w:szCs w:val="22"/>
        </w:rPr>
      </w:pPr>
      <w:r>
        <w:rPr>
          <w:szCs w:val="22"/>
        </w:rPr>
        <w:t xml:space="preserve">When Dr C returned from leave, Mrs A’s chest X-ray results were no longer visible in the memo tab of Dr C’s inbox, and Dr C did not recall the report. Mrs A did not receive the recommended follow-up X-ray or CT scan, and the X-ray results were not sent to her. </w:t>
      </w:r>
    </w:p>
    <w:p w:rsidR="00D86226" w:rsidRDefault="00D86226" w:rsidP="00D86226">
      <w:pPr>
        <w:spacing w:before="120" w:after="120"/>
        <w:rPr>
          <w:szCs w:val="22"/>
        </w:rPr>
      </w:pPr>
      <w:r>
        <w:rPr>
          <w:szCs w:val="22"/>
        </w:rPr>
        <w:t xml:space="preserve">About 20 months after Mrs A’s X-ray, she returned to the hospital having felt unwell for the last few days. A review of her electronic clinical history resulted in the discovery of the non-actioned X-ray report, which showed a mass on Mrs A’s lung. Sadly Mrs A died two months later. </w:t>
      </w:r>
    </w:p>
    <w:p w:rsidR="00D86226" w:rsidRPr="000B7C93" w:rsidRDefault="00D86226" w:rsidP="00D86226">
      <w:pPr>
        <w:spacing w:before="120" w:after="120"/>
        <w:rPr>
          <w:szCs w:val="22"/>
        </w:rPr>
      </w:pPr>
      <w:r>
        <w:rPr>
          <w:szCs w:val="22"/>
        </w:rPr>
        <w:t xml:space="preserve">The DHB’s investigation into these events found that its IT system allowed results to disappear from the view of the memo tab, once results were opened/viewed, after 24 hours regardless of whether they were acknowledged. All unattended and unacknowledged reports remained in the </w:t>
      </w:r>
      <w:r>
        <w:rPr>
          <w:szCs w:val="22"/>
        </w:rPr>
        <w:lastRenderedPageBreak/>
        <w:t>“unacknowledged work list”. However, “the ED were unaware of this distinction in the functionality”, and ED staff were using only the memo tab. There was no process at the hospital to ensure that reports or results were acknowledged within a certain length of time, and there was no warning system to alert clinicians to the existence of unacknowledged reports.</w:t>
      </w:r>
    </w:p>
    <w:p w:rsidR="00D86226" w:rsidRDefault="00D86226" w:rsidP="00D86226">
      <w:pPr>
        <w:spacing w:before="120" w:after="120"/>
        <w:rPr>
          <w:i/>
          <w:szCs w:val="22"/>
        </w:rPr>
      </w:pPr>
      <w:r>
        <w:rPr>
          <w:i/>
          <w:szCs w:val="22"/>
        </w:rPr>
        <w:t>Findings</w:t>
      </w:r>
    </w:p>
    <w:p w:rsidR="00D86226" w:rsidRDefault="00D86226" w:rsidP="00D86226">
      <w:pPr>
        <w:spacing w:before="120" w:after="120"/>
        <w:rPr>
          <w:szCs w:val="22"/>
        </w:rPr>
      </w:pPr>
      <w:r>
        <w:rPr>
          <w:szCs w:val="22"/>
        </w:rPr>
        <w:t>The Commissioner found that the DHB failed to have in place an appropriate system for the management and acknowledgement of test results. He noted, while a system was in place, clinicians were not trained adequately to use that system. There was clearly widespread misunderstanding within the ED regarding the functionality of the IT system, which clinicians should have been able to rely on and use adequately. This failure resulted in Dr C not following up on Mrs A’s report. In addition, the Commissioner considered that the DHB did not have in place an appropriate system to ensure that Mrs A’s GP received the X-ray report, and did not have a process to ensure that reports or results did not go unacknowledged by clinicians. Accordingly, the Commissioner found that the DHB failed to provide Mrs A with services with appropriate care and skill, in breach of Right 4(1) of the Code.</w:t>
      </w:r>
    </w:p>
    <w:p w:rsidR="00D86226" w:rsidRPr="00CE6925" w:rsidRDefault="00D86226" w:rsidP="00D86226">
      <w:pPr>
        <w:spacing w:before="120" w:after="120"/>
        <w:rPr>
          <w:szCs w:val="22"/>
        </w:rPr>
      </w:pPr>
      <w:r>
        <w:rPr>
          <w:szCs w:val="22"/>
        </w:rPr>
        <w:t xml:space="preserve">The Commissioner was critical of Dr C for not putting in place any safety-netting strategies. However, overall, he considered it was reasonable for her to rely on the system in these circumstances. </w:t>
      </w:r>
    </w:p>
    <w:p w:rsidR="00D86226" w:rsidRDefault="00D86226" w:rsidP="00D86226">
      <w:pPr>
        <w:spacing w:after="240"/>
        <w:rPr>
          <w:i/>
          <w:szCs w:val="22"/>
        </w:rPr>
      </w:pPr>
      <w:r>
        <w:rPr>
          <w:i/>
          <w:szCs w:val="22"/>
        </w:rPr>
        <w:t>Recommendations</w:t>
      </w:r>
    </w:p>
    <w:p w:rsidR="00D86226" w:rsidRDefault="00D86226" w:rsidP="00D86226">
      <w:pPr>
        <w:spacing w:after="240"/>
        <w:rPr>
          <w:szCs w:val="22"/>
        </w:rPr>
      </w:pPr>
      <w:r>
        <w:rPr>
          <w:szCs w:val="22"/>
        </w:rPr>
        <w:t xml:space="preserve">The Commissioner made a number of recommendations to the DHB, including that it: </w:t>
      </w:r>
    </w:p>
    <w:p w:rsidR="00D86226" w:rsidRDefault="00D86226" w:rsidP="00D86226">
      <w:pPr>
        <w:pStyle w:val="ListParagraph"/>
        <w:numPr>
          <w:ilvl w:val="0"/>
          <w:numId w:val="28"/>
        </w:numPr>
        <w:spacing w:after="240"/>
        <w:rPr>
          <w:szCs w:val="22"/>
        </w:rPr>
      </w:pPr>
      <w:r>
        <w:rPr>
          <w:szCs w:val="22"/>
        </w:rPr>
        <w:t>share a report regarding the outcome of its Electronic Acknowledgement Project (a project focusing on improving the systems and practices regarding unacknowledged results) with HDC and DHB Shared Services;</w:t>
      </w:r>
    </w:p>
    <w:p w:rsidR="00D86226" w:rsidRDefault="00D86226" w:rsidP="00D86226">
      <w:pPr>
        <w:pStyle w:val="ListParagraph"/>
        <w:numPr>
          <w:ilvl w:val="0"/>
          <w:numId w:val="28"/>
        </w:numPr>
        <w:spacing w:after="240"/>
        <w:rPr>
          <w:szCs w:val="22"/>
        </w:rPr>
      </w:pPr>
      <w:r>
        <w:rPr>
          <w:szCs w:val="22"/>
        </w:rPr>
        <w:t>provide HDC with an audit of four months of data regarding the time taken to acknowledge reports;</w:t>
      </w:r>
    </w:p>
    <w:p w:rsidR="00D86226" w:rsidRDefault="00D86226" w:rsidP="00D86226">
      <w:pPr>
        <w:pStyle w:val="ListParagraph"/>
        <w:numPr>
          <w:ilvl w:val="0"/>
          <w:numId w:val="28"/>
        </w:numPr>
        <w:spacing w:after="240"/>
        <w:rPr>
          <w:szCs w:val="22"/>
        </w:rPr>
      </w:pPr>
      <w:r>
        <w:rPr>
          <w:szCs w:val="22"/>
        </w:rPr>
        <w:t>consider having a warning system added to its electronic IT system to alert clinicians to the existence of unacknowledged results;</w:t>
      </w:r>
    </w:p>
    <w:p w:rsidR="00D86226" w:rsidRDefault="00D86226" w:rsidP="00D86226">
      <w:pPr>
        <w:pStyle w:val="ListParagraph"/>
        <w:numPr>
          <w:ilvl w:val="0"/>
          <w:numId w:val="28"/>
        </w:numPr>
        <w:spacing w:after="240"/>
        <w:rPr>
          <w:szCs w:val="22"/>
        </w:rPr>
      </w:pPr>
      <w:r>
        <w:rPr>
          <w:szCs w:val="22"/>
        </w:rPr>
        <w:t>arrange for an impartial IT expert with a medical background to examine its electronic management system to determine whether user warnings and updates need to be built in to the software and training sessions;</w:t>
      </w:r>
    </w:p>
    <w:p w:rsidR="00D86226" w:rsidRDefault="00D86226" w:rsidP="00D86226">
      <w:pPr>
        <w:pStyle w:val="ListParagraph"/>
        <w:numPr>
          <w:ilvl w:val="0"/>
          <w:numId w:val="28"/>
        </w:numPr>
        <w:spacing w:after="240"/>
        <w:rPr>
          <w:szCs w:val="22"/>
        </w:rPr>
      </w:pPr>
      <w:r>
        <w:rPr>
          <w:szCs w:val="22"/>
        </w:rPr>
        <w:t>provide a report to HDC regarding the actions taken in respect of the recommendations outlined in the DHB’s Serious Adverse Event Report; and</w:t>
      </w:r>
    </w:p>
    <w:p w:rsidR="00D86226" w:rsidRDefault="00D86226" w:rsidP="00D86226">
      <w:pPr>
        <w:pStyle w:val="ListParagraph"/>
        <w:numPr>
          <w:ilvl w:val="0"/>
          <w:numId w:val="28"/>
        </w:numPr>
        <w:spacing w:after="240"/>
        <w:rPr>
          <w:szCs w:val="22"/>
        </w:rPr>
      </w:pPr>
      <w:r>
        <w:rPr>
          <w:szCs w:val="22"/>
        </w:rPr>
        <w:t xml:space="preserve">provide a written apology to Mrs A’s family for its breach of the Code. </w:t>
      </w:r>
    </w:p>
    <w:p w:rsidR="00D86226" w:rsidRDefault="00D86226" w:rsidP="00D86226">
      <w:pPr>
        <w:spacing w:after="240"/>
        <w:rPr>
          <w:szCs w:val="22"/>
        </w:rPr>
      </w:pPr>
    </w:p>
    <w:p w:rsidR="00D86226" w:rsidRDefault="00D86226" w:rsidP="00D86226">
      <w:pPr>
        <w:spacing w:after="240"/>
        <w:rPr>
          <w:szCs w:val="22"/>
        </w:rPr>
      </w:pPr>
    </w:p>
    <w:p w:rsidR="00D86226" w:rsidRDefault="00D86226" w:rsidP="00D86226">
      <w:pPr>
        <w:spacing w:after="240"/>
        <w:rPr>
          <w:szCs w:val="22"/>
        </w:rPr>
      </w:pPr>
    </w:p>
    <w:p w:rsidR="00D86226" w:rsidRPr="002148E5" w:rsidRDefault="00D86226" w:rsidP="00D86226">
      <w:pPr>
        <w:spacing w:after="240"/>
        <w:rPr>
          <w:szCs w:val="22"/>
        </w:rPr>
      </w:pPr>
    </w:p>
    <w:p w:rsidR="00D86226" w:rsidRDefault="00D86226" w:rsidP="00D86226">
      <w:pPr>
        <w:rPr>
          <w:b/>
          <w:szCs w:val="22"/>
        </w:rPr>
      </w:pPr>
      <w:r>
        <w:rPr>
          <w:b/>
          <w:szCs w:val="22"/>
        </w:rPr>
        <w:t>Access to pain relief for addictions service client (</w:t>
      </w:r>
      <w:r>
        <w:rPr>
          <w:b/>
          <w:noProof/>
          <w:szCs w:val="22"/>
        </w:rPr>
        <w:t>15HDC00563</w:t>
      </w:r>
      <w:r>
        <w:rPr>
          <w:b/>
          <w:szCs w:val="22"/>
        </w:rPr>
        <w:t>)</w:t>
      </w:r>
    </w:p>
    <w:p w:rsidR="00D86226" w:rsidRDefault="00D86226" w:rsidP="00D86226">
      <w:pPr>
        <w:spacing w:before="120" w:after="120"/>
        <w:rPr>
          <w:i/>
          <w:szCs w:val="22"/>
        </w:rPr>
      </w:pPr>
      <w:r>
        <w:rPr>
          <w:i/>
          <w:szCs w:val="22"/>
        </w:rPr>
        <w:t>Background</w:t>
      </w:r>
    </w:p>
    <w:p w:rsidR="00D86226" w:rsidRDefault="00D86226" w:rsidP="00D86226">
      <w:pPr>
        <w:spacing w:before="120" w:after="120"/>
        <w:rPr>
          <w:szCs w:val="22"/>
        </w:rPr>
      </w:pPr>
      <w:r>
        <w:rPr>
          <w:szCs w:val="22"/>
        </w:rPr>
        <w:t xml:space="preserve">Mr A was on long-term opioid substitution treatment under the care of the Addictions Service at a DHB. Mr A presented to the ED at his local hospital following a fall. Mr A was found to have multiple nodules on his lungs and a lesion on his liver. A consultant physician reviewed Mr A, recorded his </w:t>
      </w:r>
      <w:r>
        <w:rPr>
          <w:szCs w:val="22"/>
        </w:rPr>
        <w:lastRenderedPageBreak/>
        <w:t xml:space="preserve">impression of chronic liver disease, hypoxia with suspicions of malignancy, and abdominal lesions and nodes. </w:t>
      </w:r>
    </w:p>
    <w:p w:rsidR="00D86226" w:rsidRDefault="00D86226" w:rsidP="00D86226">
      <w:pPr>
        <w:spacing w:before="120" w:after="120"/>
        <w:rPr>
          <w:szCs w:val="22"/>
        </w:rPr>
      </w:pPr>
      <w:r>
        <w:rPr>
          <w:szCs w:val="22"/>
        </w:rPr>
        <w:t xml:space="preserve">Three days later, Mr A contacted Mr C, an addiction clinician at the Addictions Service, and advised that he had been diagnosed with cancer of the liver. Mr C informed the manager at the Addictions Service, Ms D. The minutes from the Addictions Service’s weekly meeting noted that Mr A was being investigated for liver cancer and was requesting to have his methadone increased when discharged from hospital. The hospital discharge summary referred to Mr A’s “possible poor prognosis” and included a plan for outpatient follow-up and GP review of Mr A’s abdominal pain and pain relief. </w:t>
      </w:r>
    </w:p>
    <w:p w:rsidR="00D86226" w:rsidRDefault="00D86226" w:rsidP="00D86226">
      <w:pPr>
        <w:spacing w:before="120" w:after="120"/>
        <w:rPr>
          <w:szCs w:val="22"/>
        </w:rPr>
      </w:pPr>
      <w:r>
        <w:rPr>
          <w:szCs w:val="22"/>
        </w:rPr>
        <w:t>Mr A presented at the hospital a few weeks later, reporting shortness of breath and abdominal pain. Mr A’s admission and pain were reported to Ms D. Mr A was discharged a few days later by house officer, Dr H, with a prescription for increased methadone intended for acute pain relief. Mr A was noted at the time to be in severe pain with a deteriorating clinical condition.</w:t>
      </w:r>
    </w:p>
    <w:p w:rsidR="00D86226" w:rsidRDefault="00D86226" w:rsidP="00D86226">
      <w:pPr>
        <w:spacing w:before="120" w:after="120"/>
        <w:rPr>
          <w:szCs w:val="22"/>
        </w:rPr>
      </w:pPr>
      <w:r>
        <w:rPr>
          <w:szCs w:val="22"/>
        </w:rPr>
        <w:t xml:space="preserve">Mr A took the prescription to a pharmacy. Because of the change in methadone dose, the pharmacy called the Addictions Service. Dr B, an addiction specialist, contacted Dr H to clarify the prescription, and was advised that the methadone was prescribed to help with abdominal pain. Dr B advised that Dr H was unaware of the DHB policy on prescribing methadone for addiction services clients on discharge. Dr H cancelled the prescription. Dr B did not follow up on the prescription when he returned to work the next day. </w:t>
      </w:r>
    </w:p>
    <w:p w:rsidR="00D86226" w:rsidRDefault="00D86226" w:rsidP="00D86226">
      <w:pPr>
        <w:spacing w:before="120" w:after="120"/>
        <w:rPr>
          <w:szCs w:val="22"/>
        </w:rPr>
      </w:pPr>
      <w:r>
        <w:rPr>
          <w:szCs w:val="22"/>
        </w:rPr>
        <w:t>Mr A was discussed at the next Addictions Service meeting, at which time it was noted that he was having an MRI that afternoon. The minutes note that Dr B was “reluctant to increase [Mr A’s] methadone, due to concern he is drug-seeking”.</w:t>
      </w:r>
    </w:p>
    <w:p w:rsidR="00D86226" w:rsidRPr="00DE2362" w:rsidRDefault="00D86226" w:rsidP="00D86226">
      <w:pPr>
        <w:spacing w:before="120" w:after="120"/>
        <w:rPr>
          <w:szCs w:val="22"/>
        </w:rPr>
      </w:pPr>
      <w:r>
        <w:rPr>
          <w:szCs w:val="22"/>
        </w:rPr>
        <w:t xml:space="preserve">Mr A underwent the MRI, but it could not be completed because he was unable to lie still owing to the pain. This information was relayed to Dr B by Mr C. Dr B said that this was the first indication he had that Mr A could be requiring methadone for clinical reasons rather than addiction. Responsibility for Mr A’s methadone prescribing was handed over to a palliative care specialist. Mr A was transferred to hospice care, and passed away shortly afterwards. </w:t>
      </w:r>
    </w:p>
    <w:p w:rsidR="00D86226" w:rsidRDefault="00D86226" w:rsidP="00D86226">
      <w:pPr>
        <w:spacing w:before="120" w:after="120"/>
        <w:rPr>
          <w:i/>
          <w:szCs w:val="22"/>
        </w:rPr>
      </w:pPr>
      <w:r>
        <w:rPr>
          <w:i/>
          <w:szCs w:val="22"/>
        </w:rPr>
        <w:t>Findings</w:t>
      </w:r>
    </w:p>
    <w:p w:rsidR="00D86226" w:rsidRPr="00FE11D2" w:rsidRDefault="00D86226" w:rsidP="00D86226">
      <w:pPr>
        <w:spacing w:before="120" w:after="120"/>
        <w:rPr>
          <w:szCs w:val="22"/>
        </w:rPr>
      </w:pPr>
      <w:r>
        <w:rPr>
          <w:szCs w:val="22"/>
        </w:rPr>
        <w:t xml:space="preserve">The Mental Health Commissioner stated that the DHB “failed to identify and/or address an overly cautious approach being taken to the management of interactions with Mr A”. The Mental Health Commissioner considered that there were a number of missed opportunities for communication about Mr A’s situation, his condition, and his pain relief requirements, as a result of service-based failures attributable to the DHB. Mr A did not receive the pain relief he should have been able to access, and accordingly, it was found that the DHB failed to provide services to Mr A with reasonable care and skill, in breach of Right 4(1) of the Code. </w:t>
      </w:r>
    </w:p>
    <w:p w:rsidR="00D86226" w:rsidRDefault="00D86226" w:rsidP="00D86226">
      <w:pPr>
        <w:spacing w:after="240"/>
        <w:rPr>
          <w:i/>
          <w:szCs w:val="22"/>
        </w:rPr>
      </w:pPr>
      <w:r>
        <w:rPr>
          <w:i/>
          <w:szCs w:val="22"/>
        </w:rPr>
        <w:t>Recommendations</w:t>
      </w:r>
    </w:p>
    <w:p w:rsidR="00D86226" w:rsidRDefault="00D86226" w:rsidP="00D86226">
      <w:pPr>
        <w:spacing w:after="240"/>
        <w:rPr>
          <w:szCs w:val="22"/>
        </w:rPr>
      </w:pPr>
      <w:r>
        <w:rPr>
          <w:szCs w:val="22"/>
        </w:rPr>
        <w:t>The Mental Health Commissioner made a number of recommendations to the DHB, including that it:</w:t>
      </w:r>
    </w:p>
    <w:p w:rsidR="00D86226" w:rsidRDefault="00D86226" w:rsidP="00D86226">
      <w:pPr>
        <w:pStyle w:val="ListParagraph"/>
        <w:numPr>
          <w:ilvl w:val="0"/>
          <w:numId w:val="29"/>
        </w:numPr>
        <w:spacing w:after="240"/>
        <w:rPr>
          <w:szCs w:val="22"/>
        </w:rPr>
      </w:pPr>
      <w:r>
        <w:rPr>
          <w:szCs w:val="22"/>
        </w:rPr>
        <w:t>develop a process for formal handover of Addictions Service clients when they move from outpatient to inpatient service and vice versa;</w:t>
      </w:r>
    </w:p>
    <w:p w:rsidR="00D86226" w:rsidRDefault="00D86226" w:rsidP="00D86226">
      <w:pPr>
        <w:pStyle w:val="ListParagraph"/>
        <w:numPr>
          <w:ilvl w:val="0"/>
          <w:numId w:val="29"/>
        </w:numPr>
        <w:spacing w:after="240"/>
        <w:rPr>
          <w:szCs w:val="22"/>
        </w:rPr>
      </w:pPr>
      <w:r>
        <w:rPr>
          <w:szCs w:val="22"/>
        </w:rPr>
        <w:t>develop, as part of the process above, a policy requiring hospital discharge summaries for Addictions Service clients to be emailed to the Addictions Service on discharge, and for all related contact between Addictions Service and other services to be documented;</w:t>
      </w:r>
    </w:p>
    <w:p w:rsidR="00D86226" w:rsidRDefault="00D86226" w:rsidP="00D86226">
      <w:pPr>
        <w:pStyle w:val="ListParagraph"/>
        <w:numPr>
          <w:ilvl w:val="0"/>
          <w:numId w:val="29"/>
        </w:numPr>
        <w:spacing w:after="240"/>
        <w:rPr>
          <w:szCs w:val="22"/>
        </w:rPr>
      </w:pPr>
      <w:r>
        <w:rPr>
          <w:szCs w:val="22"/>
        </w:rPr>
        <w:t>conduct an audit over a one-month period to ensure that all interactions with clients are recorded in the Addictions Service records and/or, if relevant, clinical records;</w:t>
      </w:r>
    </w:p>
    <w:p w:rsidR="00D86226" w:rsidRDefault="00D86226" w:rsidP="00D86226">
      <w:pPr>
        <w:pStyle w:val="ListParagraph"/>
        <w:numPr>
          <w:ilvl w:val="0"/>
          <w:numId w:val="29"/>
        </w:numPr>
        <w:spacing w:after="240"/>
        <w:rPr>
          <w:szCs w:val="22"/>
        </w:rPr>
      </w:pPr>
      <w:r>
        <w:rPr>
          <w:szCs w:val="22"/>
        </w:rPr>
        <w:t>review and revise, as necessary, the position descriptions for Addictions Service staff referred to within HDC’s report to ensure clarity of role expectations, professional development and support;</w:t>
      </w:r>
    </w:p>
    <w:p w:rsidR="00D86226" w:rsidRDefault="00D86226" w:rsidP="00D86226">
      <w:pPr>
        <w:pStyle w:val="ListParagraph"/>
        <w:numPr>
          <w:ilvl w:val="0"/>
          <w:numId w:val="29"/>
        </w:numPr>
        <w:spacing w:after="240"/>
        <w:rPr>
          <w:szCs w:val="22"/>
        </w:rPr>
      </w:pPr>
      <w:r>
        <w:rPr>
          <w:szCs w:val="22"/>
        </w:rPr>
        <w:lastRenderedPageBreak/>
        <w:t>conduct a random audit of the hospital’s discharge summaries to assess compliance with the requirement that hospital discharge summaries be sent to relevant GPs;</w:t>
      </w:r>
    </w:p>
    <w:p w:rsidR="00D86226" w:rsidRPr="001A3E65" w:rsidRDefault="00D86226" w:rsidP="00D86226">
      <w:pPr>
        <w:pStyle w:val="ListParagraph"/>
        <w:numPr>
          <w:ilvl w:val="0"/>
          <w:numId w:val="29"/>
        </w:numPr>
        <w:spacing w:after="240"/>
        <w:rPr>
          <w:szCs w:val="22"/>
        </w:rPr>
      </w:pPr>
      <w:r>
        <w:rPr>
          <w:szCs w:val="22"/>
        </w:rPr>
        <w:t xml:space="preserve">provide refresher training for hospital staff on the </w:t>
      </w:r>
      <w:r w:rsidRPr="0024011B">
        <w:t>“Methadone/Buprenorphine (with Naloxone) — Opioid Substitution Therapy for Treatment of Dependence (Addiction)” and “Pain Management — Adults” guidelines</w:t>
      </w:r>
      <w:r>
        <w:t>; and</w:t>
      </w:r>
    </w:p>
    <w:p w:rsidR="00D86226" w:rsidRPr="001A3E65" w:rsidRDefault="00D86226" w:rsidP="00D86226">
      <w:pPr>
        <w:pStyle w:val="ListParagraph"/>
        <w:numPr>
          <w:ilvl w:val="0"/>
          <w:numId w:val="29"/>
        </w:numPr>
        <w:spacing w:after="240"/>
        <w:rPr>
          <w:szCs w:val="22"/>
        </w:rPr>
      </w:pPr>
      <w:r>
        <w:rPr>
          <w:szCs w:val="22"/>
        </w:rPr>
        <w:t>provide a written apology to Mr A’s family.</w:t>
      </w:r>
    </w:p>
    <w:p w:rsidR="00D86226" w:rsidRPr="009179EE" w:rsidRDefault="00D86226" w:rsidP="00D86226"/>
    <w:p w:rsidR="00D86226" w:rsidRDefault="00D86226" w:rsidP="00D86226">
      <w:pPr>
        <w:rPr>
          <w:b/>
          <w:szCs w:val="22"/>
        </w:rPr>
      </w:pPr>
      <w:r>
        <w:rPr>
          <w:b/>
          <w:szCs w:val="22"/>
        </w:rPr>
        <w:t>Care provided to man in hospital (</w:t>
      </w:r>
      <w:r>
        <w:rPr>
          <w:b/>
          <w:noProof/>
          <w:szCs w:val="22"/>
        </w:rPr>
        <w:t>15HDC01053</w:t>
      </w:r>
      <w:r>
        <w:rPr>
          <w:b/>
          <w:szCs w:val="22"/>
        </w:rPr>
        <w:t>)</w:t>
      </w:r>
    </w:p>
    <w:p w:rsidR="00D86226" w:rsidRDefault="00D86226" w:rsidP="00D86226">
      <w:pPr>
        <w:spacing w:before="120" w:after="120"/>
        <w:rPr>
          <w:i/>
          <w:szCs w:val="22"/>
        </w:rPr>
      </w:pPr>
      <w:r>
        <w:rPr>
          <w:i/>
          <w:szCs w:val="22"/>
        </w:rPr>
        <w:t>Background</w:t>
      </w:r>
    </w:p>
    <w:p w:rsidR="00D86226" w:rsidRDefault="00D86226" w:rsidP="00D86226">
      <w:pPr>
        <w:spacing w:before="120" w:after="120"/>
        <w:rPr>
          <w:szCs w:val="22"/>
        </w:rPr>
      </w:pPr>
      <w:r>
        <w:rPr>
          <w:szCs w:val="22"/>
        </w:rPr>
        <w:t>Mr B, a 73 year old man, was admitted to the surgical ward of a public hospital with a four-week history of diarrhoea and abdominal pain. After two days, he was discharged and a plan was put in place for an urgent outpatient colonoscopy, to ensure that there was no significant bowel pathology. Surgical staff thought that his symptoms were caused by the medication he had been taking.</w:t>
      </w:r>
    </w:p>
    <w:p w:rsidR="00D86226" w:rsidRDefault="00D86226" w:rsidP="00D86226">
      <w:pPr>
        <w:spacing w:before="120" w:after="120"/>
        <w:rPr>
          <w:szCs w:val="22"/>
        </w:rPr>
      </w:pPr>
      <w:r>
        <w:rPr>
          <w:szCs w:val="22"/>
        </w:rPr>
        <w:t xml:space="preserve">Less than a week later, Mr B was accepted by surgical registrar, Dr A, for review in the ED, as he had remained unwell following discharge. Unfortunately, owing to the busyness of the ED at the time, there was a delay of 35 minutes between Mr B’s arrival at the ED and his triage. </w:t>
      </w:r>
    </w:p>
    <w:p w:rsidR="00D86226" w:rsidRDefault="00D86226" w:rsidP="00D86226">
      <w:pPr>
        <w:spacing w:before="120" w:after="120"/>
        <w:rPr>
          <w:szCs w:val="22"/>
        </w:rPr>
      </w:pPr>
      <w:r>
        <w:rPr>
          <w:szCs w:val="22"/>
        </w:rPr>
        <w:t>A blood sample was requested by a registered nurse (RN) and she requested several routine blood tests, as well as a Troponin T test (an indicator for heart attack). No electrocardiogram (ECG) was carried out at that time by the RN. At the DHB, while it was usual practice for nurses to initiate blood tests in ED, nurses were not expected to inform medical staff specifically, and were not responsible for viewing or acting on the results (with medical staff responsible for this).</w:t>
      </w:r>
    </w:p>
    <w:p w:rsidR="00D86226" w:rsidRDefault="00D86226" w:rsidP="00D86226">
      <w:pPr>
        <w:spacing w:before="120" w:after="120"/>
        <w:rPr>
          <w:szCs w:val="22"/>
        </w:rPr>
      </w:pPr>
      <w:r>
        <w:rPr>
          <w:szCs w:val="22"/>
        </w:rPr>
        <w:t>A Troponin T test result of 990 ng/L (abnormal, indicating heart damage) was processed and automatically released by the results system at 12.13pm, but Dr A was not advised of the result via telephone. Dr A was not aware that the RN had requested a Troponin T test.</w:t>
      </w:r>
    </w:p>
    <w:p w:rsidR="00D86226" w:rsidRDefault="00D86226" w:rsidP="00D86226">
      <w:pPr>
        <w:spacing w:before="120" w:after="120"/>
        <w:rPr>
          <w:szCs w:val="22"/>
        </w:rPr>
      </w:pPr>
      <w:r>
        <w:rPr>
          <w:szCs w:val="22"/>
        </w:rPr>
        <w:t xml:space="preserve">Dr A discussed Mr B’s case with medical registrar, Dr D, who agreed with Dr A’s plan. Dr D agreed to review Mr B as soon as he was able to, but Dr D was very busy in the ED. Dr D advised that he had requested assistance from the back-up registrars, but the on-call medical consultant was busy in a cardiology clinic. </w:t>
      </w:r>
    </w:p>
    <w:p w:rsidR="00D86226" w:rsidRDefault="00D86226" w:rsidP="00D86226">
      <w:pPr>
        <w:spacing w:before="120" w:after="120"/>
        <w:rPr>
          <w:szCs w:val="22"/>
        </w:rPr>
      </w:pPr>
      <w:r>
        <w:rPr>
          <w:szCs w:val="22"/>
        </w:rPr>
        <w:t xml:space="preserve">Dr A viewed Mr B’s blood tests at 2.35pm, which indicated sepsis and heart damage, and spoke to Dr D again. Dr A stated that Dr D advised that he would review Mr B soon, although he was still very busy in the ED, and possibly admit him to the Coronary Care Unit. The DHB advised that there was a higher than usual number of presentations to the ED on that day, and that Dr D was responsible for six patients, in addition to Mr B. There was only one medical registrar allocated to the ED, medical wards, and surgical referrals during this time. </w:t>
      </w:r>
    </w:p>
    <w:p w:rsidR="00D86226" w:rsidRDefault="00D86226" w:rsidP="00D86226">
      <w:pPr>
        <w:spacing w:before="120" w:after="120"/>
        <w:rPr>
          <w:szCs w:val="22"/>
        </w:rPr>
      </w:pPr>
      <w:r>
        <w:rPr>
          <w:szCs w:val="22"/>
        </w:rPr>
        <w:t xml:space="preserve">A decision was made to transfer Mr B to the surgical ward shortly before 3pm. However this was not discussed with Dr A. Due to the busyness of the ED, the transfer occurred without blood cultures having been taken, a catheter inserted, a catheter specimen of urine taken, a fluid balance chart commenced, stool cultures taken, or an ECG undertaken. </w:t>
      </w:r>
    </w:p>
    <w:p w:rsidR="00D86226" w:rsidRPr="0028371B" w:rsidRDefault="00D86226" w:rsidP="00D86226">
      <w:pPr>
        <w:spacing w:after="240"/>
      </w:pPr>
      <w:r w:rsidRPr="0028371B">
        <w:t xml:space="preserve">Dr D </w:t>
      </w:r>
      <w:r>
        <w:t>advised</w:t>
      </w:r>
      <w:r w:rsidRPr="0028371B">
        <w:t xml:space="preserve"> that, on hearing the Troponin T result, he immediately went to find Mr B, only to learn that he had been transferred to the surgical ward. Dr D then went to the surgical ward and began reviewing Mr B shortly before 3.30pm (approximately four and a half hours after medical review was requested). Dr D’s impression was NSTEMI (</w:t>
      </w:r>
      <w:r w:rsidRPr="0028371B">
        <w:rPr>
          <w:lang w:val="en-US"/>
        </w:rPr>
        <w:t xml:space="preserve">a type of heart attack) </w:t>
      </w:r>
      <w:r w:rsidRPr="0028371B">
        <w:t>secondary to abdominal sepsis, and he put in place a detailed management plan.</w:t>
      </w:r>
      <w:r>
        <w:t xml:space="preserve"> Antibiotic administration was also delayed. </w:t>
      </w:r>
    </w:p>
    <w:p w:rsidR="00D86226" w:rsidRPr="00CD6621" w:rsidRDefault="00D86226" w:rsidP="00D86226">
      <w:pPr>
        <w:spacing w:after="240"/>
      </w:pPr>
      <w:r w:rsidRPr="0028371B">
        <w:t>Sadly, Mr B’s condition deteriorated and he died at 5.17pm.</w:t>
      </w:r>
    </w:p>
    <w:p w:rsidR="00D86226" w:rsidRDefault="00D86226" w:rsidP="00D86226">
      <w:pPr>
        <w:spacing w:before="120" w:after="120"/>
        <w:rPr>
          <w:i/>
          <w:szCs w:val="22"/>
        </w:rPr>
      </w:pPr>
      <w:r>
        <w:rPr>
          <w:i/>
          <w:szCs w:val="22"/>
        </w:rPr>
        <w:t>Findings</w:t>
      </w:r>
    </w:p>
    <w:p w:rsidR="00D86226" w:rsidRDefault="00D86226" w:rsidP="00D86226">
      <w:pPr>
        <w:spacing w:before="120" w:after="120"/>
        <w:rPr>
          <w:szCs w:val="22"/>
        </w:rPr>
      </w:pPr>
      <w:r>
        <w:rPr>
          <w:szCs w:val="22"/>
        </w:rPr>
        <w:lastRenderedPageBreak/>
        <w:t>The Commissioner acknowledged that during Mr B’s second admission, the ED was busier than usual which resulted in delays in triage, medical review and implementation of aspects of Dr A’s management plan. However, the Commissioner was concerned that during Mr B’s first admission, no medical or cardiologist input was sought, a source of infection was not considered, and no abdominal CT was carried out. The Commissioner was concerned that during Mr B’s second admission:</w:t>
      </w:r>
    </w:p>
    <w:p w:rsidR="00D86226" w:rsidRDefault="00D86226" w:rsidP="00D86226">
      <w:pPr>
        <w:pStyle w:val="ListParagraph"/>
        <w:numPr>
          <w:ilvl w:val="0"/>
          <w:numId w:val="30"/>
        </w:numPr>
        <w:spacing w:before="120" w:after="120"/>
        <w:rPr>
          <w:szCs w:val="22"/>
        </w:rPr>
      </w:pPr>
      <w:r>
        <w:rPr>
          <w:szCs w:val="22"/>
        </w:rPr>
        <w:t>the DHB had two policies with differing criteria for escalation of test results to clinical staff by telephone and, in practice, neither of these were followed when dealing with Troponin T results. This meant that Mr B’s high Troponin T result was not escalated to Dr A in a timely manner by telephone;</w:t>
      </w:r>
    </w:p>
    <w:p w:rsidR="00D86226" w:rsidRDefault="00D86226" w:rsidP="00D86226">
      <w:pPr>
        <w:pStyle w:val="ListParagraph"/>
        <w:numPr>
          <w:ilvl w:val="0"/>
          <w:numId w:val="30"/>
        </w:numPr>
        <w:spacing w:before="120" w:after="120"/>
        <w:rPr>
          <w:szCs w:val="22"/>
        </w:rPr>
      </w:pPr>
      <w:r>
        <w:rPr>
          <w:szCs w:val="22"/>
        </w:rPr>
        <w:t>the on-call consultant was not readily available for assisting when delays were experienced in medical review; and</w:t>
      </w:r>
    </w:p>
    <w:p w:rsidR="00D86226" w:rsidRDefault="00D86226" w:rsidP="00D86226">
      <w:pPr>
        <w:pStyle w:val="ListParagraph"/>
        <w:numPr>
          <w:ilvl w:val="0"/>
          <w:numId w:val="30"/>
        </w:numPr>
        <w:spacing w:before="120" w:after="120"/>
        <w:rPr>
          <w:szCs w:val="22"/>
        </w:rPr>
      </w:pPr>
      <w:r>
        <w:rPr>
          <w:szCs w:val="22"/>
        </w:rPr>
        <w:t xml:space="preserve">the DHB’s practice regarding ward transfers did not reflect its policy, and, as a result, Mr B was transferred to a lower acuity ward without discussion with Dr A and required interventions being undertaken in order to meet the ED six-hour target.  </w:t>
      </w:r>
    </w:p>
    <w:p w:rsidR="00D86226" w:rsidRPr="00891835" w:rsidRDefault="00D86226" w:rsidP="00D86226">
      <w:pPr>
        <w:spacing w:before="120" w:after="120"/>
        <w:rPr>
          <w:szCs w:val="22"/>
        </w:rPr>
      </w:pPr>
      <w:r>
        <w:rPr>
          <w:szCs w:val="22"/>
        </w:rPr>
        <w:t xml:space="preserve">The Commissioner found that the combination of these failings meant that the DHB failed to provide services with reasonable care and skill to Mr B, in breach of Right 4(1) of the Code. </w:t>
      </w:r>
    </w:p>
    <w:p w:rsidR="00D86226" w:rsidRDefault="00D86226" w:rsidP="00D86226">
      <w:pPr>
        <w:spacing w:after="240"/>
        <w:rPr>
          <w:i/>
          <w:szCs w:val="22"/>
        </w:rPr>
      </w:pPr>
      <w:r>
        <w:rPr>
          <w:i/>
          <w:szCs w:val="22"/>
        </w:rPr>
        <w:t>Recommendations</w:t>
      </w:r>
    </w:p>
    <w:p w:rsidR="00D86226" w:rsidRDefault="00D86226" w:rsidP="00D86226">
      <w:pPr>
        <w:spacing w:after="120"/>
      </w:pPr>
      <w:r>
        <w:t>The Commissioner made a number of recommendations to the DHB, including that it:</w:t>
      </w:r>
    </w:p>
    <w:p w:rsidR="00D86226" w:rsidRDefault="00D86226" w:rsidP="00D86226">
      <w:pPr>
        <w:pStyle w:val="ListParagraph"/>
        <w:numPr>
          <w:ilvl w:val="0"/>
          <w:numId w:val="31"/>
        </w:numPr>
        <w:spacing w:after="120"/>
      </w:pPr>
      <w:r>
        <w:t>conduct an audit of the effectiveness of its new triage process in regard to the timeliness of triage and triage scoring;</w:t>
      </w:r>
    </w:p>
    <w:p w:rsidR="00D86226" w:rsidRDefault="00D86226" w:rsidP="00D86226">
      <w:pPr>
        <w:pStyle w:val="ListParagraph"/>
        <w:numPr>
          <w:ilvl w:val="0"/>
          <w:numId w:val="31"/>
        </w:numPr>
        <w:spacing w:after="120"/>
      </w:pPr>
      <w:r>
        <w:t xml:space="preserve">review its </w:t>
      </w:r>
      <w:r w:rsidRPr="0028371B">
        <w:t>“Severe Sepsis Management Policy”</w:t>
      </w:r>
      <w:r w:rsidRPr="0028371B">
        <w:rPr>
          <w:i/>
        </w:rPr>
        <w:t xml:space="preserve"> </w:t>
      </w:r>
      <w:r w:rsidRPr="0028371B">
        <w:t>and newly developed “Adult Sepsis Pathway”</w:t>
      </w:r>
      <w:r>
        <w:t xml:space="preserve">, and conduct training for relevant staff on the </w:t>
      </w:r>
      <w:r w:rsidRPr="0028371B">
        <w:t>“Adult Sepsis Pathway”</w:t>
      </w:r>
      <w:r>
        <w:t>;</w:t>
      </w:r>
    </w:p>
    <w:p w:rsidR="00D86226" w:rsidRDefault="00D86226" w:rsidP="00D86226">
      <w:pPr>
        <w:pStyle w:val="ListParagraph"/>
        <w:numPr>
          <w:ilvl w:val="0"/>
          <w:numId w:val="31"/>
        </w:numPr>
        <w:spacing w:after="120"/>
      </w:pPr>
      <w:r>
        <w:t>develop a clear policy as to who has responsibility for following up test results ordered by ED RNs;</w:t>
      </w:r>
    </w:p>
    <w:p w:rsidR="00D86226" w:rsidRDefault="00D86226" w:rsidP="00D86226">
      <w:pPr>
        <w:pStyle w:val="ListParagraph"/>
        <w:numPr>
          <w:ilvl w:val="0"/>
          <w:numId w:val="31"/>
        </w:numPr>
        <w:spacing w:after="120"/>
      </w:pPr>
      <w:r>
        <w:t>consider implementing a system that requires the laboratory to alter the patient’s treating clinician urgently when Troponin T results are abnormally high;</w:t>
      </w:r>
    </w:p>
    <w:p w:rsidR="00D86226" w:rsidRDefault="00D86226" w:rsidP="00D86226">
      <w:pPr>
        <w:pStyle w:val="ListParagraph"/>
        <w:numPr>
          <w:ilvl w:val="0"/>
          <w:numId w:val="31"/>
        </w:numPr>
        <w:spacing w:after="120"/>
      </w:pPr>
      <w:r>
        <w:t>review the hospital’s “</w:t>
      </w:r>
      <w:r w:rsidRPr="0028371B">
        <w:t>Emergency Department Standard Operating Procedure</w:t>
      </w:r>
      <w:r>
        <w:t>”;</w:t>
      </w:r>
    </w:p>
    <w:p w:rsidR="00D86226" w:rsidRDefault="00D86226" w:rsidP="00D86226">
      <w:pPr>
        <w:pStyle w:val="ListParagraph"/>
        <w:numPr>
          <w:ilvl w:val="0"/>
          <w:numId w:val="31"/>
        </w:numPr>
        <w:spacing w:after="120"/>
      </w:pPr>
      <w:r>
        <w:t>develop a care escalation plan for the General Medicine team;</w:t>
      </w:r>
    </w:p>
    <w:p w:rsidR="00D86226" w:rsidRDefault="00D86226" w:rsidP="00D86226">
      <w:pPr>
        <w:pStyle w:val="ListParagraph"/>
        <w:numPr>
          <w:ilvl w:val="0"/>
          <w:numId w:val="31"/>
        </w:numPr>
        <w:spacing w:after="120"/>
      </w:pPr>
      <w:r>
        <w:t>review the role of the on-call consultant to ensure that adequate supervision of junior doctors is occurring;</w:t>
      </w:r>
    </w:p>
    <w:p w:rsidR="00D86226" w:rsidRDefault="00D86226" w:rsidP="00D86226">
      <w:pPr>
        <w:pStyle w:val="ListParagraph"/>
        <w:numPr>
          <w:ilvl w:val="0"/>
          <w:numId w:val="31"/>
        </w:numPr>
        <w:spacing w:after="120"/>
      </w:pPr>
      <w:r>
        <w:t>remind all staff working in ED that the transfer and location the patient is transferred to must be clinically appropriate; and</w:t>
      </w:r>
    </w:p>
    <w:p w:rsidR="00D86226" w:rsidRPr="009179EE" w:rsidRDefault="00D86226" w:rsidP="00D86226">
      <w:pPr>
        <w:pStyle w:val="ListParagraph"/>
        <w:numPr>
          <w:ilvl w:val="0"/>
          <w:numId w:val="31"/>
        </w:numPr>
        <w:spacing w:after="120"/>
      </w:pPr>
      <w:r>
        <w:t>provide a written apology to Mr B’s family.</w:t>
      </w:r>
    </w:p>
    <w:p w:rsidR="00377FEE" w:rsidRPr="009179EE" w:rsidRDefault="00377FEE" w:rsidP="00D86226"/>
    <w:sectPr w:rsidR="00377FEE" w:rsidRPr="009179EE" w:rsidSect="00AA7C77">
      <w:footerReference w:type="even" r:id="rId17"/>
      <w:footerReference w:type="default" r:id="rId18"/>
      <w:footerReference w:type="first" r:id="rId19"/>
      <w:pgSz w:w="11906" w:h="16838"/>
      <w:pgMar w:top="1140" w:right="1412" w:bottom="851" w:left="1412" w:header="720" w:footer="5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394" w:rsidRDefault="00450394">
      <w:r>
        <w:separator/>
      </w:r>
    </w:p>
  </w:endnote>
  <w:endnote w:type="continuationSeparator" w:id="0">
    <w:p w:rsidR="00450394" w:rsidRDefault="0045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394" w:rsidRDefault="00450394" w:rsidP="00E2296F">
    <w:pPr>
      <w:pStyle w:val="Footer"/>
      <w:tabs>
        <w:tab w:val="clear" w:pos="4153"/>
        <w:tab w:val="clear" w:pos="8306"/>
        <w:tab w:val="left" w:pos="567"/>
        <w:tab w:val="right" w:pos="9072"/>
      </w:tabs>
      <w:spacing w:before="240"/>
      <w:ind w:left="2160" w:hanging="2160"/>
      <w:jc w:val="center"/>
      <w:rPr>
        <w:szCs w:val="22"/>
      </w:rPr>
    </w:pPr>
    <w:r w:rsidRPr="0073317F">
      <w:rPr>
        <w:szCs w:val="22"/>
      </w:rPr>
      <w:fldChar w:fldCharType="begin"/>
    </w:r>
    <w:r w:rsidRPr="0073317F">
      <w:rPr>
        <w:szCs w:val="22"/>
      </w:rPr>
      <w:instrText xml:space="preserve"> PAGE   \* MERGEFORMAT </w:instrText>
    </w:r>
    <w:r w:rsidRPr="0073317F">
      <w:rPr>
        <w:szCs w:val="22"/>
      </w:rPr>
      <w:fldChar w:fldCharType="separate"/>
    </w:r>
    <w:r w:rsidR="008427E2">
      <w:rPr>
        <w:noProof/>
        <w:szCs w:val="22"/>
      </w:rPr>
      <w:t>ii</w:t>
    </w:r>
    <w:r w:rsidRPr="0073317F">
      <w:rPr>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394" w:rsidRDefault="00450394" w:rsidP="00D30C28">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394" w:rsidRPr="00AA7C77" w:rsidRDefault="00450394" w:rsidP="00E2296F">
    <w:pPr>
      <w:pStyle w:val="Footer"/>
      <w:spacing w:before="240"/>
      <w:jc w:val="center"/>
      <w:rPr>
        <w:szCs w:val="22"/>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394" w:rsidRPr="00F535C5" w:rsidRDefault="00450394" w:rsidP="00E2296F">
    <w:pPr>
      <w:pStyle w:val="Footer"/>
      <w:jc w:val="both"/>
      <w:rPr>
        <w:sz w:val="18"/>
        <w:szCs w:val="18"/>
      </w:rPr>
    </w:pPr>
    <w:r w:rsidRPr="00DD3AD4">
      <w:rPr>
        <w:sz w:val="18"/>
        <w:szCs w:val="18"/>
      </w:rPr>
      <w:tab/>
    </w:r>
    <w:r w:rsidRPr="00166DD6">
      <w:rPr>
        <w:szCs w:val="22"/>
      </w:rPr>
      <w:fldChar w:fldCharType="begin"/>
    </w:r>
    <w:r w:rsidRPr="00166DD6">
      <w:rPr>
        <w:szCs w:val="22"/>
      </w:rPr>
      <w:instrText xml:space="preserve"> PAGE   \* MERGEFORMAT </w:instrText>
    </w:r>
    <w:r w:rsidRPr="00166DD6">
      <w:rPr>
        <w:szCs w:val="22"/>
      </w:rPr>
      <w:fldChar w:fldCharType="separate"/>
    </w:r>
    <w:r w:rsidR="008427E2">
      <w:rPr>
        <w:noProof/>
        <w:szCs w:val="22"/>
      </w:rPr>
      <w:t>i</w:t>
    </w:r>
    <w:r w:rsidRPr="00166DD6">
      <w:rPr>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123991"/>
      <w:docPartObj>
        <w:docPartGallery w:val="Page Numbers (Bottom of Page)"/>
        <w:docPartUnique/>
      </w:docPartObj>
    </w:sdtPr>
    <w:sdtEndPr>
      <w:rPr>
        <w:noProof/>
      </w:rPr>
    </w:sdtEndPr>
    <w:sdtContent>
      <w:p w:rsidR="00450394" w:rsidRPr="00AA7C77" w:rsidRDefault="00AA7C77" w:rsidP="00AA7C77">
        <w:pPr>
          <w:pStyle w:val="Footer"/>
          <w:jc w:val="center"/>
        </w:pPr>
        <w:r>
          <w:fldChar w:fldCharType="begin"/>
        </w:r>
        <w:r>
          <w:instrText xml:space="preserve"> PAGE   \* MERGEFORMAT </w:instrText>
        </w:r>
        <w:r>
          <w:fldChar w:fldCharType="separate"/>
        </w:r>
        <w:r w:rsidR="008427E2">
          <w:rPr>
            <w:noProof/>
          </w:rPr>
          <w:t>18</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984330"/>
      <w:docPartObj>
        <w:docPartGallery w:val="Page Numbers (Bottom of Page)"/>
        <w:docPartUnique/>
      </w:docPartObj>
    </w:sdtPr>
    <w:sdtEndPr>
      <w:rPr>
        <w:noProof/>
      </w:rPr>
    </w:sdtEndPr>
    <w:sdtContent>
      <w:p w:rsidR="00AA7C77" w:rsidRPr="00AA7C77" w:rsidRDefault="00AA7C77" w:rsidP="00AA7C77">
        <w:pPr>
          <w:pStyle w:val="Footer"/>
          <w:jc w:val="center"/>
        </w:pPr>
        <w:r>
          <w:fldChar w:fldCharType="begin"/>
        </w:r>
        <w:r>
          <w:instrText xml:space="preserve"> PAGE   \* MERGEFORMAT </w:instrText>
        </w:r>
        <w:r>
          <w:fldChar w:fldCharType="separate"/>
        </w:r>
        <w:r w:rsidR="008427E2">
          <w:rPr>
            <w:noProof/>
          </w:rPr>
          <w:t>19</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647964"/>
      <w:docPartObj>
        <w:docPartGallery w:val="Page Numbers (Bottom of Page)"/>
        <w:docPartUnique/>
      </w:docPartObj>
    </w:sdtPr>
    <w:sdtEndPr>
      <w:rPr>
        <w:noProof/>
      </w:rPr>
    </w:sdtEndPr>
    <w:sdtContent>
      <w:p w:rsidR="00450394" w:rsidRPr="00C84335" w:rsidRDefault="00450394" w:rsidP="000D643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394" w:rsidRDefault="00450394">
      <w:r>
        <w:separator/>
      </w:r>
    </w:p>
  </w:footnote>
  <w:footnote w:type="continuationSeparator" w:id="0">
    <w:p w:rsidR="00450394" w:rsidRDefault="00450394">
      <w:r>
        <w:continuationSeparator/>
      </w:r>
    </w:p>
  </w:footnote>
  <w:footnote w:id="1">
    <w:p w:rsidR="00450394" w:rsidRDefault="00450394" w:rsidP="00D86226">
      <w:pPr>
        <w:pStyle w:val="FootnoteText"/>
        <w:rPr>
          <w:lang w:val="en-US"/>
        </w:rPr>
      </w:pPr>
      <w:r>
        <w:rPr>
          <w:rStyle w:val="FootnoteReference"/>
        </w:rPr>
        <w:footnoteRef/>
      </w:r>
      <w:r>
        <w:t xml:space="preserve"> </w:t>
      </w:r>
      <w:r>
        <w:rPr>
          <w:lang w:val="en-US"/>
        </w:rPr>
        <w:t>Provisional as of date of extraction (25 August 2017).</w:t>
      </w:r>
    </w:p>
  </w:footnote>
  <w:footnote w:id="2">
    <w:p w:rsidR="00450394" w:rsidRDefault="00450394" w:rsidP="00D86226">
      <w:pPr>
        <w:pStyle w:val="FootnoteText"/>
      </w:pPr>
      <w:r>
        <w:rPr>
          <w:rStyle w:val="FootnoteReference"/>
        </w:rPr>
        <w:footnoteRef/>
      </w:r>
      <w:r>
        <w:t xml:space="preserve"> </w:t>
      </w:r>
      <w:r>
        <w:rPr>
          <w:lang w:eastAsia="en-NZ" w:bidi="ar-SA"/>
        </w:rPr>
        <w:t>The rate for Jul</w:t>
      </w:r>
      <w:r>
        <w:rPr>
          <w:rFonts w:ascii="Calibri" w:hAnsi="Calibri"/>
          <w:lang w:eastAsia="en-NZ" w:bidi="ar-SA"/>
        </w:rPr>
        <w:t>–</w:t>
      </w:r>
      <w:r>
        <w:rPr>
          <w:lang w:eastAsia="en-NZ" w:bidi="ar-SA"/>
        </w:rPr>
        <w:t>Dec 2016 has been recalculated based on the most recent discharge data.</w:t>
      </w:r>
    </w:p>
  </w:footnote>
  <w:footnote w:id="3">
    <w:p w:rsidR="00450394" w:rsidRDefault="00450394" w:rsidP="00D86226">
      <w:pPr>
        <w:pStyle w:val="FootnoteText"/>
        <w:rPr>
          <w:lang w:val="en-US"/>
        </w:rPr>
      </w:pPr>
      <w:r>
        <w:rPr>
          <w:rStyle w:val="FootnoteReference"/>
        </w:rPr>
        <w:footnoteRef/>
      </w:r>
      <w:r>
        <w:t xml:space="preserve"> </w:t>
      </w:r>
      <w:r>
        <w:rPr>
          <w:lang w:val="en-US"/>
        </w:rPr>
        <w:t>Please note that some complaints will involve more than one DHB, therefore the total number of complaints received for each DHB will be larger than the number of complaints received about care provided by DHBs.</w:t>
      </w:r>
    </w:p>
  </w:footnote>
  <w:footnote w:id="4">
    <w:p w:rsidR="00450394" w:rsidRDefault="00450394" w:rsidP="00D86226">
      <w:pPr>
        <w:pStyle w:val="FootnoteText"/>
        <w:spacing w:after="240"/>
      </w:pPr>
      <w:r>
        <w:rPr>
          <w:rStyle w:val="FootnoteReference"/>
        </w:rPr>
        <w:footnoteRef/>
      </w:r>
      <w:r>
        <w:t xml:space="preserve"> Note that complaints may be received in one six month period and closed in another six month period </w:t>
      </w:r>
      <w:r>
        <w:rPr>
          <w:rFonts w:ascii="Calibri" w:hAnsi="Calibri"/>
        </w:rPr>
        <w:t>—</w:t>
      </w:r>
      <w:r>
        <w:t xml:space="preserve">   therefore, the number of complaints received will not correlate with the number of complaints closed. </w:t>
      </w:r>
    </w:p>
  </w:footnote>
  <w:footnote w:id="5">
    <w:p w:rsidR="00450394" w:rsidRDefault="00450394" w:rsidP="00D86226">
      <w:pPr>
        <w:pStyle w:val="FootnoteText"/>
      </w:pPr>
      <w:r>
        <w:rPr>
          <w:rStyle w:val="FootnoteReference"/>
        </w:rPr>
        <w:footnoteRef/>
      </w:r>
      <w:r>
        <w:t xml:space="preserve"> Note that outcomes are displayed in descending order. If there is more than one outcome for a DHB upon resolution of a complaint then only the outcome which is listed highest in the table is included.</w:t>
      </w:r>
    </w:p>
  </w:footnote>
  <w:footnote w:id="6">
    <w:p w:rsidR="00450394" w:rsidRDefault="00450394" w:rsidP="00CF2B9C">
      <w:pPr>
        <w:pStyle w:val="FootnoteText"/>
        <w:rPr>
          <w:lang w:val="en-US"/>
        </w:rPr>
      </w:pPr>
      <w:r>
        <w:rPr>
          <w:rStyle w:val="FootnoteReference"/>
        </w:rPr>
        <w:footnoteRef/>
      </w:r>
      <w:r>
        <w:t xml:space="preserve"> </w:t>
      </w:r>
      <w:r>
        <w:rPr>
          <w:lang w:val="en-US"/>
        </w:rPr>
        <w:t>The Commissioner has a wide discretion to take no further action on a complaint. For example, the Commissioner may take no further action because careful assessment indicates that a provider’s actions were reasonable in the circumstances, or a more appropriate outcome can be achieved in a more flexible and timely way than by means of formal investigation, or that the matters that are the subject of the complaint have been, or are being, or will be appropriately addressed by other means. This may happen, for example, where a DHB has carefully reviewed the case itself and no further value would be added by HDC investigating, or where another agency is reviewing, or has carefully reviewed the matter (for example, the Coroner, the Director-General of Health, or a District Inspector). Assessment of a complaint prior to a decision to take no further action will usually involve obtaining and reviewing a response from the provider and, in many cases, expert clinical advice.</w:t>
      </w:r>
    </w:p>
  </w:footnote>
  <w:footnote w:id="7">
    <w:p w:rsidR="00450394" w:rsidRDefault="00450394" w:rsidP="00D86226">
      <w:pPr>
        <w:pStyle w:val="FootnoteText"/>
        <w:rPr>
          <w:lang w:val="en-US"/>
        </w:rPr>
      </w:pPr>
      <w:r>
        <w:rPr>
          <w:rStyle w:val="FootnoteReference"/>
        </w:rPr>
        <w:footnoteRef/>
      </w:r>
      <w:r>
        <w:t xml:space="preserve"> </w:t>
      </w:r>
      <w:r>
        <w:rPr>
          <w:lang w:val="en-US"/>
        </w:rPr>
        <w:t>In line with their responsibilities under the Code, DHBs have developed systems to address complaints in a timely and appropriate way. It is often appropriate for HDC to refer a complaint to the DHB to resolve, with a requirement that the DHB report back to HDC on the outcome of its handling of the complaint.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394" w:rsidRDefault="004503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394" w:rsidRDefault="00450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307"/>
    <w:multiLevelType w:val="hybridMultilevel"/>
    <w:tmpl w:val="8A94D6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4416BE0"/>
    <w:multiLevelType w:val="hybridMultilevel"/>
    <w:tmpl w:val="867A6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4CB185C"/>
    <w:multiLevelType w:val="hybridMultilevel"/>
    <w:tmpl w:val="6A1AE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D007648"/>
    <w:multiLevelType w:val="hybridMultilevel"/>
    <w:tmpl w:val="D3DA02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68813A2"/>
    <w:multiLevelType w:val="hybridMultilevel"/>
    <w:tmpl w:val="D264D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E7B0DAB"/>
    <w:multiLevelType w:val="hybridMultilevel"/>
    <w:tmpl w:val="F0DA6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EA554BE"/>
    <w:multiLevelType w:val="hybridMultilevel"/>
    <w:tmpl w:val="7F543826"/>
    <w:lvl w:ilvl="0" w:tplc="14090001">
      <w:start w:val="1"/>
      <w:numFmt w:val="bullet"/>
      <w:lvlText w:val=""/>
      <w:lvlJc w:val="left"/>
      <w:pPr>
        <w:ind w:left="772" w:hanging="360"/>
      </w:pPr>
      <w:rPr>
        <w:rFonts w:ascii="Symbol" w:hAnsi="Symbol" w:hint="default"/>
      </w:rPr>
    </w:lvl>
    <w:lvl w:ilvl="1" w:tplc="14090003" w:tentative="1">
      <w:start w:val="1"/>
      <w:numFmt w:val="bullet"/>
      <w:lvlText w:val="o"/>
      <w:lvlJc w:val="left"/>
      <w:pPr>
        <w:ind w:left="1492" w:hanging="360"/>
      </w:pPr>
      <w:rPr>
        <w:rFonts w:ascii="Courier New" w:hAnsi="Courier New" w:cs="Courier New" w:hint="default"/>
      </w:rPr>
    </w:lvl>
    <w:lvl w:ilvl="2" w:tplc="14090005" w:tentative="1">
      <w:start w:val="1"/>
      <w:numFmt w:val="bullet"/>
      <w:lvlText w:val=""/>
      <w:lvlJc w:val="left"/>
      <w:pPr>
        <w:ind w:left="2212" w:hanging="360"/>
      </w:pPr>
      <w:rPr>
        <w:rFonts w:ascii="Wingdings" w:hAnsi="Wingdings" w:hint="default"/>
      </w:rPr>
    </w:lvl>
    <w:lvl w:ilvl="3" w:tplc="14090001" w:tentative="1">
      <w:start w:val="1"/>
      <w:numFmt w:val="bullet"/>
      <w:lvlText w:val=""/>
      <w:lvlJc w:val="left"/>
      <w:pPr>
        <w:ind w:left="2932" w:hanging="360"/>
      </w:pPr>
      <w:rPr>
        <w:rFonts w:ascii="Symbol" w:hAnsi="Symbol" w:hint="default"/>
      </w:rPr>
    </w:lvl>
    <w:lvl w:ilvl="4" w:tplc="14090003" w:tentative="1">
      <w:start w:val="1"/>
      <w:numFmt w:val="bullet"/>
      <w:lvlText w:val="o"/>
      <w:lvlJc w:val="left"/>
      <w:pPr>
        <w:ind w:left="3652" w:hanging="360"/>
      </w:pPr>
      <w:rPr>
        <w:rFonts w:ascii="Courier New" w:hAnsi="Courier New" w:cs="Courier New" w:hint="default"/>
      </w:rPr>
    </w:lvl>
    <w:lvl w:ilvl="5" w:tplc="14090005" w:tentative="1">
      <w:start w:val="1"/>
      <w:numFmt w:val="bullet"/>
      <w:lvlText w:val=""/>
      <w:lvlJc w:val="left"/>
      <w:pPr>
        <w:ind w:left="4372" w:hanging="360"/>
      </w:pPr>
      <w:rPr>
        <w:rFonts w:ascii="Wingdings" w:hAnsi="Wingdings" w:hint="default"/>
      </w:rPr>
    </w:lvl>
    <w:lvl w:ilvl="6" w:tplc="14090001" w:tentative="1">
      <w:start w:val="1"/>
      <w:numFmt w:val="bullet"/>
      <w:lvlText w:val=""/>
      <w:lvlJc w:val="left"/>
      <w:pPr>
        <w:ind w:left="5092" w:hanging="360"/>
      </w:pPr>
      <w:rPr>
        <w:rFonts w:ascii="Symbol" w:hAnsi="Symbol" w:hint="default"/>
      </w:rPr>
    </w:lvl>
    <w:lvl w:ilvl="7" w:tplc="14090003" w:tentative="1">
      <w:start w:val="1"/>
      <w:numFmt w:val="bullet"/>
      <w:lvlText w:val="o"/>
      <w:lvlJc w:val="left"/>
      <w:pPr>
        <w:ind w:left="5812" w:hanging="360"/>
      </w:pPr>
      <w:rPr>
        <w:rFonts w:ascii="Courier New" w:hAnsi="Courier New" w:cs="Courier New" w:hint="default"/>
      </w:rPr>
    </w:lvl>
    <w:lvl w:ilvl="8" w:tplc="14090005" w:tentative="1">
      <w:start w:val="1"/>
      <w:numFmt w:val="bullet"/>
      <w:lvlText w:val=""/>
      <w:lvlJc w:val="left"/>
      <w:pPr>
        <w:ind w:left="6532" w:hanging="360"/>
      </w:pPr>
      <w:rPr>
        <w:rFonts w:ascii="Wingdings" w:hAnsi="Wingdings" w:hint="default"/>
      </w:rPr>
    </w:lvl>
  </w:abstractNum>
  <w:abstractNum w:abstractNumId="7">
    <w:nsid w:val="20DE2463"/>
    <w:multiLevelType w:val="hybridMultilevel"/>
    <w:tmpl w:val="2864FBE4"/>
    <w:lvl w:ilvl="0" w:tplc="0C3CA8F6">
      <w:start w:val="1"/>
      <w:numFmt w:val="lowerRoman"/>
      <w:lvlText w:val="(%1)"/>
      <w:lvlJc w:val="left"/>
      <w:pPr>
        <w:ind w:left="2160" w:hanging="360"/>
      </w:pPr>
      <w:rPr>
        <w:rFonts w:ascii="Times New Roman" w:eastAsia="Times New Roman" w:hAnsi="Times New Roman" w:cs="Times New Roman"/>
      </w:rPr>
    </w:lvl>
    <w:lvl w:ilvl="1" w:tplc="14090019">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8">
    <w:nsid w:val="23466B42"/>
    <w:multiLevelType w:val="hybridMultilevel"/>
    <w:tmpl w:val="28FA875E"/>
    <w:lvl w:ilvl="0" w:tplc="14090001">
      <w:start w:val="1"/>
      <w:numFmt w:val="bullet"/>
      <w:lvlText w:val=""/>
      <w:lvlJc w:val="left"/>
      <w:pPr>
        <w:ind w:left="772" w:hanging="360"/>
      </w:pPr>
      <w:rPr>
        <w:rFonts w:ascii="Symbol" w:hAnsi="Symbol" w:hint="default"/>
      </w:rPr>
    </w:lvl>
    <w:lvl w:ilvl="1" w:tplc="14090003">
      <w:start w:val="1"/>
      <w:numFmt w:val="bullet"/>
      <w:lvlText w:val="o"/>
      <w:lvlJc w:val="left"/>
      <w:pPr>
        <w:ind w:left="1492" w:hanging="360"/>
      </w:pPr>
      <w:rPr>
        <w:rFonts w:ascii="Courier New" w:hAnsi="Courier New" w:cs="Courier New" w:hint="default"/>
      </w:rPr>
    </w:lvl>
    <w:lvl w:ilvl="2" w:tplc="14090005" w:tentative="1">
      <w:start w:val="1"/>
      <w:numFmt w:val="bullet"/>
      <w:lvlText w:val=""/>
      <w:lvlJc w:val="left"/>
      <w:pPr>
        <w:ind w:left="2212" w:hanging="360"/>
      </w:pPr>
      <w:rPr>
        <w:rFonts w:ascii="Wingdings" w:hAnsi="Wingdings" w:hint="default"/>
      </w:rPr>
    </w:lvl>
    <w:lvl w:ilvl="3" w:tplc="14090001" w:tentative="1">
      <w:start w:val="1"/>
      <w:numFmt w:val="bullet"/>
      <w:lvlText w:val=""/>
      <w:lvlJc w:val="left"/>
      <w:pPr>
        <w:ind w:left="2932" w:hanging="360"/>
      </w:pPr>
      <w:rPr>
        <w:rFonts w:ascii="Symbol" w:hAnsi="Symbol" w:hint="default"/>
      </w:rPr>
    </w:lvl>
    <w:lvl w:ilvl="4" w:tplc="14090003" w:tentative="1">
      <w:start w:val="1"/>
      <w:numFmt w:val="bullet"/>
      <w:lvlText w:val="o"/>
      <w:lvlJc w:val="left"/>
      <w:pPr>
        <w:ind w:left="3652" w:hanging="360"/>
      </w:pPr>
      <w:rPr>
        <w:rFonts w:ascii="Courier New" w:hAnsi="Courier New" w:cs="Courier New" w:hint="default"/>
      </w:rPr>
    </w:lvl>
    <w:lvl w:ilvl="5" w:tplc="14090005" w:tentative="1">
      <w:start w:val="1"/>
      <w:numFmt w:val="bullet"/>
      <w:lvlText w:val=""/>
      <w:lvlJc w:val="left"/>
      <w:pPr>
        <w:ind w:left="4372" w:hanging="360"/>
      </w:pPr>
      <w:rPr>
        <w:rFonts w:ascii="Wingdings" w:hAnsi="Wingdings" w:hint="default"/>
      </w:rPr>
    </w:lvl>
    <w:lvl w:ilvl="6" w:tplc="14090001" w:tentative="1">
      <w:start w:val="1"/>
      <w:numFmt w:val="bullet"/>
      <w:lvlText w:val=""/>
      <w:lvlJc w:val="left"/>
      <w:pPr>
        <w:ind w:left="5092" w:hanging="360"/>
      </w:pPr>
      <w:rPr>
        <w:rFonts w:ascii="Symbol" w:hAnsi="Symbol" w:hint="default"/>
      </w:rPr>
    </w:lvl>
    <w:lvl w:ilvl="7" w:tplc="14090003" w:tentative="1">
      <w:start w:val="1"/>
      <w:numFmt w:val="bullet"/>
      <w:lvlText w:val="o"/>
      <w:lvlJc w:val="left"/>
      <w:pPr>
        <w:ind w:left="5812" w:hanging="360"/>
      </w:pPr>
      <w:rPr>
        <w:rFonts w:ascii="Courier New" w:hAnsi="Courier New" w:cs="Courier New" w:hint="default"/>
      </w:rPr>
    </w:lvl>
    <w:lvl w:ilvl="8" w:tplc="14090005" w:tentative="1">
      <w:start w:val="1"/>
      <w:numFmt w:val="bullet"/>
      <w:lvlText w:val=""/>
      <w:lvlJc w:val="left"/>
      <w:pPr>
        <w:ind w:left="6532" w:hanging="360"/>
      </w:pPr>
      <w:rPr>
        <w:rFonts w:ascii="Wingdings" w:hAnsi="Wingdings" w:hint="default"/>
      </w:rPr>
    </w:lvl>
  </w:abstractNum>
  <w:abstractNum w:abstractNumId="9">
    <w:nsid w:val="24DE1B14"/>
    <w:multiLevelType w:val="hybridMultilevel"/>
    <w:tmpl w:val="EBE678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5F13AE7"/>
    <w:multiLevelType w:val="hybridMultilevel"/>
    <w:tmpl w:val="457881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ABC29AA"/>
    <w:multiLevelType w:val="hybridMultilevel"/>
    <w:tmpl w:val="51C0A8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B867B73"/>
    <w:multiLevelType w:val="hybridMultilevel"/>
    <w:tmpl w:val="7F8C9B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C3818D7"/>
    <w:multiLevelType w:val="hybridMultilevel"/>
    <w:tmpl w:val="5D24A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23255B3"/>
    <w:multiLevelType w:val="hybridMultilevel"/>
    <w:tmpl w:val="ED8010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403A4363"/>
    <w:multiLevelType w:val="hybridMultilevel"/>
    <w:tmpl w:val="C64042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445C2F95"/>
    <w:multiLevelType w:val="hybridMultilevel"/>
    <w:tmpl w:val="45982D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4B5A7C4C"/>
    <w:multiLevelType w:val="hybridMultilevel"/>
    <w:tmpl w:val="92B476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4D98163B"/>
    <w:multiLevelType w:val="hybridMultilevel"/>
    <w:tmpl w:val="0570E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4FEC5C44"/>
    <w:multiLevelType w:val="hybridMultilevel"/>
    <w:tmpl w:val="ADE01D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504704C7"/>
    <w:multiLevelType w:val="hybridMultilevel"/>
    <w:tmpl w:val="0E0430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52B23088"/>
    <w:multiLevelType w:val="hybridMultilevel"/>
    <w:tmpl w:val="389C0A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53011A9F"/>
    <w:multiLevelType w:val="hybridMultilevel"/>
    <w:tmpl w:val="093E0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561F3AEE"/>
    <w:multiLevelType w:val="hybridMultilevel"/>
    <w:tmpl w:val="AA26F940"/>
    <w:lvl w:ilvl="0" w:tplc="C9068898">
      <w:start w:val="1"/>
      <w:numFmt w:val="lowerLetter"/>
      <w:lvlText w:val="%1)"/>
      <w:lvlJc w:val="left"/>
      <w:pPr>
        <w:ind w:left="720" w:hanging="360"/>
      </w:pPr>
      <w:rPr>
        <w:rFonts w:hint="default"/>
      </w:rPr>
    </w:lvl>
    <w:lvl w:ilvl="1" w:tplc="427AC156">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6A5B6D18"/>
    <w:multiLevelType w:val="hybridMultilevel"/>
    <w:tmpl w:val="DFCC3C00"/>
    <w:lvl w:ilvl="0" w:tplc="14090001">
      <w:start w:val="1"/>
      <w:numFmt w:val="bullet"/>
      <w:lvlText w:val=""/>
      <w:lvlJc w:val="left"/>
      <w:pPr>
        <w:ind w:left="772" w:hanging="360"/>
      </w:pPr>
      <w:rPr>
        <w:rFonts w:ascii="Symbol" w:hAnsi="Symbol" w:hint="default"/>
      </w:rPr>
    </w:lvl>
    <w:lvl w:ilvl="1" w:tplc="14090003" w:tentative="1">
      <w:start w:val="1"/>
      <w:numFmt w:val="bullet"/>
      <w:lvlText w:val="o"/>
      <w:lvlJc w:val="left"/>
      <w:pPr>
        <w:ind w:left="1492" w:hanging="360"/>
      </w:pPr>
      <w:rPr>
        <w:rFonts w:ascii="Courier New" w:hAnsi="Courier New" w:cs="Courier New" w:hint="default"/>
      </w:rPr>
    </w:lvl>
    <w:lvl w:ilvl="2" w:tplc="14090005" w:tentative="1">
      <w:start w:val="1"/>
      <w:numFmt w:val="bullet"/>
      <w:lvlText w:val=""/>
      <w:lvlJc w:val="left"/>
      <w:pPr>
        <w:ind w:left="2212" w:hanging="360"/>
      </w:pPr>
      <w:rPr>
        <w:rFonts w:ascii="Wingdings" w:hAnsi="Wingdings" w:hint="default"/>
      </w:rPr>
    </w:lvl>
    <w:lvl w:ilvl="3" w:tplc="14090001" w:tentative="1">
      <w:start w:val="1"/>
      <w:numFmt w:val="bullet"/>
      <w:lvlText w:val=""/>
      <w:lvlJc w:val="left"/>
      <w:pPr>
        <w:ind w:left="2932" w:hanging="360"/>
      </w:pPr>
      <w:rPr>
        <w:rFonts w:ascii="Symbol" w:hAnsi="Symbol" w:hint="default"/>
      </w:rPr>
    </w:lvl>
    <w:lvl w:ilvl="4" w:tplc="14090003" w:tentative="1">
      <w:start w:val="1"/>
      <w:numFmt w:val="bullet"/>
      <w:lvlText w:val="o"/>
      <w:lvlJc w:val="left"/>
      <w:pPr>
        <w:ind w:left="3652" w:hanging="360"/>
      </w:pPr>
      <w:rPr>
        <w:rFonts w:ascii="Courier New" w:hAnsi="Courier New" w:cs="Courier New" w:hint="default"/>
      </w:rPr>
    </w:lvl>
    <w:lvl w:ilvl="5" w:tplc="14090005" w:tentative="1">
      <w:start w:val="1"/>
      <w:numFmt w:val="bullet"/>
      <w:lvlText w:val=""/>
      <w:lvlJc w:val="left"/>
      <w:pPr>
        <w:ind w:left="4372" w:hanging="360"/>
      </w:pPr>
      <w:rPr>
        <w:rFonts w:ascii="Wingdings" w:hAnsi="Wingdings" w:hint="default"/>
      </w:rPr>
    </w:lvl>
    <w:lvl w:ilvl="6" w:tplc="14090001" w:tentative="1">
      <w:start w:val="1"/>
      <w:numFmt w:val="bullet"/>
      <w:lvlText w:val=""/>
      <w:lvlJc w:val="left"/>
      <w:pPr>
        <w:ind w:left="5092" w:hanging="360"/>
      </w:pPr>
      <w:rPr>
        <w:rFonts w:ascii="Symbol" w:hAnsi="Symbol" w:hint="default"/>
      </w:rPr>
    </w:lvl>
    <w:lvl w:ilvl="7" w:tplc="14090003" w:tentative="1">
      <w:start w:val="1"/>
      <w:numFmt w:val="bullet"/>
      <w:lvlText w:val="o"/>
      <w:lvlJc w:val="left"/>
      <w:pPr>
        <w:ind w:left="5812" w:hanging="360"/>
      </w:pPr>
      <w:rPr>
        <w:rFonts w:ascii="Courier New" w:hAnsi="Courier New" w:cs="Courier New" w:hint="default"/>
      </w:rPr>
    </w:lvl>
    <w:lvl w:ilvl="8" w:tplc="14090005" w:tentative="1">
      <w:start w:val="1"/>
      <w:numFmt w:val="bullet"/>
      <w:lvlText w:val=""/>
      <w:lvlJc w:val="left"/>
      <w:pPr>
        <w:ind w:left="6532" w:hanging="360"/>
      </w:pPr>
      <w:rPr>
        <w:rFonts w:ascii="Wingdings" w:hAnsi="Wingdings" w:hint="default"/>
      </w:rPr>
    </w:lvl>
  </w:abstractNum>
  <w:abstractNum w:abstractNumId="25">
    <w:nsid w:val="72015E6C"/>
    <w:multiLevelType w:val="hybridMultilevel"/>
    <w:tmpl w:val="62886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72AC767D"/>
    <w:multiLevelType w:val="hybridMultilevel"/>
    <w:tmpl w:val="BFB65B34"/>
    <w:lvl w:ilvl="0" w:tplc="14090001">
      <w:start w:val="1"/>
      <w:numFmt w:val="bullet"/>
      <w:lvlText w:val=""/>
      <w:lvlJc w:val="left"/>
      <w:pPr>
        <w:ind w:left="772" w:hanging="360"/>
      </w:pPr>
      <w:rPr>
        <w:rFonts w:ascii="Symbol" w:hAnsi="Symbol" w:hint="default"/>
      </w:rPr>
    </w:lvl>
    <w:lvl w:ilvl="1" w:tplc="14090003" w:tentative="1">
      <w:start w:val="1"/>
      <w:numFmt w:val="bullet"/>
      <w:lvlText w:val="o"/>
      <w:lvlJc w:val="left"/>
      <w:pPr>
        <w:ind w:left="1492" w:hanging="360"/>
      </w:pPr>
      <w:rPr>
        <w:rFonts w:ascii="Courier New" w:hAnsi="Courier New" w:cs="Courier New" w:hint="default"/>
      </w:rPr>
    </w:lvl>
    <w:lvl w:ilvl="2" w:tplc="14090005" w:tentative="1">
      <w:start w:val="1"/>
      <w:numFmt w:val="bullet"/>
      <w:lvlText w:val=""/>
      <w:lvlJc w:val="left"/>
      <w:pPr>
        <w:ind w:left="2212" w:hanging="360"/>
      </w:pPr>
      <w:rPr>
        <w:rFonts w:ascii="Wingdings" w:hAnsi="Wingdings" w:hint="default"/>
      </w:rPr>
    </w:lvl>
    <w:lvl w:ilvl="3" w:tplc="14090001" w:tentative="1">
      <w:start w:val="1"/>
      <w:numFmt w:val="bullet"/>
      <w:lvlText w:val=""/>
      <w:lvlJc w:val="left"/>
      <w:pPr>
        <w:ind w:left="2932" w:hanging="360"/>
      </w:pPr>
      <w:rPr>
        <w:rFonts w:ascii="Symbol" w:hAnsi="Symbol" w:hint="default"/>
      </w:rPr>
    </w:lvl>
    <w:lvl w:ilvl="4" w:tplc="14090003" w:tentative="1">
      <w:start w:val="1"/>
      <w:numFmt w:val="bullet"/>
      <w:lvlText w:val="o"/>
      <w:lvlJc w:val="left"/>
      <w:pPr>
        <w:ind w:left="3652" w:hanging="360"/>
      </w:pPr>
      <w:rPr>
        <w:rFonts w:ascii="Courier New" w:hAnsi="Courier New" w:cs="Courier New" w:hint="default"/>
      </w:rPr>
    </w:lvl>
    <w:lvl w:ilvl="5" w:tplc="14090005" w:tentative="1">
      <w:start w:val="1"/>
      <w:numFmt w:val="bullet"/>
      <w:lvlText w:val=""/>
      <w:lvlJc w:val="left"/>
      <w:pPr>
        <w:ind w:left="4372" w:hanging="360"/>
      </w:pPr>
      <w:rPr>
        <w:rFonts w:ascii="Wingdings" w:hAnsi="Wingdings" w:hint="default"/>
      </w:rPr>
    </w:lvl>
    <w:lvl w:ilvl="6" w:tplc="14090001" w:tentative="1">
      <w:start w:val="1"/>
      <w:numFmt w:val="bullet"/>
      <w:lvlText w:val=""/>
      <w:lvlJc w:val="left"/>
      <w:pPr>
        <w:ind w:left="5092" w:hanging="360"/>
      </w:pPr>
      <w:rPr>
        <w:rFonts w:ascii="Symbol" w:hAnsi="Symbol" w:hint="default"/>
      </w:rPr>
    </w:lvl>
    <w:lvl w:ilvl="7" w:tplc="14090003" w:tentative="1">
      <w:start w:val="1"/>
      <w:numFmt w:val="bullet"/>
      <w:lvlText w:val="o"/>
      <w:lvlJc w:val="left"/>
      <w:pPr>
        <w:ind w:left="5812" w:hanging="360"/>
      </w:pPr>
      <w:rPr>
        <w:rFonts w:ascii="Courier New" w:hAnsi="Courier New" w:cs="Courier New" w:hint="default"/>
      </w:rPr>
    </w:lvl>
    <w:lvl w:ilvl="8" w:tplc="14090005" w:tentative="1">
      <w:start w:val="1"/>
      <w:numFmt w:val="bullet"/>
      <w:lvlText w:val=""/>
      <w:lvlJc w:val="left"/>
      <w:pPr>
        <w:ind w:left="6532" w:hanging="360"/>
      </w:pPr>
      <w:rPr>
        <w:rFonts w:ascii="Wingdings" w:hAnsi="Wingdings" w:hint="default"/>
      </w:rPr>
    </w:lvl>
  </w:abstractNum>
  <w:abstractNum w:abstractNumId="27">
    <w:nsid w:val="73EE45F9"/>
    <w:multiLevelType w:val="hybridMultilevel"/>
    <w:tmpl w:val="13480324"/>
    <w:lvl w:ilvl="0" w:tplc="FB2E97EE">
      <w:start w:val="1"/>
      <w:numFmt w:val="decimal"/>
      <w:lvlText w:val="%1."/>
      <w:lvlJc w:val="left"/>
      <w:pPr>
        <w:ind w:left="360" w:hanging="360"/>
      </w:pPr>
      <w:rPr>
        <w:b w:val="0"/>
        <w:i w:val="0"/>
        <w:sz w:val="16"/>
        <w:szCs w:val="16"/>
      </w:rPr>
    </w:lvl>
    <w:lvl w:ilvl="1" w:tplc="14090019">
      <w:start w:val="1"/>
      <w:numFmt w:val="lowerLetter"/>
      <w:lvlText w:val="%2."/>
      <w:lvlJc w:val="left"/>
      <w:pPr>
        <w:ind w:left="1069" w:hanging="360"/>
      </w:pPr>
    </w:lvl>
    <w:lvl w:ilvl="2" w:tplc="1409001B">
      <w:start w:val="1"/>
      <w:numFmt w:val="lowerRoman"/>
      <w:lvlText w:val="%3."/>
      <w:lvlJc w:val="right"/>
      <w:pPr>
        <w:ind w:left="9891" w:hanging="180"/>
      </w:pPr>
    </w:lvl>
    <w:lvl w:ilvl="3" w:tplc="1409000F" w:tentative="1">
      <w:start w:val="1"/>
      <w:numFmt w:val="decimal"/>
      <w:lvlText w:val="%4."/>
      <w:lvlJc w:val="left"/>
      <w:pPr>
        <w:ind w:left="10611" w:hanging="360"/>
      </w:pPr>
    </w:lvl>
    <w:lvl w:ilvl="4" w:tplc="14090019" w:tentative="1">
      <w:start w:val="1"/>
      <w:numFmt w:val="lowerLetter"/>
      <w:lvlText w:val="%5."/>
      <w:lvlJc w:val="left"/>
      <w:pPr>
        <w:ind w:left="11331" w:hanging="360"/>
      </w:pPr>
    </w:lvl>
    <w:lvl w:ilvl="5" w:tplc="1409001B" w:tentative="1">
      <w:start w:val="1"/>
      <w:numFmt w:val="lowerRoman"/>
      <w:lvlText w:val="%6."/>
      <w:lvlJc w:val="right"/>
      <w:pPr>
        <w:ind w:left="12051" w:hanging="180"/>
      </w:pPr>
    </w:lvl>
    <w:lvl w:ilvl="6" w:tplc="1409000F" w:tentative="1">
      <w:start w:val="1"/>
      <w:numFmt w:val="decimal"/>
      <w:lvlText w:val="%7."/>
      <w:lvlJc w:val="left"/>
      <w:pPr>
        <w:ind w:left="12771" w:hanging="360"/>
      </w:pPr>
    </w:lvl>
    <w:lvl w:ilvl="7" w:tplc="14090019" w:tentative="1">
      <w:start w:val="1"/>
      <w:numFmt w:val="lowerLetter"/>
      <w:lvlText w:val="%8."/>
      <w:lvlJc w:val="left"/>
      <w:pPr>
        <w:ind w:left="13491" w:hanging="360"/>
      </w:pPr>
    </w:lvl>
    <w:lvl w:ilvl="8" w:tplc="1409001B" w:tentative="1">
      <w:start w:val="1"/>
      <w:numFmt w:val="lowerRoman"/>
      <w:lvlText w:val="%9."/>
      <w:lvlJc w:val="right"/>
      <w:pPr>
        <w:ind w:left="14211" w:hanging="180"/>
      </w:pPr>
    </w:lvl>
  </w:abstractNum>
  <w:abstractNum w:abstractNumId="28">
    <w:nsid w:val="792308FF"/>
    <w:multiLevelType w:val="hybridMultilevel"/>
    <w:tmpl w:val="B2FE51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7C92436B"/>
    <w:multiLevelType w:val="hybridMultilevel"/>
    <w:tmpl w:val="47AA9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7D3A7E64"/>
    <w:multiLevelType w:val="hybridMultilevel"/>
    <w:tmpl w:val="0B483D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2"/>
  </w:num>
  <w:num w:numId="4">
    <w:abstractNumId w:val="26"/>
  </w:num>
  <w:num w:numId="5">
    <w:abstractNumId w:val="16"/>
  </w:num>
  <w:num w:numId="6">
    <w:abstractNumId w:val="27"/>
  </w:num>
  <w:num w:numId="7">
    <w:abstractNumId w:val="30"/>
  </w:num>
  <w:num w:numId="8">
    <w:abstractNumId w:val="25"/>
  </w:num>
  <w:num w:numId="9">
    <w:abstractNumId w:val="14"/>
  </w:num>
  <w:num w:numId="10">
    <w:abstractNumId w:val="19"/>
  </w:num>
  <w:num w:numId="11">
    <w:abstractNumId w:val="5"/>
  </w:num>
  <w:num w:numId="12">
    <w:abstractNumId w:val="28"/>
  </w:num>
  <w:num w:numId="13">
    <w:abstractNumId w:val="10"/>
  </w:num>
  <w:num w:numId="14">
    <w:abstractNumId w:val="21"/>
  </w:num>
  <w:num w:numId="15">
    <w:abstractNumId w:val="4"/>
  </w:num>
  <w:num w:numId="16">
    <w:abstractNumId w:val="24"/>
  </w:num>
  <w:num w:numId="17">
    <w:abstractNumId w:val="13"/>
  </w:num>
  <w:num w:numId="18">
    <w:abstractNumId w:val="29"/>
  </w:num>
  <w:num w:numId="19">
    <w:abstractNumId w:val="9"/>
  </w:num>
  <w:num w:numId="20">
    <w:abstractNumId w:val="8"/>
  </w:num>
  <w:num w:numId="21">
    <w:abstractNumId w:val="23"/>
  </w:num>
  <w:num w:numId="22">
    <w:abstractNumId w:val="7"/>
  </w:num>
  <w:num w:numId="23">
    <w:abstractNumId w:val="3"/>
  </w:num>
  <w:num w:numId="24">
    <w:abstractNumId w:val="15"/>
  </w:num>
  <w:num w:numId="25">
    <w:abstractNumId w:val="11"/>
  </w:num>
  <w:num w:numId="26">
    <w:abstractNumId w:val="2"/>
  </w:num>
  <w:num w:numId="27">
    <w:abstractNumId w:val="22"/>
  </w:num>
  <w:num w:numId="28">
    <w:abstractNumId w:val="0"/>
  </w:num>
  <w:num w:numId="29">
    <w:abstractNumId w:val="1"/>
  </w:num>
  <w:num w:numId="30">
    <w:abstractNumId w:val="17"/>
  </w:num>
  <w:num w:numId="3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85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5D"/>
    <w:rsid w:val="000001DB"/>
    <w:rsid w:val="00000A82"/>
    <w:rsid w:val="00001003"/>
    <w:rsid w:val="00001A40"/>
    <w:rsid w:val="00001B1B"/>
    <w:rsid w:val="000021BC"/>
    <w:rsid w:val="000028E8"/>
    <w:rsid w:val="00002A84"/>
    <w:rsid w:val="00002CEE"/>
    <w:rsid w:val="00002E9F"/>
    <w:rsid w:val="00003B75"/>
    <w:rsid w:val="00003C5A"/>
    <w:rsid w:val="0000444B"/>
    <w:rsid w:val="000046C5"/>
    <w:rsid w:val="00004B3B"/>
    <w:rsid w:val="00004E0F"/>
    <w:rsid w:val="000051A4"/>
    <w:rsid w:val="0000669A"/>
    <w:rsid w:val="000067BD"/>
    <w:rsid w:val="00006FCF"/>
    <w:rsid w:val="0000705D"/>
    <w:rsid w:val="000076F1"/>
    <w:rsid w:val="00007766"/>
    <w:rsid w:val="00007796"/>
    <w:rsid w:val="00010801"/>
    <w:rsid w:val="000109CA"/>
    <w:rsid w:val="00010FC7"/>
    <w:rsid w:val="00011224"/>
    <w:rsid w:val="00011494"/>
    <w:rsid w:val="000115BC"/>
    <w:rsid w:val="00011652"/>
    <w:rsid w:val="00011D83"/>
    <w:rsid w:val="000123F2"/>
    <w:rsid w:val="0001264B"/>
    <w:rsid w:val="00012B15"/>
    <w:rsid w:val="00012D8B"/>
    <w:rsid w:val="000141AA"/>
    <w:rsid w:val="00014AD9"/>
    <w:rsid w:val="00015355"/>
    <w:rsid w:val="00015BA0"/>
    <w:rsid w:val="00015EBA"/>
    <w:rsid w:val="0001684E"/>
    <w:rsid w:val="000169F6"/>
    <w:rsid w:val="0001744A"/>
    <w:rsid w:val="00017A8D"/>
    <w:rsid w:val="0002017E"/>
    <w:rsid w:val="000207F4"/>
    <w:rsid w:val="00021738"/>
    <w:rsid w:val="00021856"/>
    <w:rsid w:val="00022358"/>
    <w:rsid w:val="00022E0E"/>
    <w:rsid w:val="0002311E"/>
    <w:rsid w:val="0002317B"/>
    <w:rsid w:val="000235FB"/>
    <w:rsid w:val="000238FD"/>
    <w:rsid w:val="00023A56"/>
    <w:rsid w:val="000246A5"/>
    <w:rsid w:val="000249EA"/>
    <w:rsid w:val="000249F1"/>
    <w:rsid w:val="00024F66"/>
    <w:rsid w:val="00025272"/>
    <w:rsid w:val="000256EA"/>
    <w:rsid w:val="00025BCA"/>
    <w:rsid w:val="00025D53"/>
    <w:rsid w:val="0002616B"/>
    <w:rsid w:val="0002626E"/>
    <w:rsid w:val="000265B8"/>
    <w:rsid w:val="00026948"/>
    <w:rsid w:val="00026AD1"/>
    <w:rsid w:val="00027A68"/>
    <w:rsid w:val="00027AC7"/>
    <w:rsid w:val="000301DE"/>
    <w:rsid w:val="00030722"/>
    <w:rsid w:val="000308B4"/>
    <w:rsid w:val="00030C45"/>
    <w:rsid w:val="0003102D"/>
    <w:rsid w:val="000311DA"/>
    <w:rsid w:val="0003129A"/>
    <w:rsid w:val="00031901"/>
    <w:rsid w:val="00031D61"/>
    <w:rsid w:val="00031DE0"/>
    <w:rsid w:val="000321D8"/>
    <w:rsid w:val="00032776"/>
    <w:rsid w:val="000337C0"/>
    <w:rsid w:val="00034D18"/>
    <w:rsid w:val="0003538F"/>
    <w:rsid w:val="000353B9"/>
    <w:rsid w:val="00035822"/>
    <w:rsid w:val="0003645A"/>
    <w:rsid w:val="00036627"/>
    <w:rsid w:val="000367C1"/>
    <w:rsid w:val="00036995"/>
    <w:rsid w:val="00036C5B"/>
    <w:rsid w:val="00036CB3"/>
    <w:rsid w:val="00036E3A"/>
    <w:rsid w:val="0003725E"/>
    <w:rsid w:val="000373A9"/>
    <w:rsid w:val="0004080E"/>
    <w:rsid w:val="00040C12"/>
    <w:rsid w:val="00040FD3"/>
    <w:rsid w:val="00041359"/>
    <w:rsid w:val="0004197F"/>
    <w:rsid w:val="00041FFF"/>
    <w:rsid w:val="00042551"/>
    <w:rsid w:val="00042B9A"/>
    <w:rsid w:val="000431EE"/>
    <w:rsid w:val="000462E4"/>
    <w:rsid w:val="0004631F"/>
    <w:rsid w:val="00046900"/>
    <w:rsid w:val="00046972"/>
    <w:rsid w:val="00046B42"/>
    <w:rsid w:val="00046D31"/>
    <w:rsid w:val="00046FD4"/>
    <w:rsid w:val="00047495"/>
    <w:rsid w:val="00047E9D"/>
    <w:rsid w:val="0005026E"/>
    <w:rsid w:val="000503B2"/>
    <w:rsid w:val="00050671"/>
    <w:rsid w:val="000506C1"/>
    <w:rsid w:val="00050A60"/>
    <w:rsid w:val="00050B16"/>
    <w:rsid w:val="0005117B"/>
    <w:rsid w:val="000518B0"/>
    <w:rsid w:val="00051E67"/>
    <w:rsid w:val="0005212B"/>
    <w:rsid w:val="0005266C"/>
    <w:rsid w:val="0005291C"/>
    <w:rsid w:val="0005294D"/>
    <w:rsid w:val="000536A0"/>
    <w:rsid w:val="000537D7"/>
    <w:rsid w:val="000539C6"/>
    <w:rsid w:val="00053DC7"/>
    <w:rsid w:val="00053F6F"/>
    <w:rsid w:val="00054615"/>
    <w:rsid w:val="00055731"/>
    <w:rsid w:val="0005589D"/>
    <w:rsid w:val="00055EB0"/>
    <w:rsid w:val="00056044"/>
    <w:rsid w:val="000568F3"/>
    <w:rsid w:val="00056E5B"/>
    <w:rsid w:val="00057430"/>
    <w:rsid w:val="0006032A"/>
    <w:rsid w:val="00060755"/>
    <w:rsid w:val="0006162E"/>
    <w:rsid w:val="0006183D"/>
    <w:rsid w:val="00061C1A"/>
    <w:rsid w:val="0006295C"/>
    <w:rsid w:val="00062ED8"/>
    <w:rsid w:val="00062F28"/>
    <w:rsid w:val="00062F34"/>
    <w:rsid w:val="00063248"/>
    <w:rsid w:val="0006349C"/>
    <w:rsid w:val="0006353B"/>
    <w:rsid w:val="000635A1"/>
    <w:rsid w:val="0006531A"/>
    <w:rsid w:val="0006553E"/>
    <w:rsid w:val="0006633F"/>
    <w:rsid w:val="0006648E"/>
    <w:rsid w:val="000668B9"/>
    <w:rsid w:val="00066B64"/>
    <w:rsid w:val="000677CD"/>
    <w:rsid w:val="00067BB8"/>
    <w:rsid w:val="0007040F"/>
    <w:rsid w:val="00070776"/>
    <w:rsid w:val="00071171"/>
    <w:rsid w:val="000713E8"/>
    <w:rsid w:val="00071EC7"/>
    <w:rsid w:val="00072A8C"/>
    <w:rsid w:val="000730B6"/>
    <w:rsid w:val="000730EA"/>
    <w:rsid w:val="0007322F"/>
    <w:rsid w:val="00073557"/>
    <w:rsid w:val="00073996"/>
    <w:rsid w:val="0007467F"/>
    <w:rsid w:val="00074772"/>
    <w:rsid w:val="00074D9E"/>
    <w:rsid w:val="00075AEB"/>
    <w:rsid w:val="00075D76"/>
    <w:rsid w:val="00076965"/>
    <w:rsid w:val="00076CD6"/>
    <w:rsid w:val="0007714A"/>
    <w:rsid w:val="00077FA0"/>
    <w:rsid w:val="00080564"/>
    <w:rsid w:val="0008104A"/>
    <w:rsid w:val="0008260F"/>
    <w:rsid w:val="00082689"/>
    <w:rsid w:val="00082D18"/>
    <w:rsid w:val="00082F8E"/>
    <w:rsid w:val="0008411C"/>
    <w:rsid w:val="00084421"/>
    <w:rsid w:val="00084889"/>
    <w:rsid w:val="00084F39"/>
    <w:rsid w:val="000854AE"/>
    <w:rsid w:val="000855C3"/>
    <w:rsid w:val="00085D73"/>
    <w:rsid w:val="00086010"/>
    <w:rsid w:val="00086FE8"/>
    <w:rsid w:val="000872CE"/>
    <w:rsid w:val="00090868"/>
    <w:rsid w:val="00090A30"/>
    <w:rsid w:val="00091C97"/>
    <w:rsid w:val="00092313"/>
    <w:rsid w:val="0009255E"/>
    <w:rsid w:val="0009284C"/>
    <w:rsid w:val="0009467F"/>
    <w:rsid w:val="00095164"/>
    <w:rsid w:val="0009557D"/>
    <w:rsid w:val="0009576A"/>
    <w:rsid w:val="00095820"/>
    <w:rsid w:val="00095BEA"/>
    <w:rsid w:val="000965D1"/>
    <w:rsid w:val="00096A15"/>
    <w:rsid w:val="00096A29"/>
    <w:rsid w:val="00096C3C"/>
    <w:rsid w:val="000972DA"/>
    <w:rsid w:val="00097461"/>
    <w:rsid w:val="00097866"/>
    <w:rsid w:val="00097989"/>
    <w:rsid w:val="00097A0C"/>
    <w:rsid w:val="000A0DE1"/>
    <w:rsid w:val="000A12CF"/>
    <w:rsid w:val="000A1A8B"/>
    <w:rsid w:val="000A1BEC"/>
    <w:rsid w:val="000A2018"/>
    <w:rsid w:val="000A29A6"/>
    <w:rsid w:val="000A2BD7"/>
    <w:rsid w:val="000A31ED"/>
    <w:rsid w:val="000A4738"/>
    <w:rsid w:val="000A56F4"/>
    <w:rsid w:val="000A585E"/>
    <w:rsid w:val="000A5B4C"/>
    <w:rsid w:val="000A5D7C"/>
    <w:rsid w:val="000A5D8F"/>
    <w:rsid w:val="000A6275"/>
    <w:rsid w:val="000A67C1"/>
    <w:rsid w:val="000A718B"/>
    <w:rsid w:val="000A72CC"/>
    <w:rsid w:val="000B0789"/>
    <w:rsid w:val="000B07E5"/>
    <w:rsid w:val="000B081D"/>
    <w:rsid w:val="000B0A4D"/>
    <w:rsid w:val="000B0B46"/>
    <w:rsid w:val="000B158B"/>
    <w:rsid w:val="000B2764"/>
    <w:rsid w:val="000B34CD"/>
    <w:rsid w:val="000B3A1D"/>
    <w:rsid w:val="000B44DD"/>
    <w:rsid w:val="000B485A"/>
    <w:rsid w:val="000B49EA"/>
    <w:rsid w:val="000B4C79"/>
    <w:rsid w:val="000B52C6"/>
    <w:rsid w:val="000B5334"/>
    <w:rsid w:val="000B58E0"/>
    <w:rsid w:val="000B5936"/>
    <w:rsid w:val="000B5DF5"/>
    <w:rsid w:val="000B5E01"/>
    <w:rsid w:val="000B676C"/>
    <w:rsid w:val="000B6EB6"/>
    <w:rsid w:val="000B7183"/>
    <w:rsid w:val="000B74C7"/>
    <w:rsid w:val="000B7877"/>
    <w:rsid w:val="000B791B"/>
    <w:rsid w:val="000B7C93"/>
    <w:rsid w:val="000C006A"/>
    <w:rsid w:val="000C0577"/>
    <w:rsid w:val="000C126F"/>
    <w:rsid w:val="000C178F"/>
    <w:rsid w:val="000C1E4F"/>
    <w:rsid w:val="000C2361"/>
    <w:rsid w:val="000C26FB"/>
    <w:rsid w:val="000C277A"/>
    <w:rsid w:val="000C278C"/>
    <w:rsid w:val="000C3003"/>
    <w:rsid w:val="000C39A4"/>
    <w:rsid w:val="000C39BF"/>
    <w:rsid w:val="000C3A03"/>
    <w:rsid w:val="000C3CAA"/>
    <w:rsid w:val="000C3DFD"/>
    <w:rsid w:val="000C4397"/>
    <w:rsid w:val="000C491C"/>
    <w:rsid w:val="000C4D0A"/>
    <w:rsid w:val="000C4FB8"/>
    <w:rsid w:val="000C52E4"/>
    <w:rsid w:val="000C5545"/>
    <w:rsid w:val="000C5760"/>
    <w:rsid w:val="000C5962"/>
    <w:rsid w:val="000C5B56"/>
    <w:rsid w:val="000C6337"/>
    <w:rsid w:val="000C640E"/>
    <w:rsid w:val="000C7B78"/>
    <w:rsid w:val="000D00F4"/>
    <w:rsid w:val="000D01D7"/>
    <w:rsid w:val="000D092E"/>
    <w:rsid w:val="000D0D19"/>
    <w:rsid w:val="000D1E68"/>
    <w:rsid w:val="000D21AD"/>
    <w:rsid w:val="000D2451"/>
    <w:rsid w:val="000D256D"/>
    <w:rsid w:val="000D29B8"/>
    <w:rsid w:val="000D2D59"/>
    <w:rsid w:val="000D336E"/>
    <w:rsid w:val="000D35F2"/>
    <w:rsid w:val="000D488E"/>
    <w:rsid w:val="000D49F9"/>
    <w:rsid w:val="000D4DFF"/>
    <w:rsid w:val="000D52E0"/>
    <w:rsid w:val="000D5354"/>
    <w:rsid w:val="000D5D72"/>
    <w:rsid w:val="000D6434"/>
    <w:rsid w:val="000D6FC7"/>
    <w:rsid w:val="000D751E"/>
    <w:rsid w:val="000D77DE"/>
    <w:rsid w:val="000D7F2F"/>
    <w:rsid w:val="000E07E3"/>
    <w:rsid w:val="000E13C5"/>
    <w:rsid w:val="000E1F92"/>
    <w:rsid w:val="000E1FC0"/>
    <w:rsid w:val="000E25C2"/>
    <w:rsid w:val="000E2832"/>
    <w:rsid w:val="000E2BBD"/>
    <w:rsid w:val="000E319C"/>
    <w:rsid w:val="000E38CB"/>
    <w:rsid w:val="000E38F2"/>
    <w:rsid w:val="000E3DE3"/>
    <w:rsid w:val="000E433B"/>
    <w:rsid w:val="000E4659"/>
    <w:rsid w:val="000E4662"/>
    <w:rsid w:val="000E4BBA"/>
    <w:rsid w:val="000E4C6B"/>
    <w:rsid w:val="000E51B5"/>
    <w:rsid w:val="000E555C"/>
    <w:rsid w:val="000E5C41"/>
    <w:rsid w:val="000E5FCB"/>
    <w:rsid w:val="000E6BA4"/>
    <w:rsid w:val="000E6E3A"/>
    <w:rsid w:val="000E7ACB"/>
    <w:rsid w:val="000F01E3"/>
    <w:rsid w:val="000F05AC"/>
    <w:rsid w:val="000F076B"/>
    <w:rsid w:val="000F0D2E"/>
    <w:rsid w:val="000F0EB0"/>
    <w:rsid w:val="000F0FB6"/>
    <w:rsid w:val="000F12AB"/>
    <w:rsid w:val="000F17F7"/>
    <w:rsid w:val="000F19F8"/>
    <w:rsid w:val="000F1BFB"/>
    <w:rsid w:val="000F1DD9"/>
    <w:rsid w:val="000F2AC5"/>
    <w:rsid w:val="000F2DE2"/>
    <w:rsid w:val="000F3150"/>
    <w:rsid w:val="000F3414"/>
    <w:rsid w:val="000F3AAA"/>
    <w:rsid w:val="000F40AD"/>
    <w:rsid w:val="000F4210"/>
    <w:rsid w:val="000F42C7"/>
    <w:rsid w:val="000F4A11"/>
    <w:rsid w:val="000F4CF4"/>
    <w:rsid w:val="000F54BC"/>
    <w:rsid w:val="000F5704"/>
    <w:rsid w:val="000F6025"/>
    <w:rsid w:val="000F7F2F"/>
    <w:rsid w:val="001005F1"/>
    <w:rsid w:val="00100F66"/>
    <w:rsid w:val="001011A9"/>
    <w:rsid w:val="001015C7"/>
    <w:rsid w:val="001015EE"/>
    <w:rsid w:val="0010168B"/>
    <w:rsid w:val="00101CE2"/>
    <w:rsid w:val="001023CB"/>
    <w:rsid w:val="0010356A"/>
    <w:rsid w:val="001037C9"/>
    <w:rsid w:val="001040AD"/>
    <w:rsid w:val="00104415"/>
    <w:rsid w:val="001044AB"/>
    <w:rsid w:val="00104696"/>
    <w:rsid w:val="00104F8F"/>
    <w:rsid w:val="00104FD6"/>
    <w:rsid w:val="00106047"/>
    <w:rsid w:val="00106141"/>
    <w:rsid w:val="001064F1"/>
    <w:rsid w:val="00106795"/>
    <w:rsid w:val="00106E60"/>
    <w:rsid w:val="0010744D"/>
    <w:rsid w:val="00107938"/>
    <w:rsid w:val="00110041"/>
    <w:rsid w:val="001101F1"/>
    <w:rsid w:val="0011091A"/>
    <w:rsid w:val="00110D91"/>
    <w:rsid w:val="00111166"/>
    <w:rsid w:val="001111A9"/>
    <w:rsid w:val="001116D9"/>
    <w:rsid w:val="0011193B"/>
    <w:rsid w:val="00111996"/>
    <w:rsid w:val="00111ACC"/>
    <w:rsid w:val="00111B37"/>
    <w:rsid w:val="00111BFC"/>
    <w:rsid w:val="00112820"/>
    <w:rsid w:val="001130B0"/>
    <w:rsid w:val="0011440E"/>
    <w:rsid w:val="0011470E"/>
    <w:rsid w:val="0011476C"/>
    <w:rsid w:val="00114785"/>
    <w:rsid w:val="00114786"/>
    <w:rsid w:val="00114B9F"/>
    <w:rsid w:val="00114D38"/>
    <w:rsid w:val="00114FD6"/>
    <w:rsid w:val="00116458"/>
    <w:rsid w:val="0011685F"/>
    <w:rsid w:val="00117499"/>
    <w:rsid w:val="00117B37"/>
    <w:rsid w:val="001200E4"/>
    <w:rsid w:val="001206F6"/>
    <w:rsid w:val="00120701"/>
    <w:rsid w:val="00120DA7"/>
    <w:rsid w:val="00120FE6"/>
    <w:rsid w:val="00121484"/>
    <w:rsid w:val="00121BB7"/>
    <w:rsid w:val="00122DED"/>
    <w:rsid w:val="0012311E"/>
    <w:rsid w:val="00123208"/>
    <w:rsid w:val="00123813"/>
    <w:rsid w:val="00125235"/>
    <w:rsid w:val="001255A9"/>
    <w:rsid w:val="00125F07"/>
    <w:rsid w:val="001263AF"/>
    <w:rsid w:val="001263C5"/>
    <w:rsid w:val="001267F0"/>
    <w:rsid w:val="00126B97"/>
    <w:rsid w:val="001271FC"/>
    <w:rsid w:val="001275E9"/>
    <w:rsid w:val="001276D8"/>
    <w:rsid w:val="00130084"/>
    <w:rsid w:val="001304B4"/>
    <w:rsid w:val="00130520"/>
    <w:rsid w:val="00130FFF"/>
    <w:rsid w:val="00131166"/>
    <w:rsid w:val="00132210"/>
    <w:rsid w:val="00132310"/>
    <w:rsid w:val="00132687"/>
    <w:rsid w:val="00132771"/>
    <w:rsid w:val="00132C99"/>
    <w:rsid w:val="00132CF1"/>
    <w:rsid w:val="0013333B"/>
    <w:rsid w:val="001334BB"/>
    <w:rsid w:val="0013353F"/>
    <w:rsid w:val="001336A6"/>
    <w:rsid w:val="00134012"/>
    <w:rsid w:val="00134696"/>
    <w:rsid w:val="0013471D"/>
    <w:rsid w:val="00134D86"/>
    <w:rsid w:val="0013507B"/>
    <w:rsid w:val="0013534C"/>
    <w:rsid w:val="001357E0"/>
    <w:rsid w:val="00135FB5"/>
    <w:rsid w:val="0013645D"/>
    <w:rsid w:val="00136A1E"/>
    <w:rsid w:val="00136A29"/>
    <w:rsid w:val="00137337"/>
    <w:rsid w:val="00140097"/>
    <w:rsid w:val="00140227"/>
    <w:rsid w:val="00140552"/>
    <w:rsid w:val="001406B2"/>
    <w:rsid w:val="00140C5F"/>
    <w:rsid w:val="00141A3E"/>
    <w:rsid w:val="001420CF"/>
    <w:rsid w:val="0014219E"/>
    <w:rsid w:val="001427CA"/>
    <w:rsid w:val="00142B87"/>
    <w:rsid w:val="00143519"/>
    <w:rsid w:val="00143995"/>
    <w:rsid w:val="001449F2"/>
    <w:rsid w:val="00144A82"/>
    <w:rsid w:val="00144BD4"/>
    <w:rsid w:val="00145602"/>
    <w:rsid w:val="00145A13"/>
    <w:rsid w:val="001461A5"/>
    <w:rsid w:val="001465FB"/>
    <w:rsid w:val="00146EC2"/>
    <w:rsid w:val="00147055"/>
    <w:rsid w:val="001474C0"/>
    <w:rsid w:val="00147682"/>
    <w:rsid w:val="00147838"/>
    <w:rsid w:val="001479C5"/>
    <w:rsid w:val="001502A6"/>
    <w:rsid w:val="0015035E"/>
    <w:rsid w:val="00150BCE"/>
    <w:rsid w:val="00150C83"/>
    <w:rsid w:val="00150F0E"/>
    <w:rsid w:val="0015145C"/>
    <w:rsid w:val="001517F7"/>
    <w:rsid w:val="00152132"/>
    <w:rsid w:val="00152208"/>
    <w:rsid w:val="00153061"/>
    <w:rsid w:val="001538B0"/>
    <w:rsid w:val="001538C2"/>
    <w:rsid w:val="0015418F"/>
    <w:rsid w:val="001547B0"/>
    <w:rsid w:val="0015491B"/>
    <w:rsid w:val="00154AF7"/>
    <w:rsid w:val="00154E0A"/>
    <w:rsid w:val="001553DD"/>
    <w:rsid w:val="00156266"/>
    <w:rsid w:val="00156A3C"/>
    <w:rsid w:val="001570D7"/>
    <w:rsid w:val="0015767A"/>
    <w:rsid w:val="001578C6"/>
    <w:rsid w:val="00157E84"/>
    <w:rsid w:val="00157EAC"/>
    <w:rsid w:val="001600CC"/>
    <w:rsid w:val="001605FB"/>
    <w:rsid w:val="0016089A"/>
    <w:rsid w:val="00160CC3"/>
    <w:rsid w:val="00160D46"/>
    <w:rsid w:val="001610B0"/>
    <w:rsid w:val="00161213"/>
    <w:rsid w:val="0016151F"/>
    <w:rsid w:val="00161927"/>
    <w:rsid w:val="00161D5F"/>
    <w:rsid w:val="0016204F"/>
    <w:rsid w:val="001622C1"/>
    <w:rsid w:val="00162500"/>
    <w:rsid w:val="001637F3"/>
    <w:rsid w:val="001638AA"/>
    <w:rsid w:val="00163E95"/>
    <w:rsid w:val="00164739"/>
    <w:rsid w:val="00164814"/>
    <w:rsid w:val="00164949"/>
    <w:rsid w:val="00164E82"/>
    <w:rsid w:val="00164F39"/>
    <w:rsid w:val="00164FF5"/>
    <w:rsid w:val="00165248"/>
    <w:rsid w:val="001655EC"/>
    <w:rsid w:val="001661DE"/>
    <w:rsid w:val="001666B1"/>
    <w:rsid w:val="0016695D"/>
    <w:rsid w:val="00166960"/>
    <w:rsid w:val="00166DD6"/>
    <w:rsid w:val="001670A5"/>
    <w:rsid w:val="00167438"/>
    <w:rsid w:val="00167457"/>
    <w:rsid w:val="00167F01"/>
    <w:rsid w:val="00170136"/>
    <w:rsid w:val="0017014C"/>
    <w:rsid w:val="00170892"/>
    <w:rsid w:val="001710C2"/>
    <w:rsid w:val="001711B9"/>
    <w:rsid w:val="001714F4"/>
    <w:rsid w:val="00171583"/>
    <w:rsid w:val="0017181E"/>
    <w:rsid w:val="0017197E"/>
    <w:rsid w:val="00171A81"/>
    <w:rsid w:val="00171AF8"/>
    <w:rsid w:val="00171E9D"/>
    <w:rsid w:val="00171FAE"/>
    <w:rsid w:val="001726F0"/>
    <w:rsid w:val="0017286B"/>
    <w:rsid w:val="00172BF4"/>
    <w:rsid w:val="001730BD"/>
    <w:rsid w:val="00173610"/>
    <w:rsid w:val="00173629"/>
    <w:rsid w:val="0017369A"/>
    <w:rsid w:val="00173977"/>
    <w:rsid w:val="001745A6"/>
    <w:rsid w:val="00174824"/>
    <w:rsid w:val="00174C99"/>
    <w:rsid w:val="001750A1"/>
    <w:rsid w:val="0017517F"/>
    <w:rsid w:val="00175995"/>
    <w:rsid w:val="00175C72"/>
    <w:rsid w:val="00175F97"/>
    <w:rsid w:val="001760F5"/>
    <w:rsid w:val="00176A05"/>
    <w:rsid w:val="00177169"/>
    <w:rsid w:val="0017720A"/>
    <w:rsid w:val="0017731F"/>
    <w:rsid w:val="001777A8"/>
    <w:rsid w:val="00177F79"/>
    <w:rsid w:val="00180329"/>
    <w:rsid w:val="00180D7A"/>
    <w:rsid w:val="0018108A"/>
    <w:rsid w:val="00181714"/>
    <w:rsid w:val="001818F9"/>
    <w:rsid w:val="001819A2"/>
    <w:rsid w:val="0018206C"/>
    <w:rsid w:val="00182513"/>
    <w:rsid w:val="001830D3"/>
    <w:rsid w:val="001831B5"/>
    <w:rsid w:val="001832B1"/>
    <w:rsid w:val="0018338B"/>
    <w:rsid w:val="001835BB"/>
    <w:rsid w:val="001839F0"/>
    <w:rsid w:val="001841FE"/>
    <w:rsid w:val="00184C29"/>
    <w:rsid w:val="00184D78"/>
    <w:rsid w:val="001850DD"/>
    <w:rsid w:val="00185152"/>
    <w:rsid w:val="0018518A"/>
    <w:rsid w:val="0018518D"/>
    <w:rsid w:val="001856C9"/>
    <w:rsid w:val="001858CB"/>
    <w:rsid w:val="0018598D"/>
    <w:rsid w:val="001859E0"/>
    <w:rsid w:val="00185F65"/>
    <w:rsid w:val="001860D6"/>
    <w:rsid w:val="00186D73"/>
    <w:rsid w:val="00187B74"/>
    <w:rsid w:val="00187BD6"/>
    <w:rsid w:val="00190977"/>
    <w:rsid w:val="00190DD5"/>
    <w:rsid w:val="001918F2"/>
    <w:rsid w:val="00191F5B"/>
    <w:rsid w:val="001921A4"/>
    <w:rsid w:val="001934BD"/>
    <w:rsid w:val="00193DAA"/>
    <w:rsid w:val="00195032"/>
    <w:rsid w:val="001950A1"/>
    <w:rsid w:val="0019665B"/>
    <w:rsid w:val="00196699"/>
    <w:rsid w:val="001966A0"/>
    <w:rsid w:val="00197534"/>
    <w:rsid w:val="00197757"/>
    <w:rsid w:val="00197C11"/>
    <w:rsid w:val="001A028F"/>
    <w:rsid w:val="001A0625"/>
    <w:rsid w:val="001A1478"/>
    <w:rsid w:val="001A1EE7"/>
    <w:rsid w:val="001A2938"/>
    <w:rsid w:val="001A2BB2"/>
    <w:rsid w:val="001A2EA9"/>
    <w:rsid w:val="001A3101"/>
    <w:rsid w:val="001A32AF"/>
    <w:rsid w:val="001A3BBE"/>
    <w:rsid w:val="001A3E65"/>
    <w:rsid w:val="001A3F75"/>
    <w:rsid w:val="001A3FC8"/>
    <w:rsid w:val="001A45B3"/>
    <w:rsid w:val="001A4DC3"/>
    <w:rsid w:val="001A51BF"/>
    <w:rsid w:val="001A5238"/>
    <w:rsid w:val="001A5807"/>
    <w:rsid w:val="001A5C58"/>
    <w:rsid w:val="001A64E6"/>
    <w:rsid w:val="001A6932"/>
    <w:rsid w:val="001A6B49"/>
    <w:rsid w:val="001A6D56"/>
    <w:rsid w:val="001A77EC"/>
    <w:rsid w:val="001A78CB"/>
    <w:rsid w:val="001A7D05"/>
    <w:rsid w:val="001B0024"/>
    <w:rsid w:val="001B0A9C"/>
    <w:rsid w:val="001B0D91"/>
    <w:rsid w:val="001B0FE7"/>
    <w:rsid w:val="001B1744"/>
    <w:rsid w:val="001B1DEF"/>
    <w:rsid w:val="001B1ED5"/>
    <w:rsid w:val="001B240F"/>
    <w:rsid w:val="001B2936"/>
    <w:rsid w:val="001B365E"/>
    <w:rsid w:val="001B3ED3"/>
    <w:rsid w:val="001B3FE9"/>
    <w:rsid w:val="001B4135"/>
    <w:rsid w:val="001B418F"/>
    <w:rsid w:val="001B4366"/>
    <w:rsid w:val="001B475A"/>
    <w:rsid w:val="001B5424"/>
    <w:rsid w:val="001B5440"/>
    <w:rsid w:val="001B5D57"/>
    <w:rsid w:val="001B61CA"/>
    <w:rsid w:val="001B633C"/>
    <w:rsid w:val="001B66F5"/>
    <w:rsid w:val="001B6B71"/>
    <w:rsid w:val="001B6B74"/>
    <w:rsid w:val="001B7AA3"/>
    <w:rsid w:val="001B7D57"/>
    <w:rsid w:val="001C05E0"/>
    <w:rsid w:val="001C0ABF"/>
    <w:rsid w:val="001C0CA6"/>
    <w:rsid w:val="001C1976"/>
    <w:rsid w:val="001C1C1E"/>
    <w:rsid w:val="001C1DFA"/>
    <w:rsid w:val="001C211F"/>
    <w:rsid w:val="001C2397"/>
    <w:rsid w:val="001C2515"/>
    <w:rsid w:val="001C2660"/>
    <w:rsid w:val="001C2686"/>
    <w:rsid w:val="001C2AB2"/>
    <w:rsid w:val="001C2DE8"/>
    <w:rsid w:val="001C2F5F"/>
    <w:rsid w:val="001C3395"/>
    <w:rsid w:val="001C3637"/>
    <w:rsid w:val="001C380D"/>
    <w:rsid w:val="001C3D12"/>
    <w:rsid w:val="001C3ECE"/>
    <w:rsid w:val="001C42AA"/>
    <w:rsid w:val="001C4482"/>
    <w:rsid w:val="001C4DE1"/>
    <w:rsid w:val="001C4FEF"/>
    <w:rsid w:val="001C57C2"/>
    <w:rsid w:val="001C5A07"/>
    <w:rsid w:val="001C5B3D"/>
    <w:rsid w:val="001C6012"/>
    <w:rsid w:val="001C6444"/>
    <w:rsid w:val="001C6D27"/>
    <w:rsid w:val="001C6D30"/>
    <w:rsid w:val="001C73CD"/>
    <w:rsid w:val="001C7B56"/>
    <w:rsid w:val="001C7BDC"/>
    <w:rsid w:val="001D018D"/>
    <w:rsid w:val="001D1591"/>
    <w:rsid w:val="001D32FD"/>
    <w:rsid w:val="001D36E4"/>
    <w:rsid w:val="001D40BF"/>
    <w:rsid w:val="001D5334"/>
    <w:rsid w:val="001D5CB6"/>
    <w:rsid w:val="001D63BB"/>
    <w:rsid w:val="001D683E"/>
    <w:rsid w:val="001D6DCB"/>
    <w:rsid w:val="001D6E8A"/>
    <w:rsid w:val="001D70DF"/>
    <w:rsid w:val="001D7735"/>
    <w:rsid w:val="001D7BE0"/>
    <w:rsid w:val="001D7BED"/>
    <w:rsid w:val="001E0020"/>
    <w:rsid w:val="001E012B"/>
    <w:rsid w:val="001E0373"/>
    <w:rsid w:val="001E0CA7"/>
    <w:rsid w:val="001E0F97"/>
    <w:rsid w:val="001E119E"/>
    <w:rsid w:val="001E2282"/>
    <w:rsid w:val="001E25D7"/>
    <w:rsid w:val="001E26F5"/>
    <w:rsid w:val="001E2E5B"/>
    <w:rsid w:val="001E30D7"/>
    <w:rsid w:val="001E33AC"/>
    <w:rsid w:val="001E3879"/>
    <w:rsid w:val="001E3AF4"/>
    <w:rsid w:val="001E4092"/>
    <w:rsid w:val="001E4465"/>
    <w:rsid w:val="001E4BFC"/>
    <w:rsid w:val="001E5667"/>
    <w:rsid w:val="001E5E29"/>
    <w:rsid w:val="001E6314"/>
    <w:rsid w:val="001E6451"/>
    <w:rsid w:val="001E68C7"/>
    <w:rsid w:val="001E6D32"/>
    <w:rsid w:val="001E73B5"/>
    <w:rsid w:val="001F039F"/>
    <w:rsid w:val="001F0402"/>
    <w:rsid w:val="001F1078"/>
    <w:rsid w:val="001F1188"/>
    <w:rsid w:val="001F1475"/>
    <w:rsid w:val="001F1515"/>
    <w:rsid w:val="001F16A6"/>
    <w:rsid w:val="001F18F2"/>
    <w:rsid w:val="001F1B21"/>
    <w:rsid w:val="001F1BBC"/>
    <w:rsid w:val="001F1EBE"/>
    <w:rsid w:val="001F1EF3"/>
    <w:rsid w:val="001F20A9"/>
    <w:rsid w:val="001F21D3"/>
    <w:rsid w:val="001F2505"/>
    <w:rsid w:val="001F2AEC"/>
    <w:rsid w:val="001F2BE7"/>
    <w:rsid w:val="001F2CF7"/>
    <w:rsid w:val="001F30EF"/>
    <w:rsid w:val="001F44C1"/>
    <w:rsid w:val="001F4B5F"/>
    <w:rsid w:val="001F52CE"/>
    <w:rsid w:val="001F656E"/>
    <w:rsid w:val="001F6E39"/>
    <w:rsid w:val="001F6EB5"/>
    <w:rsid w:val="001F771A"/>
    <w:rsid w:val="001F7765"/>
    <w:rsid w:val="00200817"/>
    <w:rsid w:val="00200C04"/>
    <w:rsid w:val="002018EA"/>
    <w:rsid w:val="00202B2D"/>
    <w:rsid w:val="00203196"/>
    <w:rsid w:val="002037BC"/>
    <w:rsid w:val="002038A8"/>
    <w:rsid w:val="00203F98"/>
    <w:rsid w:val="00203FDA"/>
    <w:rsid w:val="002040F9"/>
    <w:rsid w:val="00204301"/>
    <w:rsid w:val="002044FF"/>
    <w:rsid w:val="00204CFE"/>
    <w:rsid w:val="00204E71"/>
    <w:rsid w:val="0020507A"/>
    <w:rsid w:val="002051A2"/>
    <w:rsid w:val="00205879"/>
    <w:rsid w:val="00205DED"/>
    <w:rsid w:val="0020626C"/>
    <w:rsid w:val="002064F0"/>
    <w:rsid w:val="002066FF"/>
    <w:rsid w:val="00206D8C"/>
    <w:rsid w:val="002073F2"/>
    <w:rsid w:val="00207D55"/>
    <w:rsid w:val="00210491"/>
    <w:rsid w:val="00210AF8"/>
    <w:rsid w:val="00211039"/>
    <w:rsid w:val="00211CF1"/>
    <w:rsid w:val="0021273D"/>
    <w:rsid w:val="002131B7"/>
    <w:rsid w:val="0021391D"/>
    <w:rsid w:val="00213B10"/>
    <w:rsid w:val="00213DD2"/>
    <w:rsid w:val="002146BD"/>
    <w:rsid w:val="002148E5"/>
    <w:rsid w:val="00214AB1"/>
    <w:rsid w:val="00214D30"/>
    <w:rsid w:val="00214D5F"/>
    <w:rsid w:val="0021517C"/>
    <w:rsid w:val="00215346"/>
    <w:rsid w:val="0021575E"/>
    <w:rsid w:val="002158C4"/>
    <w:rsid w:val="00215C7E"/>
    <w:rsid w:val="00215CB9"/>
    <w:rsid w:val="00216317"/>
    <w:rsid w:val="0021635B"/>
    <w:rsid w:val="002169E1"/>
    <w:rsid w:val="00216B81"/>
    <w:rsid w:val="00216EA3"/>
    <w:rsid w:val="002172C4"/>
    <w:rsid w:val="00217458"/>
    <w:rsid w:val="002200ED"/>
    <w:rsid w:val="00220531"/>
    <w:rsid w:val="0022096F"/>
    <w:rsid w:val="00220A92"/>
    <w:rsid w:val="00220C79"/>
    <w:rsid w:val="0022181A"/>
    <w:rsid w:val="00222084"/>
    <w:rsid w:val="00222148"/>
    <w:rsid w:val="00222215"/>
    <w:rsid w:val="00222389"/>
    <w:rsid w:val="00222CC1"/>
    <w:rsid w:val="00222F69"/>
    <w:rsid w:val="002239B3"/>
    <w:rsid w:val="00223CFA"/>
    <w:rsid w:val="0022421D"/>
    <w:rsid w:val="00224375"/>
    <w:rsid w:val="00224EA3"/>
    <w:rsid w:val="0022673F"/>
    <w:rsid w:val="00226E4E"/>
    <w:rsid w:val="00226FCE"/>
    <w:rsid w:val="00227144"/>
    <w:rsid w:val="00227376"/>
    <w:rsid w:val="00227446"/>
    <w:rsid w:val="00227EBB"/>
    <w:rsid w:val="00230064"/>
    <w:rsid w:val="00230769"/>
    <w:rsid w:val="0023189A"/>
    <w:rsid w:val="00231A6A"/>
    <w:rsid w:val="00231A8C"/>
    <w:rsid w:val="00232144"/>
    <w:rsid w:val="002325FA"/>
    <w:rsid w:val="002329D2"/>
    <w:rsid w:val="0023342F"/>
    <w:rsid w:val="0023365E"/>
    <w:rsid w:val="00234148"/>
    <w:rsid w:val="002341DC"/>
    <w:rsid w:val="00234497"/>
    <w:rsid w:val="002344B3"/>
    <w:rsid w:val="002356FA"/>
    <w:rsid w:val="002358C2"/>
    <w:rsid w:val="00235945"/>
    <w:rsid w:val="00235BCA"/>
    <w:rsid w:val="00235C87"/>
    <w:rsid w:val="00236A48"/>
    <w:rsid w:val="00236E6A"/>
    <w:rsid w:val="00236E86"/>
    <w:rsid w:val="00236F57"/>
    <w:rsid w:val="00237582"/>
    <w:rsid w:val="0024039E"/>
    <w:rsid w:val="00241170"/>
    <w:rsid w:val="00241608"/>
    <w:rsid w:val="002416C7"/>
    <w:rsid w:val="00241765"/>
    <w:rsid w:val="0024178D"/>
    <w:rsid w:val="0024188B"/>
    <w:rsid w:val="00241CC6"/>
    <w:rsid w:val="00242A42"/>
    <w:rsid w:val="00242F2E"/>
    <w:rsid w:val="00243045"/>
    <w:rsid w:val="0024331D"/>
    <w:rsid w:val="00243913"/>
    <w:rsid w:val="00243E82"/>
    <w:rsid w:val="0024406B"/>
    <w:rsid w:val="002449F1"/>
    <w:rsid w:val="00244A07"/>
    <w:rsid w:val="00244EF5"/>
    <w:rsid w:val="00245666"/>
    <w:rsid w:val="00245F2E"/>
    <w:rsid w:val="0024615D"/>
    <w:rsid w:val="002463DC"/>
    <w:rsid w:val="00246839"/>
    <w:rsid w:val="00246B48"/>
    <w:rsid w:val="00246F1D"/>
    <w:rsid w:val="002472C4"/>
    <w:rsid w:val="002476FD"/>
    <w:rsid w:val="0024788E"/>
    <w:rsid w:val="00247BCF"/>
    <w:rsid w:val="00250E5D"/>
    <w:rsid w:val="0025151D"/>
    <w:rsid w:val="0025161C"/>
    <w:rsid w:val="002516A6"/>
    <w:rsid w:val="002517E7"/>
    <w:rsid w:val="00251F28"/>
    <w:rsid w:val="00252669"/>
    <w:rsid w:val="00252CB2"/>
    <w:rsid w:val="00252DC4"/>
    <w:rsid w:val="00252FEC"/>
    <w:rsid w:val="00253711"/>
    <w:rsid w:val="00254201"/>
    <w:rsid w:val="00254246"/>
    <w:rsid w:val="002547B4"/>
    <w:rsid w:val="0025497D"/>
    <w:rsid w:val="002549A0"/>
    <w:rsid w:val="00254A28"/>
    <w:rsid w:val="00254D47"/>
    <w:rsid w:val="002551D5"/>
    <w:rsid w:val="00255572"/>
    <w:rsid w:val="00255573"/>
    <w:rsid w:val="002560F1"/>
    <w:rsid w:val="0025679A"/>
    <w:rsid w:val="002567AC"/>
    <w:rsid w:val="00256E32"/>
    <w:rsid w:val="00256E5E"/>
    <w:rsid w:val="0025734B"/>
    <w:rsid w:val="00257784"/>
    <w:rsid w:val="00257C76"/>
    <w:rsid w:val="00260208"/>
    <w:rsid w:val="002602FF"/>
    <w:rsid w:val="00260D4B"/>
    <w:rsid w:val="00260DF3"/>
    <w:rsid w:val="00261F1E"/>
    <w:rsid w:val="002625DE"/>
    <w:rsid w:val="00262D3D"/>
    <w:rsid w:val="00263293"/>
    <w:rsid w:val="00263E42"/>
    <w:rsid w:val="00264074"/>
    <w:rsid w:val="00264935"/>
    <w:rsid w:val="002656A1"/>
    <w:rsid w:val="00265817"/>
    <w:rsid w:val="00265E4F"/>
    <w:rsid w:val="00270091"/>
    <w:rsid w:val="002700C1"/>
    <w:rsid w:val="002707BF"/>
    <w:rsid w:val="0027097B"/>
    <w:rsid w:val="00271C4E"/>
    <w:rsid w:val="00272376"/>
    <w:rsid w:val="002724D1"/>
    <w:rsid w:val="002727CA"/>
    <w:rsid w:val="00272A35"/>
    <w:rsid w:val="002734BC"/>
    <w:rsid w:val="0027370D"/>
    <w:rsid w:val="00273ADE"/>
    <w:rsid w:val="00273C1B"/>
    <w:rsid w:val="00273E23"/>
    <w:rsid w:val="00274560"/>
    <w:rsid w:val="00274764"/>
    <w:rsid w:val="00275CCB"/>
    <w:rsid w:val="002760BD"/>
    <w:rsid w:val="00276649"/>
    <w:rsid w:val="00276CBB"/>
    <w:rsid w:val="00276DA4"/>
    <w:rsid w:val="002772BE"/>
    <w:rsid w:val="00280058"/>
    <w:rsid w:val="00280087"/>
    <w:rsid w:val="002804EE"/>
    <w:rsid w:val="00280DB1"/>
    <w:rsid w:val="00280F32"/>
    <w:rsid w:val="0028192D"/>
    <w:rsid w:val="0028236D"/>
    <w:rsid w:val="0028270D"/>
    <w:rsid w:val="00282B19"/>
    <w:rsid w:val="00282D28"/>
    <w:rsid w:val="00283086"/>
    <w:rsid w:val="0028358E"/>
    <w:rsid w:val="00283F13"/>
    <w:rsid w:val="00284185"/>
    <w:rsid w:val="00284E60"/>
    <w:rsid w:val="00285278"/>
    <w:rsid w:val="00285B45"/>
    <w:rsid w:val="00286175"/>
    <w:rsid w:val="002861AC"/>
    <w:rsid w:val="002866C3"/>
    <w:rsid w:val="00286AC2"/>
    <w:rsid w:val="00286B68"/>
    <w:rsid w:val="00287727"/>
    <w:rsid w:val="00290B10"/>
    <w:rsid w:val="00290BC4"/>
    <w:rsid w:val="00290F96"/>
    <w:rsid w:val="002927C9"/>
    <w:rsid w:val="00293330"/>
    <w:rsid w:val="00293473"/>
    <w:rsid w:val="002934D2"/>
    <w:rsid w:val="00293C05"/>
    <w:rsid w:val="00293CBE"/>
    <w:rsid w:val="00294609"/>
    <w:rsid w:val="00294A32"/>
    <w:rsid w:val="00294B19"/>
    <w:rsid w:val="00295BDD"/>
    <w:rsid w:val="00295DFB"/>
    <w:rsid w:val="00295F19"/>
    <w:rsid w:val="00296A57"/>
    <w:rsid w:val="002973DB"/>
    <w:rsid w:val="0029749A"/>
    <w:rsid w:val="0029751F"/>
    <w:rsid w:val="002A0644"/>
    <w:rsid w:val="002A11BC"/>
    <w:rsid w:val="002A13DD"/>
    <w:rsid w:val="002A196E"/>
    <w:rsid w:val="002A20B1"/>
    <w:rsid w:val="002A23AF"/>
    <w:rsid w:val="002A2D82"/>
    <w:rsid w:val="002A36A5"/>
    <w:rsid w:val="002A3F0F"/>
    <w:rsid w:val="002A3F6C"/>
    <w:rsid w:val="002A42E2"/>
    <w:rsid w:val="002A471B"/>
    <w:rsid w:val="002A48A7"/>
    <w:rsid w:val="002A4BAF"/>
    <w:rsid w:val="002A4FF1"/>
    <w:rsid w:val="002A50E7"/>
    <w:rsid w:val="002A5B65"/>
    <w:rsid w:val="002A5C1E"/>
    <w:rsid w:val="002A5D94"/>
    <w:rsid w:val="002A5E14"/>
    <w:rsid w:val="002A6063"/>
    <w:rsid w:val="002A6816"/>
    <w:rsid w:val="002A6BBE"/>
    <w:rsid w:val="002A6CEA"/>
    <w:rsid w:val="002A6E55"/>
    <w:rsid w:val="002A70B4"/>
    <w:rsid w:val="002B0018"/>
    <w:rsid w:val="002B0A90"/>
    <w:rsid w:val="002B1034"/>
    <w:rsid w:val="002B2105"/>
    <w:rsid w:val="002B2822"/>
    <w:rsid w:val="002B2ADC"/>
    <w:rsid w:val="002B2B90"/>
    <w:rsid w:val="002B2EF2"/>
    <w:rsid w:val="002B2F40"/>
    <w:rsid w:val="002B3832"/>
    <w:rsid w:val="002B4124"/>
    <w:rsid w:val="002B4966"/>
    <w:rsid w:val="002B4D86"/>
    <w:rsid w:val="002B4E1D"/>
    <w:rsid w:val="002B5222"/>
    <w:rsid w:val="002B5540"/>
    <w:rsid w:val="002B55C6"/>
    <w:rsid w:val="002B5C14"/>
    <w:rsid w:val="002B5CF1"/>
    <w:rsid w:val="002B5F20"/>
    <w:rsid w:val="002B6450"/>
    <w:rsid w:val="002B646C"/>
    <w:rsid w:val="002B6478"/>
    <w:rsid w:val="002B6F1A"/>
    <w:rsid w:val="002B750B"/>
    <w:rsid w:val="002C0575"/>
    <w:rsid w:val="002C0826"/>
    <w:rsid w:val="002C1B40"/>
    <w:rsid w:val="002C1EE4"/>
    <w:rsid w:val="002C1F16"/>
    <w:rsid w:val="002C2B01"/>
    <w:rsid w:val="002C36E2"/>
    <w:rsid w:val="002C4037"/>
    <w:rsid w:val="002C421E"/>
    <w:rsid w:val="002C42D2"/>
    <w:rsid w:val="002C4AD7"/>
    <w:rsid w:val="002C50BB"/>
    <w:rsid w:val="002C58E1"/>
    <w:rsid w:val="002C5AB2"/>
    <w:rsid w:val="002C5BDB"/>
    <w:rsid w:val="002C649E"/>
    <w:rsid w:val="002C7170"/>
    <w:rsid w:val="002C768A"/>
    <w:rsid w:val="002C7A50"/>
    <w:rsid w:val="002C7DAF"/>
    <w:rsid w:val="002C7EAC"/>
    <w:rsid w:val="002D0000"/>
    <w:rsid w:val="002D0312"/>
    <w:rsid w:val="002D0430"/>
    <w:rsid w:val="002D117B"/>
    <w:rsid w:val="002D13A8"/>
    <w:rsid w:val="002D1BB5"/>
    <w:rsid w:val="002D1D38"/>
    <w:rsid w:val="002D294D"/>
    <w:rsid w:val="002D29EB"/>
    <w:rsid w:val="002D2E7F"/>
    <w:rsid w:val="002D32A2"/>
    <w:rsid w:val="002D3B76"/>
    <w:rsid w:val="002D3E69"/>
    <w:rsid w:val="002D41B1"/>
    <w:rsid w:val="002D42A1"/>
    <w:rsid w:val="002D4E4F"/>
    <w:rsid w:val="002D5507"/>
    <w:rsid w:val="002D5621"/>
    <w:rsid w:val="002D5729"/>
    <w:rsid w:val="002D57AD"/>
    <w:rsid w:val="002D6C5A"/>
    <w:rsid w:val="002D6F63"/>
    <w:rsid w:val="002D7113"/>
    <w:rsid w:val="002D75EA"/>
    <w:rsid w:val="002D78B8"/>
    <w:rsid w:val="002E07E4"/>
    <w:rsid w:val="002E0913"/>
    <w:rsid w:val="002E0D6A"/>
    <w:rsid w:val="002E2073"/>
    <w:rsid w:val="002E2153"/>
    <w:rsid w:val="002E26C9"/>
    <w:rsid w:val="002E2B6D"/>
    <w:rsid w:val="002E2C0A"/>
    <w:rsid w:val="002E3137"/>
    <w:rsid w:val="002E3D2C"/>
    <w:rsid w:val="002E3D3E"/>
    <w:rsid w:val="002E3E73"/>
    <w:rsid w:val="002E51A2"/>
    <w:rsid w:val="002E5252"/>
    <w:rsid w:val="002E5437"/>
    <w:rsid w:val="002E594D"/>
    <w:rsid w:val="002E59FE"/>
    <w:rsid w:val="002E5D15"/>
    <w:rsid w:val="002E60DD"/>
    <w:rsid w:val="002E6CEC"/>
    <w:rsid w:val="002E6DD0"/>
    <w:rsid w:val="002F01EA"/>
    <w:rsid w:val="002F06B6"/>
    <w:rsid w:val="002F0780"/>
    <w:rsid w:val="002F082D"/>
    <w:rsid w:val="002F1602"/>
    <w:rsid w:val="002F1E79"/>
    <w:rsid w:val="002F2658"/>
    <w:rsid w:val="002F26E5"/>
    <w:rsid w:val="002F2751"/>
    <w:rsid w:val="002F2A7E"/>
    <w:rsid w:val="002F2C4E"/>
    <w:rsid w:val="002F2C95"/>
    <w:rsid w:val="002F30C9"/>
    <w:rsid w:val="002F320A"/>
    <w:rsid w:val="002F32A7"/>
    <w:rsid w:val="002F37FA"/>
    <w:rsid w:val="002F3863"/>
    <w:rsid w:val="002F3FD5"/>
    <w:rsid w:val="002F4277"/>
    <w:rsid w:val="002F4781"/>
    <w:rsid w:val="002F55D6"/>
    <w:rsid w:val="002F5AD2"/>
    <w:rsid w:val="002F6379"/>
    <w:rsid w:val="002F6CE6"/>
    <w:rsid w:val="002F704E"/>
    <w:rsid w:val="002F7318"/>
    <w:rsid w:val="002F7CF8"/>
    <w:rsid w:val="002F7F51"/>
    <w:rsid w:val="003003B3"/>
    <w:rsid w:val="00300ACA"/>
    <w:rsid w:val="00300D00"/>
    <w:rsid w:val="00300DF9"/>
    <w:rsid w:val="00300F7E"/>
    <w:rsid w:val="00301049"/>
    <w:rsid w:val="00301402"/>
    <w:rsid w:val="0030196B"/>
    <w:rsid w:val="00301F19"/>
    <w:rsid w:val="00302652"/>
    <w:rsid w:val="003028CA"/>
    <w:rsid w:val="00302EA9"/>
    <w:rsid w:val="003031BE"/>
    <w:rsid w:val="003033A8"/>
    <w:rsid w:val="00303D35"/>
    <w:rsid w:val="00303DDD"/>
    <w:rsid w:val="00303FA0"/>
    <w:rsid w:val="00304FE4"/>
    <w:rsid w:val="00305007"/>
    <w:rsid w:val="003051E2"/>
    <w:rsid w:val="0030586D"/>
    <w:rsid w:val="00305C5C"/>
    <w:rsid w:val="00306333"/>
    <w:rsid w:val="003064E1"/>
    <w:rsid w:val="003064FD"/>
    <w:rsid w:val="003066E5"/>
    <w:rsid w:val="00306823"/>
    <w:rsid w:val="00306C7B"/>
    <w:rsid w:val="00307304"/>
    <w:rsid w:val="00307A78"/>
    <w:rsid w:val="00310000"/>
    <w:rsid w:val="0031044E"/>
    <w:rsid w:val="00310CBA"/>
    <w:rsid w:val="003118ED"/>
    <w:rsid w:val="00311FE3"/>
    <w:rsid w:val="00312169"/>
    <w:rsid w:val="00312A60"/>
    <w:rsid w:val="00312F29"/>
    <w:rsid w:val="00313449"/>
    <w:rsid w:val="0031366F"/>
    <w:rsid w:val="0031389B"/>
    <w:rsid w:val="00313D46"/>
    <w:rsid w:val="00313FE9"/>
    <w:rsid w:val="003146A7"/>
    <w:rsid w:val="003150BA"/>
    <w:rsid w:val="00315127"/>
    <w:rsid w:val="0031592B"/>
    <w:rsid w:val="00315AB6"/>
    <w:rsid w:val="00316068"/>
    <w:rsid w:val="00316CDF"/>
    <w:rsid w:val="00321303"/>
    <w:rsid w:val="0032174D"/>
    <w:rsid w:val="003217C1"/>
    <w:rsid w:val="003218E2"/>
    <w:rsid w:val="00321B9E"/>
    <w:rsid w:val="00321D16"/>
    <w:rsid w:val="00321E89"/>
    <w:rsid w:val="003221FA"/>
    <w:rsid w:val="0032223F"/>
    <w:rsid w:val="003223F6"/>
    <w:rsid w:val="003227DD"/>
    <w:rsid w:val="00322836"/>
    <w:rsid w:val="00322A65"/>
    <w:rsid w:val="00322AAE"/>
    <w:rsid w:val="00322AB8"/>
    <w:rsid w:val="00322DF3"/>
    <w:rsid w:val="003230CD"/>
    <w:rsid w:val="00323DB3"/>
    <w:rsid w:val="00324194"/>
    <w:rsid w:val="0032451D"/>
    <w:rsid w:val="0032456C"/>
    <w:rsid w:val="00324821"/>
    <w:rsid w:val="00324889"/>
    <w:rsid w:val="00324EFE"/>
    <w:rsid w:val="00325806"/>
    <w:rsid w:val="00326464"/>
    <w:rsid w:val="00326589"/>
    <w:rsid w:val="00326590"/>
    <w:rsid w:val="003265BC"/>
    <w:rsid w:val="00326A06"/>
    <w:rsid w:val="00326AF2"/>
    <w:rsid w:val="00326D37"/>
    <w:rsid w:val="00326E25"/>
    <w:rsid w:val="00327907"/>
    <w:rsid w:val="00330332"/>
    <w:rsid w:val="00330F70"/>
    <w:rsid w:val="0033193A"/>
    <w:rsid w:val="00332A80"/>
    <w:rsid w:val="0033302C"/>
    <w:rsid w:val="0033377D"/>
    <w:rsid w:val="00333962"/>
    <w:rsid w:val="00334269"/>
    <w:rsid w:val="0033498F"/>
    <w:rsid w:val="00334E00"/>
    <w:rsid w:val="00334E25"/>
    <w:rsid w:val="003352E7"/>
    <w:rsid w:val="003357BA"/>
    <w:rsid w:val="00335A29"/>
    <w:rsid w:val="00335A39"/>
    <w:rsid w:val="00335A47"/>
    <w:rsid w:val="00335F75"/>
    <w:rsid w:val="00337132"/>
    <w:rsid w:val="00337367"/>
    <w:rsid w:val="00340412"/>
    <w:rsid w:val="0034107C"/>
    <w:rsid w:val="00341EDF"/>
    <w:rsid w:val="003421B4"/>
    <w:rsid w:val="00342FEC"/>
    <w:rsid w:val="003439AE"/>
    <w:rsid w:val="00343AD5"/>
    <w:rsid w:val="00343D55"/>
    <w:rsid w:val="003441EC"/>
    <w:rsid w:val="00344459"/>
    <w:rsid w:val="003445D3"/>
    <w:rsid w:val="003452CB"/>
    <w:rsid w:val="00345963"/>
    <w:rsid w:val="0034602A"/>
    <w:rsid w:val="003460A6"/>
    <w:rsid w:val="003465BE"/>
    <w:rsid w:val="00346C00"/>
    <w:rsid w:val="00346D18"/>
    <w:rsid w:val="00347770"/>
    <w:rsid w:val="00347825"/>
    <w:rsid w:val="003479AA"/>
    <w:rsid w:val="00347D33"/>
    <w:rsid w:val="0035089F"/>
    <w:rsid w:val="003509C9"/>
    <w:rsid w:val="00350FFD"/>
    <w:rsid w:val="00351234"/>
    <w:rsid w:val="00351447"/>
    <w:rsid w:val="003514F5"/>
    <w:rsid w:val="0035192E"/>
    <w:rsid w:val="00354164"/>
    <w:rsid w:val="00354541"/>
    <w:rsid w:val="003545EF"/>
    <w:rsid w:val="00354676"/>
    <w:rsid w:val="00354AFE"/>
    <w:rsid w:val="00355A15"/>
    <w:rsid w:val="003563A7"/>
    <w:rsid w:val="0035650C"/>
    <w:rsid w:val="00356585"/>
    <w:rsid w:val="00356670"/>
    <w:rsid w:val="00356E93"/>
    <w:rsid w:val="0035706D"/>
    <w:rsid w:val="00357338"/>
    <w:rsid w:val="00360228"/>
    <w:rsid w:val="00360D70"/>
    <w:rsid w:val="00360EF9"/>
    <w:rsid w:val="00361040"/>
    <w:rsid w:val="00361869"/>
    <w:rsid w:val="00362199"/>
    <w:rsid w:val="00362E9D"/>
    <w:rsid w:val="003630FB"/>
    <w:rsid w:val="00363C64"/>
    <w:rsid w:val="003642E3"/>
    <w:rsid w:val="00364CAE"/>
    <w:rsid w:val="00364CC4"/>
    <w:rsid w:val="003651FD"/>
    <w:rsid w:val="0036544D"/>
    <w:rsid w:val="00365457"/>
    <w:rsid w:val="0036569E"/>
    <w:rsid w:val="0036581A"/>
    <w:rsid w:val="00365ACE"/>
    <w:rsid w:val="00365BCD"/>
    <w:rsid w:val="003662A5"/>
    <w:rsid w:val="00366EDE"/>
    <w:rsid w:val="00366F8E"/>
    <w:rsid w:val="003670F8"/>
    <w:rsid w:val="0036711F"/>
    <w:rsid w:val="00367568"/>
    <w:rsid w:val="00367BCA"/>
    <w:rsid w:val="00367E8C"/>
    <w:rsid w:val="003701FE"/>
    <w:rsid w:val="00370559"/>
    <w:rsid w:val="00370B4A"/>
    <w:rsid w:val="00371556"/>
    <w:rsid w:val="00371BD5"/>
    <w:rsid w:val="0037211A"/>
    <w:rsid w:val="00372477"/>
    <w:rsid w:val="0037260B"/>
    <w:rsid w:val="0037260D"/>
    <w:rsid w:val="00372745"/>
    <w:rsid w:val="00372F57"/>
    <w:rsid w:val="00372F8E"/>
    <w:rsid w:val="00372F9E"/>
    <w:rsid w:val="003730A4"/>
    <w:rsid w:val="00373157"/>
    <w:rsid w:val="00374062"/>
    <w:rsid w:val="00374084"/>
    <w:rsid w:val="0037416A"/>
    <w:rsid w:val="003744BB"/>
    <w:rsid w:val="00374626"/>
    <w:rsid w:val="00374EE5"/>
    <w:rsid w:val="00375715"/>
    <w:rsid w:val="00375AEC"/>
    <w:rsid w:val="00375FEA"/>
    <w:rsid w:val="003760B6"/>
    <w:rsid w:val="003760F4"/>
    <w:rsid w:val="00376F06"/>
    <w:rsid w:val="00377893"/>
    <w:rsid w:val="00377989"/>
    <w:rsid w:val="003779F4"/>
    <w:rsid w:val="00377D5E"/>
    <w:rsid w:val="00377FEE"/>
    <w:rsid w:val="0038072E"/>
    <w:rsid w:val="00380B83"/>
    <w:rsid w:val="00381AFB"/>
    <w:rsid w:val="00381B73"/>
    <w:rsid w:val="00381E85"/>
    <w:rsid w:val="00382257"/>
    <w:rsid w:val="003822A6"/>
    <w:rsid w:val="00382C0E"/>
    <w:rsid w:val="00383B33"/>
    <w:rsid w:val="00383D94"/>
    <w:rsid w:val="00383E7E"/>
    <w:rsid w:val="003842B9"/>
    <w:rsid w:val="00384FA4"/>
    <w:rsid w:val="003850C9"/>
    <w:rsid w:val="00385156"/>
    <w:rsid w:val="003855D0"/>
    <w:rsid w:val="003856A9"/>
    <w:rsid w:val="003868CB"/>
    <w:rsid w:val="00386A1C"/>
    <w:rsid w:val="00386C91"/>
    <w:rsid w:val="003870D5"/>
    <w:rsid w:val="003873A2"/>
    <w:rsid w:val="0039052B"/>
    <w:rsid w:val="00390572"/>
    <w:rsid w:val="00390835"/>
    <w:rsid w:val="0039085F"/>
    <w:rsid w:val="0039086F"/>
    <w:rsid w:val="00391821"/>
    <w:rsid w:val="00391A1C"/>
    <w:rsid w:val="00391CD6"/>
    <w:rsid w:val="003924AA"/>
    <w:rsid w:val="003926FB"/>
    <w:rsid w:val="00392B70"/>
    <w:rsid w:val="00392FEB"/>
    <w:rsid w:val="0039300E"/>
    <w:rsid w:val="00393148"/>
    <w:rsid w:val="003932C6"/>
    <w:rsid w:val="0039342E"/>
    <w:rsid w:val="00393F4D"/>
    <w:rsid w:val="00394375"/>
    <w:rsid w:val="0039454F"/>
    <w:rsid w:val="00394821"/>
    <w:rsid w:val="00394C0B"/>
    <w:rsid w:val="00395CFE"/>
    <w:rsid w:val="00396071"/>
    <w:rsid w:val="00396205"/>
    <w:rsid w:val="003963A6"/>
    <w:rsid w:val="00396C28"/>
    <w:rsid w:val="00396D9F"/>
    <w:rsid w:val="00396E50"/>
    <w:rsid w:val="003972B2"/>
    <w:rsid w:val="00397D02"/>
    <w:rsid w:val="003A0587"/>
    <w:rsid w:val="003A0FB8"/>
    <w:rsid w:val="003A1207"/>
    <w:rsid w:val="003A18D0"/>
    <w:rsid w:val="003A1CF2"/>
    <w:rsid w:val="003A1ED5"/>
    <w:rsid w:val="003A266F"/>
    <w:rsid w:val="003A3250"/>
    <w:rsid w:val="003A34A8"/>
    <w:rsid w:val="003A3A01"/>
    <w:rsid w:val="003A401E"/>
    <w:rsid w:val="003A4D9B"/>
    <w:rsid w:val="003A4E32"/>
    <w:rsid w:val="003A56C3"/>
    <w:rsid w:val="003A5BB9"/>
    <w:rsid w:val="003A62E8"/>
    <w:rsid w:val="003A6328"/>
    <w:rsid w:val="003A66DC"/>
    <w:rsid w:val="003A6E2F"/>
    <w:rsid w:val="003A6E41"/>
    <w:rsid w:val="003A748B"/>
    <w:rsid w:val="003A74B8"/>
    <w:rsid w:val="003A775D"/>
    <w:rsid w:val="003A79DC"/>
    <w:rsid w:val="003A7C6C"/>
    <w:rsid w:val="003B0391"/>
    <w:rsid w:val="003B0777"/>
    <w:rsid w:val="003B0876"/>
    <w:rsid w:val="003B0A3A"/>
    <w:rsid w:val="003B0C3E"/>
    <w:rsid w:val="003B0F93"/>
    <w:rsid w:val="003B12F4"/>
    <w:rsid w:val="003B1642"/>
    <w:rsid w:val="003B2341"/>
    <w:rsid w:val="003B262E"/>
    <w:rsid w:val="003B279D"/>
    <w:rsid w:val="003B27D8"/>
    <w:rsid w:val="003B2E28"/>
    <w:rsid w:val="003B36C0"/>
    <w:rsid w:val="003B3976"/>
    <w:rsid w:val="003B4127"/>
    <w:rsid w:val="003B41E5"/>
    <w:rsid w:val="003B456D"/>
    <w:rsid w:val="003B463E"/>
    <w:rsid w:val="003B4B1D"/>
    <w:rsid w:val="003B4B6D"/>
    <w:rsid w:val="003B4BB8"/>
    <w:rsid w:val="003B4D67"/>
    <w:rsid w:val="003B51B1"/>
    <w:rsid w:val="003B51B2"/>
    <w:rsid w:val="003B5BC0"/>
    <w:rsid w:val="003B666B"/>
    <w:rsid w:val="003B70B0"/>
    <w:rsid w:val="003B79B6"/>
    <w:rsid w:val="003C00B9"/>
    <w:rsid w:val="003C011C"/>
    <w:rsid w:val="003C025A"/>
    <w:rsid w:val="003C0B43"/>
    <w:rsid w:val="003C131F"/>
    <w:rsid w:val="003C1BB2"/>
    <w:rsid w:val="003C222B"/>
    <w:rsid w:val="003C2274"/>
    <w:rsid w:val="003C2990"/>
    <w:rsid w:val="003C2E09"/>
    <w:rsid w:val="003C300A"/>
    <w:rsid w:val="003C323C"/>
    <w:rsid w:val="003C32B6"/>
    <w:rsid w:val="003C3A5A"/>
    <w:rsid w:val="003C3DDF"/>
    <w:rsid w:val="003C3E56"/>
    <w:rsid w:val="003C3EC9"/>
    <w:rsid w:val="003C4296"/>
    <w:rsid w:val="003C476E"/>
    <w:rsid w:val="003C5554"/>
    <w:rsid w:val="003C55FE"/>
    <w:rsid w:val="003C610F"/>
    <w:rsid w:val="003C6D38"/>
    <w:rsid w:val="003C6DA9"/>
    <w:rsid w:val="003C6F18"/>
    <w:rsid w:val="003C743E"/>
    <w:rsid w:val="003C748C"/>
    <w:rsid w:val="003C75F5"/>
    <w:rsid w:val="003C798E"/>
    <w:rsid w:val="003C7A96"/>
    <w:rsid w:val="003D011D"/>
    <w:rsid w:val="003D045B"/>
    <w:rsid w:val="003D0749"/>
    <w:rsid w:val="003D0F44"/>
    <w:rsid w:val="003D138F"/>
    <w:rsid w:val="003D17D6"/>
    <w:rsid w:val="003D18C5"/>
    <w:rsid w:val="003D19BE"/>
    <w:rsid w:val="003D1C3E"/>
    <w:rsid w:val="003D1DF4"/>
    <w:rsid w:val="003D1E8B"/>
    <w:rsid w:val="003D2A90"/>
    <w:rsid w:val="003D321C"/>
    <w:rsid w:val="003D3580"/>
    <w:rsid w:val="003D37B2"/>
    <w:rsid w:val="003D3BFD"/>
    <w:rsid w:val="003D47FB"/>
    <w:rsid w:val="003D4A5B"/>
    <w:rsid w:val="003D4C7E"/>
    <w:rsid w:val="003D5226"/>
    <w:rsid w:val="003D5461"/>
    <w:rsid w:val="003D5627"/>
    <w:rsid w:val="003D5A8B"/>
    <w:rsid w:val="003D5F3D"/>
    <w:rsid w:val="003D6458"/>
    <w:rsid w:val="003D6704"/>
    <w:rsid w:val="003D701C"/>
    <w:rsid w:val="003D7058"/>
    <w:rsid w:val="003D7B04"/>
    <w:rsid w:val="003D7E13"/>
    <w:rsid w:val="003D7EA3"/>
    <w:rsid w:val="003E0C53"/>
    <w:rsid w:val="003E11BB"/>
    <w:rsid w:val="003E11C8"/>
    <w:rsid w:val="003E288F"/>
    <w:rsid w:val="003E3963"/>
    <w:rsid w:val="003E43B1"/>
    <w:rsid w:val="003E4A4D"/>
    <w:rsid w:val="003E4E15"/>
    <w:rsid w:val="003E5019"/>
    <w:rsid w:val="003E5263"/>
    <w:rsid w:val="003E5875"/>
    <w:rsid w:val="003E5D6C"/>
    <w:rsid w:val="003E6353"/>
    <w:rsid w:val="003E63B8"/>
    <w:rsid w:val="003E645C"/>
    <w:rsid w:val="003E6C93"/>
    <w:rsid w:val="003E6EF4"/>
    <w:rsid w:val="003E7877"/>
    <w:rsid w:val="003F0415"/>
    <w:rsid w:val="003F045A"/>
    <w:rsid w:val="003F07FB"/>
    <w:rsid w:val="003F11F2"/>
    <w:rsid w:val="003F1949"/>
    <w:rsid w:val="003F249E"/>
    <w:rsid w:val="003F25C7"/>
    <w:rsid w:val="003F2B5B"/>
    <w:rsid w:val="003F3D87"/>
    <w:rsid w:val="003F3F33"/>
    <w:rsid w:val="003F3F56"/>
    <w:rsid w:val="003F40EE"/>
    <w:rsid w:val="003F4D49"/>
    <w:rsid w:val="003F50F9"/>
    <w:rsid w:val="003F5745"/>
    <w:rsid w:val="003F5828"/>
    <w:rsid w:val="003F5A51"/>
    <w:rsid w:val="003F61A3"/>
    <w:rsid w:val="003F65C9"/>
    <w:rsid w:val="003F671E"/>
    <w:rsid w:val="003F70A2"/>
    <w:rsid w:val="003F7A33"/>
    <w:rsid w:val="003F7D93"/>
    <w:rsid w:val="004000EA"/>
    <w:rsid w:val="004004DF"/>
    <w:rsid w:val="0040164C"/>
    <w:rsid w:val="00401A9D"/>
    <w:rsid w:val="00401DD6"/>
    <w:rsid w:val="00401EAB"/>
    <w:rsid w:val="00402109"/>
    <w:rsid w:val="00402AF5"/>
    <w:rsid w:val="00402C64"/>
    <w:rsid w:val="00403271"/>
    <w:rsid w:val="00403378"/>
    <w:rsid w:val="00403883"/>
    <w:rsid w:val="00404714"/>
    <w:rsid w:val="00404856"/>
    <w:rsid w:val="00404C31"/>
    <w:rsid w:val="00404EFC"/>
    <w:rsid w:val="00404FA4"/>
    <w:rsid w:val="00406247"/>
    <w:rsid w:val="004064DF"/>
    <w:rsid w:val="004064F9"/>
    <w:rsid w:val="004072BB"/>
    <w:rsid w:val="004072EC"/>
    <w:rsid w:val="00407D75"/>
    <w:rsid w:val="00410FE9"/>
    <w:rsid w:val="004110EC"/>
    <w:rsid w:val="0041114D"/>
    <w:rsid w:val="00411808"/>
    <w:rsid w:val="00411DA0"/>
    <w:rsid w:val="00412332"/>
    <w:rsid w:val="004124A3"/>
    <w:rsid w:val="00412B62"/>
    <w:rsid w:val="004130D2"/>
    <w:rsid w:val="004131ED"/>
    <w:rsid w:val="00413A99"/>
    <w:rsid w:val="00413B38"/>
    <w:rsid w:val="00413C5E"/>
    <w:rsid w:val="00413CDE"/>
    <w:rsid w:val="004143D6"/>
    <w:rsid w:val="00414465"/>
    <w:rsid w:val="00414956"/>
    <w:rsid w:val="00414CB1"/>
    <w:rsid w:val="00414D82"/>
    <w:rsid w:val="0041599B"/>
    <w:rsid w:val="00415B9E"/>
    <w:rsid w:val="00415EA5"/>
    <w:rsid w:val="004160F7"/>
    <w:rsid w:val="004162EE"/>
    <w:rsid w:val="00417C8A"/>
    <w:rsid w:val="00417F83"/>
    <w:rsid w:val="004207BE"/>
    <w:rsid w:val="00420A3A"/>
    <w:rsid w:val="00420D27"/>
    <w:rsid w:val="00420D50"/>
    <w:rsid w:val="00421D5E"/>
    <w:rsid w:val="00421F41"/>
    <w:rsid w:val="0042220C"/>
    <w:rsid w:val="00422532"/>
    <w:rsid w:val="00422B36"/>
    <w:rsid w:val="00422F85"/>
    <w:rsid w:val="00423D91"/>
    <w:rsid w:val="00424392"/>
    <w:rsid w:val="00424505"/>
    <w:rsid w:val="004245F3"/>
    <w:rsid w:val="00424A55"/>
    <w:rsid w:val="00424A68"/>
    <w:rsid w:val="00424B94"/>
    <w:rsid w:val="004251E1"/>
    <w:rsid w:val="00425A64"/>
    <w:rsid w:val="00425E4A"/>
    <w:rsid w:val="00426ED9"/>
    <w:rsid w:val="00427035"/>
    <w:rsid w:val="00427077"/>
    <w:rsid w:val="004274D1"/>
    <w:rsid w:val="00430055"/>
    <w:rsid w:val="0043062F"/>
    <w:rsid w:val="00430CDF"/>
    <w:rsid w:val="004317F9"/>
    <w:rsid w:val="00431E0F"/>
    <w:rsid w:val="004323F0"/>
    <w:rsid w:val="00433020"/>
    <w:rsid w:val="0043308E"/>
    <w:rsid w:val="00433210"/>
    <w:rsid w:val="00433284"/>
    <w:rsid w:val="0043341A"/>
    <w:rsid w:val="0043356D"/>
    <w:rsid w:val="004336B3"/>
    <w:rsid w:val="00433AAB"/>
    <w:rsid w:val="00433B14"/>
    <w:rsid w:val="00433D43"/>
    <w:rsid w:val="00434838"/>
    <w:rsid w:val="00434FC2"/>
    <w:rsid w:val="00435326"/>
    <w:rsid w:val="004357D2"/>
    <w:rsid w:val="0043661D"/>
    <w:rsid w:val="004402AC"/>
    <w:rsid w:val="00440561"/>
    <w:rsid w:val="00440739"/>
    <w:rsid w:val="00440D50"/>
    <w:rsid w:val="004417E6"/>
    <w:rsid w:val="00441C62"/>
    <w:rsid w:val="00442628"/>
    <w:rsid w:val="00442A50"/>
    <w:rsid w:val="00442B8C"/>
    <w:rsid w:val="0044303D"/>
    <w:rsid w:val="00443CE0"/>
    <w:rsid w:val="00444428"/>
    <w:rsid w:val="00444A5D"/>
    <w:rsid w:val="00444DD4"/>
    <w:rsid w:val="00444DE2"/>
    <w:rsid w:val="00445187"/>
    <w:rsid w:val="00446161"/>
    <w:rsid w:val="00446B49"/>
    <w:rsid w:val="00446C19"/>
    <w:rsid w:val="00447647"/>
    <w:rsid w:val="004477ED"/>
    <w:rsid w:val="004477F6"/>
    <w:rsid w:val="004502F7"/>
    <w:rsid w:val="00450394"/>
    <w:rsid w:val="00450611"/>
    <w:rsid w:val="00450B93"/>
    <w:rsid w:val="00451035"/>
    <w:rsid w:val="004510A7"/>
    <w:rsid w:val="004510F1"/>
    <w:rsid w:val="004511DD"/>
    <w:rsid w:val="004515B2"/>
    <w:rsid w:val="00451F4D"/>
    <w:rsid w:val="00452621"/>
    <w:rsid w:val="00452A4B"/>
    <w:rsid w:val="00452FED"/>
    <w:rsid w:val="004532F1"/>
    <w:rsid w:val="00453D6E"/>
    <w:rsid w:val="00454A4D"/>
    <w:rsid w:val="00455201"/>
    <w:rsid w:val="004554CE"/>
    <w:rsid w:val="00455619"/>
    <w:rsid w:val="00455A1D"/>
    <w:rsid w:val="00455B2A"/>
    <w:rsid w:val="004561B7"/>
    <w:rsid w:val="004566C1"/>
    <w:rsid w:val="00456B79"/>
    <w:rsid w:val="00456F09"/>
    <w:rsid w:val="00457639"/>
    <w:rsid w:val="004577D7"/>
    <w:rsid w:val="004578F6"/>
    <w:rsid w:val="00457AEB"/>
    <w:rsid w:val="0046012A"/>
    <w:rsid w:val="00460548"/>
    <w:rsid w:val="004614CE"/>
    <w:rsid w:val="00461C98"/>
    <w:rsid w:val="004626BC"/>
    <w:rsid w:val="00463231"/>
    <w:rsid w:val="004637AF"/>
    <w:rsid w:val="00463A0E"/>
    <w:rsid w:val="004642E9"/>
    <w:rsid w:val="0046448C"/>
    <w:rsid w:val="0046474C"/>
    <w:rsid w:val="00464811"/>
    <w:rsid w:val="004648B2"/>
    <w:rsid w:val="004649A4"/>
    <w:rsid w:val="004649FF"/>
    <w:rsid w:val="00464CD2"/>
    <w:rsid w:val="00465321"/>
    <w:rsid w:val="004653CE"/>
    <w:rsid w:val="0046569C"/>
    <w:rsid w:val="00465CA9"/>
    <w:rsid w:val="004662DE"/>
    <w:rsid w:val="00466345"/>
    <w:rsid w:val="00466759"/>
    <w:rsid w:val="00467232"/>
    <w:rsid w:val="0046723B"/>
    <w:rsid w:val="004674F6"/>
    <w:rsid w:val="00467F85"/>
    <w:rsid w:val="0047063C"/>
    <w:rsid w:val="00470817"/>
    <w:rsid w:val="0047082D"/>
    <w:rsid w:val="00470998"/>
    <w:rsid w:val="004711CF"/>
    <w:rsid w:val="004713CD"/>
    <w:rsid w:val="00471F6C"/>
    <w:rsid w:val="00472718"/>
    <w:rsid w:val="00472A8B"/>
    <w:rsid w:val="00472C52"/>
    <w:rsid w:val="00472D6F"/>
    <w:rsid w:val="00472EBB"/>
    <w:rsid w:val="004733B2"/>
    <w:rsid w:val="00473F8A"/>
    <w:rsid w:val="00474596"/>
    <w:rsid w:val="00474A26"/>
    <w:rsid w:val="00474AF3"/>
    <w:rsid w:val="00475336"/>
    <w:rsid w:val="004754D2"/>
    <w:rsid w:val="0047560C"/>
    <w:rsid w:val="00475B5D"/>
    <w:rsid w:val="00476252"/>
    <w:rsid w:val="00476895"/>
    <w:rsid w:val="00476BC4"/>
    <w:rsid w:val="00476F6E"/>
    <w:rsid w:val="004773DD"/>
    <w:rsid w:val="0047799D"/>
    <w:rsid w:val="0048003E"/>
    <w:rsid w:val="00480171"/>
    <w:rsid w:val="00480760"/>
    <w:rsid w:val="00480766"/>
    <w:rsid w:val="00481316"/>
    <w:rsid w:val="00481561"/>
    <w:rsid w:val="004815DD"/>
    <w:rsid w:val="00481972"/>
    <w:rsid w:val="00481EEA"/>
    <w:rsid w:val="00482389"/>
    <w:rsid w:val="004826E0"/>
    <w:rsid w:val="0048331B"/>
    <w:rsid w:val="004835BB"/>
    <w:rsid w:val="00483737"/>
    <w:rsid w:val="004838AB"/>
    <w:rsid w:val="00483C27"/>
    <w:rsid w:val="00483FB9"/>
    <w:rsid w:val="00484451"/>
    <w:rsid w:val="004844B1"/>
    <w:rsid w:val="00484708"/>
    <w:rsid w:val="00485112"/>
    <w:rsid w:val="0048531B"/>
    <w:rsid w:val="00485512"/>
    <w:rsid w:val="004855C4"/>
    <w:rsid w:val="00486046"/>
    <w:rsid w:val="00486203"/>
    <w:rsid w:val="0048626D"/>
    <w:rsid w:val="0048650F"/>
    <w:rsid w:val="004866AB"/>
    <w:rsid w:val="00486E34"/>
    <w:rsid w:val="004874A9"/>
    <w:rsid w:val="004902D5"/>
    <w:rsid w:val="00490CD7"/>
    <w:rsid w:val="004915DA"/>
    <w:rsid w:val="00491603"/>
    <w:rsid w:val="00491780"/>
    <w:rsid w:val="00491B90"/>
    <w:rsid w:val="00491BBF"/>
    <w:rsid w:val="004920D3"/>
    <w:rsid w:val="00492930"/>
    <w:rsid w:val="00492B84"/>
    <w:rsid w:val="00493117"/>
    <w:rsid w:val="004934D5"/>
    <w:rsid w:val="0049359D"/>
    <w:rsid w:val="0049360B"/>
    <w:rsid w:val="00493942"/>
    <w:rsid w:val="00494706"/>
    <w:rsid w:val="00494C68"/>
    <w:rsid w:val="00495745"/>
    <w:rsid w:val="004959E1"/>
    <w:rsid w:val="00495A64"/>
    <w:rsid w:val="00495F59"/>
    <w:rsid w:val="00496CAA"/>
    <w:rsid w:val="00496FC7"/>
    <w:rsid w:val="004977F9"/>
    <w:rsid w:val="004A03DD"/>
    <w:rsid w:val="004A05FA"/>
    <w:rsid w:val="004A07C6"/>
    <w:rsid w:val="004A07F8"/>
    <w:rsid w:val="004A0D18"/>
    <w:rsid w:val="004A1270"/>
    <w:rsid w:val="004A1535"/>
    <w:rsid w:val="004A1537"/>
    <w:rsid w:val="004A1801"/>
    <w:rsid w:val="004A18CF"/>
    <w:rsid w:val="004A1A42"/>
    <w:rsid w:val="004A20C8"/>
    <w:rsid w:val="004A23AF"/>
    <w:rsid w:val="004A24EE"/>
    <w:rsid w:val="004A2682"/>
    <w:rsid w:val="004A280B"/>
    <w:rsid w:val="004A2CD6"/>
    <w:rsid w:val="004A2E34"/>
    <w:rsid w:val="004A30F5"/>
    <w:rsid w:val="004A4AB4"/>
    <w:rsid w:val="004A4D5E"/>
    <w:rsid w:val="004A5036"/>
    <w:rsid w:val="004A5A08"/>
    <w:rsid w:val="004A5A4F"/>
    <w:rsid w:val="004A5BB5"/>
    <w:rsid w:val="004A5EAA"/>
    <w:rsid w:val="004A5F9C"/>
    <w:rsid w:val="004A62B1"/>
    <w:rsid w:val="004A63FD"/>
    <w:rsid w:val="004A689C"/>
    <w:rsid w:val="004A6A44"/>
    <w:rsid w:val="004A6AA5"/>
    <w:rsid w:val="004A6EC5"/>
    <w:rsid w:val="004A7AD3"/>
    <w:rsid w:val="004A7F74"/>
    <w:rsid w:val="004B03C9"/>
    <w:rsid w:val="004B0439"/>
    <w:rsid w:val="004B113A"/>
    <w:rsid w:val="004B1C77"/>
    <w:rsid w:val="004B1EB7"/>
    <w:rsid w:val="004B2549"/>
    <w:rsid w:val="004B2E17"/>
    <w:rsid w:val="004B2F04"/>
    <w:rsid w:val="004B3B08"/>
    <w:rsid w:val="004B486D"/>
    <w:rsid w:val="004B48E3"/>
    <w:rsid w:val="004B536A"/>
    <w:rsid w:val="004B5407"/>
    <w:rsid w:val="004B59F4"/>
    <w:rsid w:val="004B5C4D"/>
    <w:rsid w:val="004B60CB"/>
    <w:rsid w:val="004B6979"/>
    <w:rsid w:val="004B6A7A"/>
    <w:rsid w:val="004B6AF2"/>
    <w:rsid w:val="004B6F8C"/>
    <w:rsid w:val="004B73D6"/>
    <w:rsid w:val="004B76C0"/>
    <w:rsid w:val="004B7AB7"/>
    <w:rsid w:val="004B7C5C"/>
    <w:rsid w:val="004C0366"/>
    <w:rsid w:val="004C0695"/>
    <w:rsid w:val="004C0B41"/>
    <w:rsid w:val="004C0C71"/>
    <w:rsid w:val="004C0CD6"/>
    <w:rsid w:val="004C0D40"/>
    <w:rsid w:val="004C18D6"/>
    <w:rsid w:val="004C2154"/>
    <w:rsid w:val="004C28A5"/>
    <w:rsid w:val="004C2AE1"/>
    <w:rsid w:val="004C44A4"/>
    <w:rsid w:val="004C4633"/>
    <w:rsid w:val="004C4F0F"/>
    <w:rsid w:val="004C5442"/>
    <w:rsid w:val="004C59E0"/>
    <w:rsid w:val="004C6164"/>
    <w:rsid w:val="004C6B21"/>
    <w:rsid w:val="004C745A"/>
    <w:rsid w:val="004C74AC"/>
    <w:rsid w:val="004C74E4"/>
    <w:rsid w:val="004C755B"/>
    <w:rsid w:val="004C77BE"/>
    <w:rsid w:val="004C7C79"/>
    <w:rsid w:val="004C7CCD"/>
    <w:rsid w:val="004D0136"/>
    <w:rsid w:val="004D026C"/>
    <w:rsid w:val="004D036B"/>
    <w:rsid w:val="004D0609"/>
    <w:rsid w:val="004D1CD1"/>
    <w:rsid w:val="004D20A4"/>
    <w:rsid w:val="004D315F"/>
    <w:rsid w:val="004D3179"/>
    <w:rsid w:val="004D3640"/>
    <w:rsid w:val="004D3A38"/>
    <w:rsid w:val="004D3BF8"/>
    <w:rsid w:val="004D4693"/>
    <w:rsid w:val="004D51E0"/>
    <w:rsid w:val="004D5215"/>
    <w:rsid w:val="004D5852"/>
    <w:rsid w:val="004D5895"/>
    <w:rsid w:val="004D5A3A"/>
    <w:rsid w:val="004D6266"/>
    <w:rsid w:val="004D6456"/>
    <w:rsid w:val="004D6774"/>
    <w:rsid w:val="004D6DC1"/>
    <w:rsid w:val="004D6E16"/>
    <w:rsid w:val="004E014F"/>
    <w:rsid w:val="004E0791"/>
    <w:rsid w:val="004E0E21"/>
    <w:rsid w:val="004E0FA0"/>
    <w:rsid w:val="004E12AA"/>
    <w:rsid w:val="004E1F2B"/>
    <w:rsid w:val="004E220B"/>
    <w:rsid w:val="004E3384"/>
    <w:rsid w:val="004E3BB5"/>
    <w:rsid w:val="004E3E46"/>
    <w:rsid w:val="004E3EE8"/>
    <w:rsid w:val="004E43B0"/>
    <w:rsid w:val="004E4457"/>
    <w:rsid w:val="004E4B3D"/>
    <w:rsid w:val="004E4E15"/>
    <w:rsid w:val="004E4F96"/>
    <w:rsid w:val="004E5EDE"/>
    <w:rsid w:val="004E691F"/>
    <w:rsid w:val="004E7331"/>
    <w:rsid w:val="004E7A6E"/>
    <w:rsid w:val="004E7CDC"/>
    <w:rsid w:val="004E7DC1"/>
    <w:rsid w:val="004E7EB3"/>
    <w:rsid w:val="004F00AB"/>
    <w:rsid w:val="004F01E4"/>
    <w:rsid w:val="004F05F9"/>
    <w:rsid w:val="004F0834"/>
    <w:rsid w:val="004F0A72"/>
    <w:rsid w:val="004F1916"/>
    <w:rsid w:val="004F2623"/>
    <w:rsid w:val="004F2654"/>
    <w:rsid w:val="004F3138"/>
    <w:rsid w:val="004F337C"/>
    <w:rsid w:val="004F3846"/>
    <w:rsid w:val="004F3CEE"/>
    <w:rsid w:val="004F401E"/>
    <w:rsid w:val="004F41CB"/>
    <w:rsid w:val="004F462E"/>
    <w:rsid w:val="004F49B5"/>
    <w:rsid w:val="004F5A1E"/>
    <w:rsid w:val="004F7198"/>
    <w:rsid w:val="004F75DF"/>
    <w:rsid w:val="0050015A"/>
    <w:rsid w:val="00500349"/>
    <w:rsid w:val="00500C30"/>
    <w:rsid w:val="00501163"/>
    <w:rsid w:val="00501866"/>
    <w:rsid w:val="00501896"/>
    <w:rsid w:val="00501D29"/>
    <w:rsid w:val="00502249"/>
    <w:rsid w:val="00502792"/>
    <w:rsid w:val="00502D3A"/>
    <w:rsid w:val="005035E6"/>
    <w:rsid w:val="00503C42"/>
    <w:rsid w:val="00504002"/>
    <w:rsid w:val="00504796"/>
    <w:rsid w:val="00504C35"/>
    <w:rsid w:val="0050559C"/>
    <w:rsid w:val="00506722"/>
    <w:rsid w:val="00506D5E"/>
    <w:rsid w:val="00506D99"/>
    <w:rsid w:val="00506DCC"/>
    <w:rsid w:val="005076ED"/>
    <w:rsid w:val="005078BC"/>
    <w:rsid w:val="0050797F"/>
    <w:rsid w:val="00510CA1"/>
    <w:rsid w:val="00511458"/>
    <w:rsid w:val="005119A4"/>
    <w:rsid w:val="00511F98"/>
    <w:rsid w:val="00512175"/>
    <w:rsid w:val="005121CD"/>
    <w:rsid w:val="00512604"/>
    <w:rsid w:val="00512CF2"/>
    <w:rsid w:val="00512DAB"/>
    <w:rsid w:val="00513515"/>
    <w:rsid w:val="00513B20"/>
    <w:rsid w:val="0051474A"/>
    <w:rsid w:val="00515399"/>
    <w:rsid w:val="0051546E"/>
    <w:rsid w:val="00515722"/>
    <w:rsid w:val="0051595D"/>
    <w:rsid w:val="00515F64"/>
    <w:rsid w:val="00516235"/>
    <w:rsid w:val="0051684F"/>
    <w:rsid w:val="00516ABB"/>
    <w:rsid w:val="00516D74"/>
    <w:rsid w:val="00517069"/>
    <w:rsid w:val="00517766"/>
    <w:rsid w:val="00520001"/>
    <w:rsid w:val="0052012A"/>
    <w:rsid w:val="00520483"/>
    <w:rsid w:val="005209E2"/>
    <w:rsid w:val="00520D65"/>
    <w:rsid w:val="00520E95"/>
    <w:rsid w:val="005219E1"/>
    <w:rsid w:val="00521B2D"/>
    <w:rsid w:val="00521B5D"/>
    <w:rsid w:val="00521C7A"/>
    <w:rsid w:val="0052247B"/>
    <w:rsid w:val="00522597"/>
    <w:rsid w:val="00522B46"/>
    <w:rsid w:val="00522F1C"/>
    <w:rsid w:val="00523EA3"/>
    <w:rsid w:val="005243F7"/>
    <w:rsid w:val="005247F0"/>
    <w:rsid w:val="00525673"/>
    <w:rsid w:val="00526113"/>
    <w:rsid w:val="00526F50"/>
    <w:rsid w:val="005270CD"/>
    <w:rsid w:val="00527164"/>
    <w:rsid w:val="00527A2C"/>
    <w:rsid w:val="005300AF"/>
    <w:rsid w:val="005304FE"/>
    <w:rsid w:val="005307AF"/>
    <w:rsid w:val="00530C89"/>
    <w:rsid w:val="0053143C"/>
    <w:rsid w:val="0053165E"/>
    <w:rsid w:val="0053198F"/>
    <w:rsid w:val="00531A48"/>
    <w:rsid w:val="00531E6D"/>
    <w:rsid w:val="00533311"/>
    <w:rsid w:val="005335AA"/>
    <w:rsid w:val="005338A2"/>
    <w:rsid w:val="005338D4"/>
    <w:rsid w:val="0053448C"/>
    <w:rsid w:val="005345BE"/>
    <w:rsid w:val="005349A0"/>
    <w:rsid w:val="005356A3"/>
    <w:rsid w:val="00535730"/>
    <w:rsid w:val="00535923"/>
    <w:rsid w:val="00536134"/>
    <w:rsid w:val="005364F0"/>
    <w:rsid w:val="00536AE6"/>
    <w:rsid w:val="00537AC7"/>
    <w:rsid w:val="00537CA0"/>
    <w:rsid w:val="00540069"/>
    <w:rsid w:val="00540526"/>
    <w:rsid w:val="005408DB"/>
    <w:rsid w:val="00540962"/>
    <w:rsid w:val="00540BC4"/>
    <w:rsid w:val="00540DD5"/>
    <w:rsid w:val="00540FA4"/>
    <w:rsid w:val="0054101B"/>
    <w:rsid w:val="0054112C"/>
    <w:rsid w:val="005412FA"/>
    <w:rsid w:val="005418CB"/>
    <w:rsid w:val="00541A24"/>
    <w:rsid w:val="00542487"/>
    <w:rsid w:val="00542638"/>
    <w:rsid w:val="0054289C"/>
    <w:rsid w:val="005428C4"/>
    <w:rsid w:val="00542C42"/>
    <w:rsid w:val="00543055"/>
    <w:rsid w:val="005431F3"/>
    <w:rsid w:val="00543A8E"/>
    <w:rsid w:val="0054484A"/>
    <w:rsid w:val="00544A64"/>
    <w:rsid w:val="00544E36"/>
    <w:rsid w:val="00545429"/>
    <w:rsid w:val="005454D4"/>
    <w:rsid w:val="00545BB8"/>
    <w:rsid w:val="005467DD"/>
    <w:rsid w:val="0054689B"/>
    <w:rsid w:val="00546DA7"/>
    <w:rsid w:val="00546F2A"/>
    <w:rsid w:val="00547573"/>
    <w:rsid w:val="00547E58"/>
    <w:rsid w:val="00550866"/>
    <w:rsid w:val="00550ABA"/>
    <w:rsid w:val="005511EB"/>
    <w:rsid w:val="00551A66"/>
    <w:rsid w:val="00551EC4"/>
    <w:rsid w:val="00552287"/>
    <w:rsid w:val="0055251C"/>
    <w:rsid w:val="00553D1B"/>
    <w:rsid w:val="005540A0"/>
    <w:rsid w:val="00554D79"/>
    <w:rsid w:val="0055527E"/>
    <w:rsid w:val="00555B00"/>
    <w:rsid w:val="00556167"/>
    <w:rsid w:val="0055651F"/>
    <w:rsid w:val="0055665E"/>
    <w:rsid w:val="00556F8F"/>
    <w:rsid w:val="0055744C"/>
    <w:rsid w:val="00557526"/>
    <w:rsid w:val="00557768"/>
    <w:rsid w:val="0056023D"/>
    <w:rsid w:val="0056057C"/>
    <w:rsid w:val="00561838"/>
    <w:rsid w:val="00561D2C"/>
    <w:rsid w:val="00561F4A"/>
    <w:rsid w:val="00562341"/>
    <w:rsid w:val="00563256"/>
    <w:rsid w:val="005638B7"/>
    <w:rsid w:val="00563EFA"/>
    <w:rsid w:val="0056403A"/>
    <w:rsid w:val="00564D63"/>
    <w:rsid w:val="00565951"/>
    <w:rsid w:val="00565E8A"/>
    <w:rsid w:val="005661D6"/>
    <w:rsid w:val="005662A1"/>
    <w:rsid w:val="00566736"/>
    <w:rsid w:val="00566FA7"/>
    <w:rsid w:val="005674D6"/>
    <w:rsid w:val="0056757D"/>
    <w:rsid w:val="00567796"/>
    <w:rsid w:val="00567B33"/>
    <w:rsid w:val="005701A1"/>
    <w:rsid w:val="005704AF"/>
    <w:rsid w:val="005705D1"/>
    <w:rsid w:val="00570B0C"/>
    <w:rsid w:val="005715F9"/>
    <w:rsid w:val="00572502"/>
    <w:rsid w:val="00572DAB"/>
    <w:rsid w:val="00572F5B"/>
    <w:rsid w:val="0057387C"/>
    <w:rsid w:val="00573FDE"/>
    <w:rsid w:val="0057407A"/>
    <w:rsid w:val="005741BB"/>
    <w:rsid w:val="00574765"/>
    <w:rsid w:val="00575578"/>
    <w:rsid w:val="0057571D"/>
    <w:rsid w:val="00575A17"/>
    <w:rsid w:val="00575A21"/>
    <w:rsid w:val="00576DE4"/>
    <w:rsid w:val="00577791"/>
    <w:rsid w:val="005777A1"/>
    <w:rsid w:val="00577922"/>
    <w:rsid w:val="005802C4"/>
    <w:rsid w:val="00581F5D"/>
    <w:rsid w:val="00583A4C"/>
    <w:rsid w:val="00583F43"/>
    <w:rsid w:val="00584432"/>
    <w:rsid w:val="00584721"/>
    <w:rsid w:val="00585F71"/>
    <w:rsid w:val="0058694D"/>
    <w:rsid w:val="00586961"/>
    <w:rsid w:val="00586C08"/>
    <w:rsid w:val="00587018"/>
    <w:rsid w:val="00587090"/>
    <w:rsid w:val="005871AB"/>
    <w:rsid w:val="00587950"/>
    <w:rsid w:val="00587ABE"/>
    <w:rsid w:val="00587DF6"/>
    <w:rsid w:val="005907FF"/>
    <w:rsid w:val="00590AA9"/>
    <w:rsid w:val="00590F25"/>
    <w:rsid w:val="00591352"/>
    <w:rsid w:val="005913FE"/>
    <w:rsid w:val="00591E9F"/>
    <w:rsid w:val="005923F3"/>
    <w:rsid w:val="005925C2"/>
    <w:rsid w:val="005929B9"/>
    <w:rsid w:val="005929EB"/>
    <w:rsid w:val="00592C59"/>
    <w:rsid w:val="0059324A"/>
    <w:rsid w:val="005934A2"/>
    <w:rsid w:val="0059384F"/>
    <w:rsid w:val="00593B20"/>
    <w:rsid w:val="00593DC3"/>
    <w:rsid w:val="00593E66"/>
    <w:rsid w:val="005946F5"/>
    <w:rsid w:val="00594BB2"/>
    <w:rsid w:val="00594CD9"/>
    <w:rsid w:val="00594E01"/>
    <w:rsid w:val="005953CE"/>
    <w:rsid w:val="00595610"/>
    <w:rsid w:val="00595847"/>
    <w:rsid w:val="00595B60"/>
    <w:rsid w:val="00595CFF"/>
    <w:rsid w:val="00595FC5"/>
    <w:rsid w:val="00597514"/>
    <w:rsid w:val="0059766C"/>
    <w:rsid w:val="00597B4F"/>
    <w:rsid w:val="00597D52"/>
    <w:rsid w:val="00597F65"/>
    <w:rsid w:val="00597F66"/>
    <w:rsid w:val="005A031B"/>
    <w:rsid w:val="005A203B"/>
    <w:rsid w:val="005A20C9"/>
    <w:rsid w:val="005A22DC"/>
    <w:rsid w:val="005A29ED"/>
    <w:rsid w:val="005A2FBB"/>
    <w:rsid w:val="005A307E"/>
    <w:rsid w:val="005A3457"/>
    <w:rsid w:val="005A397A"/>
    <w:rsid w:val="005A39C2"/>
    <w:rsid w:val="005A4C7F"/>
    <w:rsid w:val="005A4DDE"/>
    <w:rsid w:val="005A55A6"/>
    <w:rsid w:val="005A567D"/>
    <w:rsid w:val="005A59CF"/>
    <w:rsid w:val="005A5A50"/>
    <w:rsid w:val="005A5BAF"/>
    <w:rsid w:val="005A6063"/>
    <w:rsid w:val="005A644B"/>
    <w:rsid w:val="005A66DA"/>
    <w:rsid w:val="005A6B8F"/>
    <w:rsid w:val="005A6D65"/>
    <w:rsid w:val="005A7155"/>
    <w:rsid w:val="005A7709"/>
    <w:rsid w:val="005A77C3"/>
    <w:rsid w:val="005B0466"/>
    <w:rsid w:val="005B087E"/>
    <w:rsid w:val="005B0C9A"/>
    <w:rsid w:val="005B0E6B"/>
    <w:rsid w:val="005B1164"/>
    <w:rsid w:val="005B11CB"/>
    <w:rsid w:val="005B11D6"/>
    <w:rsid w:val="005B1802"/>
    <w:rsid w:val="005B29D0"/>
    <w:rsid w:val="005B3218"/>
    <w:rsid w:val="005B353F"/>
    <w:rsid w:val="005B3C2D"/>
    <w:rsid w:val="005B3F59"/>
    <w:rsid w:val="005B4C6B"/>
    <w:rsid w:val="005B4D90"/>
    <w:rsid w:val="005B55B9"/>
    <w:rsid w:val="005B5D02"/>
    <w:rsid w:val="005B6A87"/>
    <w:rsid w:val="005B7185"/>
    <w:rsid w:val="005B74D3"/>
    <w:rsid w:val="005B7B3B"/>
    <w:rsid w:val="005C0451"/>
    <w:rsid w:val="005C046F"/>
    <w:rsid w:val="005C078A"/>
    <w:rsid w:val="005C0B8D"/>
    <w:rsid w:val="005C1230"/>
    <w:rsid w:val="005C1837"/>
    <w:rsid w:val="005C1C6F"/>
    <w:rsid w:val="005C25D4"/>
    <w:rsid w:val="005C2F16"/>
    <w:rsid w:val="005C33FF"/>
    <w:rsid w:val="005C3EAB"/>
    <w:rsid w:val="005C40B3"/>
    <w:rsid w:val="005C40D7"/>
    <w:rsid w:val="005C46B2"/>
    <w:rsid w:val="005C47E5"/>
    <w:rsid w:val="005C48EA"/>
    <w:rsid w:val="005C545E"/>
    <w:rsid w:val="005C54F0"/>
    <w:rsid w:val="005C5CCA"/>
    <w:rsid w:val="005C5FC6"/>
    <w:rsid w:val="005C6380"/>
    <w:rsid w:val="005C64FD"/>
    <w:rsid w:val="005C6611"/>
    <w:rsid w:val="005C6B36"/>
    <w:rsid w:val="005C709A"/>
    <w:rsid w:val="005C7963"/>
    <w:rsid w:val="005D0474"/>
    <w:rsid w:val="005D0532"/>
    <w:rsid w:val="005D07D4"/>
    <w:rsid w:val="005D0C31"/>
    <w:rsid w:val="005D14ED"/>
    <w:rsid w:val="005D16F6"/>
    <w:rsid w:val="005D1B71"/>
    <w:rsid w:val="005D23FE"/>
    <w:rsid w:val="005D3117"/>
    <w:rsid w:val="005D371E"/>
    <w:rsid w:val="005D3BC9"/>
    <w:rsid w:val="005D4268"/>
    <w:rsid w:val="005D491B"/>
    <w:rsid w:val="005D586E"/>
    <w:rsid w:val="005D5939"/>
    <w:rsid w:val="005D5F4D"/>
    <w:rsid w:val="005D5FE0"/>
    <w:rsid w:val="005D6810"/>
    <w:rsid w:val="005D6F95"/>
    <w:rsid w:val="005D7222"/>
    <w:rsid w:val="005D786D"/>
    <w:rsid w:val="005D7AB0"/>
    <w:rsid w:val="005D7F6B"/>
    <w:rsid w:val="005E01F6"/>
    <w:rsid w:val="005E07FC"/>
    <w:rsid w:val="005E0A42"/>
    <w:rsid w:val="005E14C1"/>
    <w:rsid w:val="005E157E"/>
    <w:rsid w:val="005E1EBC"/>
    <w:rsid w:val="005E265F"/>
    <w:rsid w:val="005E27B3"/>
    <w:rsid w:val="005E2A82"/>
    <w:rsid w:val="005E2DB7"/>
    <w:rsid w:val="005E3282"/>
    <w:rsid w:val="005E3374"/>
    <w:rsid w:val="005E3814"/>
    <w:rsid w:val="005E38BE"/>
    <w:rsid w:val="005E4616"/>
    <w:rsid w:val="005E4C45"/>
    <w:rsid w:val="005E4E34"/>
    <w:rsid w:val="005E4F50"/>
    <w:rsid w:val="005E5AF9"/>
    <w:rsid w:val="005E6082"/>
    <w:rsid w:val="005E6463"/>
    <w:rsid w:val="005E6ECA"/>
    <w:rsid w:val="005E7181"/>
    <w:rsid w:val="005E7374"/>
    <w:rsid w:val="005E7BC5"/>
    <w:rsid w:val="005F01B9"/>
    <w:rsid w:val="005F096B"/>
    <w:rsid w:val="005F0C23"/>
    <w:rsid w:val="005F0CD7"/>
    <w:rsid w:val="005F0F0F"/>
    <w:rsid w:val="005F0F18"/>
    <w:rsid w:val="005F128C"/>
    <w:rsid w:val="005F17F8"/>
    <w:rsid w:val="005F1CBE"/>
    <w:rsid w:val="005F277D"/>
    <w:rsid w:val="005F2C64"/>
    <w:rsid w:val="005F2CFA"/>
    <w:rsid w:val="005F2D8A"/>
    <w:rsid w:val="005F42DA"/>
    <w:rsid w:val="005F459C"/>
    <w:rsid w:val="005F5073"/>
    <w:rsid w:val="005F530F"/>
    <w:rsid w:val="005F638B"/>
    <w:rsid w:val="005F697F"/>
    <w:rsid w:val="005F6AF2"/>
    <w:rsid w:val="005F6D50"/>
    <w:rsid w:val="005F7178"/>
    <w:rsid w:val="005F7562"/>
    <w:rsid w:val="00600314"/>
    <w:rsid w:val="00600520"/>
    <w:rsid w:val="00601214"/>
    <w:rsid w:val="006013E1"/>
    <w:rsid w:val="00601461"/>
    <w:rsid w:val="006015B0"/>
    <w:rsid w:val="00601FC3"/>
    <w:rsid w:val="00602876"/>
    <w:rsid w:val="00602E21"/>
    <w:rsid w:val="006033A2"/>
    <w:rsid w:val="006035AF"/>
    <w:rsid w:val="006037C4"/>
    <w:rsid w:val="00604147"/>
    <w:rsid w:val="0060488E"/>
    <w:rsid w:val="0060490E"/>
    <w:rsid w:val="00604B7A"/>
    <w:rsid w:val="00604CDE"/>
    <w:rsid w:val="00605080"/>
    <w:rsid w:val="0060571F"/>
    <w:rsid w:val="0060588D"/>
    <w:rsid w:val="00605A52"/>
    <w:rsid w:val="00605C4B"/>
    <w:rsid w:val="0060608D"/>
    <w:rsid w:val="006065B5"/>
    <w:rsid w:val="00606D0E"/>
    <w:rsid w:val="006076EB"/>
    <w:rsid w:val="00610126"/>
    <w:rsid w:val="00610330"/>
    <w:rsid w:val="0061039C"/>
    <w:rsid w:val="006104D9"/>
    <w:rsid w:val="00610788"/>
    <w:rsid w:val="00610E83"/>
    <w:rsid w:val="0061105A"/>
    <w:rsid w:val="0061174C"/>
    <w:rsid w:val="00611B2E"/>
    <w:rsid w:val="00611C4E"/>
    <w:rsid w:val="00611EC4"/>
    <w:rsid w:val="00612086"/>
    <w:rsid w:val="0061219A"/>
    <w:rsid w:val="00612832"/>
    <w:rsid w:val="006128C1"/>
    <w:rsid w:val="00612B65"/>
    <w:rsid w:val="00612D7E"/>
    <w:rsid w:val="006130C0"/>
    <w:rsid w:val="00613313"/>
    <w:rsid w:val="006135EB"/>
    <w:rsid w:val="00613AFB"/>
    <w:rsid w:val="00613B7A"/>
    <w:rsid w:val="00613F5D"/>
    <w:rsid w:val="00614149"/>
    <w:rsid w:val="00614D23"/>
    <w:rsid w:val="00614D29"/>
    <w:rsid w:val="00614D6E"/>
    <w:rsid w:val="00614DA8"/>
    <w:rsid w:val="006153BC"/>
    <w:rsid w:val="006155DE"/>
    <w:rsid w:val="006165DA"/>
    <w:rsid w:val="00616D2A"/>
    <w:rsid w:val="00616EDA"/>
    <w:rsid w:val="0061719B"/>
    <w:rsid w:val="00617ED4"/>
    <w:rsid w:val="00617F15"/>
    <w:rsid w:val="00617F71"/>
    <w:rsid w:val="006204B7"/>
    <w:rsid w:val="0062071D"/>
    <w:rsid w:val="00621151"/>
    <w:rsid w:val="00621717"/>
    <w:rsid w:val="00621E9B"/>
    <w:rsid w:val="00621F6F"/>
    <w:rsid w:val="00621FFF"/>
    <w:rsid w:val="00622070"/>
    <w:rsid w:val="0062233E"/>
    <w:rsid w:val="00622A3B"/>
    <w:rsid w:val="00622AB0"/>
    <w:rsid w:val="00622B79"/>
    <w:rsid w:val="00623CA1"/>
    <w:rsid w:val="00623E79"/>
    <w:rsid w:val="00623EC4"/>
    <w:rsid w:val="006242A4"/>
    <w:rsid w:val="006242FD"/>
    <w:rsid w:val="00624985"/>
    <w:rsid w:val="0062531C"/>
    <w:rsid w:val="00625BB9"/>
    <w:rsid w:val="00625BE4"/>
    <w:rsid w:val="00626369"/>
    <w:rsid w:val="00626E76"/>
    <w:rsid w:val="006270A6"/>
    <w:rsid w:val="006272CF"/>
    <w:rsid w:val="006272D2"/>
    <w:rsid w:val="0062748A"/>
    <w:rsid w:val="00627A9C"/>
    <w:rsid w:val="00627C3B"/>
    <w:rsid w:val="00627E36"/>
    <w:rsid w:val="00627E48"/>
    <w:rsid w:val="0063004F"/>
    <w:rsid w:val="00630357"/>
    <w:rsid w:val="00630392"/>
    <w:rsid w:val="00630937"/>
    <w:rsid w:val="00630D43"/>
    <w:rsid w:val="00630D52"/>
    <w:rsid w:val="00631139"/>
    <w:rsid w:val="006314B4"/>
    <w:rsid w:val="006315AC"/>
    <w:rsid w:val="00631EFD"/>
    <w:rsid w:val="00633130"/>
    <w:rsid w:val="00633423"/>
    <w:rsid w:val="00634168"/>
    <w:rsid w:val="0063439D"/>
    <w:rsid w:val="006348B6"/>
    <w:rsid w:val="00634BFD"/>
    <w:rsid w:val="00634C05"/>
    <w:rsid w:val="00634D29"/>
    <w:rsid w:val="00634DC6"/>
    <w:rsid w:val="0063516B"/>
    <w:rsid w:val="00635635"/>
    <w:rsid w:val="0063590D"/>
    <w:rsid w:val="00635B8F"/>
    <w:rsid w:val="00635F65"/>
    <w:rsid w:val="00636502"/>
    <w:rsid w:val="00636611"/>
    <w:rsid w:val="00636965"/>
    <w:rsid w:val="00636A02"/>
    <w:rsid w:val="00636CED"/>
    <w:rsid w:val="00637202"/>
    <w:rsid w:val="006374F4"/>
    <w:rsid w:val="006375E2"/>
    <w:rsid w:val="00637A29"/>
    <w:rsid w:val="006406E2"/>
    <w:rsid w:val="00641231"/>
    <w:rsid w:val="006412D4"/>
    <w:rsid w:val="00641544"/>
    <w:rsid w:val="00641583"/>
    <w:rsid w:val="00641BD1"/>
    <w:rsid w:val="0064215D"/>
    <w:rsid w:val="006423A9"/>
    <w:rsid w:val="006427DF"/>
    <w:rsid w:val="0064286C"/>
    <w:rsid w:val="00642AC4"/>
    <w:rsid w:val="0064349D"/>
    <w:rsid w:val="00643A3E"/>
    <w:rsid w:val="00643C46"/>
    <w:rsid w:val="0064445D"/>
    <w:rsid w:val="00644676"/>
    <w:rsid w:val="006448C2"/>
    <w:rsid w:val="00644BB8"/>
    <w:rsid w:val="00645A2C"/>
    <w:rsid w:val="0064678C"/>
    <w:rsid w:val="00646998"/>
    <w:rsid w:val="006469D6"/>
    <w:rsid w:val="00646AB2"/>
    <w:rsid w:val="00646B46"/>
    <w:rsid w:val="00647281"/>
    <w:rsid w:val="006478B5"/>
    <w:rsid w:val="00647E2A"/>
    <w:rsid w:val="00650CF7"/>
    <w:rsid w:val="006511D0"/>
    <w:rsid w:val="0065169E"/>
    <w:rsid w:val="0065183A"/>
    <w:rsid w:val="00651899"/>
    <w:rsid w:val="00651D48"/>
    <w:rsid w:val="00651D7A"/>
    <w:rsid w:val="006527A4"/>
    <w:rsid w:val="00652847"/>
    <w:rsid w:val="00652959"/>
    <w:rsid w:val="006530B6"/>
    <w:rsid w:val="00653399"/>
    <w:rsid w:val="00653817"/>
    <w:rsid w:val="00653C97"/>
    <w:rsid w:val="00653DE8"/>
    <w:rsid w:val="00654586"/>
    <w:rsid w:val="00654D31"/>
    <w:rsid w:val="00654ECA"/>
    <w:rsid w:val="00655324"/>
    <w:rsid w:val="00655929"/>
    <w:rsid w:val="00655D37"/>
    <w:rsid w:val="00656A6D"/>
    <w:rsid w:val="00657278"/>
    <w:rsid w:val="0065777C"/>
    <w:rsid w:val="006577FE"/>
    <w:rsid w:val="00657CA6"/>
    <w:rsid w:val="0066013F"/>
    <w:rsid w:val="00660483"/>
    <w:rsid w:val="00660CD0"/>
    <w:rsid w:val="006619DD"/>
    <w:rsid w:val="00662979"/>
    <w:rsid w:val="006629B0"/>
    <w:rsid w:val="00662A09"/>
    <w:rsid w:val="006633D5"/>
    <w:rsid w:val="006638CE"/>
    <w:rsid w:val="00663EC6"/>
    <w:rsid w:val="00664196"/>
    <w:rsid w:val="006642E4"/>
    <w:rsid w:val="00664B50"/>
    <w:rsid w:val="00664BA8"/>
    <w:rsid w:val="00664DE5"/>
    <w:rsid w:val="00664EB6"/>
    <w:rsid w:val="0066501D"/>
    <w:rsid w:val="00665686"/>
    <w:rsid w:val="00665A3F"/>
    <w:rsid w:val="00665C41"/>
    <w:rsid w:val="00665E13"/>
    <w:rsid w:val="00666905"/>
    <w:rsid w:val="00666C92"/>
    <w:rsid w:val="006670D2"/>
    <w:rsid w:val="006678F6"/>
    <w:rsid w:val="0067082E"/>
    <w:rsid w:val="00670A5A"/>
    <w:rsid w:val="00670B0E"/>
    <w:rsid w:val="0067125B"/>
    <w:rsid w:val="006713A7"/>
    <w:rsid w:val="00671E40"/>
    <w:rsid w:val="00671F10"/>
    <w:rsid w:val="006721F6"/>
    <w:rsid w:val="00672520"/>
    <w:rsid w:val="00673668"/>
    <w:rsid w:val="006738C3"/>
    <w:rsid w:val="00673D32"/>
    <w:rsid w:val="006740CA"/>
    <w:rsid w:val="0067466F"/>
    <w:rsid w:val="006749C0"/>
    <w:rsid w:val="00674ACB"/>
    <w:rsid w:val="006750AF"/>
    <w:rsid w:val="0067573D"/>
    <w:rsid w:val="00675B14"/>
    <w:rsid w:val="00675BC2"/>
    <w:rsid w:val="00675DB4"/>
    <w:rsid w:val="006764A0"/>
    <w:rsid w:val="006764B6"/>
    <w:rsid w:val="00676801"/>
    <w:rsid w:val="0067687C"/>
    <w:rsid w:val="00677356"/>
    <w:rsid w:val="00677495"/>
    <w:rsid w:val="00677A93"/>
    <w:rsid w:val="00680191"/>
    <w:rsid w:val="006808EE"/>
    <w:rsid w:val="00680C02"/>
    <w:rsid w:val="006815B1"/>
    <w:rsid w:val="00681691"/>
    <w:rsid w:val="006817A8"/>
    <w:rsid w:val="0068347C"/>
    <w:rsid w:val="00683492"/>
    <w:rsid w:val="006834CE"/>
    <w:rsid w:val="00683B6C"/>
    <w:rsid w:val="0068422B"/>
    <w:rsid w:val="00684455"/>
    <w:rsid w:val="0068453F"/>
    <w:rsid w:val="00684EBF"/>
    <w:rsid w:val="0068554A"/>
    <w:rsid w:val="00685657"/>
    <w:rsid w:val="00687F9F"/>
    <w:rsid w:val="00690553"/>
    <w:rsid w:val="0069060C"/>
    <w:rsid w:val="00690A2E"/>
    <w:rsid w:val="00690ADF"/>
    <w:rsid w:val="00690B19"/>
    <w:rsid w:val="00690B51"/>
    <w:rsid w:val="00691EAE"/>
    <w:rsid w:val="00691F30"/>
    <w:rsid w:val="00692165"/>
    <w:rsid w:val="0069268A"/>
    <w:rsid w:val="0069365D"/>
    <w:rsid w:val="00693BD7"/>
    <w:rsid w:val="00693C1D"/>
    <w:rsid w:val="006944A6"/>
    <w:rsid w:val="0069492F"/>
    <w:rsid w:val="00694D5F"/>
    <w:rsid w:val="0069569F"/>
    <w:rsid w:val="006957AC"/>
    <w:rsid w:val="00695872"/>
    <w:rsid w:val="006959C1"/>
    <w:rsid w:val="00695FBC"/>
    <w:rsid w:val="0069619D"/>
    <w:rsid w:val="00696576"/>
    <w:rsid w:val="00696A44"/>
    <w:rsid w:val="00696E96"/>
    <w:rsid w:val="006971E5"/>
    <w:rsid w:val="006A0559"/>
    <w:rsid w:val="006A084E"/>
    <w:rsid w:val="006A0974"/>
    <w:rsid w:val="006A14A8"/>
    <w:rsid w:val="006A1956"/>
    <w:rsid w:val="006A1EC0"/>
    <w:rsid w:val="006A1F40"/>
    <w:rsid w:val="006A24F1"/>
    <w:rsid w:val="006A2668"/>
    <w:rsid w:val="006A27F0"/>
    <w:rsid w:val="006A300B"/>
    <w:rsid w:val="006A3159"/>
    <w:rsid w:val="006A3B36"/>
    <w:rsid w:val="006A3B66"/>
    <w:rsid w:val="006A3C0A"/>
    <w:rsid w:val="006A3C5F"/>
    <w:rsid w:val="006A3D68"/>
    <w:rsid w:val="006A40F7"/>
    <w:rsid w:val="006A4501"/>
    <w:rsid w:val="006A55F7"/>
    <w:rsid w:val="006A65F3"/>
    <w:rsid w:val="006A687B"/>
    <w:rsid w:val="006A6965"/>
    <w:rsid w:val="006A6998"/>
    <w:rsid w:val="006A6BA7"/>
    <w:rsid w:val="006A6DE1"/>
    <w:rsid w:val="006A6ED3"/>
    <w:rsid w:val="006A6EED"/>
    <w:rsid w:val="006A6F49"/>
    <w:rsid w:val="006A738F"/>
    <w:rsid w:val="006A7EA6"/>
    <w:rsid w:val="006B0546"/>
    <w:rsid w:val="006B0558"/>
    <w:rsid w:val="006B084C"/>
    <w:rsid w:val="006B0DE4"/>
    <w:rsid w:val="006B0F44"/>
    <w:rsid w:val="006B19E7"/>
    <w:rsid w:val="006B1BD6"/>
    <w:rsid w:val="006B1D45"/>
    <w:rsid w:val="006B1F38"/>
    <w:rsid w:val="006B2702"/>
    <w:rsid w:val="006B2753"/>
    <w:rsid w:val="006B3263"/>
    <w:rsid w:val="006B3A57"/>
    <w:rsid w:val="006B3CF5"/>
    <w:rsid w:val="006B3D53"/>
    <w:rsid w:val="006B3D90"/>
    <w:rsid w:val="006B3DDF"/>
    <w:rsid w:val="006B4228"/>
    <w:rsid w:val="006B44F8"/>
    <w:rsid w:val="006B4783"/>
    <w:rsid w:val="006B5B97"/>
    <w:rsid w:val="006B600A"/>
    <w:rsid w:val="006B652C"/>
    <w:rsid w:val="006B668A"/>
    <w:rsid w:val="006B6CE5"/>
    <w:rsid w:val="006B7AAA"/>
    <w:rsid w:val="006B7BFA"/>
    <w:rsid w:val="006B7C21"/>
    <w:rsid w:val="006B7F78"/>
    <w:rsid w:val="006C00E7"/>
    <w:rsid w:val="006C016B"/>
    <w:rsid w:val="006C01A8"/>
    <w:rsid w:val="006C03BE"/>
    <w:rsid w:val="006C177C"/>
    <w:rsid w:val="006C20EE"/>
    <w:rsid w:val="006C212C"/>
    <w:rsid w:val="006C21BD"/>
    <w:rsid w:val="006C2F26"/>
    <w:rsid w:val="006C3699"/>
    <w:rsid w:val="006C3760"/>
    <w:rsid w:val="006C39F6"/>
    <w:rsid w:val="006C4034"/>
    <w:rsid w:val="006C4794"/>
    <w:rsid w:val="006C53CB"/>
    <w:rsid w:val="006C559E"/>
    <w:rsid w:val="006C59E8"/>
    <w:rsid w:val="006C5C96"/>
    <w:rsid w:val="006C60DE"/>
    <w:rsid w:val="006C696C"/>
    <w:rsid w:val="006C6BDE"/>
    <w:rsid w:val="006C6EB4"/>
    <w:rsid w:val="006C6ED0"/>
    <w:rsid w:val="006C72BE"/>
    <w:rsid w:val="006C7C41"/>
    <w:rsid w:val="006D0140"/>
    <w:rsid w:val="006D0724"/>
    <w:rsid w:val="006D099B"/>
    <w:rsid w:val="006D129D"/>
    <w:rsid w:val="006D1457"/>
    <w:rsid w:val="006D1753"/>
    <w:rsid w:val="006D1ADC"/>
    <w:rsid w:val="006D1C0E"/>
    <w:rsid w:val="006D1E46"/>
    <w:rsid w:val="006D2232"/>
    <w:rsid w:val="006D29ED"/>
    <w:rsid w:val="006D2AAA"/>
    <w:rsid w:val="006D33C4"/>
    <w:rsid w:val="006D352B"/>
    <w:rsid w:val="006D3A49"/>
    <w:rsid w:val="006D3AB4"/>
    <w:rsid w:val="006D3F5B"/>
    <w:rsid w:val="006D40BE"/>
    <w:rsid w:val="006D4184"/>
    <w:rsid w:val="006D4358"/>
    <w:rsid w:val="006D450A"/>
    <w:rsid w:val="006D4871"/>
    <w:rsid w:val="006D4EDB"/>
    <w:rsid w:val="006D4FAA"/>
    <w:rsid w:val="006D55F6"/>
    <w:rsid w:val="006D590C"/>
    <w:rsid w:val="006D59BD"/>
    <w:rsid w:val="006D603F"/>
    <w:rsid w:val="006D6955"/>
    <w:rsid w:val="006D73BA"/>
    <w:rsid w:val="006D7582"/>
    <w:rsid w:val="006D75A5"/>
    <w:rsid w:val="006E0889"/>
    <w:rsid w:val="006E09DE"/>
    <w:rsid w:val="006E0C11"/>
    <w:rsid w:val="006E0EA0"/>
    <w:rsid w:val="006E17CF"/>
    <w:rsid w:val="006E1BD1"/>
    <w:rsid w:val="006E1CA7"/>
    <w:rsid w:val="006E1F4D"/>
    <w:rsid w:val="006E22D9"/>
    <w:rsid w:val="006E2B7B"/>
    <w:rsid w:val="006E2DEE"/>
    <w:rsid w:val="006E315A"/>
    <w:rsid w:val="006E37B7"/>
    <w:rsid w:val="006E39D2"/>
    <w:rsid w:val="006E3A45"/>
    <w:rsid w:val="006E433B"/>
    <w:rsid w:val="006E4427"/>
    <w:rsid w:val="006E4C11"/>
    <w:rsid w:val="006E4D31"/>
    <w:rsid w:val="006E52D4"/>
    <w:rsid w:val="006E5A43"/>
    <w:rsid w:val="006E5BE1"/>
    <w:rsid w:val="006E6111"/>
    <w:rsid w:val="006E6147"/>
    <w:rsid w:val="006E6D09"/>
    <w:rsid w:val="006E7328"/>
    <w:rsid w:val="006E78B8"/>
    <w:rsid w:val="006E7CF2"/>
    <w:rsid w:val="006F0002"/>
    <w:rsid w:val="006F28AF"/>
    <w:rsid w:val="006F29EB"/>
    <w:rsid w:val="006F302A"/>
    <w:rsid w:val="006F31C4"/>
    <w:rsid w:val="006F325A"/>
    <w:rsid w:val="006F3C38"/>
    <w:rsid w:val="006F4886"/>
    <w:rsid w:val="006F48BF"/>
    <w:rsid w:val="006F5063"/>
    <w:rsid w:val="006F514E"/>
    <w:rsid w:val="006F520D"/>
    <w:rsid w:val="006F5739"/>
    <w:rsid w:val="006F79F4"/>
    <w:rsid w:val="006F7FA0"/>
    <w:rsid w:val="007004DC"/>
    <w:rsid w:val="00700DC3"/>
    <w:rsid w:val="00701295"/>
    <w:rsid w:val="0070135E"/>
    <w:rsid w:val="00701427"/>
    <w:rsid w:val="007016CF"/>
    <w:rsid w:val="00701A95"/>
    <w:rsid w:val="00702112"/>
    <w:rsid w:val="0070212A"/>
    <w:rsid w:val="00703498"/>
    <w:rsid w:val="00703499"/>
    <w:rsid w:val="00703587"/>
    <w:rsid w:val="0070378F"/>
    <w:rsid w:val="00704179"/>
    <w:rsid w:val="00704294"/>
    <w:rsid w:val="0070513B"/>
    <w:rsid w:val="007057C4"/>
    <w:rsid w:val="00705900"/>
    <w:rsid w:val="0070627C"/>
    <w:rsid w:val="00706A34"/>
    <w:rsid w:val="0070735A"/>
    <w:rsid w:val="00707521"/>
    <w:rsid w:val="0070752B"/>
    <w:rsid w:val="00707578"/>
    <w:rsid w:val="00707CEE"/>
    <w:rsid w:val="00707D6A"/>
    <w:rsid w:val="00711BD8"/>
    <w:rsid w:val="00711CB7"/>
    <w:rsid w:val="007120D2"/>
    <w:rsid w:val="0071217A"/>
    <w:rsid w:val="00712B86"/>
    <w:rsid w:val="00712BAF"/>
    <w:rsid w:val="007132CE"/>
    <w:rsid w:val="0071333E"/>
    <w:rsid w:val="00713444"/>
    <w:rsid w:val="0071369D"/>
    <w:rsid w:val="00713900"/>
    <w:rsid w:val="00714B9C"/>
    <w:rsid w:val="00714E1E"/>
    <w:rsid w:val="00714F7E"/>
    <w:rsid w:val="0071545A"/>
    <w:rsid w:val="00715B17"/>
    <w:rsid w:val="00716E86"/>
    <w:rsid w:val="00716EAE"/>
    <w:rsid w:val="00716FF8"/>
    <w:rsid w:val="007171F7"/>
    <w:rsid w:val="00717996"/>
    <w:rsid w:val="00717CD2"/>
    <w:rsid w:val="00717FD5"/>
    <w:rsid w:val="00720D99"/>
    <w:rsid w:val="00720F31"/>
    <w:rsid w:val="007211C3"/>
    <w:rsid w:val="007214F6"/>
    <w:rsid w:val="007219E1"/>
    <w:rsid w:val="00721AE1"/>
    <w:rsid w:val="00721B33"/>
    <w:rsid w:val="00721DF6"/>
    <w:rsid w:val="007224AF"/>
    <w:rsid w:val="007226C2"/>
    <w:rsid w:val="0072270E"/>
    <w:rsid w:val="00722D68"/>
    <w:rsid w:val="007232E7"/>
    <w:rsid w:val="007232FE"/>
    <w:rsid w:val="007234DE"/>
    <w:rsid w:val="00724018"/>
    <w:rsid w:val="00724A86"/>
    <w:rsid w:val="00724F10"/>
    <w:rsid w:val="0072575C"/>
    <w:rsid w:val="0072580C"/>
    <w:rsid w:val="007259EE"/>
    <w:rsid w:val="007268D5"/>
    <w:rsid w:val="007271B6"/>
    <w:rsid w:val="00727374"/>
    <w:rsid w:val="0072739F"/>
    <w:rsid w:val="00727AC2"/>
    <w:rsid w:val="00727BE7"/>
    <w:rsid w:val="00727EF2"/>
    <w:rsid w:val="00731ED0"/>
    <w:rsid w:val="00732243"/>
    <w:rsid w:val="00732577"/>
    <w:rsid w:val="007329A1"/>
    <w:rsid w:val="00732A6E"/>
    <w:rsid w:val="0073317F"/>
    <w:rsid w:val="007338AA"/>
    <w:rsid w:val="007339A8"/>
    <w:rsid w:val="00734309"/>
    <w:rsid w:val="007343BC"/>
    <w:rsid w:val="00734DF1"/>
    <w:rsid w:val="007350C0"/>
    <w:rsid w:val="007351AA"/>
    <w:rsid w:val="0073539D"/>
    <w:rsid w:val="00735BE9"/>
    <w:rsid w:val="00735DAD"/>
    <w:rsid w:val="00736435"/>
    <w:rsid w:val="007366ED"/>
    <w:rsid w:val="0073690F"/>
    <w:rsid w:val="00736C87"/>
    <w:rsid w:val="00736E6F"/>
    <w:rsid w:val="00736FAC"/>
    <w:rsid w:val="00737174"/>
    <w:rsid w:val="007376ED"/>
    <w:rsid w:val="00737724"/>
    <w:rsid w:val="00737A47"/>
    <w:rsid w:val="00737DDB"/>
    <w:rsid w:val="00737F69"/>
    <w:rsid w:val="00740072"/>
    <w:rsid w:val="007410C1"/>
    <w:rsid w:val="00741414"/>
    <w:rsid w:val="00741B6C"/>
    <w:rsid w:val="00741C33"/>
    <w:rsid w:val="00742086"/>
    <w:rsid w:val="00742CBD"/>
    <w:rsid w:val="00742E2E"/>
    <w:rsid w:val="00742E42"/>
    <w:rsid w:val="00743030"/>
    <w:rsid w:val="00743B33"/>
    <w:rsid w:val="007442DF"/>
    <w:rsid w:val="007452AB"/>
    <w:rsid w:val="007453A2"/>
    <w:rsid w:val="00745A0C"/>
    <w:rsid w:val="00745BAE"/>
    <w:rsid w:val="00746287"/>
    <w:rsid w:val="007464C6"/>
    <w:rsid w:val="007469B3"/>
    <w:rsid w:val="0074713B"/>
    <w:rsid w:val="00747161"/>
    <w:rsid w:val="00747647"/>
    <w:rsid w:val="0074780A"/>
    <w:rsid w:val="007478FB"/>
    <w:rsid w:val="007479AD"/>
    <w:rsid w:val="00747A73"/>
    <w:rsid w:val="00747CE9"/>
    <w:rsid w:val="00747EF4"/>
    <w:rsid w:val="00750DB2"/>
    <w:rsid w:val="00750F4B"/>
    <w:rsid w:val="00751672"/>
    <w:rsid w:val="00751B1D"/>
    <w:rsid w:val="00752258"/>
    <w:rsid w:val="00753238"/>
    <w:rsid w:val="00753611"/>
    <w:rsid w:val="0075373D"/>
    <w:rsid w:val="00753BB7"/>
    <w:rsid w:val="00753CA0"/>
    <w:rsid w:val="00753EEE"/>
    <w:rsid w:val="00754234"/>
    <w:rsid w:val="0075462A"/>
    <w:rsid w:val="00754CA6"/>
    <w:rsid w:val="00755144"/>
    <w:rsid w:val="00755F32"/>
    <w:rsid w:val="007561DC"/>
    <w:rsid w:val="007565CE"/>
    <w:rsid w:val="00756AA6"/>
    <w:rsid w:val="0075760C"/>
    <w:rsid w:val="00757A97"/>
    <w:rsid w:val="0076099E"/>
    <w:rsid w:val="007609DA"/>
    <w:rsid w:val="00760DE6"/>
    <w:rsid w:val="00761032"/>
    <w:rsid w:val="007610F3"/>
    <w:rsid w:val="00761133"/>
    <w:rsid w:val="00761560"/>
    <w:rsid w:val="0076163E"/>
    <w:rsid w:val="0076187B"/>
    <w:rsid w:val="00762287"/>
    <w:rsid w:val="00762CBC"/>
    <w:rsid w:val="00764221"/>
    <w:rsid w:val="00764274"/>
    <w:rsid w:val="0076460F"/>
    <w:rsid w:val="00764F5B"/>
    <w:rsid w:val="007652B8"/>
    <w:rsid w:val="00765331"/>
    <w:rsid w:val="00765CC9"/>
    <w:rsid w:val="0076672D"/>
    <w:rsid w:val="00767260"/>
    <w:rsid w:val="00767F1E"/>
    <w:rsid w:val="007700C1"/>
    <w:rsid w:val="0077036C"/>
    <w:rsid w:val="007706C3"/>
    <w:rsid w:val="00770D90"/>
    <w:rsid w:val="0077177C"/>
    <w:rsid w:val="00771D3E"/>
    <w:rsid w:val="007724AD"/>
    <w:rsid w:val="00772567"/>
    <w:rsid w:val="007725A8"/>
    <w:rsid w:val="007729D1"/>
    <w:rsid w:val="00772E21"/>
    <w:rsid w:val="00773AE6"/>
    <w:rsid w:val="00773E14"/>
    <w:rsid w:val="00774236"/>
    <w:rsid w:val="00774712"/>
    <w:rsid w:val="007747CD"/>
    <w:rsid w:val="00774DBC"/>
    <w:rsid w:val="00775AD7"/>
    <w:rsid w:val="00775BDB"/>
    <w:rsid w:val="00775FDF"/>
    <w:rsid w:val="007761EA"/>
    <w:rsid w:val="0077644F"/>
    <w:rsid w:val="007765F6"/>
    <w:rsid w:val="00776ADA"/>
    <w:rsid w:val="00776BF0"/>
    <w:rsid w:val="00777606"/>
    <w:rsid w:val="00777970"/>
    <w:rsid w:val="007779F7"/>
    <w:rsid w:val="007802E5"/>
    <w:rsid w:val="007810A3"/>
    <w:rsid w:val="0078146A"/>
    <w:rsid w:val="00781521"/>
    <w:rsid w:val="0078165C"/>
    <w:rsid w:val="007819A9"/>
    <w:rsid w:val="00781A5F"/>
    <w:rsid w:val="0078237B"/>
    <w:rsid w:val="007825CE"/>
    <w:rsid w:val="007825F7"/>
    <w:rsid w:val="00782927"/>
    <w:rsid w:val="00782A09"/>
    <w:rsid w:val="007834F6"/>
    <w:rsid w:val="007838FB"/>
    <w:rsid w:val="0078438B"/>
    <w:rsid w:val="00784486"/>
    <w:rsid w:val="007849A6"/>
    <w:rsid w:val="00784E4F"/>
    <w:rsid w:val="00785C94"/>
    <w:rsid w:val="00785C9F"/>
    <w:rsid w:val="00786469"/>
    <w:rsid w:val="0078658D"/>
    <w:rsid w:val="0078667F"/>
    <w:rsid w:val="007867AC"/>
    <w:rsid w:val="007871C6"/>
    <w:rsid w:val="00787D5B"/>
    <w:rsid w:val="00790BCC"/>
    <w:rsid w:val="00791076"/>
    <w:rsid w:val="0079123A"/>
    <w:rsid w:val="0079162D"/>
    <w:rsid w:val="00792672"/>
    <w:rsid w:val="00792792"/>
    <w:rsid w:val="0079294B"/>
    <w:rsid w:val="00792DF2"/>
    <w:rsid w:val="00793359"/>
    <w:rsid w:val="0079429C"/>
    <w:rsid w:val="0079532A"/>
    <w:rsid w:val="00795BA3"/>
    <w:rsid w:val="00795DE4"/>
    <w:rsid w:val="00795ED5"/>
    <w:rsid w:val="00796773"/>
    <w:rsid w:val="00796CD2"/>
    <w:rsid w:val="0079708D"/>
    <w:rsid w:val="0079790F"/>
    <w:rsid w:val="00797F0C"/>
    <w:rsid w:val="007A0068"/>
    <w:rsid w:val="007A097D"/>
    <w:rsid w:val="007A1548"/>
    <w:rsid w:val="007A193F"/>
    <w:rsid w:val="007A1EE2"/>
    <w:rsid w:val="007A255B"/>
    <w:rsid w:val="007A2590"/>
    <w:rsid w:val="007A28CE"/>
    <w:rsid w:val="007A2E1C"/>
    <w:rsid w:val="007A30B2"/>
    <w:rsid w:val="007A371B"/>
    <w:rsid w:val="007A4223"/>
    <w:rsid w:val="007A4231"/>
    <w:rsid w:val="007A599C"/>
    <w:rsid w:val="007A61DD"/>
    <w:rsid w:val="007A64CB"/>
    <w:rsid w:val="007A6952"/>
    <w:rsid w:val="007A6E21"/>
    <w:rsid w:val="007A702A"/>
    <w:rsid w:val="007A7859"/>
    <w:rsid w:val="007B073E"/>
    <w:rsid w:val="007B08E8"/>
    <w:rsid w:val="007B0AB8"/>
    <w:rsid w:val="007B0B96"/>
    <w:rsid w:val="007B1226"/>
    <w:rsid w:val="007B138D"/>
    <w:rsid w:val="007B165C"/>
    <w:rsid w:val="007B1F15"/>
    <w:rsid w:val="007B2B80"/>
    <w:rsid w:val="007B2F4D"/>
    <w:rsid w:val="007B3132"/>
    <w:rsid w:val="007B31CC"/>
    <w:rsid w:val="007B3CED"/>
    <w:rsid w:val="007B44A7"/>
    <w:rsid w:val="007B4B28"/>
    <w:rsid w:val="007B4C59"/>
    <w:rsid w:val="007B4D5D"/>
    <w:rsid w:val="007B54C9"/>
    <w:rsid w:val="007B5ACB"/>
    <w:rsid w:val="007B6D73"/>
    <w:rsid w:val="007B7D9F"/>
    <w:rsid w:val="007C0414"/>
    <w:rsid w:val="007C0914"/>
    <w:rsid w:val="007C0AE8"/>
    <w:rsid w:val="007C0B6B"/>
    <w:rsid w:val="007C0E94"/>
    <w:rsid w:val="007C1391"/>
    <w:rsid w:val="007C15FC"/>
    <w:rsid w:val="007C185D"/>
    <w:rsid w:val="007C1880"/>
    <w:rsid w:val="007C19D6"/>
    <w:rsid w:val="007C1D68"/>
    <w:rsid w:val="007C1DA1"/>
    <w:rsid w:val="007C1E1D"/>
    <w:rsid w:val="007C248D"/>
    <w:rsid w:val="007C26DD"/>
    <w:rsid w:val="007C276C"/>
    <w:rsid w:val="007C278F"/>
    <w:rsid w:val="007C2C76"/>
    <w:rsid w:val="007C2ED9"/>
    <w:rsid w:val="007C331C"/>
    <w:rsid w:val="007C3576"/>
    <w:rsid w:val="007C4231"/>
    <w:rsid w:val="007C44FC"/>
    <w:rsid w:val="007C45C3"/>
    <w:rsid w:val="007C491B"/>
    <w:rsid w:val="007C4EC8"/>
    <w:rsid w:val="007C51CF"/>
    <w:rsid w:val="007C5357"/>
    <w:rsid w:val="007C5A02"/>
    <w:rsid w:val="007C5A3D"/>
    <w:rsid w:val="007C6289"/>
    <w:rsid w:val="007C6707"/>
    <w:rsid w:val="007C73B6"/>
    <w:rsid w:val="007C7EA9"/>
    <w:rsid w:val="007D00B9"/>
    <w:rsid w:val="007D074D"/>
    <w:rsid w:val="007D0D64"/>
    <w:rsid w:val="007D1F1E"/>
    <w:rsid w:val="007D398D"/>
    <w:rsid w:val="007D3EB4"/>
    <w:rsid w:val="007D3EBA"/>
    <w:rsid w:val="007D425A"/>
    <w:rsid w:val="007D4366"/>
    <w:rsid w:val="007D4E4E"/>
    <w:rsid w:val="007D5DC7"/>
    <w:rsid w:val="007D64CC"/>
    <w:rsid w:val="007D67AD"/>
    <w:rsid w:val="007D72C3"/>
    <w:rsid w:val="007D751F"/>
    <w:rsid w:val="007D75F2"/>
    <w:rsid w:val="007D79CC"/>
    <w:rsid w:val="007D7BF9"/>
    <w:rsid w:val="007E0B90"/>
    <w:rsid w:val="007E0EA4"/>
    <w:rsid w:val="007E0EE7"/>
    <w:rsid w:val="007E145F"/>
    <w:rsid w:val="007E26B5"/>
    <w:rsid w:val="007E2E68"/>
    <w:rsid w:val="007E3A61"/>
    <w:rsid w:val="007E438A"/>
    <w:rsid w:val="007E4537"/>
    <w:rsid w:val="007E4D65"/>
    <w:rsid w:val="007E4FC2"/>
    <w:rsid w:val="007E5049"/>
    <w:rsid w:val="007E507E"/>
    <w:rsid w:val="007E53CA"/>
    <w:rsid w:val="007E5847"/>
    <w:rsid w:val="007E5B34"/>
    <w:rsid w:val="007E5C9B"/>
    <w:rsid w:val="007E62D6"/>
    <w:rsid w:val="007E6D23"/>
    <w:rsid w:val="007E6EB7"/>
    <w:rsid w:val="007E7409"/>
    <w:rsid w:val="007E76F3"/>
    <w:rsid w:val="007E7855"/>
    <w:rsid w:val="007F06DF"/>
    <w:rsid w:val="007F0703"/>
    <w:rsid w:val="007F08A9"/>
    <w:rsid w:val="007F1840"/>
    <w:rsid w:val="007F1AEC"/>
    <w:rsid w:val="007F254C"/>
    <w:rsid w:val="007F2B9E"/>
    <w:rsid w:val="007F37B0"/>
    <w:rsid w:val="007F414E"/>
    <w:rsid w:val="007F44C0"/>
    <w:rsid w:val="007F482C"/>
    <w:rsid w:val="007F48A3"/>
    <w:rsid w:val="007F4AFE"/>
    <w:rsid w:val="007F4BA4"/>
    <w:rsid w:val="007F4F3B"/>
    <w:rsid w:val="007F52C5"/>
    <w:rsid w:val="007F5EA8"/>
    <w:rsid w:val="007F60FC"/>
    <w:rsid w:val="007F63D8"/>
    <w:rsid w:val="007F6FE0"/>
    <w:rsid w:val="007F7163"/>
    <w:rsid w:val="007F761B"/>
    <w:rsid w:val="007F7944"/>
    <w:rsid w:val="007F7C2C"/>
    <w:rsid w:val="007F7E71"/>
    <w:rsid w:val="00800135"/>
    <w:rsid w:val="008001A6"/>
    <w:rsid w:val="0080045A"/>
    <w:rsid w:val="00800959"/>
    <w:rsid w:val="00800F05"/>
    <w:rsid w:val="00800F8C"/>
    <w:rsid w:val="00801049"/>
    <w:rsid w:val="008015E1"/>
    <w:rsid w:val="008019CF"/>
    <w:rsid w:val="00801B8A"/>
    <w:rsid w:val="00801FA3"/>
    <w:rsid w:val="008028DF"/>
    <w:rsid w:val="00802D34"/>
    <w:rsid w:val="00802F9A"/>
    <w:rsid w:val="00804202"/>
    <w:rsid w:val="008051A6"/>
    <w:rsid w:val="00805452"/>
    <w:rsid w:val="008057A1"/>
    <w:rsid w:val="00805AD4"/>
    <w:rsid w:val="00805CEB"/>
    <w:rsid w:val="00805D4E"/>
    <w:rsid w:val="008060F2"/>
    <w:rsid w:val="008072A8"/>
    <w:rsid w:val="00807BA4"/>
    <w:rsid w:val="00810F3C"/>
    <w:rsid w:val="0081101B"/>
    <w:rsid w:val="0081149D"/>
    <w:rsid w:val="00812767"/>
    <w:rsid w:val="00812836"/>
    <w:rsid w:val="00812B4C"/>
    <w:rsid w:val="00812BD7"/>
    <w:rsid w:val="00813072"/>
    <w:rsid w:val="00814DBB"/>
    <w:rsid w:val="00815413"/>
    <w:rsid w:val="008154C3"/>
    <w:rsid w:val="00815687"/>
    <w:rsid w:val="00815EB1"/>
    <w:rsid w:val="00815FCA"/>
    <w:rsid w:val="008160FB"/>
    <w:rsid w:val="0081661A"/>
    <w:rsid w:val="008166E2"/>
    <w:rsid w:val="008167C9"/>
    <w:rsid w:val="008168D9"/>
    <w:rsid w:val="0081754C"/>
    <w:rsid w:val="00817890"/>
    <w:rsid w:val="00817CA8"/>
    <w:rsid w:val="00820220"/>
    <w:rsid w:val="0082064E"/>
    <w:rsid w:val="00820BEF"/>
    <w:rsid w:val="0082172C"/>
    <w:rsid w:val="00821E08"/>
    <w:rsid w:val="0082266F"/>
    <w:rsid w:val="00822A31"/>
    <w:rsid w:val="00823783"/>
    <w:rsid w:val="00823A9D"/>
    <w:rsid w:val="00823EDF"/>
    <w:rsid w:val="0082447D"/>
    <w:rsid w:val="0082453C"/>
    <w:rsid w:val="00824604"/>
    <w:rsid w:val="00824704"/>
    <w:rsid w:val="0082547D"/>
    <w:rsid w:val="00825490"/>
    <w:rsid w:val="008255E9"/>
    <w:rsid w:val="00825752"/>
    <w:rsid w:val="0082764B"/>
    <w:rsid w:val="00830556"/>
    <w:rsid w:val="00830590"/>
    <w:rsid w:val="00830B9F"/>
    <w:rsid w:val="00830F8E"/>
    <w:rsid w:val="008312B0"/>
    <w:rsid w:val="0083134A"/>
    <w:rsid w:val="00831456"/>
    <w:rsid w:val="008322F1"/>
    <w:rsid w:val="008329CC"/>
    <w:rsid w:val="00832AB4"/>
    <w:rsid w:val="00832FC0"/>
    <w:rsid w:val="00833357"/>
    <w:rsid w:val="00833449"/>
    <w:rsid w:val="008338EC"/>
    <w:rsid w:val="00833907"/>
    <w:rsid w:val="00833A8E"/>
    <w:rsid w:val="00834446"/>
    <w:rsid w:val="0083473E"/>
    <w:rsid w:val="00835069"/>
    <w:rsid w:val="00835145"/>
    <w:rsid w:val="00835179"/>
    <w:rsid w:val="0083550C"/>
    <w:rsid w:val="00835BA1"/>
    <w:rsid w:val="008361B2"/>
    <w:rsid w:val="00836260"/>
    <w:rsid w:val="00836399"/>
    <w:rsid w:val="00836457"/>
    <w:rsid w:val="0083681D"/>
    <w:rsid w:val="008368BB"/>
    <w:rsid w:val="0083779B"/>
    <w:rsid w:val="00837AB6"/>
    <w:rsid w:val="00837BDE"/>
    <w:rsid w:val="00837CCB"/>
    <w:rsid w:val="0084032E"/>
    <w:rsid w:val="00840A7C"/>
    <w:rsid w:val="00840A95"/>
    <w:rsid w:val="00841054"/>
    <w:rsid w:val="0084258C"/>
    <w:rsid w:val="00842715"/>
    <w:rsid w:val="008427E2"/>
    <w:rsid w:val="00842BEE"/>
    <w:rsid w:val="00842E05"/>
    <w:rsid w:val="00842E21"/>
    <w:rsid w:val="00843230"/>
    <w:rsid w:val="0084346F"/>
    <w:rsid w:val="00843B82"/>
    <w:rsid w:val="00843C69"/>
    <w:rsid w:val="0084421B"/>
    <w:rsid w:val="00844569"/>
    <w:rsid w:val="00844E81"/>
    <w:rsid w:val="00845169"/>
    <w:rsid w:val="00845245"/>
    <w:rsid w:val="008455A6"/>
    <w:rsid w:val="008455FF"/>
    <w:rsid w:val="00845A8B"/>
    <w:rsid w:val="00845B0E"/>
    <w:rsid w:val="00846A55"/>
    <w:rsid w:val="0084702D"/>
    <w:rsid w:val="008471C1"/>
    <w:rsid w:val="00850933"/>
    <w:rsid w:val="00850C97"/>
    <w:rsid w:val="008513A9"/>
    <w:rsid w:val="00853237"/>
    <w:rsid w:val="00853EAA"/>
    <w:rsid w:val="00854221"/>
    <w:rsid w:val="00854CEB"/>
    <w:rsid w:val="00854FF1"/>
    <w:rsid w:val="00855C31"/>
    <w:rsid w:val="008565BF"/>
    <w:rsid w:val="00856D3C"/>
    <w:rsid w:val="00856EC5"/>
    <w:rsid w:val="00857392"/>
    <w:rsid w:val="00857E4A"/>
    <w:rsid w:val="00857F8F"/>
    <w:rsid w:val="008601EC"/>
    <w:rsid w:val="00860288"/>
    <w:rsid w:val="00860358"/>
    <w:rsid w:val="00861165"/>
    <w:rsid w:val="008612F7"/>
    <w:rsid w:val="008613D0"/>
    <w:rsid w:val="008616EB"/>
    <w:rsid w:val="00861997"/>
    <w:rsid w:val="0086275F"/>
    <w:rsid w:val="008627CD"/>
    <w:rsid w:val="00862B84"/>
    <w:rsid w:val="00862BF6"/>
    <w:rsid w:val="00863376"/>
    <w:rsid w:val="008633AE"/>
    <w:rsid w:val="008636BB"/>
    <w:rsid w:val="00863790"/>
    <w:rsid w:val="008639F4"/>
    <w:rsid w:val="00863AEC"/>
    <w:rsid w:val="00863C9C"/>
    <w:rsid w:val="00864785"/>
    <w:rsid w:val="008648CD"/>
    <w:rsid w:val="0086531E"/>
    <w:rsid w:val="0086557B"/>
    <w:rsid w:val="008657C0"/>
    <w:rsid w:val="008657EA"/>
    <w:rsid w:val="008659FF"/>
    <w:rsid w:val="00865A6D"/>
    <w:rsid w:val="00865C3B"/>
    <w:rsid w:val="00865D97"/>
    <w:rsid w:val="00866484"/>
    <w:rsid w:val="00867188"/>
    <w:rsid w:val="00867435"/>
    <w:rsid w:val="00867723"/>
    <w:rsid w:val="00867971"/>
    <w:rsid w:val="008700C9"/>
    <w:rsid w:val="00870291"/>
    <w:rsid w:val="00870EB9"/>
    <w:rsid w:val="00870F5A"/>
    <w:rsid w:val="0087129C"/>
    <w:rsid w:val="008712FA"/>
    <w:rsid w:val="00871BEB"/>
    <w:rsid w:val="00871C13"/>
    <w:rsid w:val="00872156"/>
    <w:rsid w:val="00872D37"/>
    <w:rsid w:val="00873001"/>
    <w:rsid w:val="00873568"/>
    <w:rsid w:val="00873C2E"/>
    <w:rsid w:val="008752FB"/>
    <w:rsid w:val="008753AA"/>
    <w:rsid w:val="00875C65"/>
    <w:rsid w:val="00875F52"/>
    <w:rsid w:val="008762A4"/>
    <w:rsid w:val="008765B0"/>
    <w:rsid w:val="008765D1"/>
    <w:rsid w:val="00876D3B"/>
    <w:rsid w:val="00876EC4"/>
    <w:rsid w:val="008777F4"/>
    <w:rsid w:val="00877BFE"/>
    <w:rsid w:val="00880153"/>
    <w:rsid w:val="00880932"/>
    <w:rsid w:val="008819B1"/>
    <w:rsid w:val="00881B9E"/>
    <w:rsid w:val="00882768"/>
    <w:rsid w:val="00883008"/>
    <w:rsid w:val="0088300E"/>
    <w:rsid w:val="0088318D"/>
    <w:rsid w:val="008837F5"/>
    <w:rsid w:val="00883815"/>
    <w:rsid w:val="00883A8A"/>
    <w:rsid w:val="00883D46"/>
    <w:rsid w:val="00883D7F"/>
    <w:rsid w:val="00883ECE"/>
    <w:rsid w:val="00884068"/>
    <w:rsid w:val="0088499F"/>
    <w:rsid w:val="00884E99"/>
    <w:rsid w:val="00886F11"/>
    <w:rsid w:val="00886F35"/>
    <w:rsid w:val="0088713B"/>
    <w:rsid w:val="00887406"/>
    <w:rsid w:val="00887458"/>
    <w:rsid w:val="00887C49"/>
    <w:rsid w:val="00887D87"/>
    <w:rsid w:val="0089079B"/>
    <w:rsid w:val="00890F29"/>
    <w:rsid w:val="00891550"/>
    <w:rsid w:val="00891835"/>
    <w:rsid w:val="00891D45"/>
    <w:rsid w:val="00891E2F"/>
    <w:rsid w:val="008923C7"/>
    <w:rsid w:val="00892452"/>
    <w:rsid w:val="00892944"/>
    <w:rsid w:val="008929C6"/>
    <w:rsid w:val="00892C22"/>
    <w:rsid w:val="00893180"/>
    <w:rsid w:val="00893573"/>
    <w:rsid w:val="008935EB"/>
    <w:rsid w:val="00893E7A"/>
    <w:rsid w:val="00894CA4"/>
    <w:rsid w:val="0089517E"/>
    <w:rsid w:val="00895A1B"/>
    <w:rsid w:val="00895A9F"/>
    <w:rsid w:val="00896A4F"/>
    <w:rsid w:val="008975C4"/>
    <w:rsid w:val="00897CE0"/>
    <w:rsid w:val="008A0655"/>
    <w:rsid w:val="008A0953"/>
    <w:rsid w:val="008A102D"/>
    <w:rsid w:val="008A2DD7"/>
    <w:rsid w:val="008A3350"/>
    <w:rsid w:val="008A337E"/>
    <w:rsid w:val="008A3637"/>
    <w:rsid w:val="008A3CD3"/>
    <w:rsid w:val="008A3E4C"/>
    <w:rsid w:val="008A431B"/>
    <w:rsid w:val="008A43E5"/>
    <w:rsid w:val="008A5219"/>
    <w:rsid w:val="008A57DF"/>
    <w:rsid w:val="008A5A78"/>
    <w:rsid w:val="008A65A3"/>
    <w:rsid w:val="008A673B"/>
    <w:rsid w:val="008A67AE"/>
    <w:rsid w:val="008A681C"/>
    <w:rsid w:val="008A6AB6"/>
    <w:rsid w:val="008A6B63"/>
    <w:rsid w:val="008A6E01"/>
    <w:rsid w:val="008A6E77"/>
    <w:rsid w:val="008A6F4C"/>
    <w:rsid w:val="008A704F"/>
    <w:rsid w:val="008A7362"/>
    <w:rsid w:val="008A7B6A"/>
    <w:rsid w:val="008A7CD0"/>
    <w:rsid w:val="008A7E35"/>
    <w:rsid w:val="008B0033"/>
    <w:rsid w:val="008B0581"/>
    <w:rsid w:val="008B088D"/>
    <w:rsid w:val="008B10F0"/>
    <w:rsid w:val="008B1D95"/>
    <w:rsid w:val="008B22C0"/>
    <w:rsid w:val="008B243A"/>
    <w:rsid w:val="008B2870"/>
    <w:rsid w:val="008B2ACD"/>
    <w:rsid w:val="008B2F38"/>
    <w:rsid w:val="008B31E4"/>
    <w:rsid w:val="008B354E"/>
    <w:rsid w:val="008B3C2C"/>
    <w:rsid w:val="008B3E27"/>
    <w:rsid w:val="008B43D0"/>
    <w:rsid w:val="008B581B"/>
    <w:rsid w:val="008B5AB9"/>
    <w:rsid w:val="008B6587"/>
    <w:rsid w:val="008B6611"/>
    <w:rsid w:val="008B70AE"/>
    <w:rsid w:val="008B71A7"/>
    <w:rsid w:val="008B747B"/>
    <w:rsid w:val="008B76E4"/>
    <w:rsid w:val="008B7CCF"/>
    <w:rsid w:val="008C063F"/>
    <w:rsid w:val="008C0640"/>
    <w:rsid w:val="008C099E"/>
    <w:rsid w:val="008C1101"/>
    <w:rsid w:val="008C13B0"/>
    <w:rsid w:val="008C1578"/>
    <w:rsid w:val="008C16B8"/>
    <w:rsid w:val="008C22C1"/>
    <w:rsid w:val="008C23DF"/>
    <w:rsid w:val="008C2902"/>
    <w:rsid w:val="008C31DC"/>
    <w:rsid w:val="008C330E"/>
    <w:rsid w:val="008C3CA0"/>
    <w:rsid w:val="008C3F0C"/>
    <w:rsid w:val="008C4FDC"/>
    <w:rsid w:val="008C5ABB"/>
    <w:rsid w:val="008C5ACF"/>
    <w:rsid w:val="008C6AE2"/>
    <w:rsid w:val="008C703A"/>
    <w:rsid w:val="008C7633"/>
    <w:rsid w:val="008C77D0"/>
    <w:rsid w:val="008D00FC"/>
    <w:rsid w:val="008D01C7"/>
    <w:rsid w:val="008D0916"/>
    <w:rsid w:val="008D0940"/>
    <w:rsid w:val="008D0C37"/>
    <w:rsid w:val="008D0D4E"/>
    <w:rsid w:val="008D0E4E"/>
    <w:rsid w:val="008D10F4"/>
    <w:rsid w:val="008D17D8"/>
    <w:rsid w:val="008D287C"/>
    <w:rsid w:val="008D2929"/>
    <w:rsid w:val="008D2E5F"/>
    <w:rsid w:val="008D2E7A"/>
    <w:rsid w:val="008D3142"/>
    <w:rsid w:val="008D31D1"/>
    <w:rsid w:val="008D32DF"/>
    <w:rsid w:val="008D3734"/>
    <w:rsid w:val="008D38D6"/>
    <w:rsid w:val="008D3B4B"/>
    <w:rsid w:val="008D3EB6"/>
    <w:rsid w:val="008D402D"/>
    <w:rsid w:val="008D411D"/>
    <w:rsid w:val="008D4169"/>
    <w:rsid w:val="008D443C"/>
    <w:rsid w:val="008D4E65"/>
    <w:rsid w:val="008D57F3"/>
    <w:rsid w:val="008D6821"/>
    <w:rsid w:val="008D73DA"/>
    <w:rsid w:val="008D7923"/>
    <w:rsid w:val="008E051D"/>
    <w:rsid w:val="008E07C0"/>
    <w:rsid w:val="008E0842"/>
    <w:rsid w:val="008E159E"/>
    <w:rsid w:val="008E1751"/>
    <w:rsid w:val="008E176E"/>
    <w:rsid w:val="008E1DF2"/>
    <w:rsid w:val="008E21EC"/>
    <w:rsid w:val="008E26D7"/>
    <w:rsid w:val="008E2BD8"/>
    <w:rsid w:val="008E340E"/>
    <w:rsid w:val="008E345F"/>
    <w:rsid w:val="008E354C"/>
    <w:rsid w:val="008E35FD"/>
    <w:rsid w:val="008E37B5"/>
    <w:rsid w:val="008E3A10"/>
    <w:rsid w:val="008E3CA1"/>
    <w:rsid w:val="008E3D09"/>
    <w:rsid w:val="008E4896"/>
    <w:rsid w:val="008E536F"/>
    <w:rsid w:val="008E5ABC"/>
    <w:rsid w:val="008E61EC"/>
    <w:rsid w:val="008E65FA"/>
    <w:rsid w:val="008E66EE"/>
    <w:rsid w:val="008E6AB3"/>
    <w:rsid w:val="008E6DA1"/>
    <w:rsid w:val="008E7820"/>
    <w:rsid w:val="008E7FFB"/>
    <w:rsid w:val="008F127C"/>
    <w:rsid w:val="008F17CF"/>
    <w:rsid w:val="008F1B62"/>
    <w:rsid w:val="008F2105"/>
    <w:rsid w:val="008F25EF"/>
    <w:rsid w:val="008F2A35"/>
    <w:rsid w:val="008F2D62"/>
    <w:rsid w:val="008F3203"/>
    <w:rsid w:val="008F323A"/>
    <w:rsid w:val="008F3AB2"/>
    <w:rsid w:val="008F41C8"/>
    <w:rsid w:val="008F4544"/>
    <w:rsid w:val="008F4743"/>
    <w:rsid w:val="008F47D5"/>
    <w:rsid w:val="008F5031"/>
    <w:rsid w:val="008F50D7"/>
    <w:rsid w:val="008F512E"/>
    <w:rsid w:val="008F52B6"/>
    <w:rsid w:val="008F6273"/>
    <w:rsid w:val="008F6A9D"/>
    <w:rsid w:val="008F6AB2"/>
    <w:rsid w:val="008F6D08"/>
    <w:rsid w:val="008F6D4E"/>
    <w:rsid w:val="008F708C"/>
    <w:rsid w:val="008F7254"/>
    <w:rsid w:val="008F7762"/>
    <w:rsid w:val="008F7ABC"/>
    <w:rsid w:val="008F7DDC"/>
    <w:rsid w:val="008F7E31"/>
    <w:rsid w:val="008F7FA8"/>
    <w:rsid w:val="00900E7C"/>
    <w:rsid w:val="0090143B"/>
    <w:rsid w:val="00901811"/>
    <w:rsid w:val="00901D9C"/>
    <w:rsid w:val="009024BD"/>
    <w:rsid w:val="009033FA"/>
    <w:rsid w:val="009034AC"/>
    <w:rsid w:val="009042AD"/>
    <w:rsid w:val="009044AD"/>
    <w:rsid w:val="00904510"/>
    <w:rsid w:val="009047B4"/>
    <w:rsid w:val="00904A27"/>
    <w:rsid w:val="00904A7E"/>
    <w:rsid w:val="009052D1"/>
    <w:rsid w:val="009059B6"/>
    <w:rsid w:val="00905E4B"/>
    <w:rsid w:val="00906430"/>
    <w:rsid w:val="00906C44"/>
    <w:rsid w:val="00906EAB"/>
    <w:rsid w:val="009071FE"/>
    <w:rsid w:val="00907242"/>
    <w:rsid w:val="00907465"/>
    <w:rsid w:val="009076ED"/>
    <w:rsid w:val="00907C53"/>
    <w:rsid w:val="00907D28"/>
    <w:rsid w:val="00907FC1"/>
    <w:rsid w:val="009104AC"/>
    <w:rsid w:val="00910689"/>
    <w:rsid w:val="00910A55"/>
    <w:rsid w:val="00910F31"/>
    <w:rsid w:val="009111D5"/>
    <w:rsid w:val="00911675"/>
    <w:rsid w:val="0091181D"/>
    <w:rsid w:val="009119B3"/>
    <w:rsid w:val="00911AC8"/>
    <w:rsid w:val="00911E77"/>
    <w:rsid w:val="0091218F"/>
    <w:rsid w:val="00912CE1"/>
    <w:rsid w:val="00913562"/>
    <w:rsid w:val="00913816"/>
    <w:rsid w:val="00913979"/>
    <w:rsid w:val="009139AF"/>
    <w:rsid w:val="00913B4E"/>
    <w:rsid w:val="00914F33"/>
    <w:rsid w:val="00915204"/>
    <w:rsid w:val="00915248"/>
    <w:rsid w:val="00915323"/>
    <w:rsid w:val="00916FA9"/>
    <w:rsid w:val="00917138"/>
    <w:rsid w:val="00917467"/>
    <w:rsid w:val="0091757E"/>
    <w:rsid w:val="009179EE"/>
    <w:rsid w:val="00917C20"/>
    <w:rsid w:val="009205A1"/>
    <w:rsid w:val="00920F09"/>
    <w:rsid w:val="00921671"/>
    <w:rsid w:val="0092183C"/>
    <w:rsid w:val="00922641"/>
    <w:rsid w:val="009226DD"/>
    <w:rsid w:val="00923500"/>
    <w:rsid w:val="00923C8E"/>
    <w:rsid w:val="00923ED7"/>
    <w:rsid w:val="009240E4"/>
    <w:rsid w:val="009241AD"/>
    <w:rsid w:val="00924B3F"/>
    <w:rsid w:val="009255EE"/>
    <w:rsid w:val="00925C7E"/>
    <w:rsid w:val="009260C7"/>
    <w:rsid w:val="00926548"/>
    <w:rsid w:val="009268EA"/>
    <w:rsid w:val="009278F3"/>
    <w:rsid w:val="00927B2D"/>
    <w:rsid w:val="00930D5A"/>
    <w:rsid w:val="00930FF9"/>
    <w:rsid w:val="00931525"/>
    <w:rsid w:val="009317D4"/>
    <w:rsid w:val="00931836"/>
    <w:rsid w:val="00931DB2"/>
    <w:rsid w:val="00931FE4"/>
    <w:rsid w:val="009321E3"/>
    <w:rsid w:val="0093274D"/>
    <w:rsid w:val="00932901"/>
    <w:rsid w:val="00932A4D"/>
    <w:rsid w:val="00932AEC"/>
    <w:rsid w:val="009332E6"/>
    <w:rsid w:val="009334B3"/>
    <w:rsid w:val="00933B7C"/>
    <w:rsid w:val="00933DEA"/>
    <w:rsid w:val="00933EC2"/>
    <w:rsid w:val="00934124"/>
    <w:rsid w:val="0093417F"/>
    <w:rsid w:val="009343E8"/>
    <w:rsid w:val="009351FC"/>
    <w:rsid w:val="00935A2C"/>
    <w:rsid w:val="00935D02"/>
    <w:rsid w:val="00936181"/>
    <w:rsid w:val="009363E0"/>
    <w:rsid w:val="00936B18"/>
    <w:rsid w:val="009377EE"/>
    <w:rsid w:val="00937DA1"/>
    <w:rsid w:val="00937EF6"/>
    <w:rsid w:val="00940AD3"/>
    <w:rsid w:val="00941245"/>
    <w:rsid w:val="009416E5"/>
    <w:rsid w:val="00941A21"/>
    <w:rsid w:val="00941F09"/>
    <w:rsid w:val="009422E1"/>
    <w:rsid w:val="009427F5"/>
    <w:rsid w:val="00942D48"/>
    <w:rsid w:val="00942E12"/>
    <w:rsid w:val="00942EC5"/>
    <w:rsid w:val="00944E17"/>
    <w:rsid w:val="00945253"/>
    <w:rsid w:val="00945529"/>
    <w:rsid w:val="00946409"/>
    <w:rsid w:val="00946624"/>
    <w:rsid w:val="009468B3"/>
    <w:rsid w:val="00947433"/>
    <w:rsid w:val="009477B2"/>
    <w:rsid w:val="0095081A"/>
    <w:rsid w:val="00950FAA"/>
    <w:rsid w:val="0095189E"/>
    <w:rsid w:val="00952196"/>
    <w:rsid w:val="009525AC"/>
    <w:rsid w:val="00952F92"/>
    <w:rsid w:val="00953005"/>
    <w:rsid w:val="009531F0"/>
    <w:rsid w:val="00953433"/>
    <w:rsid w:val="00953883"/>
    <w:rsid w:val="009543FF"/>
    <w:rsid w:val="0095445F"/>
    <w:rsid w:val="00954503"/>
    <w:rsid w:val="00954E7E"/>
    <w:rsid w:val="00955B96"/>
    <w:rsid w:val="0095618D"/>
    <w:rsid w:val="00956B12"/>
    <w:rsid w:val="00957274"/>
    <w:rsid w:val="009577F0"/>
    <w:rsid w:val="00957BA8"/>
    <w:rsid w:val="009602B8"/>
    <w:rsid w:val="0096050D"/>
    <w:rsid w:val="0096103F"/>
    <w:rsid w:val="0096110F"/>
    <w:rsid w:val="00961D41"/>
    <w:rsid w:val="00961E75"/>
    <w:rsid w:val="009623EF"/>
    <w:rsid w:val="00962484"/>
    <w:rsid w:val="0096250B"/>
    <w:rsid w:val="00962AC2"/>
    <w:rsid w:val="00963798"/>
    <w:rsid w:val="00963F69"/>
    <w:rsid w:val="009643B2"/>
    <w:rsid w:val="00964F2F"/>
    <w:rsid w:val="009650CD"/>
    <w:rsid w:val="00965336"/>
    <w:rsid w:val="00965AA5"/>
    <w:rsid w:val="00965E72"/>
    <w:rsid w:val="00965F60"/>
    <w:rsid w:val="00966224"/>
    <w:rsid w:val="009672F3"/>
    <w:rsid w:val="00967D71"/>
    <w:rsid w:val="009711A6"/>
    <w:rsid w:val="00971562"/>
    <w:rsid w:val="0097169E"/>
    <w:rsid w:val="00971A32"/>
    <w:rsid w:val="00971B01"/>
    <w:rsid w:val="00971B32"/>
    <w:rsid w:val="00972227"/>
    <w:rsid w:val="0097222B"/>
    <w:rsid w:val="0097265F"/>
    <w:rsid w:val="009730E7"/>
    <w:rsid w:val="00973D76"/>
    <w:rsid w:val="009743B4"/>
    <w:rsid w:val="009744B7"/>
    <w:rsid w:val="00974C2D"/>
    <w:rsid w:val="00974CD9"/>
    <w:rsid w:val="00974E2B"/>
    <w:rsid w:val="00975459"/>
    <w:rsid w:val="00975644"/>
    <w:rsid w:val="0097597A"/>
    <w:rsid w:val="009759B6"/>
    <w:rsid w:val="00975CBF"/>
    <w:rsid w:val="00975E54"/>
    <w:rsid w:val="0097634F"/>
    <w:rsid w:val="009768AA"/>
    <w:rsid w:val="00977AA0"/>
    <w:rsid w:val="00980246"/>
    <w:rsid w:val="009804C7"/>
    <w:rsid w:val="00981F58"/>
    <w:rsid w:val="00982527"/>
    <w:rsid w:val="00982C56"/>
    <w:rsid w:val="00984229"/>
    <w:rsid w:val="00984888"/>
    <w:rsid w:val="00984CD8"/>
    <w:rsid w:val="00985C48"/>
    <w:rsid w:val="0098604F"/>
    <w:rsid w:val="00986800"/>
    <w:rsid w:val="00986A3C"/>
    <w:rsid w:val="00986DB7"/>
    <w:rsid w:val="00986E0D"/>
    <w:rsid w:val="00987453"/>
    <w:rsid w:val="00987BF6"/>
    <w:rsid w:val="00990065"/>
    <w:rsid w:val="009906AF"/>
    <w:rsid w:val="009920EB"/>
    <w:rsid w:val="00992410"/>
    <w:rsid w:val="00992577"/>
    <w:rsid w:val="0099289C"/>
    <w:rsid w:val="00993307"/>
    <w:rsid w:val="00993789"/>
    <w:rsid w:val="0099399D"/>
    <w:rsid w:val="00993C05"/>
    <w:rsid w:val="00994432"/>
    <w:rsid w:val="00994A42"/>
    <w:rsid w:val="00994D41"/>
    <w:rsid w:val="00995648"/>
    <w:rsid w:val="009956D5"/>
    <w:rsid w:val="00995EBF"/>
    <w:rsid w:val="00995F44"/>
    <w:rsid w:val="009961D1"/>
    <w:rsid w:val="00996307"/>
    <w:rsid w:val="0099643A"/>
    <w:rsid w:val="00996E57"/>
    <w:rsid w:val="00996F2C"/>
    <w:rsid w:val="00997073"/>
    <w:rsid w:val="009977A8"/>
    <w:rsid w:val="009A0E2C"/>
    <w:rsid w:val="009A1230"/>
    <w:rsid w:val="009A1336"/>
    <w:rsid w:val="009A160B"/>
    <w:rsid w:val="009A1CE7"/>
    <w:rsid w:val="009A1E02"/>
    <w:rsid w:val="009A24A7"/>
    <w:rsid w:val="009A2F54"/>
    <w:rsid w:val="009A3789"/>
    <w:rsid w:val="009A37CC"/>
    <w:rsid w:val="009A3C70"/>
    <w:rsid w:val="009A3CCB"/>
    <w:rsid w:val="009A479C"/>
    <w:rsid w:val="009A544B"/>
    <w:rsid w:val="009A653E"/>
    <w:rsid w:val="009A6661"/>
    <w:rsid w:val="009A70AC"/>
    <w:rsid w:val="009A7A48"/>
    <w:rsid w:val="009B075F"/>
    <w:rsid w:val="009B093B"/>
    <w:rsid w:val="009B0E2B"/>
    <w:rsid w:val="009B1607"/>
    <w:rsid w:val="009B1D06"/>
    <w:rsid w:val="009B1DA1"/>
    <w:rsid w:val="009B1F16"/>
    <w:rsid w:val="009B2CD9"/>
    <w:rsid w:val="009B3BFA"/>
    <w:rsid w:val="009B3F96"/>
    <w:rsid w:val="009B41F6"/>
    <w:rsid w:val="009B4A69"/>
    <w:rsid w:val="009B53F8"/>
    <w:rsid w:val="009B5587"/>
    <w:rsid w:val="009B56D6"/>
    <w:rsid w:val="009B594A"/>
    <w:rsid w:val="009B5964"/>
    <w:rsid w:val="009B59D6"/>
    <w:rsid w:val="009B649B"/>
    <w:rsid w:val="009B6522"/>
    <w:rsid w:val="009B6693"/>
    <w:rsid w:val="009B6B8C"/>
    <w:rsid w:val="009B7D12"/>
    <w:rsid w:val="009B7E39"/>
    <w:rsid w:val="009B7EBF"/>
    <w:rsid w:val="009C0617"/>
    <w:rsid w:val="009C091F"/>
    <w:rsid w:val="009C0F2F"/>
    <w:rsid w:val="009C1112"/>
    <w:rsid w:val="009C234E"/>
    <w:rsid w:val="009C2886"/>
    <w:rsid w:val="009C2E8C"/>
    <w:rsid w:val="009C2EEC"/>
    <w:rsid w:val="009C2F64"/>
    <w:rsid w:val="009C3489"/>
    <w:rsid w:val="009C364D"/>
    <w:rsid w:val="009C3BAF"/>
    <w:rsid w:val="009C3E5C"/>
    <w:rsid w:val="009C429A"/>
    <w:rsid w:val="009C469F"/>
    <w:rsid w:val="009C4A58"/>
    <w:rsid w:val="009C4D79"/>
    <w:rsid w:val="009C4DF6"/>
    <w:rsid w:val="009C5310"/>
    <w:rsid w:val="009C568F"/>
    <w:rsid w:val="009C5717"/>
    <w:rsid w:val="009C572B"/>
    <w:rsid w:val="009C6430"/>
    <w:rsid w:val="009C7DB7"/>
    <w:rsid w:val="009D073A"/>
    <w:rsid w:val="009D0E70"/>
    <w:rsid w:val="009D0F51"/>
    <w:rsid w:val="009D11D0"/>
    <w:rsid w:val="009D1382"/>
    <w:rsid w:val="009D163A"/>
    <w:rsid w:val="009D19DF"/>
    <w:rsid w:val="009D1B28"/>
    <w:rsid w:val="009D1DC0"/>
    <w:rsid w:val="009D1F21"/>
    <w:rsid w:val="009D305E"/>
    <w:rsid w:val="009D33C4"/>
    <w:rsid w:val="009D4392"/>
    <w:rsid w:val="009D4784"/>
    <w:rsid w:val="009D4F24"/>
    <w:rsid w:val="009D4F4B"/>
    <w:rsid w:val="009D51DB"/>
    <w:rsid w:val="009D5718"/>
    <w:rsid w:val="009D57C5"/>
    <w:rsid w:val="009D6C01"/>
    <w:rsid w:val="009D71A9"/>
    <w:rsid w:val="009E0207"/>
    <w:rsid w:val="009E137F"/>
    <w:rsid w:val="009E1717"/>
    <w:rsid w:val="009E1737"/>
    <w:rsid w:val="009E1F38"/>
    <w:rsid w:val="009E22C8"/>
    <w:rsid w:val="009E2537"/>
    <w:rsid w:val="009E26BA"/>
    <w:rsid w:val="009E2E17"/>
    <w:rsid w:val="009E3052"/>
    <w:rsid w:val="009E38E5"/>
    <w:rsid w:val="009E3EDF"/>
    <w:rsid w:val="009E4189"/>
    <w:rsid w:val="009E41C0"/>
    <w:rsid w:val="009E4261"/>
    <w:rsid w:val="009E4561"/>
    <w:rsid w:val="009E492A"/>
    <w:rsid w:val="009E4A46"/>
    <w:rsid w:val="009E5246"/>
    <w:rsid w:val="009E57B6"/>
    <w:rsid w:val="009E60DC"/>
    <w:rsid w:val="009E62BC"/>
    <w:rsid w:val="009E6B21"/>
    <w:rsid w:val="009E7AA2"/>
    <w:rsid w:val="009E7E3B"/>
    <w:rsid w:val="009E7F6E"/>
    <w:rsid w:val="009F0336"/>
    <w:rsid w:val="009F0427"/>
    <w:rsid w:val="009F0538"/>
    <w:rsid w:val="009F0770"/>
    <w:rsid w:val="009F08EA"/>
    <w:rsid w:val="009F0F10"/>
    <w:rsid w:val="009F16BE"/>
    <w:rsid w:val="009F1EF6"/>
    <w:rsid w:val="009F21E7"/>
    <w:rsid w:val="009F222B"/>
    <w:rsid w:val="009F31F9"/>
    <w:rsid w:val="009F45B3"/>
    <w:rsid w:val="009F4657"/>
    <w:rsid w:val="009F47EE"/>
    <w:rsid w:val="009F511B"/>
    <w:rsid w:val="009F52F8"/>
    <w:rsid w:val="009F5AE6"/>
    <w:rsid w:val="009F63AD"/>
    <w:rsid w:val="009F65AA"/>
    <w:rsid w:val="009F6689"/>
    <w:rsid w:val="009F6CF0"/>
    <w:rsid w:val="009F6E1C"/>
    <w:rsid w:val="009F786D"/>
    <w:rsid w:val="009F7911"/>
    <w:rsid w:val="009F7914"/>
    <w:rsid w:val="009F7969"/>
    <w:rsid w:val="009F7975"/>
    <w:rsid w:val="009F7CBA"/>
    <w:rsid w:val="009F7E9D"/>
    <w:rsid w:val="00A000F7"/>
    <w:rsid w:val="00A0019D"/>
    <w:rsid w:val="00A0186E"/>
    <w:rsid w:val="00A01A83"/>
    <w:rsid w:val="00A03400"/>
    <w:rsid w:val="00A036B7"/>
    <w:rsid w:val="00A03D88"/>
    <w:rsid w:val="00A03F0B"/>
    <w:rsid w:val="00A04090"/>
    <w:rsid w:val="00A0419E"/>
    <w:rsid w:val="00A04598"/>
    <w:rsid w:val="00A048D3"/>
    <w:rsid w:val="00A04B28"/>
    <w:rsid w:val="00A04F28"/>
    <w:rsid w:val="00A0524F"/>
    <w:rsid w:val="00A05323"/>
    <w:rsid w:val="00A05844"/>
    <w:rsid w:val="00A063BA"/>
    <w:rsid w:val="00A06D84"/>
    <w:rsid w:val="00A074DA"/>
    <w:rsid w:val="00A07827"/>
    <w:rsid w:val="00A100EE"/>
    <w:rsid w:val="00A10853"/>
    <w:rsid w:val="00A10898"/>
    <w:rsid w:val="00A11081"/>
    <w:rsid w:val="00A1120D"/>
    <w:rsid w:val="00A11A79"/>
    <w:rsid w:val="00A11CF3"/>
    <w:rsid w:val="00A11FE5"/>
    <w:rsid w:val="00A1204E"/>
    <w:rsid w:val="00A121B0"/>
    <w:rsid w:val="00A123C0"/>
    <w:rsid w:val="00A1323D"/>
    <w:rsid w:val="00A13B27"/>
    <w:rsid w:val="00A1568B"/>
    <w:rsid w:val="00A15FF1"/>
    <w:rsid w:val="00A16714"/>
    <w:rsid w:val="00A16AD0"/>
    <w:rsid w:val="00A17306"/>
    <w:rsid w:val="00A1783B"/>
    <w:rsid w:val="00A2002E"/>
    <w:rsid w:val="00A20470"/>
    <w:rsid w:val="00A206FD"/>
    <w:rsid w:val="00A20FD7"/>
    <w:rsid w:val="00A210D9"/>
    <w:rsid w:val="00A214E3"/>
    <w:rsid w:val="00A21829"/>
    <w:rsid w:val="00A21D9A"/>
    <w:rsid w:val="00A22940"/>
    <w:rsid w:val="00A22950"/>
    <w:rsid w:val="00A229C8"/>
    <w:rsid w:val="00A2329B"/>
    <w:rsid w:val="00A233E0"/>
    <w:rsid w:val="00A2370B"/>
    <w:rsid w:val="00A2472D"/>
    <w:rsid w:val="00A26534"/>
    <w:rsid w:val="00A2659A"/>
    <w:rsid w:val="00A268E3"/>
    <w:rsid w:val="00A26A4F"/>
    <w:rsid w:val="00A26BEB"/>
    <w:rsid w:val="00A270A2"/>
    <w:rsid w:val="00A27391"/>
    <w:rsid w:val="00A27427"/>
    <w:rsid w:val="00A2768A"/>
    <w:rsid w:val="00A279AE"/>
    <w:rsid w:val="00A27C79"/>
    <w:rsid w:val="00A27EE9"/>
    <w:rsid w:val="00A307C0"/>
    <w:rsid w:val="00A311B3"/>
    <w:rsid w:val="00A324D6"/>
    <w:rsid w:val="00A32761"/>
    <w:rsid w:val="00A32F0E"/>
    <w:rsid w:val="00A33010"/>
    <w:rsid w:val="00A3321E"/>
    <w:rsid w:val="00A335F2"/>
    <w:rsid w:val="00A336DF"/>
    <w:rsid w:val="00A33A79"/>
    <w:rsid w:val="00A33D55"/>
    <w:rsid w:val="00A33EB4"/>
    <w:rsid w:val="00A35EA3"/>
    <w:rsid w:val="00A36126"/>
    <w:rsid w:val="00A3682E"/>
    <w:rsid w:val="00A36A24"/>
    <w:rsid w:val="00A36C2B"/>
    <w:rsid w:val="00A3790E"/>
    <w:rsid w:val="00A37D61"/>
    <w:rsid w:val="00A37FA7"/>
    <w:rsid w:val="00A40465"/>
    <w:rsid w:val="00A40718"/>
    <w:rsid w:val="00A40C28"/>
    <w:rsid w:val="00A40FC0"/>
    <w:rsid w:val="00A41195"/>
    <w:rsid w:val="00A41365"/>
    <w:rsid w:val="00A416CA"/>
    <w:rsid w:val="00A419C1"/>
    <w:rsid w:val="00A42BB1"/>
    <w:rsid w:val="00A42F8B"/>
    <w:rsid w:val="00A43B64"/>
    <w:rsid w:val="00A4450C"/>
    <w:rsid w:val="00A448C2"/>
    <w:rsid w:val="00A44B6B"/>
    <w:rsid w:val="00A454F0"/>
    <w:rsid w:val="00A4563E"/>
    <w:rsid w:val="00A46176"/>
    <w:rsid w:val="00A46521"/>
    <w:rsid w:val="00A467AE"/>
    <w:rsid w:val="00A46E29"/>
    <w:rsid w:val="00A46E5F"/>
    <w:rsid w:val="00A47390"/>
    <w:rsid w:val="00A47766"/>
    <w:rsid w:val="00A47F1C"/>
    <w:rsid w:val="00A50246"/>
    <w:rsid w:val="00A50CDF"/>
    <w:rsid w:val="00A50F1F"/>
    <w:rsid w:val="00A51A11"/>
    <w:rsid w:val="00A51D80"/>
    <w:rsid w:val="00A52266"/>
    <w:rsid w:val="00A53277"/>
    <w:rsid w:val="00A53382"/>
    <w:rsid w:val="00A53813"/>
    <w:rsid w:val="00A53932"/>
    <w:rsid w:val="00A53B77"/>
    <w:rsid w:val="00A542BE"/>
    <w:rsid w:val="00A5456A"/>
    <w:rsid w:val="00A54F9B"/>
    <w:rsid w:val="00A55B5C"/>
    <w:rsid w:val="00A55EA8"/>
    <w:rsid w:val="00A56122"/>
    <w:rsid w:val="00A561AC"/>
    <w:rsid w:val="00A57727"/>
    <w:rsid w:val="00A57842"/>
    <w:rsid w:val="00A57987"/>
    <w:rsid w:val="00A60164"/>
    <w:rsid w:val="00A6036B"/>
    <w:rsid w:val="00A61040"/>
    <w:rsid w:val="00A61A84"/>
    <w:rsid w:val="00A61C60"/>
    <w:rsid w:val="00A61C79"/>
    <w:rsid w:val="00A61CAC"/>
    <w:rsid w:val="00A61CD7"/>
    <w:rsid w:val="00A61E0F"/>
    <w:rsid w:val="00A61EDA"/>
    <w:rsid w:val="00A61F69"/>
    <w:rsid w:val="00A62A7F"/>
    <w:rsid w:val="00A63011"/>
    <w:rsid w:val="00A6307A"/>
    <w:rsid w:val="00A63A8C"/>
    <w:rsid w:val="00A63BEA"/>
    <w:rsid w:val="00A646E0"/>
    <w:rsid w:val="00A65757"/>
    <w:rsid w:val="00A65C40"/>
    <w:rsid w:val="00A660DC"/>
    <w:rsid w:val="00A6633D"/>
    <w:rsid w:val="00A66726"/>
    <w:rsid w:val="00A66BD4"/>
    <w:rsid w:val="00A67BEE"/>
    <w:rsid w:val="00A67C6A"/>
    <w:rsid w:val="00A70830"/>
    <w:rsid w:val="00A709A6"/>
    <w:rsid w:val="00A70E5D"/>
    <w:rsid w:val="00A70FC2"/>
    <w:rsid w:val="00A71339"/>
    <w:rsid w:val="00A71637"/>
    <w:rsid w:val="00A717D4"/>
    <w:rsid w:val="00A72031"/>
    <w:rsid w:val="00A72A13"/>
    <w:rsid w:val="00A73A57"/>
    <w:rsid w:val="00A7465D"/>
    <w:rsid w:val="00A74683"/>
    <w:rsid w:val="00A74E13"/>
    <w:rsid w:val="00A755D8"/>
    <w:rsid w:val="00A75A80"/>
    <w:rsid w:val="00A75DB0"/>
    <w:rsid w:val="00A764F2"/>
    <w:rsid w:val="00A76FEF"/>
    <w:rsid w:val="00A77188"/>
    <w:rsid w:val="00A774FF"/>
    <w:rsid w:val="00A775BE"/>
    <w:rsid w:val="00A778EE"/>
    <w:rsid w:val="00A77994"/>
    <w:rsid w:val="00A779BC"/>
    <w:rsid w:val="00A80267"/>
    <w:rsid w:val="00A804BA"/>
    <w:rsid w:val="00A80DCA"/>
    <w:rsid w:val="00A80EF6"/>
    <w:rsid w:val="00A8159E"/>
    <w:rsid w:val="00A815CD"/>
    <w:rsid w:val="00A8174F"/>
    <w:rsid w:val="00A824A6"/>
    <w:rsid w:val="00A82E9C"/>
    <w:rsid w:val="00A836BF"/>
    <w:rsid w:val="00A83B2E"/>
    <w:rsid w:val="00A83B4A"/>
    <w:rsid w:val="00A844BE"/>
    <w:rsid w:val="00A84518"/>
    <w:rsid w:val="00A848EE"/>
    <w:rsid w:val="00A84B87"/>
    <w:rsid w:val="00A85DBC"/>
    <w:rsid w:val="00A8600F"/>
    <w:rsid w:val="00A86065"/>
    <w:rsid w:val="00A86D04"/>
    <w:rsid w:val="00A874C7"/>
    <w:rsid w:val="00A87F33"/>
    <w:rsid w:val="00A90291"/>
    <w:rsid w:val="00A90538"/>
    <w:rsid w:val="00A906AC"/>
    <w:rsid w:val="00A908DD"/>
    <w:rsid w:val="00A9097A"/>
    <w:rsid w:val="00A90CDA"/>
    <w:rsid w:val="00A92A5D"/>
    <w:rsid w:val="00A92DDB"/>
    <w:rsid w:val="00A92E42"/>
    <w:rsid w:val="00A92F13"/>
    <w:rsid w:val="00A935C9"/>
    <w:rsid w:val="00A9396B"/>
    <w:rsid w:val="00A93C60"/>
    <w:rsid w:val="00A94317"/>
    <w:rsid w:val="00A9442D"/>
    <w:rsid w:val="00A9454A"/>
    <w:rsid w:val="00A94FC0"/>
    <w:rsid w:val="00A94FFD"/>
    <w:rsid w:val="00A95692"/>
    <w:rsid w:val="00A978E5"/>
    <w:rsid w:val="00A97A51"/>
    <w:rsid w:val="00A97D3F"/>
    <w:rsid w:val="00AA10CF"/>
    <w:rsid w:val="00AA14D2"/>
    <w:rsid w:val="00AA164E"/>
    <w:rsid w:val="00AA181B"/>
    <w:rsid w:val="00AA2144"/>
    <w:rsid w:val="00AA2309"/>
    <w:rsid w:val="00AA23D0"/>
    <w:rsid w:val="00AA24BF"/>
    <w:rsid w:val="00AA2595"/>
    <w:rsid w:val="00AA2F10"/>
    <w:rsid w:val="00AA3777"/>
    <w:rsid w:val="00AA41E3"/>
    <w:rsid w:val="00AA4909"/>
    <w:rsid w:val="00AA4E7D"/>
    <w:rsid w:val="00AA4EA3"/>
    <w:rsid w:val="00AA555F"/>
    <w:rsid w:val="00AA6B6E"/>
    <w:rsid w:val="00AA6D00"/>
    <w:rsid w:val="00AA7280"/>
    <w:rsid w:val="00AA740C"/>
    <w:rsid w:val="00AA7C77"/>
    <w:rsid w:val="00AA7E3D"/>
    <w:rsid w:val="00AB09CC"/>
    <w:rsid w:val="00AB1649"/>
    <w:rsid w:val="00AB2838"/>
    <w:rsid w:val="00AB2893"/>
    <w:rsid w:val="00AB3025"/>
    <w:rsid w:val="00AB4218"/>
    <w:rsid w:val="00AB4D7C"/>
    <w:rsid w:val="00AB51FF"/>
    <w:rsid w:val="00AB614E"/>
    <w:rsid w:val="00AB6B98"/>
    <w:rsid w:val="00AB739E"/>
    <w:rsid w:val="00AB751A"/>
    <w:rsid w:val="00AB7C55"/>
    <w:rsid w:val="00AB7F89"/>
    <w:rsid w:val="00AC18F6"/>
    <w:rsid w:val="00AC1A00"/>
    <w:rsid w:val="00AC1D67"/>
    <w:rsid w:val="00AC1F3C"/>
    <w:rsid w:val="00AC28D3"/>
    <w:rsid w:val="00AC2B6D"/>
    <w:rsid w:val="00AC30A5"/>
    <w:rsid w:val="00AC315C"/>
    <w:rsid w:val="00AC3373"/>
    <w:rsid w:val="00AC33D1"/>
    <w:rsid w:val="00AC3408"/>
    <w:rsid w:val="00AC3F19"/>
    <w:rsid w:val="00AC437D"/>
    <w:rsid w:val="00AC4640"/>
    <w:rsid w:val="00AC5A9F"/>
    <w:rsid w:val="00AC5D32"/>
    <w:rsid w:val="00AC5E42"/>
    <w:rsid w:val="00AC5F79"/>
    <w:rsid w:val="00AC6139"/>
    <w:rsid w:val="00AC6AD7"/>
    <w:rsid w:val="00AC6AD9"/>
    <w:rsid w:val="00AC6EF5"/>
    <w:rsid w:val="00AC73A5"/>
    <w:rsid w:val="00AC7778"/>
    <w:rsid w:val="00AC7C8E"/>
    <w:rsid w:val="00AD0355"/>
    <w:rsid w:val="00AD038A"/>
    <w:rsid w:val="00AD0D14"/>
    <w:rsid w:val="00AD1426"/>
    <w:rsid w:val="00AD1623"/>
    <w:rsid w:val="00AD1630"/>
    <w:rsid w:val="00AD1B47"/>
    <w:rsid w:val="00AD23DD"/>
    <w:rsid w:val="00AD25A0"/>
    <w:rsid w:val="00AD2DE7"/>
    <w:rsid w:val="00AD2E18"/>
    <w:rsid w:val="00AD31E1"/>
    <w:rsid w:val="00AD3D8F"/>
    <w:rsid w:val="00AD3E91"/>
    <w:rsid w:val="00AD4148"/>
    <w:rsid w:val="00AD4415"/>
    <w:rsid w:val="00AD489B"/>
    <w:rsid w:val="00AD4B4A"/>
    <w:rsid w:val="00AD4C39"/>
    <w:rsid w:val="00AD5407"/>
    <w:rsid w:val="00AD5676"/>
    <w:rsid w:val="00AD5AFA"/>
    <w:rsid w:val="00AD5CCC"/>
    <w:rsid w:val="00AD6EA1"/>
    <w:rsid w:val="00AD6F97"/>
    <w:rsid w:val="00AD7AAD"/>
    <w:rsid w:val="00AE0176"/>
    <w:rsid w:val="00AE0E06"/>
    <w:rsid w:val="00AE1989"/>
    <w:rsid w:val="00AE1DDE"/>
    <w:rsid w:val="00AE3219"/>
    <w:rsid w:val="00AE3A80"/>
    <w:rsid w:val="00AE3C09"/>
    <w:rsid w:val="00AE409F"/>
    <w:rsid w:val="00AE479D"/>
    <w:rsid w:val="00AE4A18"/>
    <w:rsid w:val="00AE4BCE"/>
    <w:rsid w:val="00AE4D1B"/>
    <w:rsid w:val="00AE4D73"/>
    <w:rsid w:val="00AE59E7"/>
    <w:rsid w:val="00AE659E"/>
    <w:rsid w:val="00AE6DEB"/>
    <w:rsid w:val="00AE6FD8"/>
    <w:rsid w:val="00AE76BA"/>
    <w:rsid w:val="00AE76EA"/>
    <w:rsid w:val="00AF04B2"/>
    <w:rsid w:val="00AF0516"/>
    <w:rsid w:val="00AF1205"/>
    <w:rsid w:val="00AF123C"/>
    <w:rsid w:val="00AF148C"/>
    <w:rsid w:val="00AF14EA"/>
    <w:rsid w:val="00AF1A22"/>
    <w:rsid w:val="00AF1C16"/>
    <w:rsid w:val="00AF2668"/>
    <w:rsid w:val="00AF397A"/>
    <w:rsid w:val="00AF4215"/>
    <w:rsid w:val="00AF42C6"/>
    <w:rsid w:val="00AF42FB"/>
    <w:rsid w:val="00AF4B3C"/>
    <w:rsid w:val="00AF4E6A"/>
    <w:rsid w:val="00AF4FD3"/>
    <w:rsid w:val="00AF55A3"/>
    <w:rsid w:val="00AF5ED1"/>
    <w:rsid w:val="00AF67D0"/>
    <w:rsid w:val="00AF6822"/>
    <w:rsid w:val="00AF6A5D"/>
    <w:rsid w:val="00AF6BE3"/>
    <w:rsid w:val="00AF796E"/>
    <w:rsid w:val="00AF7D64"/>
    <w:rsid w:val="00B000C0"/>
    <w:rsid w:val="00B00493"/>
    <w:rsid w:val="00B00528"/>
    <w:rsid w:val="00B00B0B"/>
    <w:rsid w:val="00B00F58"/>
    <w:rsid w:val="00B010D7"/>
    <w:rsid w:val="00B01176"/>
    <w:rsid w:val="00B01C43"/>
    <w:rsid w:val="00B023E7"/>
    <w:rsid w:val="00B0258D"/>
    <w:rsid w:val="00B025C3"/>
    <w:rsid w:val="00B026C0"/>
    <w:rsid w:val="00B026C4"/>
    <w:rsid w:val="00B02A0B"/>
    <w:rsid w:val="00B0407F"/>
    <w:rsid w:val="00B048F0"/>
    <w:rsid w:val="00B04D29"/>
    <w:rsid w:val="00B05377"/>
    <w:rsid w:val="00B05677"/>
    <w:rsid w:val="00B057B2"/>
    <w:rsid w:val="00B05A3C"/>
    <w:rsid w:val="00B05F81"/>
    <w:rsid w:val="00B06221"/>
    <w:rsid w:val="00B06323"/>
    <w:rsid w:val="00B065E1"/>
    <w:rsid w:val="00B06735"/>
    <w:rsid w:val="00B06AEF"/>
    <w:rsid w:val="00B06B8B"/>
    <w:rsid w:val="00B070A3"/>
    <w:rsid w:val="00B072A5"/>
    <w:rsid w:val="00B1021D"/>
    <w:rsid w:val="00B106E4"/>
    <w:rsid w:val="00B10D1A"/>
    <w:rsid w:val="00B11123"/>
    <w:rsid w:val="00B1126B"/>
    <w:rsid w:val="00B11C93"/>
    <w:rsid w:val="00B1218A"/>
    <w:rsid w:val="00B122D2"/>
    <w:rsid w:val="00B125EA"/>
    <w:rsid w:val="00B1295D"/>
    <w:rsid w:val="00B136AF"/>
    <w:rsid w:val="00B13987"/>
    <w:rsid w:val="00B140F6"/>
    <w:rsid w:val="00B141EF"/>
    <w:rsid w:val="00B14849"/>
    <w:rsid w:val="00B1484E"/>
    <w:rsid w:val="00B15A9C"/>
    <w:rsid w:val="00B15C8F"/>
    <w:rsid w:val="00B1632B"/>
    <w:rsid w:val="00B16489"/>
    <w:rsid w:val="00B16C7E"/>
    <w:rsid w:val="00B17850"/>
    <w:rsid w:val="00B20315"/>
    <w:rsid w:val="00B2077F"/>
    <w:rsid w:val="00B207E8"/>
    <w:rsid w:val="00B20BE6"/>
    <w:rsid w:val="00B2166D"/>
    <w:rsid w:val="00B21E44"/>
    <w:rsid w:val="00B22F6A"/>
    <w:rsid w:val="00B233B7"/>
    <w:rsid w:val="00B24AEB"/>
    <w:rsid w:val="00B24BD6"/>
    <w:rsid w:val="00B24CEA"/>
    <w:rsid w:val="00B2545D"/>
    <w:rsid w:val="00B25569"/>
    <w:rsid w:val="00B25947"/>
    <w:rsid w:val="00B25DE2"/>
    <w:rsid w:val="00B26106"/>
    <w:rsid w:val="00B2610F"/>
    <w:rsid w:val="00B2631F"/>
    <w:rsid w:val="00B271B6"/>
    <w:rsid w:val="00B274B5"/>
    <w:rsid w:val="00B275B9"/>
    <w:rsid w:val="00B2768F"/>
    <w:rsid w:val="00B279BB"/>
    <w:rsid w:val="00B27B97"/>
    <w:rsid w:val="00B27CBA"/>
    <w:rsid w:val="00B303DA"/>
    <w:rsid w:val="00B306CF"/>
    <w:rsid w:val="00B3085B"/>
    <w:rsid w:val="00B30A8D"/>
    <w:rsid w:val="00B30C05"/>
    <w:rsid w:val="00B30C8E"/>
    <w:rsid w:val="00B3199F"/>
    <w:rsid w:val="00B31FF7"/>
    <w:rsid w:val="00B32F68"/>
    <w:rsid w:val="00B33964"/>
    <w:rsid w:val="00B33C7B"/>
    <w:rsid w:val="00B33D20"/>
    <w:rsid w:val="00B33EBF"/>
    <w:rsid w:val="00B33FBB"/>
    <w:rsid w:val="00B34224"/>
    <w:rsid w:val="00B3434C"/>
    <w:rsid w:val="00B34B95"/>
    <w:rsid w:val="00B34DD4"/>
    <w:rsid w:val="00B3507A"/>
    <w:rsid w:val="00B3531A"/>
    <w:rsid w:val="00B35336"/>
    <w:rsid w:val="00B3626E"/>
    <w:rsid w:val="00B36DCD"/>
    <w:rsid w:val="00B3715B"/>
    <w:rsid w:val="00B37169"/>
    <w:rsid w:val="00B37993"/>
    <w:rsid w:val="00B37CAA"/>
    <w:rsid w:val="00B37E7D"/>
    <w:rsid w:val="00B410BE"/>
    <w:rsid w:val="00B410D5"/>
    <w:rsid w:val="00B41856"/>
    <w:rsid w:val="00B41AA1"/>
    <w:rsid w:val="00B41C40"/>
    <w:rsid w:val="00B42A27"/>
    <w:rsid w:val="00B431D1"/>
    <w:rsid w:val="00B43442"/>
    <w:rsid w:val="00B43AAC"/>
    <w:rsid w:val="00B4468A"/>
    <w:rsid w:val="00B455DD"/>
    <w:rsid w:val="00B46718"/>
    <w:rsid w:val="00B46D60"/>
    <w:rsid w:val="00B46DE6"/>
    <w:rsid w:val="00B47D93"/>
    <w:rsid w:val="00B505CC"/>
    <w:rsid w:val="00B506D0"/>
    <w:rsid w:val="00B50B9C"/>
    <w:rsid w:val="00B50E42"/>
    <w:rsid w:val="00B514AB"/>
    <w:rsid w:val="00B515F7"/>
    <w:rsid w:val="00B528AE"/>
    <w:rsid w:val="00B53972"/>
    <w:rsid w:val="00B54607"/>
    <w:rsid w:val="00B54862"/>
    <w:rsid w:val="00B54880"/>
    <w:rsid w:val="00B55A82"/>
    <w:rsid w:val="00B55CA9"/>
    <w:rsid w:val="00B55F8D"/>
    <w:rsid w:val="00B56409"/>
    <w:rsid w:val="00B566E7"/>
    <w:rsid w:val="00B577C3"/>
    <w:rsid w:val="00B5785F"/>
    <w:rsid w:val="00B603FF"/>
    <w:rsid w:val="00B606A8"/>
    <w:rsid w:val="00B61757"/>
    <w:rsid w:val="00B61868"/>
    <w:rsid w:val="00B61E88"/>
    <w:rsid w:val="00B6201D"/>
    <w:rsid w:val="00B6269D"/>
    <w:rsid w:val="00B626F2"/>
    <w:rsid w:val="00B62B83"/>
    <w:rsid w:val="00B63007"/>
    <w:rsid w:val="00B64139"/>
    <w:rsid w:val="00B64A8F"/>
    <w:rsid w:val="00B64C12"/>
    <w:rsid w:val="00B654AD"/>
    <w:rsid w:val="00B658B3"/>
    <w:rsid w:val="00B6594E"/>
    <w:rsid w:val="00B65DA5"/>
    <w:rsid w:val="00B65DF6"/>
    <w:rsid w:val="00B667CA"/>
    <w:rsid w:val="00B66B72"/>
    <w:rsid w:val="00B66B85"/>
    <w:rsid w:val="00B670AC"/>
    <w:rsid w:val="00B67170"/>
    <w:rsid w:val="00B674E9"/>
    <w:rsid w:val="00B676AF"/>
    <w:rsid w:val="00B67832"/>
    <w:rsid w:val="00B679D4"/>
    <w:rsid w:val="00B67D56"/>
    <w:rsid w:val="00B70CF2"/>
    <w:rsid w:val="00B70DAF"/>
    <w:rsid w:val="00B71F5D"/>
    <w:rsid w:val="00B72530"/>
    <w:rsid w:val="00B7253A"/>
    <w:rsid w:val="00B72A19"/>
    <w:rsid w:val="00B72D7A"/>
    <w:rsid w:val="00B72DA4"/>
    <w:rsid w:val="00B72E1C"/>
    <w:rsid w:val="00B7306F"/>
    <w:rsid w:val="00B73779"/>
    <w:rsid w:val="00B73FEE"/>
    <w:rsid w:val="00B73FF0"/>
    <w:rsid w:val="00B74D0A"/>
    <w:rsid w:val="00B74DD0"/>
    <w:rsid w:val="00B75425"/>
    <w:rsid w:val="00B755B3"/>
    <w:rsid w:val="00B75D43"/>
    <w:rsid w:val="00B76FA5"/>
    <w:rsid w:val="00B76FEE"/>
    <w:rsid w:val="00B77013"/>
    <w:rsid w:val="00B771AD"/>
    <w:rsid w:val="00B77215"/>
    <w:rsid w:val="00B7765F"/>
    <w:rsid w:val="00B7783F"/>
    <w:rsid w:val="00B807B9"/>
    <w:rsid w:val="00B809FD"/>
    <w:rsid w:val="00B80CCB"/>
    <w:rsid w:val="00B80FCA"/>
    <w:rsid w:val="00B8137F"/>
    <w:rsid w:val="00B81562"/>
    <w:rsid w:val="00B81799"/>
    <w:rsid w:val="00B81889"/>
    <w:rsid w:val="00B81AEA"/>
    <w:rsid w:val="00B81FA3"/>
    <w:rsid w:val="00B8282F"/>
    <w:rsid w:val="00B828F6"/>
    <w:rsid w:val="00B82C47"/>
    <w:rsid w:val="00B8360A"/>
    <w:rsid w:val="00B840B2"/>
    <w:rsid w:val="00B8460A"/>
    <w:rsid w:val="00B84921"/>
    <w:rsid w:val="00B84AB9"/>
    <w:rsid w:val="00B84D06"/>
    <w:rsid w:val="00B850AE"/>
    <w:rsid w:val="00B850DF"/>
    <w:rsid w:val="00B8562B"/>
    <w:rsid w:val="00B85C9B"/>
    <w:rsid w:val="00B8647D"/>
    <w:rsid w:val="00B86F7F"/>
    <w:rsid w:val="00B86FB3"/>
    <w:rsid w:val="00B8711C"/>
    <w:rsid w:val="00B872BE"/>
    <w:rsid w:val="00B87568"/>
    <w:rsid w:val="00B878DD"/>
    <w:rsid w:val="00B87B79"/>
    <w:rsid w:val="00B87BC8"/>
    <w:rsid w:val="00B90224"/>
    <w:rsid w:val="00B90337"/>
    <w:rsid w:val="00B90779"/>
    <w:rsid w:val="00B90CD6"/>
    <w:rsid w:val="00B90F4B"/>
    <w:rsid w:val="00B91531"/>
    <w:rsid w:val="00B92049"/>
    <w:rsid w:val="00B934BA"/>
    <w:rsid w:val="00B937F7"/>
    <w:rsid w:val="00B93F30"/>
    <w:rsid w:val="00B943BE"/>
    <w:rsid w:val="00B94621"/>
    <w:rsid w:val="00B950CC"/>
    <w:rsid w:val="00B95830"/>
    <w:rsid w:val="00B9594E"/>
    <w:rsid w:val="00B95F9C"/>
    <w:rsid w:val="00B96082"/>
    <w:rsid w:val="00B967A5"/>
    <w:rsid w:val="00B9705C"/>
    <w:rsid w:val="00B971A2"/>
    <w:rsid w:val="00B9744E"/>
    <w:rsid w:val="00B979C3"/>
    <w:rsid w:val="00B979F1"/>
    <w:rsid w:val="00B97D95"/>
    <w:rsid w:val="00BA013F"/>
    <w:rsid w:val="00BA040B"/>
    <w:rsid w:val="00BA09B8"/>
    <w:rsid w:val="00BA1B86"/>
    <w:rsid w:val="00BA1E04"/>
    <w:rsid w:val="00BA29FA"/>
    <w:rsid w:val="00BA31B7"/>
    <w:rsid w:val="00BA3F44"/>
    <w:rsid w:val="00BA4839"/>
    <w:rsid w:val="00BA4B5B"/>
    <w:rsid w:val="00BA4CE5"/>
    <w:rsid w:val="00BA558E"/>
    <w:rsid w:val="00BA5B80"/>
    <w:rsid w:val="00BA5CC5"/>
    <w:rsid w:val="00BA6440"/>
    <w:rsid w:val="00BA6500"/>
    <w:rsid w:val="00BA6851"/>
    <w:rsid w:val="00BA7234"/>
    <w:rsid w:val="00BB0C17"/>
    <w:rsid w:val="00BB15DF"/>
    <w:rsid w:val="00BB17B6"/>
    <w:rsid w:val="00BB1922"/>
    <w:rsid w:val="00BB1F11"/>
    <w:rsid w:val="00BB2762"/>
    <w:rsid w:val="00BB2961"/>
    <w:rsid w:val="00BB296B"/>
    <w:rsid w:val="00BB2AF5"/>
    <w:rsid w:val="00BB3129"/>
    <w:rsid w:val="00BB3850"/>
    <w:rsid w:val="00BB3B2B"/>
    <w:rsid w:val="00BB3C9C"/>
    <w:rsid w:val="00BB3E7C"/>
    <w:rsid w:val="00BB41F3"/>
    <w:rsid w:val="00BB4988"/>
    <w:rsid w:val="00BB55D4"/>
    <w:rsid w:val="00BB628C"/>
    <w:rsid w:val="00BB660D"/>
    <w:rsid w:val="00BB66D7"/>
    <w:rsid w:val="00BB7133"/>
    <w:rsid w:val="00BB7574"/>
    <w:rsid w:val="00BB76C0"/>
    <w:rsid w:val="00BB78BC"/>
    <w:rsid w:val="00BC0603"/>
    <w:rsid w:val="00BC0662"/>
    <w:rsid w:val="00BC1F5B"/>
    <w:rsid w:val="00BC29D7"/>
    <w:rsid w:val="00BC32A0"/>
    <w:rsid w:val="00BC3345"/>
    <w:rsid w:val="00BC33EB"/>
    <w:rsid w:val="00BC3677"/>
    <w:rsid w:val="00BC3678"/>
    <w:rsid w:val="00BC42EA"/>
    <w:rsid w:val="00BC5145"/>
    <w:rsid w:val="00BC5B89"/>
    <w:rsid w:val="00BC6122"/>
    <w:rsid w:val="00BC6F43"/>
    <w:rsid w:val="00BC7118"/>
    <w:rsid w:val="00BC799A"/>
    <w:rsid w:val="00BC7E61"/>
    <w:rsid w:val="00BD08ED"/>
    <w:rsid w:val="00BD15A1"/>
    <w:rsid w:val="00BD16AD"/>
    <w:rsid w:val="00BD1B91"/>
    <w:rsid w:val="00BD2983"/>
    <w:rsid w:val="00BD2BA7"/>
    <w:rsid w:val="00BD34C8"/>
    <w:rsid w:val="00BD3C46"/>
    <w:rsid w:val="00BD3D05"/>
    <w:rsid w:val="00BD444E"/>
    <w:rsid w:val="00BD48CA"/>
    <w:rsid w:val="00BD4A10"/>
    <w:rsid w:val="00BD4CCC"/>
    <w:rsid w:val="00BD4F24"/>
    <w:rsid w:val="00BD559F"/>
    <w:rsid w:val="00BD59F0"/>
    <w:rsid w:val="00BD5A34"/>
    <w:rsid w:val="00BD5C2C"/>
    <w:rsid w:val="00BD5EC9"/>
    <w:rsid w:val="00BD6307"/>
    <w:rsid w:val="00BD6986"/>
    <w:rsid w:val="00BD69A8"/>
    <w:rsid w:val="00BD6CC2"/>
    <w:rsid w:val="00BD6D71"/>
    <w:rsid w:val="00BD7346"/>
    <w:rsid w:val="00BE02AA"/>
    <w:rsid w:val="00BE0A46"/>
    <w:rsid w:val="00BE0C61"/>
    <w:rsid w:val="00BE1B19"/>
    <w:rsid w:val="00BE2049"/>
    <w:rsid w:val="00BE2374"/>
    <w:rsid w:val="00BE2C33"/>
    <w:rsid w:val="00BE2D14"/>
    <w:rsid w:val="00BE2F7B"/>
    <w:rsid w:val="00BE359F"/>
    <w:rsid w:val="00BE36E8"/>
    <w:rsid w:val="00BE4311"/>
    <w:rsid w:val="00BE43DD"/>
    <w:rsid w:val="00BE4AC0"/>
    <w:rsid w:val="00BE4B82"/>
    <w:rsid w:val="00BE50D5"/>
    <w:rsid w:val="00BE5847"/>
    <w:rsid w:val="00BE6885"/>
    <w:rsid w:val="00BE74A1"/>
    <w:rsid w:val="00BF0498"/>
    <w:rsid w:val="00BF0741"/>
    <w:rsid w:val="00BF0953"/>
    <w:rsid w:val="00BF0AA1"/>
    <w:rsid w:val="00BF0C73"/>
    <w:rsid w:val="00BF0FC4"/>
    <w:rsid w:val="00BF17C6"/>
    <w:rsid w:val="00BF193F"/>
    <w:rsid w:val="00BF2136"/>
    <w:rsid w:val="00BF22AF"/>
    <w:rsid w:val="00BF293D"/>
    <w:rsid w:val="00BF3BEE"/>
    <w:rsid w:val="00BF3DE1"/>
    <w:rsid w:val="00BF43D6"/>
    <w:rsid w:val="00BF4458"/>
    <w:rsid w:val="00BF4610"/>
    <w:rsid w:val="00BF49B6"/>
    <w:rsid w:val="00BF5860"/>
    <w:rsid w:val="00BF5C13"/>
    <w:rsid w:val="00BF7027"/>
    <w:rsid w:val="00BF7C30"/>
    <w:rsid w:val="00BF7D32"/>
    <w:rsid w:val="00C0035D"/>
    <w:rsid w:val="00C00911"/>
    <w:rsid w:val="00C00C29"/>
    <w:rsid w:val="00C00CE5"/>
    <w:rsid w:val="00C011F4"/>
    <w:rsid w:val="00C01582"/>
    <w:rsid w:val="00C01B67"/>
    <w:rsid w:val="00C01D00"/>
    <w:rsid w:val="00C025FA"/>
    <w:rsid w:val="00C026D4"/>
    <w:rsid w:val="00C02EAF"/>
    <w:rsid w:val="00C0348C"/>
    <w:rsid w:val="00C034A6"/>
    <w:rsid w:val="00C03C38"/>
    <w:rsid w:val="00C03C8F"/>
    <w:rsid w:val="00C03C98"/>
    <w:rsid w:val="00C04395"/>
    <w:rsid w:val="00C0491D"/>
    <w:rsid w:val="00C05273"/>
    <w:rsid w:val="00C05F65"/>
    <w:rsid w:val="00C06660"/>
    <w:rsid w:val="00C07289"/>
    <w:rsid w:val="00C0778F"/>
    <w:rsid w:val="00C07EFC"/>
    <w:rsid w:val="00C101BC"/>
    <w:rsid w:val="00C10615"/>
    <w:rsid w:val="00C112E9"/>
    <w:rsid w:val="00C1153D"/>
    <w:rsid w:val="00C123DD"/>
    <w:rsid w:val="00C13279"/>
    <w:rsid w:val="00C134D6"/>
    <w:rsid w:val="00C137F8"/>
    <w:rsid w:val="00C13E8A"/>
    <w:rsid w:val="00C141BF"/>
    <w:rsid w:val="00C14F31"/>
    <w:rsid w:val="00C16070"/>
    <w:rsid w:val="00C16243"/>
    <w:rsid w:val="00C167A4"/>
    <w:rsid w:val="00C16CD1"/>
    <w:rsid w:val="00C170CA"/>
    <w:rsid w:val="00C17353"/>
    <w:rsid w:val="00C17A19"/>
    <w:rsid w:val="00C2050B"/>
    <w:rsid w:val="00C2051A"/>
    <w:rsid w:val="00C20780"/>
    <w:rsid w:val="00C20832"/>
    <w:rsid w:val="00C2100A"/>
    <w:rsid w:val="00C212B1"/>
    <w:rsid w:val="00C21BD6"/>
    <w:rsid w:val="00C21DA5"/>
    <w:rsid w:val="00C2287B"/>
    <w:rsid w:val="00C230A7"/>
    <w:rsid w:val="00C23229"/>
    <w:rsid w:val="00C23B74"/>
    <w:rsid w:val="00C23B9A"/>
    <w:rsid w:val="00C23EC2"/>
    <w:rsid w:val="00C24394"/>
    <w:rsid w:val="00C24812"/>
    <w:rsid w:val="00C2496E"/>
    <w:rsid w:val="00C24E85"/>
    <w:rsid w:val="00C25C36"/>
    <w:rsid w:val="00C25CCA"/>
    <w:rsid w:val="00C25FAF"/>
    <w:rsid w:val="00C266A4"/>
    <w:rsid w:val="00C270D7"/>
    <w:rsid w:val="00C27137"/>
    <w:rsid w:val="00C27564"/>
    <w:rsid w:val="00C301F0"/>
    <w:rsid w:val="00C30C8F"/>
    <w:rsid w:val="00C30D2B"/>
    <w:rsid w:val="00C318CA"/>
    <w:rsid w:val="00C31D8E"/>
    <w:rsid w:val="00C31E6F"/>
    <w:rsid w:val="00C325CB"/>
    <w:rsid w:val="00C328C2"/>
    <w:rsid w:val="00C32A66"/>
    <w:rsid w:val="00C33105"/>
    <w:rsid w:val="00C33CC1"/>
    <w:rsid w:val="00C33E5A"/>
    <w:rsid w:val="00C33FD7"/>
    <w:rsid w:val="00C3426A"/>
    <w:rsid w:val="00C34332"/>
    <w:rsid w:val="00C34689"/>
    <w:rsid w:val="00C3497F"/>
    <w:rsid w:val="00C34A6D"/>
    <w:rsid w:val="00C34C85"/>
    <w:rsid w:val="00C35AE5"/>
    <w:rsid w:val="00C35D78"/>
    <w:rsid w:val="00C3642C"/>
    <w:rsid w:val="00C3697A"/>
    <w:rsid w:val="00C36CAA"/>
    <w:rsid w:val="00C3749E"/>
    <w:rsid w:val="00C3790D"/>
    <w:rsid w:val="00C37B3C"/>
    <w:rsid w:val="00C37BA1"/>
    <w:rsid w:val="00C37F52"/>
    <w:rsid w:val="00C404FD"/>
    <w:rsid w:val="00C409D4"/>
    <w:rsid w:val="00C40FF2"/>
    <w:rsid w:val="00C41230"/>
    <w:rsid w:val="00C4147B"/>
    <w:rsid w:val="00C415C8"/>
    <w:rsid w:val="00C41601"/>
    <w:rsid w:val="00C41D22"/>
    <w:rsid w:val="00C438F5"/>
    <w:rsid w:val="00C43A50"/>
    <w:rsid w:val="00C43FA1"/>
    <w:rsid w:val="00C44144"/>
    <w:rsid w:val="00C4499B"/>
    <w:rsid w:val="00C4499F"/>
    <w:rsid w:val="00C44C9E"/>
    <w:rsid w:val="00C44CC6"/>
    <w:rsid w:val="00C44D28"/>
    <w:rsid w:val="00C455F5"/>
    <w:rsid w:val="00C45BD9"/>
    <w:rsid w:val="00C45C38"/>
    <w:rsid w:val="00C46436"/>
    <w:rsid w:val="00C46C30"/>
    <w:rsid w:val="00C46D5D"/>
    <w:rsid w:val="00C47493"/>
    <w:rsid w:val="00C47623"/>
    <w:rsid w:val="00C47852"/>
    <w:rsid w:val="00C47BB1"/>
    <w:rsid w:val="00C50175"/>
    <w:rsid w:val="00C50339"/>
    <w:rsid w:val="00C50944"/>
    <w:rsid w:val="00C50C67"/>
    <w:rsid w:val="00C51048"/>
    <w:rsid w:val="00C5237C"/>
    <w:rsid w:val="00C531C2"/>
    <w:rsid w:val="00C53D34"/>
    <w:rsid w:val="00C53F2A"/>
    <w:rsid w:val="00C54494"/>
    <w:rsid w:val="00C54A2E"/>
    <w:rsid w:val="00C5524B"/>
    <w:rsid w:val="00C5577C"/>
    <w:rsid w:val="00C55AB5"/>
    <w:rsid w:val="00C55C93"/>
    <w:rsid w:val="00C55FA2"/>
    <w:rsid w:val="00C560CB"/>
    <w:rsid w:val="00C56859"/>
    <w:rsid w:val="00C57958"/>
    <w:rsid w:val="00C60E05"/>
    <w:rsid w:val="00C61251"/>
    <w:rsid w:val="00C61DD9"/>
    <w:rsid w:val="00C626AE"/>
    <w:rsid w:val="00C62E45"/>
    <w:rsid w:val="00C6322C"/>
    <w:rsid w:val="00C635ED"/>
    <w:rsid w:val="00C63B36"/>
    <w:rsid w:val="00C64400"/>
    <w:rsid w:val="00C65190"/>
    <w:rsid w:val="00C6557A"/>
    <w:rsid w:val="00C6564D"/>
    <w:rsid w:val="00C65FBE"/>
    <w:rsid w:val="00C660DD"/>
    <w:rsid w:val="00C665C9"/>
    <w:rsid w:val="00C66780"/>
    <w:rsid w:val="00C66921"/>
    <w:rsid w:val="00C66C7E"/>
    <w:rsid w:val="00C6726A"/>
    <w:rsid w:val="00C67A48"/>
    <w:rsid w:val="00C707D1"/>
    <w:rsid w:val="00C70BDC"/>
    <w:rsid w:val="00C712EF"/>
    <w:rsid w:val="00C71753"/>
    <w:rsid w:val="00C71F6B"/>
    <w:rsid w:val="00C71FAC"/>
    <w:rsid w:val="00C72202"/>
    <w:rsid w:val="00C723B7"/>
    <w:rsid w:val="00C72709"/>
    <w:rsid w:val="00C74319"/>
    <w:rsid w:val="00C7523A"/>
    <w:rsid w:val="00C7537F"/>
    <w:rsid w:val="00C753CB"/>
    <w:rsid w:val="00C75C2B"/>
    <w:rsid w:val="00C75DA2"/>
    <w:rsid w:val="00C770BE"/>
    <w:rsid w:val="00C771F3"/>
    <w:rsid w:val="00C7758B"/>
    <w:rsid w:val="00C776BD"/>
    <w:rsid w:val="00C778B7"/>
    <w:rsid w:val="00C7798E"/>
    <w:rsid w:val="00C77D03"/>
    <w:rsid w:val="00C77E86"/>
    <w:rsid w:val="00C803BE"/>
    <w:rsid w:val="00C803D7"/>
    <w:rsid w:val="00C805E4"/>
    <w:rsid w:val="00C80EC2"/>
    <w:rsid w:val="00C81240"/>
    <w:rsid w:val="00C81613"/>
    <w:rsid w:val="00C81FBF"/>
    <w:rsid w:val="00C82109"/>
    <w:rsid w:val="00C827D4"/>
    <w:rsid w:val="00C82C32"/>
    <w:rsid w:val="00C839DE"/>
    <w:rsid w:val="00C83BE6"/>
    <w:rsid w:val="00C83CE5"/>
    <w:rsid w:val="00C83E23"/>
    <w:rsid w:val="00C84335"/>
    <w:rsid w:val="00C84CA1"/>
    <w:rsid w:val="00C84D1F"/>
    <w:rsid w:val="00C858ED"/>
    <w:rsid w:val="00C85A21"/>
    <w:rsid w:val="00C85B41"/>
    <w:rsid w:val="00C85EC7"/>
    <w:rsid w:val="00C86FD6"/>
    <w:rsid w:val="00C87577"/>
    <w:rsid w:val="00C8764E"/>
    <w:rsid w:val="00C87DB4"/>
    <w:rsid w:val="00C87FF3"/>
    <w:rsid w:val="00C90011"/>
    <w:rsid w:val="00C9019A"/>
    <w:rsid w:val="00C904FD"/>
    <w:rsid w:val="00C90AA5"/>
    <w:rsid w:val="00C92251"/>
    <w:rsid w:val="00C929C1"/>
    <w:rsid w:val="00C93076"/>
    <w:rsid w:val="00C9467E"/>
    <w:rsid w:val="00C94BFC"/>
    <w:rsid w:val="00C94FF6"/>
    <w:rsid w:val="00C9508B"/>
    <w:rsid w:val="00C95A55"/>
    <w:rsid w:val="00C95CDE"/>
    <w:rsid w:val="00C968DB"/>
    <w:rsid w:val="00C96FA1"/>
    <w:rsid w:val="00C9715E"/>
    <w:rsid w:val="00C97667"/>
    <w:rsid w:val="00C97809"/>
    <w:rsid w:val="00CA0242"/>
    <w:rsid w:val="00CA0FC3"/>
    <w:rsid w:val="00CA19ED"/>
    <w:rsid w:val="00CA1A00"/>
    <w:rsid w:val="00CA1BF7"/>
    <w:rsid w:val="00CA1C7F"/>
    <w:rsid w:val="00CA2B5A"/>
    <w:rsid w:val="00CA30B0"/>
    <w:rsid w:val="00CA31AF"/>
    <w:rsid w:val="00CA3E06"/>
    <w:rsid w:val="00CA43FB"/>
    <w:rsid w:val="00CA4595"/>
    <w:rsid w:val="00CA65AD"/>
    <w:rsid w:val="00CA686E"/>
    <w:rsid w:val="00CA7100"/>
    <w:rsid w:val="00CA75B8"/>
    <w:rsid w:val="00CA7EB8"/>
    <w:rsid w:val="00CB0316"/>
    <w:rsid w:val="00CB0578"/>
    <w:rsid w:val="00CB1877"/>
    <w:rsid w:val="00CB1B32"/>
    <w:rsid w:val="00CB1EC5"/>
    <w:rsid w:val="00CB253E"/>
    <w:rsid w:val="00CB2DF7"/>
    <w:rsid w:val="00CB2EE5"/>
    <w:rsid w:val="00CB31BD"/>
    <w:rsid w:val="00CB4188"/>
    <w:rsid w:val="00CB43E8"/>
    <w:rsid w:val="00CB4C0D"/>
    <w:rsid w:val="00CB4DB6"/>
    <w:rsid w:val="00CB52B8"/>
    <w:rsid w:val="00CB5381"/>
    <w:rsid w:val="00CB5A0E"/>
    <w:rsid w:val="00CB5FC7"/>
    <w:rsid w:val="00CB6C22"/>
    <w:rsid w:val="00CB6E83"/>
    <w:rsid w:val="00CB76A1"/>
    <w:rsid w:val="00CC03DA"/>
    <w:rsid w:val="00CC05A1"/>
    <w:rsid w:val="00CC0D7B"/>
    <w:rsid w:val="00CC0FB7"/>
    <w:rsid w:val="00CC1EF7"/>
    <w:rsid w:val="00CC21FC"/>
    <w:rsid w:val="00CC2F2D"/>
    <w:rsid w:val="00CC3844"/>
    <w:rsid w:val="00CC3D4A"/>
    <w:rsid w:val="00CC3E33"/>
    <w:rsid w:val="00CC44FE"/>
    <w:rsid w:val="00CC461C"/>
    <w:rsid w:val="00CC4645"/>
    <w:rsid w:val="00CC470A"/>
    <w:rsid w:val="00CC4FF1"/>
    <w:rsid w:val="00CC592E"/>
    <w:rsid w:val="00CC5DD3"/>
    <w:rsid w:val="00CC664D"/>
    <w:rsid w:val="00CC735B"/>
    <w:rsid w:val="00CC7DA5"/>
    <w:rsid w:val="00CC7EB6"/>
    <w:rsid w:val="00CD0B0F"/>
    <w:rsid w:val="00CD0D27"/>
    <w:rsid w:val="00CD0D4D"/>
    <w:rsid w:val="00CD0E0B"/>
    <w:rsid w:val="00CD0E85"/>
    <w:rsid w:val="00CD181F"/>
    <w:rsid w:val="00CD211A"/>
    <w:rsid w:val="00CD25E6"/>
    <w:rsid w:val="00CD27E8"/>
    <w:rsid w:val="00CD2BF8"/>
    <w:rsid w:val="00CD2CE6"/>
    <w:rsid w:val="00CD2D2A"/>
    <w:rsid w:val="00CD2E8E"/>
    <w:rsid w:val="00CD34E4"/>
    <w:rsid w:val="00CD381B"/>
    <w:rsid w:val="00CD387E"/>
    <w:rsid w:val="00CD3BBC"/>
    <w:rsid w:val="00CD4AFC"/>
    <w:rsid w:val="00CD4B98"/>
    <w:rsid w:val="00CD561C"/>
    <w:rsid w:val="00CD5786"/>
    <w:rsid w:val="00CD5BC4"/>
    <w:rsid w:val="00CD5E0C"/>
    <w:rsid w:val="00CD6060"/>
    <w:rsid w:val="00CD60D2"/>
    <w:rsid w:val="00CD63B5"/>
    <w:rsid w:val="00CD6621"/>
    <w:rsid w:val="00CD690A"/>
    <w:rsid w:val="00CD6CA1"/>
    <w:rsid w:val="00CD6D65"/>
    <w:rsid w:val="00CD7B47"/>
    <w:rsid w:val="00CD7CFF"/>
    <w:rsid w:val="00CD7D25"/>
    <w:rsid w:val="00CD7F02"/>
    <w:rsid w:val="00CE048F"/>
    <w:rsid w:val="00CE0666"/>
    <w:rsid w:val="00CE0B5C"/>
    <w:rsid w:val="00CE0C77"/>
    <w:rsid w:val="00CE109D"/>
    <w:rsid w:val="00CE1A2A"/>
    <w:rsid w:val="00CE1B2A"/>
    <w:rsid w:val="00CE3244"/>
    <w:rsid w:val="00CE4737"/>
    <w:rsid w:val="00CE4885"/>
    <w:rsid w:val="00CE4E51"/>
    <w:rsid w:val="00CE5354"/>
    <w:rsid w:val="00CE67D2"/>
    <w:rsid w:val="00CE68EA"/>
    <w:rsid w:val="00CE6925"/>
    <w:rsid w:val="00CE6AC0"/>
    <w:rsid w:val="00CE6E78"/>
    <w:rsid w:val="00CE79A9"/>
    <w:rsid w:val="00CE7FD3"/>
    <w:rsid w:val="00CF02A2"/>
    <w:rsid w:val="00CF0A76"/>
    <w:rsid w:val="00CF0C5C"/>
    <w:rsid w:val="00CF0D1A"/>
    <w:rsid w:val="00CF0D59"/>
    <w:rsid w:val="00CF0F60"/>
    <w:rsid w:val="00CF15A4"/>
    <w:rsid w:val="00CF241F"/>
    <w:rsid w:val="00CF2858"/>
    <w:rsid w:val="00CF28BD"/>
    <w:rsid w:val="00CF2B9C"/>
    <w:rsid w:val="00CF2F09"/>
    <w:rsid w:val="00CF318C"/>
    <w:rsid w:val="00CF34DA"/>
    <w:rsid w:val="00CF3562"/>
    <w:rsid w:val="00CF35A0"/>
    <w:rsid w:val="00CF38FD"/>
    <w:rsid w:val="00CF3C9D"/>
    <w:rsid w:val="00CF3E8E"/>
    <w:rsid w:val="00CF3EA6"/>
    <w:rsid w:val="00CF3FF0"/>
    <w:rsid w:val="00CF46D3"/>
    <w:rsid w:val="00CF4929"/>
    <w:rsid w:val="00CF4B77"/>
    <w:rsid w:val="00CF5069"/>
    <w:rsid w:val="00CF5700"/>
    <w:rsid w:val="00CF5A41"/>
    <w:rsid w:val="00CF5EEC"/>
    <w:rsid w:val="00CF6285"/>
    <w:rsid w:val="00CF67E8"/>
    <w:rsid w:val="00CF68EE"/>
    <w:rsid w:val="00CF6A87"/>
    <w:rsid w:val="00CF6E69"/>
    <w:rsid w:val="00CF7790"/>
    <w:rsid w:val="00D00334"/>
    <w:rsid w:val="00D003AA"/>
    <w:rsid w:val="00D0106B"/>
    <w:rsid w:val="00D0110D"/>
    <w:rsid w:val="00D01390"/>
    <w:rsid w:val="00D017CC"/>
    <w:rsid w:val="00D01CB6"/>
    <w:rsid w:val="00D02162"/>
    <w:rsid w:val="00D025C9"/>
    <w:rsid w:val="00D028A2"/>
    <w:rsid w:val="00D02BE8"/>
    <w:rsid w:val="00D02C36"/>
    <w:rsid w:val="00D03172"/>
    <w:rsid w:val="00D031C6"/>
    <w:rsid w:val="00D0350A"/>
    <w:rsid w:val="00D039C8"/>
    <w:rsid w:val="00D03B59"/>
    <w:rsid w:val="00D042F1"/>
    <w:rsid w:val="00D04335"/>
    <w:rsid w:val="00D0507B"/>
    <w:rsid w:val="00D0535C"/>
    <w:rsid w:val="00D058AB"/>
    <w:rsid w:val="00D05B3B"/>
    <w:rsid w:val="00D05F5C"/>
    <w:rsid w:val="00D06597"/>
    <w:rsid w:val="00D065A1"/>
    <w:rsid w:val="00D06BBE"/>
    <w:rsid w:val="00D07445"/>
    <w:rsid w:val="00D10D58"/>
    <w:rsid w:val="00D1171A"/>
    <w:rsid w:val="00D11D13"/>
    <w:rsid w:val="00D11DBF"/>
    <w:rsid w:val="00D1239F"/>
    <w:rsid w:val="00D1253A"/>
    <w:rsid w:val="00D126C6"/>
    <w:rsid w:val="00D12741"/>
    <w:rsid w:val="00D12A0D"/>
    <w:rsid w:val="00D12BF9"/>
    <w:rsid w:val="00D12ED8"/>
    <w:rsid w:val="00D133AD"/>
    <w:rsid w:val="00D14122"/>
    <w:rsid w:val="00D150D1"/>
    <w:rsid w:val="00D15418"/>
    <w:rsid w:val="00D15657"/>
    <w:rsid w:val="00D15BB5"/>
    <w:rsid w:val="00D1613F"/>
    <w:rsid w:val="00D16C15"/>
    <w:rsid w:val="00D16F0F"/>
    <w:rsid w:val="00D21CF4"/>
    <w:rsid w:val="00D22202"/>
    <w:rsid w:val="00D2240E"/>
    <w:rsid w:val="00D22ADD"/>
    <w:rsid w:val="00D230D9"/>
    <w:rsid w:val="00D23353"/>
    <w:rsid w:val="00D235A7"/>
    <w:rsid w:val="00D238F4"/>
    <w:rsid w:val="00D239E7"/>
    <w:rsid w:val="00D241D9"/>
    <w:rsid w:val="00D247D7"/>
    <w:rsid w:val="00D247DF"/>
    <w:rsid w:val="00D24BED"/>
    <w:rsid w:val="00D2510B"/>
    <w:rsid w:val="00D251E6"/>
    <w:rsid w:val="00D25CFB"/>
    <w:rsid w:val="00D26324"/>
    <w:rsid w:val="00D2667C"/>
    <w:rsid w:val="00D26E40"/>
    <w:rsid w:val="00D274B3"/>
    <w:rsid w:val="00D27591"/>
    <w:rsid w:val="00D2785F"/>
    <w:rsid w:val="00D278BC"/>
    <w:rsid w:val="00D300BB"/>
    <w:rsid w:val="00D306D1"/>
    <w:rsid w:val="00D308D6"/>
    <w:rsid w:val="00D30C28"/>
    <w:rsid w:val="00D30E6D"/>
    <w:rsid w:val="00D31421"/>
    <w:rsid w:val="00D317D0"/>
    <w:rsid w:val="00D325C7"/>
    <w:rsid w:val="00D32623"/>
    <w:rsid w:val="00D32873"/>
    <w:rsid w:val="00D32C4E"/>
    <w:rsid w:val="00D33274"/>
    <w:rsid w:val="00D33E04"/>
    <w:rsid w:val="00D34301"/>
    <w:rsid w:val="00D34AC1"/>
    <w:rsid w:val="00D34CCF"/>
    <w:rsid w:val="00D352D0"/>
    <w:rsid w:val="00D35614"/>
    <w:rsid w:val="00D3573B"/>
    <w:rsid w:val="00D358D2"/>
    <w:rsid w:val="00D35A29"/>
    <w:rsid w:val="00D35A69"/>
    <w:rsid w:val="00D369B1"/>
    <w:rsid w:val="00D36C79"/>
    <w:rsid w:val="00D36DD6"/>
    <w:rsid w:val="00D36E6F"/>
    <w:rsid w:val="00D36EA1"/>
    <w:rsid w:val="00D37234"/>
    <w:rsid w:val="00D377A2"/>
    <w:rsid w:val="00D37A5A"/>
    <w:rsid w:val="00D400F3"/>
    <w:rsid w:val="00D411C6"/>
    <w:rsid w:val="00D411E4"/>
    <w:rsid w:val="00D412A8"/>
    <w:rsid w:val="00D4197E"/>
    <w:rsid w:val="00D41DFE"/>
    <w:rsid w:val="00D42347"/>
    <w:rsid w:val="00D4295A"/>
    <w:rsid w:val="00D42D96"/>
    <w:rsid w:val="00D43045"/>
    <w:rsid w:val="00D43F37"/>
    <w:rsid w:val="00D45DA6"/>
    <w:rsid w:val="00D46170"/>
    <w:rsid w:val="00D46326"/>
    <w:rsid w:val="00D47AD4"/>
    <w:rsid w:val="00D47BAD"/>
    <w:rsid w:val="00D50607"/>
    <w:rsid w:val="00D506AA"/>
    <w:rsid w:val="00D50900"/>
    <w:rsid w:val="00D5107C"/>
    <w:rsid w:val="00D5274D"/>
    <w:rsid w:val="00D52960"/>
    <w:rsid w:val="00D5297B"/>
    <w:rsid w:val="00D53529"/>
    <w:rsid w:val="00D53880"/>
    <w:rsid w:val="00D53C14"/>
    <w:rsid w:val="00D53E43"/>
    <w:rsid w:val="00D54295"/>
    <w:rsid w:val="00D54507"/>
    <w:rsid w:val="00D55C84"/>
    <w:rsid w:val="00D5611C"/>
    <w:rsid w:val="00D5680B"/>
    <w:rsid w:val="00D56D92"/>
    <w:rsid w:val="00D56EB2"/>
    <w:rsid w:val="00D57113"/>
    <w:rsid w:val="00D579AC"/>
    <w:rsid w:val="00D60099"/>
    <w:rsid w:val="00D60A7A"/>
    <w:rsid w:val="00D6136C"/>
    <w:rsid w:val="00D6208A"/>
    <w:rsid w:val="00D62193"/>
    <w:rsid w:val="00D62257"/>
    <w:rsid w:val="00D62442"/>
    <w:rsid w:val="00D62888"/>
    <w:rsid w:val="00D62ADB"/>
    <w:rsid w:val="00D6300B"/>
    <w:rsid w:val="00D632C9"/>
    <w:rsid w:val="00D634FD"/>
    <w:rsid w:val="00D638E0"/>
    <w:rsid w:val="00D63E73"/>
    <w:rsid w:val="00D6405C"/>
    <w:rsid w:val="00D6435D"/>
    <w:rsid w:val="00D6526A"/>
    <w:rsid w:val="00D65C51"/>
    <w:rsid w:val="00D65EE4"/>
    <w:rsid w:val="00D6634D"/>
    <w:rsid w:val="00D663D5"/>
    <w:rsid w:val="00D6691D"/>
    <w:rsid w:val="00D67FA8"/>
    <w:rsid w:val="00D70026"/>
    <w:rsid w:val="00D700E9"/>
    <w:rsid w:val="00D714EB"/>
    <w:rsid w:val="00D719D6"/>
    <w:rsid w:val="00D71CC7"/>
    <w:rsid w:val="00D71FB2"/>
    <w:rsid w:val="00D7226D"/>
    <w:rsid w:val="00D725F8"/>
    <w:rsid w:val="00D72603"/>
    <w:rsid w:val="00D7261B"/>
    <w:rsid w:val="00D72D5A"/>
    <w:rsid w:val="00D73AB0"/>
    <w:rsid w:val="00D73B9F"/>
    <w:rsid w:val="00D74391"/>
    <w:rsid w:val="00D74516"/>
    <w:rsid w:val="00D74A7A"/>
    <w:rsid w:val="00D74DE6"/>
    <w:rsid w:val="00D75137"/>
    <w:rsid w:val="00D75154"/>
    <w:rsid w:val="00D751CE"/>
    <w:rsid w:val="00D753E1"/>
    <w:rsid w:val="00D76089"/>
    <w:rsid w:val="00D7684C"/>
    <w:rsid w:val="00D76C15"/>
    <w:rsid w:val="00D772EA"/>
    <w:rsid w:val="00D77C2B"/>
    <w:rsid w:val="00D80E9E"/>
    <w:rsid w:val="00D81199"/>
    <w:rsid w:val="00D81759"/>
    <w:rsid w:val="00D81D6A"/>
    <w:rsid w:val="00D82213"/>
    <w:rsid w:val="00D82BDA"/>
    <w:rsid w:val="00D83B79"/>
    <w:rsid w:val="00D841BA"/>
    <w:rsid w:val="00D8464C"/>
    <w:rsid w:val="00D84A0D"/>
    <w:rsid w:val="00D84D26"/>
    <w:rsid w:val="00D85813"/>
    <w:rsid w:val="00D86226"/>
    <w:rsid w:val="00D86327"/>
    <w:rsid w:val="00D87105"/>
    <w:rsid w:val="00D873FF"/>
    <w:rsid w:val="00D8772F"/>
    <w:rsid w:val="00D877FE"/>
    <w:rsid w:val="00D87909"/>
    <w:rsid w:val="00D87DED"/>
    <w:rsid w:val="00D87E47"/>
    <w:rsid w:val="00D904DD"/>
    <w:rsid w:val="00D90C0E"/>
    <w:rsid w:val="00D911CA"/>
    <w:rsid w:val="00D9156B"/>
    <w:rsid w:val="00D91CA0"/>
    <w:rsid w:val="00D91D2E"/>
    <w:rsid w:val="00D91DF6"/>
    <w:rsid w:val="00D92177"/>
    <w:rsid w:val="00D92265"/>
    <w:rsid w:val="00D922BA"/>
    <w:rsid w:val="00D924D7"/>
    <w:rsid w:val="00D9306B"/>
    <w:rsid w:val="00D94577"/>
    <w:rsid w:val="00D94725"/>
    <w:rsid w:val="00D948A9"/>
    <w:rsid w:val="00D951DD"/>
    <w:rsid w:val="00D95B2E"/>
    <w:rsid w:val="00D96237"/>
    <w:rsid w:val="00D96AAE"/>
    <w:rsid w:val="00D96B0F"/>
    <w:rsid w:val="00D96BE8"/>
    <w:rsid w:val="00D96E07"/>
    <w:rsid w:val="00D96F54"/>
    <w:rsid w:val="00D97AC7"/>
    <w:rsid w:val="00DA0206"/>
    <w:rsid w:val="00DA039D"/>
    <w:rsid w:val="00DA03F5"/>
    <w:rsid w:val="00DA1448"/>
    <w:rsid w:val="00DA23A2"/>
    <w:rsid w:val="00DA27D1"/>
    <w:rsid w:val="00DA288A"/>
    <w:rsid w:val="00DA350E"/>
    <w:rsid w:val="00DA3747"/>
    <w:rsid w:val="00DA3916"/>
    <w:rsid w:val="00DA3CE3"/>
    <w:rsid w:val="00DA3EDE"/>
    <w:rsid w:val="00DA41E4"/>
    <w:rsid w:val="00DA4725"/>
    <w:rsid w:val="00DA484C"/>
    <w:rsid w:val="00DA5214"/>
    <w:rsid w:val="00DA5396"/>
    <w:rsid w:val="00DA55D7"/>
    <w:rsid w:val="00DA5FD3"/>
    <w:rsid w:val="00DA68D4"/>
    <w:rsid w:val="00DA6CBE"/>
    <w:rsid w:val="00DB0A3A"/>
    <w:rsid w:val="00DB111A"/>
    <w:rsid w:val="00DB1747"/>
    <w:rsid w:val="00DB1C70"/>
    <w:rsid w:val="00DB1C7D"/>
    <w:rsid w:val="00DB1D7F"/>
    <w:rsid w:val="00DB2F0A"/>
    <w:rsid w:val="00DB3046"/>
    <w:rsid w:val="00DB3C29"/>
    <w:rsid w:val="00DB409D"/>
    <w:rsid w:val="00DB414A"/>
    <w:rsid w:val="00DB44AD"/>
    <w:rsid w:val="00DB4B86"/>
    <w:rsid w:val="00DB4D5B"/>
    <w:rsid w:val="00DB5F8D"/>
    <w:rsid w:val="00DB6622"/>
    <w:rsid w:val="00DB676B"/>
    <w:rsid w:val="00DB694B"/>
    <w:rsid w:val="00DB7198"/>
    <w:rsid w:val="00DB7286"/>
    <w:rsid w:val="00DB7539"/>
    <w:rsid w:val="00DB7628"/>
    <w:rsid w:val="00DB7A5E"/>
    <w:rsid w:val="00DB7EFC"/>
    <w:rsid w:val="00DB7F26"/>
    <w:rsid w:val="00DC075C"/>
    <w:rsid w:val="00DC0846"/>
    <w:rsid w:val="00DC15A5"/>
    <w:rsid w:val="00DC1798"/>
    <w:rsid w:val="00DC1A65"/>
    <w:rsid w:val="00DC2C88"/>
    <w:rsid w:val="00DC2FCA"/>
    <w:rsid w:val="00DC3108"/>
    <w:rsid w:val="00DC3561"/>
    <w:rsid w:val="00DC3E59"/>
    <w:rsid w:val="00DC427C"/>
    <w:rsid w:val="00DC4C7A"/>
    <w:rsid w:val="00DC4EB6"/>
    <w:rsid w:val="00DC5EC6"/>
    <w:rsid w:val="00DC62BA"/>
    <w:rsid w:val="00DC6A51"/>
    <w:rsid w:val="00DC6B5B"/>
    <w:rsid w:val="00DC6E43"/>
    <w:rsid w:val="00DC70AB"/>
    <w:rsid w:val="00DC7762"/>
    <w:rsid w:val="00DC7C58"/>
    <w:rsid w:val="00DD0856"/>
    <w:rsid w:val="00DD0F1E"/>
    <w:rsid w:val="00DD1A67"/>
    <w:rsid w:val="00DD24B7"/>
    <w:rsid w:val="00DD2991"/>
    <w:rsid w:val="00DD3AD4"/>
    <w:rsid w:val="00DD42FA"/>
    <w:rsid w:val="00DD4816"/>
    <w:rsid w:val="00DD4B3B"/>
    <w:rsid w:val="00DD4C3D"/>
    <w:rsid w:val="00DD5B20"/>
    <w:rsid w:val="00DD6DB1"/>
    <w:rsid w:val="00DD6EF2"/>
    <w:rsid w:val="00DD70A1"/>
    <w:rsid w:val="00DD70D1"/>
    <w:rsid w:val="00DD7F89"/>
    <w:rsid w:val="00DE0429"/>
    <w:rsid w:val="00DE0AAA"/>
    <w:rsid w:val="00DE1523"/>
    <w:rsid w:val="00DE15D8"/>
    <w:rsid w:val="00DE1B78"/>
    <w:rsid w:val="00DE1FC0"/>
    <w:rsid w:val="00DE2362"/>
    <w:rsid w:val="00DE28C9"/>
    <w:rsid w:val="00DE2F6D"/>
    <w:rsid w:val="00DE3010"/>
    <w:rsid w:val="00DE36E2"/>
    <w:rsid w:val="00DE3863"/>
    <w:rsid w:val="00DE39BC"/>
    <w:rsid w:val="00DE3FF3"/>
    <w:rsid w:val="00DE4214"/>
    <w:rsid w:val="00DE433B"/>
    <w:rsid w:val="00DE4849"/>
    <w:rsid w:val="00DE4D60"/>
    <w:rsid w:val="00DE5584"/>
    <w:rsid w:val="00DE5753"/>
    <w:rsid w:val="00DE5969"/>
    <w:rsid w:val="00DE5EDD"/>
    <w:rsid w:val="00DE64D3"/>
    <w:rsid w:val="00DE6542"/>
    <w:rsid w:val="00DE6738"/>
    <w:rsid w:val="00DE697D"/>
    <w:rsid w:val="00DE6CFD"/>
    <w:rsid w:val="00DE6EC8"/>
    <w:rsid w:val="00DE6F01"/>
    <w:rsid w:val="00DE740F"/>
    <w:rsid w:val="00DF0553"/>
    <w:rsid w:val="00DF0908"/>
    <w:rsid w:val="00DF0991"/>
    <w:rsid w:val="00DF0D95"/>
    <w:rsid w:val="00DF10C2"/>
    <w:rsid w:val="00DF19A7"/>
    <w:rsid w:val="00DF2CBC"/>
    <w:rsid w:val="00DF2CDE"/>
    <w:rsid w:val="00DF32CA"/>
    <w:rsid w:val="00DF3402"/>
    <w:rsid w:val="00DF3437"/>
    <w:rsid w:val="00DF3C55"/>
    <w:rsid w:val="00DF3EB2"/>
    <w:rsid w:val="00DF470E"/>
    <w:rsid w:val="00DF4FD8"/>
    <w:rsid w:val="00DF50B2"/>
    <w:rsid w:val="00DF5D3C"/>
    <w:rsid w:val="00DF5FAD"/>
    <w:rsid w:val="00DF5FE5"/>
    <w:rsid w:val="00DF6729"/>
    <w:rsid w:val="00DF683A"/>
    <w:rsid w:val="00DF7E08"/>
    <w:rsid w:val="00DF7E59"/>
    <w:rsid w:val="00DF7F5B"/>
    <w:rsid w:val="00E0114C"/>
    <w:rsid w:val="00E011B1"/>
    <w:rsid w:val="00E0180A"/>
    <w:rsid w:val="00E018C3"/>
    <w:rsid w:val="00E01C53"/>
    <w:rsid w:val="00E02404"/>
    <w:rsid w:val="00E02A5D"/>
    <w:rsid w:val="00E02AFE"/>
    <w:rsid w:val="00E02B44"/>
    <w:rsid w:val="00E0349F"/>
    <w:rsid w:val="00E0397A"/>
    <w:rsid w:val="00E03C59"/>
    <w:rsid w:val="00E03DB3"/>
    <w:rsid w:val="00E04DFF"/>
    <w:rsid w:val="00E0520E"/>
    <w:rsid w:val="00E053A6"/>
    <w:rsid w:val="00E05865"/>
    <w:rsid w:val="00E0615B"/>
    <w:rsid w:val="00E068DB"/>
    <w:rsid w:val="00E06BC6"/>
    <w:rsid w:val="00E06CC1"/>
    <w:rsid w:val="00E06CFF"/>
    <w:rsid w:val="00E06D81"/>
    <w:rsid w:val="00E0713A"/>
    <w:rsid w:val="00E07540"/>
    <w:rsid w:val="00E078DF"/>
    <w:rsid w:val="00E07980"/>
    <w:rsid w:val="00E07ACA"/>
    <w:rsid w:val="00E07C6B"/>
    <w:rsid w:val="00E10627"/>
    <w:rsid w:val="00E10BE7"/>
    <w:rsid w:val="00E10C5A"/>
    <w:rsid w:val="00E10DCE"/>
    <w:rsid w:val="00E1137E"/>
    <w:rsid w:val="00E113B6"/>
    <w:rsid w:val="00E12536"/>
    <w:rsid w:val="00E128D9"/>
    <w:rsid w:val="00E129ED"/>
    <w:rsid w:val="00E12F28"/>
    <w:rsid w:val="00E13582"/>
    <w:rsid w:val="00E13C6E"/>
    <w:rsid w:val="00E13D12"/>
    <w:rsid w:val="00E14190"/>
    <w:rsid w:val="00E1450F"/>
    <w:rsid w:val="00E1457B"/>
    <w:rsid w:val="00E14592"/>
    <w:rsid w:val="00E1467B"/>
    <w:rsid w:val="00E14705"/>
    <w:rsid w:val="00E1493C"/>
    <w:rsid w:val="00E14D5C"/>
    <w:rsid w:val="00E1511F"/>
    <w:rsid w:val="00E15911"/>
    <w:rsid w:val="00E16521"/>
    <w:rsid w:val="00E1663D"/>
    <w:rsid w:val="00E1670D"/>
    <w:rsid w:val="00E172C0"/>
    <w:rsid w:val="00E1752D"/>
    <w:rsid w:val="00E1796E"/>
    <w:rsid w:val="00E17C26"/>
    <w:rsid w:val="00E202C9"/>
    <w:rsid w:val="00E20417"/>
    <w:rsid w:val="00E20606"/>
    <w:rsid w:val="00E20771"/>
    <w:rsid w:val="00E207AB"/>
    <w:rsid w:val="00E2119A"/>
    <w:rsid w:val="00E218F4"/>
    <w:rsid w:val="00E21BBA"/>
    <w:rsid w:val="00E21F2E"/>
    <w:rsid w:val="00E21FDD"/>
    <w:rsid w:val="00E2296F"/>
    <w:rsid w:val="00E22E6C"/>
    <w:rsid w:val="00E23140"/>
    <w:rsid w:val="00E23618"/>
    <w:rsid w:val="00E23680"/>
    <w:rsid w:val="00E241A4"/>
    <w:rsid w:val="00E24DCE"/>
    <w:rsid w:val="00E25021"/>
    <w:rsid w:val="00E250C2"/>
    <w:rsid w:val="00E252BC"/>
    <w:rsid w:val="00E25D36"/>
    <w:rsid w:val="00E264BC"/>
    <w:rsid w:val="00E26783"/>
    <w:rsid w:val="00E268E5"/>
    <w:rsid w:val="00E27071"/>
    <w:rsid w:val="00E30D01"/>
    <w:rsid w:val="00E31424"/>
    <w:rsid w:val="00E31CA7"/>
    <w:rsid w:val="00E31D49"/>
    <w:rsid w:val="00E32078"/>
    <w:rsid w:val="00E3258B"/>
    <w:rsid w:val="00E327B0"/>
    <w:rsid w:val="00E328FB"/>
    <w:rsid w:val="00E32AFC"/>
    <w:rsid w:val="00E32B26"/>
    <w:rsid w:val="00E32B74"/>
    <w:rsid w:val="00E33343"/>
    <w:rsid w:val="00E33A73"/>
    <w:rsid w:val="00E33AB0"/>
    <w:rsid w:val="00E33D78"/>
    <w:rsid w:val="00E35B80"/>
    <w:rsid w:val="00E3699F"/>
    <w:rsid w:val="00E36CC5"/>
    <w:rsid w:val="00E3723D"/>
    <w:rsid w:val="00E37BBF"/>
    <w:rsid w:val="00E404BD"/>
    <w:rsid w:val="00E40780"/>
    <w:rsid w:val="00E412F6"/>
    <w:rsid w:val="00E4132C"/>
    <w:rsid w:val="00E41B95"/>
    <w:rsid w:val="00E41BEE"/>
    <w:rsid w:val="00E42004"/>
    <w:rsid w:val="00E42221"/>
    <w:rsid w:val="00E4253A"/>
    <w:rsid w:val="00E42D59"/>
    <w:rsid w:val="00E436B8"/>
    <w:rsid w:val="00E43894"/>
    <w:rsid w:val="00E440A1"/>
    <w:rsid w:val="00E44391"/>
    <w:rsid w:val="00E45147"/>
    <w:rsid w:val="00E4544C"/>
    <w:rsid w:val="00E45841"/>
    <w:rsid w:val="00E45C7C"/>
    <w:rsid w:val="00E46187"/>
    <w:rsid w:val="00E46259"/>
    <w:rsid w:val="00E46A65"/>
    <w:rsid w:val="00E47282"/>
    <w:rsid w:val="00E50588"/>
    <w:rsid w:val="00E51AA1"/>
    <w:rsid w:val="00E51D3E"/>
    <w:rsid w:val="00E51E7A"/>
    <w:rsid w:val="00E52029"/>
    <w:rsid w:val="00E522B0"/>
    <w:rsid w:val="00E5241C"/>
    <w:rsid w:val="00E53062"/>
    <w:rsid w:val="00E530AE"/>
    <w:rsid w:val="00E530B6"/>
    <w:rsid w:val="00E53AB5"/>
    <w:rsid w:val="00E55161"/>
    <w:rsid w:val="00E5558C"/>
    <w:rsid w:val="00E55A79"/>
    <w:rsid w:val="00E5609B"/>
    <w:rsid w:val="00E561CF"/>
    <w:rsid w:val="00E562C7"/>
    <w:rsid w:val="00E566DE"/>
    <w:rsid w:val="00E56CAF"/>
    <w:rsid w:val="00E56D99"/>
    <w:rsid w:val="00E5744D"/>
    <w:rsid w:val="00E575FE"/>
    <w:rsid w:val="00E57F7D"/>
    <w:rsid w:val="00E60560"/>
    <w:rsid w:val="00E60BFD"/>
    <w:rsid w:val="00E62648"/>
    <w:rsid w:val="00E62B5F"/>
    <w:rsid w:val="00E62D38"/>
    <w:rsid w:val="00E6320F"/>
    <w:rsid w:val="00E6335B"/>
    <w:rsid w:val="00E633B4"/>
    <w:rsid w:val="00E6340F"/>
    <w:rsid w:val="00E639C5"/>
    <w:rsid w:val="00E64823"/>
    <w:rsid w:val="00E64959"/>
    <w:rsid w:val="00E654CD"/>
    <w:rsid w:val="00E654F3"/>
    <w:rsid w:val="00E660BD"/>
    <w:rsid w:val="00E66620"/>
    <w:rsid w:val="00E66703"/>
    <w:rsid w:val="00E66782"/>
    <w:rsid w:val="00E6718D"/>
    <w:rsid w:val="00E67404"/>
    <w:rsid w:val="00E679F7"/>
    <w:rsid w:val="00E70017"/>
    <w:rsid w:val="00E7036F"/>
    <w:rsid w:val="00E70E55"/>
    <w:rsid w:val="00E71795"/>
    <w:rsid w:val="00E71A8A"/>
    <w:rsid w:val="00E72EED"/>
    <w:rsid w:val="00E731FD"/>
    <w:rsid w:val="00E736A1"/>
    <w:rsid w:val="00E73E15"/>
    <w:rsid w:val="00E73EDC"/>
    <w:rsid w:val="00E744A5"/>
    <w:rsid w:val="00E74D58"/>
    <w:rsid w:val="00E74DCF"/>
    <w:rsid w:val="00E74FB8"/>
    <w:rsid w:val="00E7535C"/>
    <w:rsid w:val="00E757C3"/>
    <w:rsid w:val="00E75A6B"/>
    <w:rsid w:val="00E75D4C"/>
    <w:rsid w:val="00E75ED9"/>
    <w:rsid w:val="00E75F72"/>
    <w:rsid w:val="00E76792"/>
    <w:rsid w:val="00E76AE8"/>
    <w:rsid w:val="00E76BE4"/>
    <w:rsid w:val="00E76EC6"/>
    <w:rsid w:val="00E77593"/>
    <w:rsid w:val="00E778A8"/>
    <w:rsid w:val="00E779C0"/>
    <w:rsid w:val="00E77BA0"/>
    <w:rsid w:val="00E77EEF"/>
    <w:rsid w:val="00E80855"/>
    <w:rsid w:val="00E813F3"/>
    <w:rsid w:val="00E82089"/>
    <w:rsid w:val="00E824D6"/>
    <w:rsid w:val="00E824FC"/>
    <w:rsid w:val="00E82765"/>
    <w:rsid w:val="00E82A02"/>
    <w:rsid w:val="00E832CF"/>
    <w:rsid w:val="00E84183"/>
    <w:rsid w:val="00E84916"/>
    <w:rsid w:val="00E85DA6"/>
    <w:rsid w:val="00E85EF7"/>
    <w:rsid w:val="00E86033"/>
    <w:rsid w:val="00E860FB"/>
    <w:rsid w:val="00E86325"/>
    <w:rsid w:val="00E86489"/>
    <w:rsid w:val="00E868E9"/>
    <w:rsid w:val="00E87994"/>
    <w:rsid w:val="00E87AF3"/>
    <w:rsid w:val="00E87DF6"/>
    <w:rsid w:val="00E87E06"/>
    <w:rsid w:val="00E90019"/>
    <w:rsid w:val="00E90040"/>
    <w:rsid w:val="00E905EF"/>
    <w:rsid w:val="00E90D55"/>
    <w:rsid w:val="00E917CF"/>
    <w:rsid w:val="00E91D5D"/>
    <w:rsid w:val="00E91DBE"/>
    <w:rsid w:val="00E922B1"/>
    <w:rsid w:val="00E92B91"/>
    <w:rsid w:val="00E92BC1"/>
    <w:rsid w:val="00E93B93"/>
    <w:rsid w:val="00E93D79"/>
    <w:rsid w:val="00E941DA"/>
    <w:rsid w:val="00E94437"/>
    <w:rsid w:val="00E944BF"/>
    <w:rsid w:val="00E948F1"/>
    <w:rsid w:val="00E95042"/>
    <w:rsid w:val="00E963D2"/>
    <w:rsid w:val="00E9685D"/>
    <w:rsid w:val="00E97864"/>
    <w:rsid w:val="00E97A84"/>
    <w:rsid w:val="00E97B78"/>
    <w:rsid w:val="00EA03B7"/>
    <w:rsid w:val="00EA059C"/>
    <w:rsid w:val="00EA0B59"/>
    <w:rsid w:val="00EA0D74"/>
    <w:rsid w:val="00EA153E"/>
    <w:rsid w:val="00EA1B16"/>
    <w:rsid w:val="00EA1E30"/>
    <w:rsid w:val="00EA1EC8"/>
    <w:rsid w:val="00EA2290"/>
    <w:rsid w:val="00EA2767"/>
    <w:rsid w:val="00EA2CC1"/>
    <w:rsid w:val="00EA41DE"/>
    <w:rsid w:val="00EA43C2"/>
    <w:rsid w:val="00EA44DD"/>
    <w:rsid w:val="00EA48C7"/>
    <w:rsid w:val="00EA646F"/>
    <w:rsid w:val="00EA69A7"/>
    <w:rsid w:val="00EA6A68"/>
    <w:rsid w:val="00EA75B5"/>
    <w:rsid w:val="00EA7C69"/>
    <w:rsid w:val="00EB040B"/>
    <w:rsid w:val="00EB0A9F"/>
    <w:rsid w:val="00EB0EC6"/>
    <w:rsid w:val="00EB0F13"/>
    <w:rsid w:val="00EB13DD"/>
    <w:rsid w:val="00EB1979"/>
    <w:rsid w:val="00EB1A3F"/>
    <w:rsid w:val="00EB1A5E"/>
    <w:rsid w:val="00EB1DBC"/>
    <w:rsid w:val="00EB2601"/>
    <w:rsid w:val="00EB2DD6"/>
    <w:rsid w:val="00EB343C"/>
    <w:rsid w:val="00EB37EF"/>
    <w:rsid w:val="00EB3C05"/>
    <w:rsid w:val="00EB409E"/>
    <w:rsid w:val="00EB561A"/>
    <w:rsid w:val="00EB5773"/>
    <w:rsid w:val="00EB5EE1"/>
    <w:rsid w:val="00EB61BB"/>
    <w:rsid w:val="00EB6B93"/>
    <w:rsid w:val="00EB721D"/>
    <w:rsid w:val="00EB7361"/>
    <w:rsid w:val="00EB7E9E"/>
    <w:rsid w:val="00EB7F8B"/>
    <w:rsid w:val="00EC0142"/>
    <w:rsid w:val="00EC0252"/>
    <w:rsid w:val="00EC0A67"/>
    <w:rsid w:val="00EC0D03"/>
    <w:rsid w:val="00EC106F"/>
    <w:rsid w:val="00EC1702"/>
    <w:rsid w:val="00EC1937"/>
    <w:rsid w:val="00EC2961"/>
    <w:rsid w:val="00EC2F09"/>
    <w:rsid w:val="00EC33D8"/>
    <w:rsid w:val="00EC363D"/>
    <w:rsid w:val="00EC402C"/>
    <w:rsid w:val="00EC4079"/>
    <w:rsid w:val="00EC43AA"/>
    <w:rsid w:val="00EC4421"/>
    <w:rsid w:val="00EC4A20"/>
    <w:rsid w:val="00EC4D0B"/>
    <w:rsid w:val="00EC4E45"/>
    <w:rsid w:val="00EC4E62"/>
    <w:rsid w:val="00EC585B"/>
    <w:rsid w:val="00EC60C0"/>
    <w:rsid w:val="00EC641B"/>
    <w:rsid w:val="00EC68C1"/>
    <w:rsid w:val="00EC6A5B"/>
    <w:rsid w:val="00EC6EB2"/>
    <w:rsid w:val="00EC6F5C"/>
    <w:rsid w:val="00EC78D7"/>
    <w:rsid w:val="00EC7944"/>
    <w:rsid w:val="00EC7B2D"/>
    <w:rsid w:val="00ED0A6D"/>
    <w:rsid w:val="00ED0B35"/>
    <w:rsid w:val="00ED0D4A"/>
    <w:rsid w:val="00ED1212"/>
    <w:rsid w:val="00ED169B"/>
    <w:rsid w:val="00ED1D21"/>
    <w:rsid w:val="00ED23AF"/>
    <w:rsid w:val="00ED2B5D"/>
    <w:rsid w:val="00ED3C00"/>
    <w:rsid w:val="00ED49EB"/>
    <w:rsid w:val="00ED4B24"/>
    <w:rsid w:val="00ED4DA5"/>
    <w:rsid w:val="00ED5E5C"/>
    <w:rsid w:val="00ED7484"/>
    <w:rsid w:val="00ED748C"/>
    <w:rsid w:val="00ED7955"/>
    <w:rsid w:val="00ED7993"/>
    <w:rsid w:val="00ED7D25"/>
    <w:rsid w:val="00ED7E92"/>
    <w:rsid w:val="00ED7FB9"/>
    <w:rsid w:val="00EE004E"/>
    <w:rsid w:val="00EE07D9"/>
    <w:rsid w:val="00EE0BD5"/>
    <w:rsid w:val="00EE0DE2"/>
    <w:rsid w:val="00EE1369"/>
    <w:rsid w:val="00EE1802"/>
    <w:rsid w:val="00EE1B13"/>
    <w:rsid w:val="00EE1FB9"/>
    <w:rsid w:val="00EE222E"/>
    <w:rsid w:val="00EE243E"/>
    <w:rsid w:val="00EE2A17"/>
    <w:rsid w:val="00EE2C15"/>
    <w:rsid w:val="00EE2E60"/>
    <w:rsid w:val="00EE354D"/>
    <w:rsid w:val="00EE3752"/>
    <w:rsid w:val="00EE37F7"/>
    <w:rsid w:val="00EE3B5C"/>
    <w:rsid w:val="00EE50E2"/>
    <w:rsid w:val="00EE54F4"/>
    <w:rsid w:val="00EE5709"/>
    <w:rsid w:val="00EE5985"/>
    <w:rsid w:val="00EE5AB5"/>
    <w:rsid w:val="00EE5C54"/>
    <w:rsid w:val="00EE6C2D"/>
    <w:rsid w:val="00EE762F"/>
    <w:rsid w:val="00EE79BA"/>
    <w:rsid w:val="00EE7A9A"/>
    <w:rsid w:val="00EF01C4"/>
    <w:rsid w:val="00EF05FF"/>
    <w:rsid w:val="00EF08FF"/>
    <w:rsid w:val="00EF0D21"/>
    <w:rsid w:val="00EF0FF3"/>
    <w:rsid w:val="00EF1143"/>
    <w:rsid w:val="00EF1341"/>
    <w:rsid w:val="00EF1793"/>
    <w:rsid w:val="00EF192C"/>
    <w:rsid w:val="00EF1BAC"/>
    <w:rsid w:val="00EF1D62"/>
    <w:rsid w:val="00EF20D9"/>
    <w:rsid w:val="00EF33C3"/>
    <w:rsid w:val="00EF37A2"/>
    <w:rsid w:val="00EF3C5A"/>
    <w:rsid w:val="00EF3CE4"/>
    <w:rsid w:val="00EF4489"/>
    <w:rsid w:val="00EF455F"/>
    <w:rsid w:val="00EF4676"/>
    <w:rsid w:val="00EF4ABB"/>
    <w:rsid w:val="00EF4CC1"/>
    <w:rsid w:val="00EF4F4B"/>
    <w:rsid w:val="00EF5054"/>
    <w:rsid w:val="00EF55CA"/>
    <w:rsid w:val="00EF6482"/>
    <w:rsid w:val="00EF6CAD"/>
    <w:rsid w:val="00EF76C7"/>
    <w:rsid w:val="00EF7EF1"/>
    <w:rsid w:val="00F0014B"/>
    <w:rsid w:val="00F00448"/>
    <w:rsid w:val="00F00928"/>
    <w:rsid w:val="00F00E7C"/>
    <w:rsid w:val="00F01467"/>
    <w:rsid w:val="00F01D65"/>
    <w:rsid w:val="00F023E8"/>
    <w:rsid w:val="00F02632"/>
    <w:rsid w:val="00F028E3"/>
    <w:rsid w:val="00F02B2D"/>
    <w:rsid w:val="00F02D3A"/>
    <w:rsid w:val="00F02E5F"/>
    <w:rsid w:val="00F03F8C"/>
    <w:rsid w:val="00F043F9"/>
    <w:rsid w:val="00F04677"/>
    <w:rsid w:val="00F048E7"/>
    <w:rsid w:val="00F0496B"/>
    <w:rsid w:val="00F04973"/>
    <w:rsid w:val="00F04B3A"/>
    <w:rsid w:val="00F04D0A"/>
    <w:rsid w:val="00F050A0"/>
    <w:rsid w:val="00F051CF"/>
    <w:rsid w:val="00F0533B"/>
    <w:rsid w:val="00F05BA1"/>
    <w:rsid w:val="00F06360"/>
    <w:rsid w:val="00F06B17"/>
    <w:rsid w:val="00F06B41"/>
    <w:rsid w:val="00F07267"/>
    <w:rsid w:val="00F1058C"/>
    <w:rsid w:val="00F10D43"/>
    <w:rsid w:val="00F115B8"/>
    <w:rsid w:val="00F117FC"/>
    <w:rsid w:val="00F11848"/>
    <w:rsid w:val="00F11868"/>
    <w:rsid w:val="00F1248A"/>
    <w:rsid w:val="00F12CB3"/>
    <w:rsid w:val="00F12DCD"/>
    <w:rsid w:val="00F13DD3"/>
    <w:rsid w:val="00F14499"/>
    <w:rsid w:val="00F14597"/>
    <w:rsid w:val="00F147E3"/>
    <w:rsid w:val="00F149EA"/>
    <w:rsid w:val="00F14BDE"/>
    <w:rsid w:val="00F15814"/>
    <w:rsid w:val="00F158E2"/>
    <w:rsid w:val="00F15A30"/>
    <w:rsid w:val="00F16248"/>
    <w:rsid w:val="00F16301"/>
    <w:rsid w:val="00F16BEF"/>
    <w:rsid w:val="00F16C7C"/>
    <w:rsid w:val="00F1743D"/>
    <w:rsid w:val="00F175A6"/>
    <w:rsid w:val="00F17604"/>
    <w:rsid w:val="00F176E7"/>
    <w:rsid w:val="00F17A55"/>
    <w:rsid w:val="00F17F1B"/>
    <w:rsid w:val="00F202C0"/>
    <w:rsid w:val="00F20676"/>
    <w:rsid w:val="00F20F49"/>
    <w:rsid w:val="00F2187F"/>
    <w:rsid w:val="00F2207E"/>
    <w:rsid w:val="00F22A21"/>
    <w:rsid w:val="00F22E3C"/>
    <w:rsid w:val="00F22E5D"/>
    <w:rsid w:val="00F23588"/>
    <w:rsid w:val="00F235C9"/>
    <w:rsid w:val="00F237C2"/>
    <w:rsid w:val="00F23808"/>
    <w:rsid w:val="00F23C1D"/>
    <w:rsid w:val="00F23D7E"/>
    <w:rsid w:val="00F23F31"/>
    <w:rsid w:val="00F247F2"/>
    <w:rsid w:val="00F254EB"/>
    <w:rsid w:val="00F25857"/>
    <w:rsid w:val="00F25C8C"/>
    <w:rsid w:val="00F272E8"/>
    <w:rsid w:val="00F274CF"/>
    <w:rsid w:val="00F27789"/>
    <w:rsid w:val="00F27B3D"/>
    <w:rsid w:val="00F27C7C"/>
    <w:rsid w:val="00F30731"/>
    <w:rsid w:val="00F30997"/>
    <w:rsid w:val="00F30CF4"/>
    <w:rsid w:val="00F3112B"/>
    <w:rsid w:val="00F31157"/>
    <w:rsid w:val="00F31641"/>
    <w:rsid w:val="00F321F5"/>
    <w:rsid w:val="00F32216"/>
    <w:rsid w:val="00F3227A"/>
    <w:rsid w:val="00F32E31"/>
    <w:rsid w:val="00F32E3F"/>
    <w:rsid w:val="00F337FE"/>
    <w:rsid w:val="00F33DE2"/>
    <w:rsid w:val="00F33DEB"/>
    <w:rsid w:val="00F33E60"/>
    <w:rsid w:val="00F3436A"/>
    <w:rsid w:val="00F34403"/>
    <w:rsid w:val="00F3456C"/>
    <w:rsid w:val="00F3461D"/>
    <w:rsid w:val="00F346CC"/>
    <w:rsid w:val="00F35391"/>
    <w:rsid w:val="00F35472"/>
    <w:rsid w:val="00F35707"/>
    <w:rsid w:val="00F3729E"/>
    <w:rsid w:val="00F37AB3"/>
    <w:rsid w:val="00F37EB9"/>
    <w:rsid w:val="00F40088"/>
    <w:rsid w:val="00F40DF7"/>
    <w:rsid w:val="00F40EC5"/>
    <w:rsid w:val="00F410A3"/>
    <w:rsid w:val="00F410E1"/>
    <w:rsid w:val="00F4158C"/>
    <w:rsid w:val="00F416A2"/>
    <w:rsid w:val="00F4187B"/>
    <w:rsid w:val="00F41F2F"/>
    <w:rsid w:val="00F4242E"/>
    <w:rsid w:val="00F42519"/>
    <w:rsid w:val="00F42AA2"/>
    <w:rsid w:val="00F43861"/>
    <w:rsid w:val="00F4386B"/>
    <w:rsid w:val="00F4395C"/>
    <w:rsid w:val="00F43BC7"/>
    <w:rsid w:val="00F44E5F"/>
    <w:rsid w:val="00F44F16"/>
    <w:rsid w:val="00F454CF"/>
    <w:rsid w:val="00F45AC5"/>
    <w:rsid w:val="00F45E54"/>
    <w:rsid w:val="00F4611C"/>
    <w:rsid w:val="00F46BBA"/>
    <w:rsid w:val="00F47ECC"/>
    <w:rsid w:val="00F50151"/>
    <w:rsid w:val="00F50AE2"/>
    <w:rsid w:val="00F51020"/>
    <w:rsid w:val="00F51378"/>
    <w:rsid w:val="00F51B78"/>
    <w:rsid w:val="00F52111"/>
    <w:rsid w:val="00F52974"/>
    <w:rsid w:val="00F53099"/>
    <w:rsid w:val="00F535C5"/>
    <w:rsid w:val="00F53AAC"/>
    <w:rsid w:val="00F53AD4"/>
    <w:rsid w:val="00F5495D"/>
    <w:rsid w:val="00F54965"/>
    <w:rsid w:val="00F54B1C"/>
    <w:rsid w:val="00F550ED"/>
    <w:rsid w:val="00F5551D"/>
    <w:rsid w:val="00F565B9"/>
    <w:rsid w:val="00F5693E"/>
    <w:rsid w:val="00F56971"/>
    <w:rsid w:val="00F574B6"/>
    <w:rsid w:val="00F57657"/>
    <w:rsid w:val="00F57775"/>
    <w:rsid w:val="00F578E0"/>
    <w:rsid w:val="00F579E6"/>
    <w:rsid w:val="00F57EE7"/>
    <w:rsid w:val="00F60E8B"/>
    <w:rsid w:val="00F6108E"/>
    <w:rsid w:val="00F61472"/>
    <w:rsid w:val="00F61C9F"/>
    <w:rsid w:val="00F61CC9"/>
    <w:rsid w:val="00F61DDC"/>
    <w:rsid w:val="00F622F8"/>
    <w:rsid w:val="00F632A5"/>
    <w:rsid w:val="00F63339"/>
    <w:rsid w:val="00F634F8"/>
    <w:rsid w:val="00F6369B"/>
    <w:rsid w:val="00F637B8"/>
    <w:rsid w:val="00F64843"/>
    <w:rsid w:val="00F649C1"/>
    <w:rsid w:val="00F65353"/>
    <w:rsid w:val="00F65361"/>
    <w:rsid w:val="00F65648"/>
    <w:rsid w:val="00F65900"/>
    <w:rsid w:val="00F65A38"/>
    <w:rsid w:val="00F66115"/>
    <w:rsid w:val="00F66B6E"/>
    <w:rsid w:val="00F67172"/>
    <w:rsid w:val="00F6757B"/>
    <w:rsid w:val="00F67D79"/>
    <w:rsid w:val="00F70007"/>
    <w:rsid w:val="00F70C04"/>
    <w:rsid w:val="00F70FCE"/>
    <w:rsid w:val="00F71398"/>
    <w:rsid w:val="00F71790"/>
    <w:rsid w:val="00F719D3"/>
    <w:rsid w:val="00F71BE6"/>
    <w:rsid w:val="00F7239B"/>
    <w:rsid w:val="00F724B9"/>
    <w:rsid w:val="00F7298C"/>
    <w:rsid w:val="00F72C4B"/>
    <w:rsid w:val="00F730B4"/>
    <w:rsid w:val="00F730DE"/>
    <w:rsid w:val="00F73C5A"/>
    <w:rsid w:val="00F740DE"/>
    <w:rsid w:val="00F74406"/>
    <w:rsid w:val="00F7474E"/>
    <w:rsid w:val="00F75362"/>
    <w:rsid w:val="00F763BD"/>
    <w:rsid w:val="00F76899"/>
    <w:rsid w:val="00F77939"/>
    <w:rsid w:val="00F77B8F"/>
    <w:rsid w:val="00F802DE"/>
    <w:rsid w:val="00F80380"/>
    <w:rsid w:val="00F80515"/>
    <w:rsid w:val="00F80954"/>
    <w:rsid w:val="00F8215E"/>
    <w:rsid w:val="00F8256E"/>
    <w:rsid w:val="00F828E9"/>
    <w:rsid w:val="00F82A23"/>
    <w:rsid w:val="00F82C51"/>
    <w:rsid w:val="00F82CAE"/>
    <w:rsid w:val="00F82FB3"/>
    <w:rsid w:val="00F83300"/>
    <w:rsid w:val="00F8398F"/>
    <w:rsid w:val="00F83E03"/>
    <w:rsid w:val="00F84058"/>
    <w:rsid w:val="00F8406F"/>
    <w:rsid w:val="00F84542"/>
    <w:rsid w:val="00F84BC1"/>
    <w:rsid w:val="00F851F3"/>
    <w:rsid w:val="00F85311"/>
    <w:rsid w:val="00F8547E"/>
    <w:rsid w:val="00F85510"/>
    <w:rsid w:val="00F85513"/>
    <w:rsid w:val="00F85DCC"/>
    <w:rsid w:val="00F865F8"/>
    <w:rsid w:val="00F866EC"/>
    <w:rsid w:val="00F86820"/>
    <w:rsid w:val="00F86EE3"/>
    <w:rsid w:val="00F87055"/>
    <w:rsid w:val="00F8730A"/>
    <w:rsid w:val="00F9014E"/>
    <w:rsid w:val="00F901D5"/>
    <w:rsid w:val="00F90359"/>
    <w:rsid w:val="00F907B3"/>
    <w:rsid w:val="00F908A2"/>
    <w:rsid w:val="00F9094A"/>
    <w:rsid w:val="00F90BDB"/>
    <w:rsid w:val="00F913AF"/>
    <w:rsid w:val="00F91435"/>
    <w:rsid w:val="00F914BF"/>
    <w:rsid w:val="00F91509"/>
    <w:rsid w:val="00F91885"/>
    <w:rsid w:val="00F91BDF"/>
    <w:rsid w:val="00F92025"/>
    <w:rsid w:val="00F93CB3"/>
    <w:rsid w:val="00F93D9A"/>
    <w:rsid w:val="00F93FB2"/>
    <w:rsid w:val="00F9418C"/>
    <w:rsid w:val="00F94464"/>
    <w:rsid w:val="00F9447E"/>
    <w:rsid w:val="00F94697"/>
    <w:rsid w:val="00F94EBD"/>
    <w:rsid w:val="00F952FE"/>
    <w:rsid w:val="00F95793"/>
    <w:rsid w:val="00F9612D"/>
    <w:rsid w:val="00F966A5"/>
    <w:rsid w:val="00F96849"/>
    <w:rsid w:val="00F969EF"/>
    <w:rsid w:val="00F96E6C"/>
    <w:rsid w:val="00F97097"/>
    <w:rsid w:val="00F974BE"/>
    <w:rsid w:val="00F97D72"/>
    <w:rsid w:val="00FA05F8"/>
    <w:rsid w:val="00FA0D72"/>
    <w:rsid w:val="00FA0FFB"/>
    <w:rsid w:val="00FA1521"/>
    <w:rsid w:val="00FA1D1B"/>
    <w:rsid w:val="00FA222C"/>
    <w:rsid w:val="00FA26C7"/>
    <w:rsid w:val="00FA2FAE"/>
    <w:rsid w:val="00FA3198"/>
    <w:rsid w:val="00FA35BE"/>
    <w:rsid w:val="00FA36EF"/>
    <w:rsid w:val="00FA3BA8"/>
    <w:rsid w:val="00FA3F84"/>
    <w:rsid w:val="00FA4C6E"/>
    <w:rsid w:val="00FA4FFE"/>
    <w:rsid w:val="00FA51EB"/>
    <w:rsid w:val="00FA53A4"/>
    <w:rsid w:val="00FA550B"/>
    <w:rsid w:val="00FA5928"/>
    <w:rsid w:val="00FA623F"/>
    <w:rsid w:val="00FA6B28"/>
    <w:rsid w:val="00FA714C"/>
    <w:rsid w:val="00FA71B2"/>
    <w:rsid w:val="00FA79CE"/>
    <w:rsid w:val="00FA7B46"/>
    <w:rsid w:val="00FA7D7C"/>
    <w:rsid w:val="00FB02CC"/>
    <w:rsid w:val="00FB20D3"/>
    <w:rsid w:val="00FB22E5"/>
    <w:rsid w:val="00FB3006"/>
    <w:rsid w:val="00FB3A46"/>
    <w:rsid w:val="00FB3AC4"/>
    <w:rsid w:val="00FB3CDB"/>
    <w:rsid w:val="00FB3D45"/>
    <w:rsid w:val="00FB4279"/>
    <w:rsid w:val="00FB4330"/>
    <w:rsid w:val="00FB443F"/>
    <w:rsid w:val="00FB4496"/>
    <w:rsid w:val="00FB45C5"/>
    <w:rsid w:val="00FB48E4"/>
    <w:rsid w:val="00FB4F38"/>
    <w:rsid w:val="00FB5381"/>
    <w:rsid w:val="00FB552D"/>
    <w:rsid w:val="00FB6A7D"/>
    <w:rsid w:val="00FB776E"/>
    <w:rsid w:val="00FB791D"/>
    <w:rsid w:val="00FB7CDD"/>
    <w:rsid w:val="00FC0159"/>
    <w:rsid w:val="00FC03C5"/>
    <w:rsid w:val="00FC078B"/>
    <w:rsid w:val="00FC0A77"/>
    <w:rsid w:val="00FC101B"/>
    <w:rsid w:val="00FC18D0"/>
    <w:rsid w:val="00FC2324"/>
    <w:rsid w:val="00FC2461"/>
    <w:rsid w:val="00FC2B8E"/>
    <w:rsid w:val="00FC2C06"/>
    <w:rsid w:val="00FC3779"/>
    <w:rsid w:val="00FC384C"/>
    <w:rsid w:val="00FC3A77"/>
    <w:rsid w:val="00FC3C23"/>
    <w:rsid w:val="00FC42C9"/>
    <w:rsid w:val="00FC4550"/>
    <w:rsid w:val="00FC4EEF"/>
    <w:rsid w:val="00FC4F80"/>
    <w:rsid w:val="00FC5125"/>
    <w:rsid w:val="00FC51FF"/>
    <w:rsid w:val="00FC5E52"/>
    <w:rsid w:val="00FC5FB4"/>
    <w:rsid w:val="00FC6544"/>
    <w:rsid w:val="00FC67F8"/>
    <w:rsid w:val="00FC6EB7"/>
    <w:rsid w:val="00FC742E"/>
    <w:rsid w:val="00FC7D61"/>
    <w:rsid w:val="00FC7E74"/>
    <w:rsid w:val="00FD0264"/>
    <w:rsid w:val="00FD0D02"/>
    <w:rsid w:val="00FD0D84"/>
    <w:rsid w:val="00FD109E"/>
    <w:rsid w:val="00FD1524"/>
    <w:rsid w:val="00FD2443"/>
    <w:rsid w:val="00FD356B"/>
    <w:rsid w:val="00FD3B6B"/>
    <w:rsid w:val="00FD44DB"/>
    <w:rsid w:val="00FD479E"/>
    <w:rsid w:val="00FD47D1"/>
    <w:rsid w:val="00FD49C9"/>
    <w:rsid w:val="00FD4D08"/>
    <w:rsid w:val="00FD57F3"/>
    <w:rsid w:val="00FD5ADC"/>
    <w:rsid w:val="00FD5FB3"/>
    <w:rsid w:val="00FD6582"/>
    <w:rsid w:val="00FD6C60"/>
    <w:rsid w:val="00FD6CE3"/>
    <w:rsid w:val="00FD7820"/>
    <w:rsid w:val="00FD79E2"/>
    <w:rsid w:val="00FD7A43"/>
    <w:rsid w:val="00FD7DDA"/>
    <w:rsid w:val="00FE01BF"/>
    <w:rsid w:val="00FE0E36"/>
    <w:rsid w:val="00FE11D2"/>
    <w:rsid w:val="00FE1E9F"/>
    <w:rsid w:val="00FE2D2A"/>
    <w:rsid w:val="00FE3134"/>
    <w:rsid w:val="00FE40AE"/>
    <w:rsid w:val="00FE45A3"/>
    <w:rsid w:val="00FE55E8"/>
    <w:rsid w:val="00FE5BC9"/>
    <w:rsid w:val="00FE6D74"/>
    <w:rsid w:val="00FE790F"/>
    <w:rsid w:val="00FE7C09"/>
    <w:rsid w:val="00FF0833"/>
    <w:rsid w:val="00FF0CE8"/>
    <w:rsid w:val="00FF129C"/>
    <w:rsid w:val="00FF1EC8"/>
    <w:rsid w:val="00FF23F0"/>
    <w:rsid w:val="00FF2BA2"/>
    <w:rsid w:val="00FF2C74"/>
    <w:rsid w:val="00FF2F27"/>
    <w:rsid w:val="00FF2FA1"/>
    <w:rsid w:val="00FF48BE"/>
    <w:rsid w:val="00FF50AE"/>
    <w:rsid w:val="00FF50CA"/>
    <w:rsid w:val="00FF51DF"/>
    <w:rsid w:val="00FF5BA3"/>
    <w:rsid w:val="00FF5E97"/>
    <w:rsid w:val="00FF61B0"/>
    <w:rsid w:val="00FF61FF"/>
    <w:rsid w:val="00FF6E79"/>
    <w:rsid w:val="00FF6F65"/>
    <w:rsid w:val="00FF720E"/>
    <w:rsid w:val="00FF7552"/>
    <w:rsid w:val="00FF767E"/>
    <w:rsid w:val="00FF7804"/>
    <w:rsid w:val="00FF7BC8"/>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5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6B"/>
    <w:rPr>
      <w:rFonts w:asciiTheme="minorHAnsi" w:hAnsiTheme="minorHAnsi"/>
      <w:sz w:val="22"/>
      <w:szCs w:val="24"/>
      <w:lang w:eastAsia="en-US" w:bidi="he-IL"/>
    </w:rPr>
  </w:style>
  <w:style w:type="paragraph" w:styleId="Heading1">
    <w:name w:val="heading 1"/>
    <w:basedOn w:val="Normal"/>
    <w:next w:val="Normal"/>
    <w:link w:val="Heading1Char"/>
    <w:qFormat/>
    <w:rsid w:val="00660CD0"/>
    <w:pPr>
      <w:keepNext/>
      <w:spacing w:before="360" w:after="480"/>
      <w:jc w:val="center"/>
      <w:outlineLvl w:val="0"/>
    </w:pPr>
    <w:rPr>
      <w:b/>
      <w:bCs/>
      <w:sz w:val="32"/>
      <w:lang w:val="en-AU" w:bidi="ar-SA"/>
    </w:rPr>
  </w:style>
  <w:style w:type="paragraph" w:styleId="Heading2">
    <w:name w:val="heading 2"/>
    <w:basedOn w:val="Normal"/>
    <w:next w:val="Normal"/>
    <w:link w:val="Heading2Char"/>
    <w:qFormat/>
    <w:rsid w:val="00B755B3"/>
    <w:pPr>
      <w:keepNext/>
      <w:tabs>
        <w:tab w:val="left" w:pos="425"/>
      </w:tabs>
      <w:spacing w:before="240" w:after="120"/>
      <w:outlineLvl w:val="1"/>
    </w:pPr>
    <w:rPr>
      <w:b/>
      <w:iCs/>
      <w:sz w:val="24"/>
      <w:lang w:val="en-AU" w:bidi="ar-SA"/>
    </w:rPr>
  </w:style>
  <w:style w:type="paragraph" w:styleId="Heading3">
    <w:name w:val="heading 3"/>
    <w:basedOn w:val="Normal"/>
    <w:next w:val="Normal"/>
    <w:link w:val="Heading3Char"/>
    <w:qFormat/>
    <w:rsid w:val="00D6435D"/>
    <w:pPr>
      <w:keepNext/>
      <w:tabs>
        <w:tab w:val="left" w:pos="425"/>
        <w:tab w:val="left" w:pos="567"/>
      </w:tabs>
      <w:spacing w:after="6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CE7FD3"/>
    <w:pPr>
      <w:shd w:val="clear" w:color="auto" w:fill="000080"/>
    </w:pPr>
    <w:rPr>
      <w:rFonts w:ascii="Tahoma" w:hAnsi="Tahoma" w:cs="Tahoma"/>
    </w:rPr>
  </w:style>
  <w:style w:type="paragraph" w:styleId="BalloonText">
    <w:name w:val="Balloon Text"/>
    <w:basedOn w:val="Normal"/>
    <w:link w:val="BalloonTextChar"/>
    <w:uiPriority w:val="99"/>
    <w:semiHidden/>
    <w:rsid w:val="00CE7FD3"/>
    <w:rPr>
      <w:rFonts w:ascii="Tahoma" w:hAnsi="Tahoma" w:cs="Tahoma"/>
      <w:sz w:val="16"/>
      <w:szCs w:val="16"/>
    </w:rPr>
  </w:style>
  <w:style w:type="paragraph" w:styleId="Header">
    <w:name w:val="header"/>
    <w:basedOn w:val="Normal"/>
    <w:link w:val="HeaderChar"/>
    <w:uiPriority w:val="99"/>
    <w:rsid w:val="00765CC9"/>
    <w:pPr>
      <w:tabs>
        <w:tab w:val="center" w:pos="4153"/>
        <w:tab w:val="right" w:pos="8306"/>
      </w:tabs>
    </w:pPr>
  </w:style>
  <w:style w:type="paragraph" w:styleId="Footer">
    <w:name w:val="footer"/>
    <w:basedOn w:val="Normal"/>
    <w:link w:val="FooterChar"/>
    <w:uiPriority w:val="99"/>
    <w:rsid w:val="003E645C"/>
    <w:pPr>
      <w:tabs>
        <w:tab w:val="center" w:pos="4153"/>
        <w:tab w:val="right" w:pos="8306"/>
      </w:tabs>
      <w:jc w:val="right"/>
    </w:pPr>
  </w:style>
  <w:style w:type="paragraph" w:styleId="FootnoteText">
    <w:name w:val="footnote text"/>
    <w:basedOn w:val="Normal"/>
    <w:link w:val="FootnoteTextChar"/>
    <w:uiPriority w:val="99"/>
    <w:semiHidden/>
    <w:rsid w:val="004E1F2B"/>
    <w:rPr>
      <w:sz w:val="20"/>
      <w:szCs w:val="20"/>
    </w:rPr>
  </w:style>
  <w:style w:type="character" w:styleId="FootnoteReference">
    <w:name w:val="footnote reference"/>
    <w:basedOn w:val="DefaultParagraphFont"/>
    <w:semiHidden/>
    <w:rsid w:val="004E1F2B"/>
    <w:rPr>
      <w:vertAlign w:val="superscript"/>
    </w:rPr>
  </w:style>
  <w:style w:type="character" w:styleId="EndnoteReference">
    <w:name w:val="endnote reference"/>
    <w:basedOn w:val="DefaultParagraphFont"/>
    <w:semiHidden/>
    <w:rsid w:val="00197C11"/>
    <w:rPr>
      <w:vertAlign w:val="superscript"/>
    </w:rPr>
  </w:style>
  <w:style w:type="character" w:styleId="CommentReference">
    <w:name w:val="annotation reference"/>
    <w:basedOn w:val="DefaultParagraphFont"/>
    <w:uiPriority w:val="99"/>
    <w:semiHidden/>
    <w:rsid w:val="00CF3EA6"/>
    <w:rPr>
      <w:sz w:val="16"/>
      <w:szCs w:val="16"/>
    </w:rPr>
  </w:style>
  <w:style w:type="paragraph" w:styleId="CommentText">
    <w:name w:val="annotation text"/>
    <w:basedOn w:val="Normal"/>
    <w:link w:val="CommentTextChar"/>
    <w:uiPriority w:val="99"/>
    <w:semiHidden/>
    <w:rsid w:val="00CF3EA6"/>
    <w:rPr>
      <w:sz w:val="20"/>
      <w:szCs w:val="20"/>
    </w:rPr>
  </w:style>
  <w:style w:type="paragraph" w:styleId="CommentSubject">
    <w:name w:val="annotation subject"/>
    <w:basedOn w:val="CommentText"/>
    <w:next w:val="CommentText"/>
    <w:link w:val="CommentSubjectChar"/>
    <w:uiPriority w:val="99"/>
    <w:semiHidden/>
    <w:rsid w:val="00CF3EA6"/>
    <w:rPr>
      <w:b/>
      <w:bCs/>
    </w:rPr>
  </w:style>
  <w:style w:type="character" w:styleId="Hyperlink">
    <w:name w:val="Hyperlink"/>
    <w:basedOn w:val="DefaultParagraphFont"/>
    <w:uiPriority w:val="99"/>
    <w:rsid w:val="00244EF5"/>
    <w:rPr>
      <w:color w:val="0000FF"/>
      <w:u w:val="single"/>
    </w:rPr>
  </w:style>
  <w:style w:type="character" w:styleId="PageNumber">
    <w:name w:val="page number"/>
    <w:basedOn w:val="DefaultParagraphFont"/>
    <w:rsid w:val="00865D97"/>
  </w:style>
  <w:style w:type="paragraph" w:customStyle="1" w:styleId="Default">
    <w:name w:val="Default"/>
    <w:uiPriority w:val="99"/>
    <w:rsid w:val="0011685F"/>
    <w:pPr>
      <w:autoSpaceDE w:val="0"/>
      <w:autoSpaceDN w:val="0"/>
      <w:adjustRightInd w:val="0"/>
    </w:pPr>
    <w:rPr>
      <w:color w:val="000000"/>
      <w:sz w:val="24"/>
      <w:szCs w:val="24"/>
    </w:rPr>
  </w:style>
  <w:style w:type="paragraph" w:customStyle="1" w:styleId="Bulletindent">
    <w:name w:val="Bullet indent"/>
    <w:basedOn w:val="Normal"/>
    <w:uiPriority w:val="99"/>
    <w:rsid w:val="00375FEA"/>
    <w:pPr>
      <w:tabs>
        <w:tab w:val="left" w:pos="1134"/>
      </w:tabs>
      <w:ind w:left="340" w:hanging="340"/>
    </w:pPr>
    <w:rPr>
      <w:lang w:bidi="ar-SA"/>
    </w:rPr>
  </w:style>
  <w:style w:type="paragraph" w:customStyle="1" w:styleId="Paragraph">
    <w:name w:val="Paragraph"/>
    <w:uiPriority w:val="99"/>
    <w:rsid w:val="009E5246"/>
    <w:pPr>
      <w:spacing w:after="200"/>
    </w:pPr>
    <w:rPr>
      <w:sz w:val="24"/>
      <w:szCs w:val="24"/>
      <w:lang w:val="en-GB" w:eastAsia="en-US"/>
    </w:rPr>
  </w:style>
  <w:style w:type="paragraph" w:styleId="BodyText">
    <w:name w:val="Body Text"/>
    <w:basedOn w:val="Normal"/>
    <w:link w:val="BodyTextChar"/>
    <w:uiPriority w:val="99"/>
    <w:rsid w:val="005E4616"/>
    <w:rPr>
      <w:szCs w:val="20"/>
      <w:lang w:val="en-US" w:bidi="ar-SA"/>
    </w:rPr>
  </w:style>
  <w:style w:type="character" w:customStyle="1" w:styleId="BodyTextChar">
    <w:name w:val="Body Text Char"/>
    <w:basedOn w:val="DefaultParagraphFont"/>
    <w:link w:val="BodyText"/>
    <w:uiPriority w:val="99"/>
    <w:rsid w:val="005E4616"/>
    <w:rPr>
      <w:sz w:val="24"/>
      <w:lang w:val="en-US" w:eastAsia="en-US"/>
    </w:rPr>
  </w:style>
  <w:style w:type="paragraph" w:styleId="ListParagraph">
    <w:name w:val="List Paragraph"/>
    <w:basedOn w:val="Normal"/>
    <w:uiPriority w:val="34"/>
    <w:qFormat/>
    <w:rsid w:val="008A337E"/>
    <w:pPr>
      <w:ind w:left="720"/>
    </w:pPr>
  </w:style>
  <w:style w:type="character" w:customStyle="1" w:styleId="FooterChar">
    <w:name w:val="Footer Char"/>
    <w:basedOn w:val="DefaultParagraphFont"/>
    <w:link w:val="Footer"/>
    <w:uiPriority w:val="99"/>
    <w:rsid w:val="003E645C"/>
    <w:rPr>
      <w:sz w:val="24"/>
      <w:szCs w:val="24"/>
      <w:lang w:eastAsia="en-US" w:bidi="he-IL"/>
    </w:rPr>
  </w:style>
  <w:style w:type="paragraph" w:styleId="Revision">
    <w:name w:val="Revision"/>
    <w:hidden/>
    <w:uiPriority w:val="99"/>
    <w:semiHidden/>
    <w:rsid w:val="00662A09"/>
    <w:rPr>
      <w:sz w:val="24"/>
      <w:szCs w:val="24"/>
      <w:lang w:eastAsia="en-US" w:bidi="he-IL"/>
    </w:rPr>
  </w:style>
  <w:style w:type="paragraph" w:styleId="NoSpacing">
    <w:name w:val="No Spacing"/>
    <w:link w:val="NoSpacingChar"/>
    <w:uiPriority w:val="1"/>
    <w:qFormat/>
    <w:rsid w:val="004667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66759"/>
    <w:rPr>
      <w:rFonts w:asciiTheme="minorHAnsi" w:eastAsiaTheme="minorEastAsia" w:hAnsiTheme="minorHAnsi" w:cstheme="minorBidi"/>
      <w:sz w:val="22"/>
      <w:szCs w:val="22"/>
      <w:lang w:val="en-US" w:eastAsia="en-US"/>
    </w:rPr>
  </w:style>
  <w:style w:type="paragraph" w:styleId="Caption">
    <w:name w:val="caption"/>
    <w:basedOn w:val="Normal"/>
    <w:next w:val="Normal"/>
    <w:uiPriority w:val="35"/>
    <w:unhideWhenUsed/>
    <w:qFormat/>
    <w:rsid w:val="00D12BF9"/>
    <w:pPr>
      <w:tabs>
        <w:tab w:val="left" w:pos="1440"/>
        <w:tab w:val="decimal" w:pos="4320"/>
      </w:tabs>
      <w:outlineLvl w:val="0"/>
    </w:pPr>
    <w:rPr>
      <w:rFonts w:ascii="Calibri" w:hAnsi="Calibri"/>
      <w:b/>
      <w:szCs w:val="22"/>
      <w:lang w:eastAsia="en-NZ" w:bidi="ar-SA"/>
    </w:rPr>
  </w:style>
  <w:style w:type="character" w:customStyle="1" w:styleId="Heading1Char">
    <w:name w:val="Heading 1 Char"/>
    <w:basedOn w:val="DefaultParagraphFont"/>
    <w:link w:val="Heading1"/>
    <w:rsid w:val="00660CD0"/>
    <w:rPr>
      <w:rFonts w:asciiTheme="minorHAnsi" w:hAnsiTheme="minorHAnsi"/>
      <w:b/>
      <w:bCs/>
      <w:sz w:val="32"/>
      <w:szCs w:val="24"/>
      <w:lang w:val="en-AU" w:eastAsia="en-US"/>
    </w:rPr>
  </w:style>
  <w:style w:type="character" w:customStyle="1" w:styleId="Heading3Char">
    <w:name w:val="Heading 3 Char"/>
    <w:basedOn w:val="DefaultParagraphFont"/>
    <w:link w:val="Heading3"/>
    <w:rsid w:val="00D6435D"/>
    <w:rPr>
      <w:rFonts w:asciiTheme="minorHAnsi" w:hAnsiTheme="minorHAnsi" w:cs="Arial"/>
      <w:bCs/>
      <w:i/>
      <w:sz w:val="22"/>
      <w:szCs w:val="26"/>
      <w:lang w:eastAsia="en-US" w:bidi="he-IL"/>
    </w:rPr>
  </w:style>
  <w:style w:type="paragraph" w:styleId="NormalWeb">
    <w:name w:val="Normal (Web)"/>
    <w:basedOn w:val="Normal"/>
    <w:uiPriority w:val="99"/>
    <w:semiHidden/>
    <w:unhideWhenUsed/>
    <w:rsid w:val="00B4468A"/>
    <w:pPr>
      <w:spacing w:before="100" w:beforeAutospacing="1" w:after="100" w:afterAutospacing="1"/>
      <w:jc w:val="left"/>
    </w:pPr>
    <w:rPr>
      <w:lang w:eastAsia="en-NZ" w:bidi="ar-SA"/>
    </w:rPr>
  </w:style>
  <w:style w:type="character" w:customStyle="1" w:styleId="CommentTextChar">
    <w:name w:val="Comment Text Char"/>
    <w:basedOn w:val="DefaultParagraphFont"/>
    <w:link w:val="CommentText"/>
    <w:uiPriority w:val="99"/>
    <w:semiHidden/>
    <w:rsid w:val="00FC5E52"/>
    <w:rPr>
      <w:lang w:eastAsia="en-US" w:bidi="he-IL"/>
    </w:rPr>
  </w:style>
  <w:style w:type="character" w:customStyle="1" w:styleId="Heading2Char">
    <w:name w:val="Heading 2 Char"/>
    <w:basedOn w:val="DefaultParagraphFont"/>
    <w:link w:val="Heading2"/>
    <w:rsid w:val="00B755B3"/>
    <w:rPr>
      <w:rFonts w:asciiTheme="minorHAnsi" w:hAnsiTheme="minorHAnsi"/>
      <w:b/>
      <w:iCs/>
      <w:sz w:val="24"/>
      <w:szCs w:val="24"/>
      <w:lang w:val="en-AU" w:eastAsia="en-US"/>
    </w:rPr>
  </w:style>
  <w:style w:type="character" w:customStyle="1" w:styleId="DocumentMapChar">
    <w:name w:val="Document Map Char"/>
    <w:basedOn w:val="DefaultParagraphFont"/>
    <w:link w:val="DocumentMap"/>
    <w:uiPriority w:val="99"/>
    <w:semiHidden/>
    <w:rsid w:val="00980246"/>
    <w:rPr>
      <w:rFonts w:ascii="Tahoma" w:hAnsi="Tahoma" w:cs="Tahoma"/>
      <w:sz w:val="24"/>
      <w:szCs w:val="24"/>
      <w:shd w:val="clear" w:color="auto" w:fill="000080"/>
      <w:lang w:eastAsia="en-US" w:bidi="he-IL"/>
    </w:rPr>
  </w:style>
  <w:style w:type="character" w:customStyle="1" w:styleId="BalloonTextChar">
    <w:name w:val="Balloon Text Char"/>
    <w:basedOn w:val="DefaultParagraphFont"/>
    <w:link w:val="BalloonText"/>
    <w:uiPriority w:val="99"/>
    <w:semiHidden/>
    <w:rsid w:val="00980246"/>
    <w:rPr>
      <w:rFonts w:ascii="Tahoma" w:hAnsi="Tahoma" w:cs="Tahoma"/>
      <w:sz w:val="16"/>
      <w:szCs w:val="16"/>
      <w:lang w:eastAsia="en-US" w:bidi="he-IL"/>
    </w:rPr>
  </w:style>
  <w:style w:type="character" w:customStyle="1" w:styleId="HeaderChar">
    <w:name w:val="Header Char"/>
    <w:basedOn w:val="DefaultParagraphFont"/>
    <w:link w:val="Header"/>
    <w:uiPriority w:val="99"/>
    <w:rsid w:val="00980246"/>
    <w:rPr>
      <w:sz w:val="24"/>
      <w:szCs w:val="24"/>
      <w:lang w:eastAsia="en-US" w:bidi="he-IL"/>
    </w:rPr>
  </w:style>
  <w:style w:type="character" w:customStyle="1" w:styleId="FootnoteTextChar">
    <w:name w:val="Footnote Text Char"/>
    <w:basedOn w:val="DefaultParagraphFont"/>
    <w:link w:val="FootnoteText"/>
    <w:uiPriority w:val="99"/>
    <w:semiHidden/>
    <w:rsid w:val="00980246"/>
    <w:rPr>
      <w:lang w:eastAsia="en-US" w:bidi="he-IL"/>
    </w:rPr>
  </w:style>
  <w:style w:type="character" w:customStyle="1" w:styleId="CommentSubjectChar">
    <w:name w:val="Comment Subject Char"/>
    <w:basedOn w:val="CommentTextChar"/>
    <w:link w:val="CommentSubject"/>
    <w:uiPriority w:val="99"/>
    <w:semiHidden/>
    <w:rsid w:val="00980246"/>
    <w:rPr>
      <w:b/>
      <w:bCs/>
      <w:lang w:eastAsia="en-US" w:bidi="he-IL"/>
    </w:rPr>
  </w:style>
  <w:style w:type="character" w:customStyle="1" w:styleId="st1">
    <w:name w:val="st1"/>
    <w:basedOn w:val="DefaultParagraphFont"/>
    <w:rsid w:val="000F0EB0"/>
  </w:style>
  <w:style w:type="paragraph" w:styleId="TOCHeading">
    <w:name w:val="TOC Heading"/>
    <w:basedOn w:val="Heading1"/>
    <w:next w:val="Normal"/>
    <w:uiPriority w:val="39"/>
    <w:unhideWhenUsed/>
    <w:qFormat/>
    <w:rsid w:val="00EB2DD6"/>
    <w:pPr>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unhideWhenUsed/>
    <w:rsid w:val="00EB2DD6"/>
    <w:pPr>
      <w:spacing w:before="120"/>
      <w:jc w:val="left"/>
    </w:pPr>
    <w:rPr>
      <w:b/>
      <w:sz w:val="24"/>
    </w:rPr>
  </w:style>
  <w:style w:type="paragraph" w:styleId="TOC2">
    <w:name w:val="toc 2"/>
    <w:basedOn w:val="Normal"/>
    <w:next w:val="Normal"/>
    <w:autoRedefine/>
    <w:uiPriority w:val="39"/>
    <w:unhideWhenUsed/>
    <w:rsid w:val="00EB2DD6"/>
    <w:pPr>
      <w:ind w:left="220"/>
      <w:jc w:val="left"/>
    </w:pPr>
    <w:rPr>
      <w:b/>
      <w:szCs w:val="22"/>
    </w:rPr>
  </w:style>
  <w:style w:type="paragraph" w:styleId="TOC3">
    <w:name w:val="toc 3"/>
    <w:basedOn w:val="Normal"/>
    <w:next w:val="Normal"/>
    <w:autoRedefine/>
    <w:uiPriority w:val="39"/>
    <w:unhideWhenUsed/>
    <w:rsid w:val="00EB2DD6"/>
    <w:pPr>
      <w:ind w:left="440"/>
      <w:jc w:val="left"/>
    </w:pPr>
    <w:rPr>
      <w:szCs w:val="22"/>
    </w:rPr>
  </w:style>
  <w:style w:type="paragraph" w:styleId="TOC4">
    <w:name w:val="toc 4"/>
    <w:basedOn w:val="Normal"/>
    <w:next w:val="Normal"/>
    <w:autoRedefine/>
    <w:uiPriority w:val="39"/>
    <w:unhideWhenUsed/>
    <w:rsid w:val="00EB2DD6"/>
    <w:pPr>
      <w:ind w:left="660"/>
      <w:jc w:val="left"/>
    </w:pPr>
    <w:rPr>
      <w:sz w:val="20"/>
      <w:szCs w:val="20"/>
    </w:rPr>
  </w:style>
  <w:style w:type="paragraph" w:styleId="TOC5">
    <w:name w:val="toc 5"/>
    <w:basedOn w:val="Normal"/>
    <w:next w:val="Normal"/>
    <w:autoRedefine/>
    <w:uiPriority w:val="39"/>
    <w:unhideWhenUsed/>
    <w:rsid w:val="00EB2DD6"/>
    <w:pPr>
      <w:ind w:left="880"/>
      <w:jc w:val="left"/>
    </w:pPr>
    <w:rPr>
      <w:sz w:val="20"/>
      <w:szCs w:val="20"/>
    </w:rPr>
  </w:style>
  <w:style w:type="paragraph" w:styleId="TOC6">
    <w:name w:val="toc 6"/>
    <w:basedOn w:val="Normal"/>
    <w:next w:val="Normal"/>
    <w:autoRedefine/>
    <w:uiPriority w:val="39"/>
    <w:unhideWhenUsed/>
    <w:rsid w:val="00EB2DD6"/>
    <w:pPr>
      <w:ind w:left="1100"/>
      <w:jc w:val="left"/>
    </w:pPr>
    <w:rPr>
      <w:sz w:val="20"/>
      <w:szCs w:val="20"/>
    </w:rPr>
  </w:style>
  <w:style w:type="paragraph" w:styleId="TOC7">
    <w:name w:val="toc 7"/>
    <w:basedOn w:val="Normal"/>
    <w:next w:val="Normal"/>
    <w:autoRedefine/>
    <w:uiPriority w:val="39"/>
    <w:unhideWhenUsed/>
    <w:rsid w:val="00EB2DD6"/>
    <w:pPr>
      <w:ind w:left="1320"/>
      <w:jc w:val="left"/>
    </w:pPr>
    <w:rPr>
      <w:sz w:val="20"/>
      <w:szCs w:val="20"/>
    </w:rPr>
  </w:style>
  <w:style w:type="paragraph" w:styleId="TOC8">
    <w:name w:val="toc 8"/>
    <w:basedOn w:val="Normal"/>
    <w:next w:val="Normal"/>
    <w:autoRedefine/>
    <w:uiPriority w:val="39"/>
    <w:unhideWhenUsed/>
    <w:rsid w:val="00EB2DD6"/>
    <w:pPr>
      <w:ind w:left="1540"/>
      <w:jc w:val="left"/>
    </w:pPr>
    <w:rPr>
      <w:sz w:val="20"/>
      <w:szCs w:val="20"/>
    </w:rPr>
  </w:style>
  <w:style w:type="paragraph" w:styleId="TOC9">
    <w:name w:val="toc 9"/>
    <w:basedOn w:val="Normal"/>
    <w:next w:val="Normal"/>
    <w:autoRedefine/>
    <w:uiPriority w:val="39"/>
    <w:unhideWhenUsed/>
    <w:rsid w:val="00EB2DD6"/>
    <w:pPr>
      <w:ind w:left="1760"/>
      <w:jc w:val="left"/>
    </w:pPr>
    <w:rPr>
      <w:sz w:val="20"/>
      <w:szCs w:val="20"/>
    </w:rPr>
  </w:style>
  <w:style w:type="character" w:styleId="FollowedHyperlink">
    <w:name w:val="FollowedHyperlink"/>
    <w:basedOn w:val="DefaultParagraphFont"/>
    <w:uiPriority w:val="99"/>
    <w:semiHidden/>
    <w:unhideWhenUsed/>
    <w:rsid w:val="00040FD3"/>
    <w:rPr>
      <w:color w:val="800080" w:themeColor="followedHyperlink"/>
      <w:u w:val="single"/>
    </w:rPr>
  </w:style>
  <w:style w:type="character" w:styleId="Strong">
    <w:name w:val="Strong"/>
    <w:basedOn w:val="DefaultParagraphFont"/>
    <w:uiPriority w:val="22"/>
    <w:qFormat/>
    <w:rsid w:val="00B915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6B"/>
    <w:rPr>
      <w:rFonts w:asciiTheme="minorHAnsi" w:hAnsiTheme="minorHAnsi"/>
      <w:sz w:val="22"/>
      <w:szCs w:val="24"/>
      <w:lang w:eastAsia="en-US" w:bidi="he-IL"/>
    </w:rPr>
  </w:style>
  <w:style w:type="paragraph" w:styleId="Heading1">
    <w:name w:val="heading 1"/>
    <w:basedOn w:val="Normal"/>
    <w:next w:val="Normal"/>
    <w:link w:val="Heading1Char"/>
    <w:qFormat/>
    <w:rsid w:val="00660CD0"/>
    <w:pPr>
      <w:keepNext/>
      <w:spacing w:before="360" w:after="480"/>
      <w:jc w:val="center"/>
      <w:outlineLvl w:val="0"/>
    </w:pPr>
    <w:rPr>
      <w:b/>
      <w:bCs/>
      <w:sz w:val="32"/>
      <w:lang w:val="en-AU" w:bidi="ar-SA"/>
    </w:rPr>
  </w:style>
  <w:style w:type="paragraph" w:styleId="Heading2">
    <w:name w:val="heading 2"/>
    <w:basedOn w:val="Normal"/>
    <w:next w:val="Normal"/>
    <w:link w:val="Heading2Char"/>
    <w:qFormat/>
    <w:rsid w:val="00B755B3"/>
    <w:pPr>
      <w:keepNext/>
      <w:tabs>
        <w:tab w:val="left" w:pos="425"/>
      </w:tabs>
      <w:spacing w:before="240" w:after="120"/>
      <w:outlineLvl w:val="1"/>
    </w:pPr>
    <w:rPr>
      <w:b/>
      <w:iCs/>
      <w:sz w:val="24"/>
      <w:lang w:val="en-AU" w:bidi="ar-SA"/>
    </w:rPr>
  </w:style>
  <w:style w:type="paragraph" w:styleId="Heading3">
    <w:name w:val="heading 3"/>
    <w:basedOn w:val="Normal"/>
    <w:next w:val="Normal"/>
    <w:link w:val="Heading3Char"/>
    <w:qFormat/>
    <w:rsid w:val="00D6435D"/>
    <w:pPr>
      <w:keepNext/>
      <w:tabs>
        <w:tab w:val="left" w:pos="425"/>
        <w:tab w:val="left" w:pos="567"/>
      </w:tabs>
      <w:spacing w:after="6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CE7FD3"/>
    <w:pPr>
      <w:shd w:val="clear" w:color="auto" w:fill="000080"/>
    </w:pPr>
    <w:rPr>
      <w:rFonts w:ascii="Tahoma" w:hAnsi="Tahoma" w:cs="Tahoma"/>
    </w:rPr>
  </w:style>
  <w:style w:type="paragraph" w:styleId="BalloonText">
    <w:name w:val="Balloon Text"/>
    <w:basedOn w:val="Normal"/>
    <w:link w:val="BalloonTextChar"/>
    <w:uiPriority w:val="99"/>
    <w:semiHidden/>
    <w:rsid w:val="00CE7FD3"/>
    <w:rPr>
      <w:rFonts w:ascii="Tahoma" w:hAnsi="Tahoma" w:cs="Tahoma"/>
      <w:sz w:val="16"/>
      <w:szCs w:val="16"/>
    </w:rPr>
  </w:style>
  <w:style w:type="paragraph" w:styleId="Header">
    <w:name w:val="header"/>
    <w:basedOn w:val="Normal"/>
    <w:link w:val="HeaderChar"/>
    <w:uiPriority w:val="99"/>
    <w:rsid w:val="00765CC9"/>
    <w:pPr>
      <w:tabs>
        <w:tab w:val="center" w:pos="4153"/>
        <w:tab w:val="right" w:pos="8306"/>
      </w:tabs>
    </w:pPr>
  </w:style>
  <w:style w:type="paragraph" w:styleId="Footer">
    <w:name w:val="footer"/>
    <w:basedOn w:val="Normal"/>
    <w:link w:val="FooterChar"/>
    <w:uiPriority w:val="99"/>
    <w:rsid w:val="003E645C"/>
    <w:pPr>
      <w:tabs>
        <w:tab w:val="center" w:pos="4153"/>
        <w:tab w:val="right" w:pos="8306"/>
      </w:tabs>
      <w:jc w:val="right"/>
    </w:pPr>
  </w:style>
  <w:style w:type="paragraph" w:styleId="FootnoteText">
    <w:name w:val="footnote text"/>
    <w:basedOn w:val="Normal"/>
    <w:link w:val="FootnoteTextChar"/>
    <w:uiPriority w:val="99"/>
    <w:semiHidden/>
    <w:rsid w:val="004E1F2B"/>
    <w:rPr>
      <w:sz w:val="20"/>
      <w:szCs w:val="20"/>
    </w:rPr>
  </w:style>
  <w:style w:type="character" w:styleId="FootnoteReference">
    <w:name w:val="footnote reference"/>
    <w:basedOn w:val="DefaultParagraphFont"/>
    <w:semiHidden/>
    <w:rsid w:val="004E1F2B"/>
    <w:rPr>
      <w:vertAlign w:val="superscript"/>
    </w:rPr>
  </w:style>
  <w:style w:type="character" w:styleId="EndnoteReference">
    <w:name w:val="endnote reference"/>
    <w:basedOn w:val="DefaultParagraphFont"/>
    <w:semiHidden/>
    <w:rsid w:val="00197C11"/>
    <w:rPr>
      <w:vertAlign w:val="superscript"/>
    </w:rPr>
  </w:style>
  <w:style w:type="character" w:styleId="CommentReference">
    <w:name w:val="annotation reference"/>
    <w:basedOn w:val="DefaultParagraphFont"/>
    <w:uiPriority w:val="99"/>
    <w:semiHidden/>
    <w:rsid w:val="00CF3EA6"/>
    <w:rPr>
      <w:sz w:val="16"/>
      <w:szCs w:val="16"/>
    </w:rPr>
  </w:style>
  <w:style w:type="paragraph" w:styleId="CommentText">
    <w:name w:val="annotation text"/>
    <w:basedOn w:val="Normal"/>
    <w:link w:val="CommentTextChar"/>
    <w:uiPriority w:val="99"/>
    <w:semiHidden/>
    <w:rsid w:val="00CF3EA6"/>
    <w:rPr>
      <w:sz w:val="20"/>
      <w:szCs w:val="20"/>
    </w:rPr>
  </w:style>
  <w:style w:type="paragraph" w:styleId="CommentSubject">
    <w:name w:val="annotation subject"/>
    <w:basedOn w:val="CommentText"/>
    <w:next w:val="CommentText"/>
    <w:link w:val="CommentSubjectChar"/>
    <w:uiPriority w:val="99"/>
    <w:semiHidden/>
    <w:rsid w:val="00CF3EA6"/>
    <w:rPr>
      <w:b/>
      <w:bCs/>
    </w:rPr>
  </w:style>
  <w:style w:type="character" w:styleId="Hyperlink">
    <w:name w:val="Hyperlink"/>
    <w:basedOn w:val="DefaultParagraphFont"/>
    <w:uiPriority w:val="99"/>
    <w:rsid w:val="00244EF5"/>
    <w:rPr>
      <w:color w:val="0000FF"/>
      <w:u w:val="single"/>
    </w:rPr>
  </w:style>
  <w:style w:type="character" w:styleId="PageNumber">
    <w:name w:val="page number"/>
    <w:basedOn w:val="DefaultParagraphFont"/>
    <w:rsid w:val="00865D97"/>
  </w:style>
  <w:style w:type="paragraph" w:customStyle="1" w:styleId="Default">
    <w:name w:val="Default"/>
    <w:uiPriority w:val="99"/>
    <w:rsid w:val="0011685F"/>
    <w:pPr>
      <w:autoSpaceDE w:val="0"/>
      <w:autoSpaceDN w:val="0"/>
      <w:adjustRightInd w:val="0"/>
    </w:pPr>
    <w:rPr>
      <w:color w:val="000000"/>
      <w:sz w:val="24"/>
      <w:szCs w:val="24"/>
    </w:rPr>
  </w:style>
  <w:style w:type="paragraph" w:customStyle="1" w:styleId="Bulletindent">
    <w:name w:val="Bullet indent"/>
    <w:basedOn w:val="Normal"/>
    <w:uiPriority w:val="99"/>
    <w:rsid w:val="00375FEA"/>
    <w:pPr>
      <w:tabs>
        <w:tab w:val="left" w:pos="1134"/>
      </w:tabs>
      <w:ind w:left="340" w:hanging="340"/>
    </w:pPr>
    <w:rPr>
      <w:lang w:bidi="ar-SA"/>
    </w:rPr>
  </w:style>
  <w:style w:type="paragraph" w:customStyle="1" w:styleId="Paragraph">
    <w:name w:val="Paragraph"/>
    <w:uiPriority w:val="99"/>
    <w:rsid w:val="009E5246"/>
    <w:pPr>
      <w:spacing w:after="200"/>
    </w:pPr>
    <w:rPr>
      <w:sz w:val="24"/>
      <w:szCs w:val="24"/>
      <w:lang w:val="en-GB" w:eastAsia="en-US"/>
    </w:rPr>
  </w:style>
  <w:style w:type="paragraph" w:styleId="BodyText">
    <w:name w:val="Body Text"/>
    <w:basedOn w:val="Normal"/>
    <w:link w:val="BodyTextChar"/>
    <w:uiPriority w:val="99"/>
    <w:rsid w:val="005E4616"/>
    <w:rPr>
      <w:szCs w:val="20"/>
      <w:lang w:val="en-US" w:bidi="ar-SA"/>
    </w:rPr>
  </w:style>
  <w:style w:type="character" w:customStyle="1" w:styleId="BodyTextChar">
    <w:name w:val="Body Text Char"/>
    <w:basedOn w:val="DefaultParagraphFont"/>
    <w:link w:val="BodyText"/>
    <w:uiPriority w:val="99"/>
    <w:rsid w:val="005E4616"/>
    <w:rPr>
      <w:sz w:val="24"/>
      <w:lang w:val="en-US" w:eastAsia="en-US"/>
    </w:rPr>
  </w:style>
  <w:style w:type="paragraph" w:styleId="ListParagraph">
    <w:name w:val="List Paragraph"/>
    <w:basedOn w:val="Normal"/>
    <w:uiPriority w:val="34"/>
    <w:qFormat/>
    <w:rsid w:val="008A337E"/>
    <w:pPr>
      <w:ind w:left="720"/>
    </w:pPr>
  </w:style>
  <w:style w:type="character" w:customStyle="1" w:styleId="FooterChar">
    <w:name w:val="Footer Char"/>
    <w:basedOn w:val="DefaultParagraphFont"/>
    <w:link w:val="Footer"/>
    <w:uiPriority w:val="99"/>
    <w:rsid w:val="003E645C"/>
    <w:rPr>
      <w:sz w:val="24"/>
      <w:szCs w:val="24"/>
      <w:lang w:eastAsia="en-US" w:bidi="he-IL"/>
    </w:rPr>
  </w:style>
  <w:style w:type="paragraph" w:styleId="Revision">
    <w:name w:val="Revision"/>
    <w:hidden/>
    <w:uiPriority w:val="99"/>
    <w:semiHidden/>
    <w:rsid w:val="00662A09"/>
    <w:rPr>
      <w:sz w:val="24"/>
      <w:szCs w:val="24"/>
      <w:lang w:eastAsia="en-US" w:bidi="he-IL"/>
    </w:rPr>
  </w:style>
  <w:style w:type="paragraph" w:styleId="NoSpacing">
    <w:name w:val="No Spacing"/>
    <w:link w:val="NoSpacingChar"/>
    <w:uiPriority w:val="1"/>
    <w:qFormat/>
    <w:rsid w:val="004667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66759"/>
    <w:rPr>
      <w:rFonts w:asciiTheme="minorHAnsi" w:eastAsiaTheme="minorEastAsia" w:hAnsiTheme="minorHAnsi" w:cstheme="minorBidi"/>
      <w:sz w:val="22"/>
      <w:szCs w:val="22"/>
      <w:lang w:val="en-US" w:eastAsia="en-US"/>
    </w:rPr>
  </w:style>
  <w:style w:type="paragraph" w:styleId="Caption">
    <w:name w:val="caption"/>
    <w:basedOn w:val="Normal"/>
    <w:next w:val="Normal"/>
    <w:uiPriority w:val="35"/>
    <w:unhideWhenUsed/>
    <w:qFormat/>
    <w:rsid w:val="00D12BF9"/>
    <w:pPr>
      <w:tabs>
        <w:tab w:val="left" w:pos="1440"/>
        <w:tab w:val="decimal" w:pos="4320"/>
      </w:tabs>
      <w:outlineLvl w:val="0"/>
    </w:pPr>
    <w:rPr>
      <w:rFonts w:ascii="Calibri" w:hAnsi="Calibri"/>
      <w:b/>
      <w:szCs w:val="22"/>
      <w:lang w:eastAsia="en-NZ" w:bidi="ar-SA"/>
    </w:rPr>
  </w:style>
  <w:style w:type="character" w:customStyle="1" w:styleId="Heading1Char">
    <w:name w:val="Heading 1 Char"/>
    <w:basedOn w:val="DefaultParagraphFont"/>
    <w:link w:val="Heading1"/>
    <w:rsid w:val="00660CD0"/>
    <w:rPr>
      <w:rFonts w:asciiTheme="minorHAnsi" w:hAnsiTheme="minorHAnsi"/>
      <w:b/>
      <w:bCs/>
      <w:sz w:val="32"/>
      <w:szCs w:val="24"/>
      <w:lang w:val="en-AU" w:eastAsia="en-US"/>
    </w:rPr>
  </w:style>
  <w:style w:type="character" w:customStyle="1" w:styleId="Heading3Char">
    <w:name w:val="Heading 3 Char"/>
    <w:basedOn w:val="DefaultParagraphFont"/>
    <w:link w:val="Heading3"/>
    <w:rsid w:val="00D6435D"/>
    <w:rPr>
      <w:rFonts w:asciiTheme="minorHAnsi" w:hAnsiTheme="minorHAnsi" w:cs="Arial"/>
      <w:bCs/>
      <w:i/>
      <w:sz w:val="22"/>
      <w:szCs w:val="26"/>
      <w:lang w:eastAsia="en-US" w:bidi="he-IL"/>
    </w:rPr>
  </w:style>
  <w:style w:type="paragraph" w:styleId="NormalWeb">
    <w:name w:val="Normal (Web)"/>
    <w:basedOn w:val="Normal"/>
    <w:uiPriority w:val="99"/>
    <w:semiHidden/>
    <w:unhideWhenUsed/>
    <w:rsid w:val="00B4468A"/>
    <w:pPr>
      <w:spacing w:before="100" w:beforeAutospacing="1" w:after="100" w:afterAutospacing="1"/>
      <w:jc w:val="left"/>
    </w:pPr>
    <w:rPr>
      <w:lang w:eastAsia="en-NZ" w:bidi="ar-SA"/>
    </w:rPr>
  </w:style>
  <w:style w:type="character" w:customStyle="1" w:styleId="CommentTextChar">
    <w:name w:val="Comment Text Char"/>
    <w:basedOn w:val="DefaultParagraphFont"/>
    <w:link w:val="CommentText"/>
    <w:uiPriority w:val="99"/>
    <w:semiHidden/>
    <w:rsid w:val="00FC5E52"/>
    <w:rPr>
      <w:lang w:eastAsia="en-US" w:bidi="he-IL"/>
    </w:rPr>
  </w:style>
  <w:style w:type="character" w:customStyle="1" w:styleId="Heading2Char">
    <w:name w:val="Heading 2 Char"/>
    <w:basedOn w:val="DefaultParagraphFont"/>
    <w:link w:val="Heading2"/>
    <w:rsid w:val="00B755B3"/>
    <w:rPr>
      <w:rFonts w:asciiTheme="minorHAnsi" w:hAnsiTheme="minorHAnsi"/>
      <w:b/>
      <w:iCs/>
      <w:sz w:val="24"/>
      <w:szCs w:val="24"/>
      <w:lang w:val="en-AU" w:eastAsia="en-US"/>
    </w:rPr>
  </w:style>
  <w:style w:type="character" w:customStyle="1" w:styleId="DocumentMapChar">
    <w:name w:val="Document Map Char"/>
    <w:basedOn w:val="DefaultParagraphFont"/>
    <w:link w:val="DocumentMap"/>
    <w:uiPriority w:val="99"/>
    <w:semiHidden/>
    <w:rsid w:val="00980246"/>
    <w:rPr>
      <w:rFonts w:ascii="Tahoma" w:hAnsi="Tahoma" w:cs="Tahoma"/>
      <w:sz w:val="24"/>
      <w:szCs w:val="24"/>
      <w:shd w:val="clear" w:color="auto" w:fill="000080"/>
      <w:lang w:eastAsia="en-US" w:bidi="he-IL"/>
    </w:rPr>
  </w:style>
  <w:style w:type="character" w:customStyle="1" w:styleId="BalloonTextChar">
    <w:name w:val="Balloon Text Char"/>
    <w:basedOn w:val="DefaultParagraphFont"/>
    <w:link w:val="BalloonText"/>
    <w:uiPriority w:val="99"/>
    <w:semiHidden/>
    <w:rsid w:val="00980246"/>
    <w:rPr>
      <w:rFonts w:ascii="Tahoma" w:hAnsi="Tahoma" w:cs="Tahoma"/>
      <w:sz w:val="16"/>
      <w:szCs w:val="16"/>
      <w:lang w:eastAsia="en-US" w:bidi="he-IL"/>
    </w:rPr>
  </w:style>
  <w:style w:type="character" w:customStyle="1" w:styleId="HeaderChar">
    <w:name w:val="Header Char"/>
    <w:basedOn w:val="DefaultParagraphFont"/>
    <w:link w:val="Header"/>
    <w:uiPriority w:val="99"/>
    <w:rsid w:val="00980246"/>
    <w:rPr>
      <w:sz w:val="24"/>
      <w:szCs w:val="24"/>
      <w:lang w:eastAsia="en-US" w:bidi="he-IL"/>
    </w:rPr>
  </w:style>
  <w:style w:type="character" w:customStyle="1" w:styleId="FootnoteTextChar">
    <w:name w:val="Footnote Text Char"/>
    <w:basedOn w:val="DefaultParagraphFont"/>
    <w:link w:val="FootnoteText"/>
    <w:uiPriority w:val="99"/>
    <w:semiHidden/>
    <w:rsid w:val="00980246"/>
    <w:rPr>
      <w:lang w:eastAsia="en-US" w:bidi="he-IL"/>
    </w:rPr>
  </w:style>
  <w:style w:type="character" w:customStyle="1" w:styleId="CommentSubjectChar">
    <w:name w:val="Comment Subject Char"/>
    <w:basedOn w:val="CommentTextChar"/>
    <w:link w:val="CommentSubject"/>
    <w:uiPriority w:val="99"/>
    <w:semiHidden/>
    <w:rsid w:val="00980246"/>
    <w:rPr>
      <w:b/>
      <w:bCs/>
      <w:lang w:eastAsia="en-US" w:bidi="he-IL"/>
    </w:rPr>
  </w:style>
  <w:style w:type="character" w:customStyle="1" w:styleId="st1">
    <w:name w:val="st1"/>
    <w:basedOn w:val="DefaultParagraphFont"/>
    <w:rsid w:val="000F0EB0"/>
  </w:style>
  <w:style w:type="paragraph" w:styleId="TOCHeading">
    <w:name w:val="TOC Heading"/>
    <w:basedOn w:val="Heading1"/>
    <w:next w:val="Normal"/>
    <w:uiPriority w:val="39"/>
    <w:unhideWhenUsed/>
    <w:qFormat/>
    <w:rsid w:val="00EB2DD6"/>
    <w:pPr>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unhideWhenUsed/>
    <w:rsid w:val="00EB2DD6"/>
    <w:pPr>
      <w:spacing w:before="120"/>
      <w:jc w:val="left"/>
    </w:pPr>
    <w:rPr>
      <w:b/>
      <w:sz w:val="24"/>
    </w:rPr>
  </w:style>
  <w:style w:type="paragraph" w:styleId="TOC2">
    <w:name w:val="toc 2"/>
    <w:basedOn w:val="Normal"/>
    <w:next w:val="Normal"/>
    <w:autoRedefine/>
    <w:uiPriority w:val="39"/>
    <w:unhideWhenUsed/>
    <w:rsid w:val="00EB2DD6"/>
    <w:pPr>
      <w:ind w:left="220"/>
      <w:jc w:val="left"/>
    </w:pPr>
    <w:rPr>
      <w:b/>
      <w:szCs w:val="22"/>
    </w:rPr>
  </w:style>
  <w:style w:type="paragraph" w:styleId="TOC3">
    <w:name w:val="toc 3"/>
    <w:basedOn w:val="Normal"/>
    <w:next w:val="Normal"/>
    <w:autoRedefine/>
    <w:uiPriority w:val="39"/>
    <w:unhideWhenUsed/>
    <w:rsid w:val="00EB2DD6"/>
    <w:pPr>
      <w:ind w:left="440"/>
      <w:jc w:val="left"/>
    </w:pPr>
    <w:rPr>
      <w:szCs w:val="22"/>
    </w:rPr>
  </w:style>
  <w:style w:type="paragraph" w:styleId="TOC4">
    <w:name w:val="toc 4"/>
    <w:basedOn w:val="Normal"/>
    <w:next w:val="Normal"/>
    <w:autoRedefine/>
    <w:uiPriority w:val="39"/>
    <w:unhideWhenUsed/>
    <w:rsid w:val="00EB2DD6"/>
    <w:pPr>
      <w:ind w:left="660"/>
      <w:jc w:val="left"/>
    </w:pPr>
    <w:rPr>
      <w:sz w:val="20"/>
      <w:szCs w:val="20"/>
    </w:rPr>
  </w:style>
  <w:style w:type="paragraph" w:styleId="TOC5">
    <w:name w:val="toc 5"/>
    <w:basedOn w:val="Normal"/>
    <w:next w:val="Normal"/>
    <w:autoRedefine/>
    <w:uiPriority w:val="39"/>
    <w:unhideWhenUsed/>
    <w:rsid w:val="00EB2DD6"/>
    <w:pPr>
      <w:ind w:left="880"/>
      <w:jc w:val="left"/>
    </w:pPr>
    <w:rPr>
      <w:sz w:val="20"/>
      <w:szCs w:val="20"/>
    </w:rPr>
  </w:style>
  <w:style w:type="paragraph" w:styleId="TOC6">
    <w:name w:val="toc 6"/>
    <w:basedOn w:val="Normal"/>
    <w:next w:val="Normal"/>
    <w:autoRedefine/>
    <w:uiPriority w:val="39"/>
    <w:unhideWhenUsed/>
    <w:rsid w:val="00EB2DD6"/>
    <w:pPr>
      <w:ind w:left="1100"/>
      <w:jc w:val="left"/>
    </w:pPr>
    <w:rPr>
      <w:sz w:val="20"/>
      <w:szCs w:val="20"/>
    </w:rPr>
  </w:style>
  <w:style w:type="paragraph" w:styleId="TOC7">
    <w:name w:val="toc 7"/>
    <w:basedOn w:val="Normal"/>
    <w:next w:val="Normal"/>
    <w:autoRedefine/>
    <w:uiPriority w:val="39"/>
    <w:unhideWhenUsed/>
    <w:rsid w:val="00EB2DD6"/>
    <w:pPr>
      <w:ind w:left="1320"/>
      <w:jc w:val="left"/>
    </w:pPr>
    <w:rPr>
      <w:sz w:val="20"/>
      <w:szCs w:val="20"/>
    </w:rPr>
  </w:style>
  <w:style w:type="paragraph" w:styleId="TOC8">
    <w:name w:val="toc 8"/>
    <w:basedOn w:val="Normal"/>
    <w:next w:val="Normal"/>
    <w:autoRedefine/>
    <w:uiPriority w:val="39"/>
    <w:unhideWhenUsed/>
    <w:rsid w:val="00EB2DD6"/>
    <w:pPr>
      <w:ind w:left="1540"/>
      <w:jc w:val="left"/>
    </w:pPr>
    <w:rPr>
      <w:sz w:val="20"/>
      <w:szCs w:val="20"/>
    </w:rPr>
  </w:style>
  <w:style w:type="paragraph" w:styleId="TOC9">
    <w:name w:val="toc 9"/>
    <w:basedOn w:val="Normal"/>
    <w:next w:val="Normal"/>
    <w:autoRedefine/>
    <w:uiPriority w:val="39"/>
    <w:unhideWhenUsed/>
    <w:rsid w:val="00EB2DD6"/>
    <w:pPr>
      <w:ind w:left="1760"/>
      <w:jc w:val="left"/>
    </w:pPr>
    <w:rPr>
      <w:sz w:val="20"/>
      <w:szCs w:val="20"/>
    </w:rPr>
  </w:style>
  <w:style w:type="character" w:styleId="FollowedHyperlink">
    <w:name w:val="FollowedHyperlink"/>
    <w:basedOn w:val="DefaultParagraphFont"/>
    <w:uiPriority w:val="99"/>
    <w:semiHidden/>
    <w:unhideWhenUsed/>
    <w:rsid w:val="00040FD3"/>
    <w:rPr>
      <w:color w:val="800080" w:themeColor="followedHyperlink"/>
      <w:u w:val="single"/>
    </w:rPr>
  </w:style>
  <w:style w:type="character" w:styleId="Strong">
    <w:name w:val="Strong"/>
    <w:basedOn w:val="DefaultParagraphFont"/>
    <w:uiPriority w:val="22"/>
    <w:qFormat/>
    <w:rsid w:val="00B91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928">
      <w:bodyDiv w:val="1"/>
      <w:marLeft w:val="0"/>
      <w:marRight w:val="0"/>
      <w:marTop w:val="0"/>
      <w:marBottom w:val="0"/>
      <w:divBdr>
        <w:top w:val="none" w:sz="0" w:space="0" w:color="auto"/>
        <w:left w:val="none" w:sz="0" w:space="0" w:color="auto"/>
        <w:bottom w:val="none" w:sz="0" w:space="0" w:color="auto"/>
        <w:right w:val="none" w:sz="0" w:space="0" w:color="auto"/>
      </w:divBdr>
    </w:div>
    <w:div w:id="19481019">
      <w:bodyDiv w:val="1"/>
      <w:marLeft w:val="0"/>
      <w:marRight w:val="0"/>
      <w:marTop w:val="0"/>
      <w:marBottom w:val="0"/>
      <w:divBdr>
        <w:top w:val="none" w:sz="0" w:space="0" w:color="auto"/>
        <w:left w:val="none" w:sz="0" w:space="0" w:color="auto"/>
        <w:bottom w:val="none" w:sz="0" w:space="0" w:color="auto"/>
        <w:right w:val="none" w:sz="0" w:space="0" w:color="auto"/>
      </w:divBdr>
    </w:div>
    <w:div w:id="38747662">
      <w:bodyDiv w:val="1"/>
      <w:marLeft w:val="0"/>
      <w:marRight w:val="0"/>
      <w:marTop w:val="0"/>
      <w:marBottom w:val="0"/>
      <w:divBdr>
        <w:top w:val="none" w:sz="0" w:space="0" w:color="auto"/>
        <w:left w:val="none" w:sz="0" w:space="0" w:color="auto"/>
        <w:bottom w:val="none" w:sz="0" w:space="0" w:color="auto"/>
        <w:right w:val="none" w:sz="0" w:space="0" w:color="auto"/>
      </w:divBdr>
    </w:div>
    <w:div w:id="76247826">
      <w:bodyDiv w:val="1"/>
      <w:marLeft w:val="0"/>
      <w:marRight w:val="0"/>
      <w:marTop w:val="0"/>
      <w:marBottom w:val="0"/>
      <w:divBdr>
        <w:top w:val="none" w:sz="0" w:space="0" w:color="auto"/>
        <w:left w:val="none" w:sz="0" w:space="0" w:color="auto"/>
        <w:bottom w:val="none" w:sz="0" w:space="0" w:color="auto"/>
        <w:right w:val="none" w:sz="0" w:space="0" w:color="auto"/>
      </w:divBdr>
    </w:div>
    <w:div w:id="84424373">
      <w:bodyDiv w:val="1"/>
      <w:marLeft w:val="0"/>
      <w:marRight w:val="0"/>
      <w:marTop w:val="0"/>
      <w:marBottom w:val="0"/>
      <w:divBdr>
        <w:top w:val="none" w:sz="0" w:space="0" w:color="auto"/>
        <w:left w:val="none" w:sz="0" w:space="0" w:color="auto"/>
        <w:bottom w:val="none" w:sz="0" w:space="0" w:color="auto"/>
        <w:right w:val="none" w:sz="0" w:space="0" w:color="auto"/>
      </w:divBdr>
    </w:div>
    <w:div w:id="85268222">
      <w:bodyDiv w:val="1"/>
      <w:marLeft w:val="0"/>
      <w:marRight w:val="0"/>
      <w:marTop w:val="0"/>
      <w:marBottom w:val="0"/>
      <w:divBdr>
        <w:top w:val="none" w:sz="0" w:space="0" w:color="auto"/>
        <w:left w:val="none" w:sz="0" w:space="0" w:color="auto"/>
        <w:bottom w:val="none" w:sz="0" w:space="0" w:color="auto"/>
        <w:right w:val="none" w:sz="0" w:space="0" w:color="auto"/>
      </w:divBdr>
    </w:div>
    <w:div w:id="102263798">
      <w:bodyDiv w:val="1"/>
      <w:marLeft w:val="0"/>
      <w:marRight w:val="0"/>
      <w:marTop w:val="0"/>
      <w:marBottom w:val="0"/>
      <w:divBdr>
        <w:top w:val="none" w:sz="0" w:space="0" w:color="auto"/>
        <w:left w:val="none" w:sz="0" w:space="0" w:color="auto"/>
        <w:bottom w:val="none" w:sz="0" w:space="0" w:color="auto"/>
        <w:right w:val="none" w:sz="0" w:space="0" w:color="auto"/>
      </w:divBdr>
    </w:div>
    <w:div w:id="102530597">
      <w:bodyDiv w:val="1"/>
      <w:marLeft w:val="0"/>
      <w:marRight w:val="0"/>
      <w:marTop w:val="0"/>
      <w:marBottom w:val="0"/>
      <w:divBdr>
        <w:top w:val="none" w:sz="0" w:space="0" w:color="auto"/>
        <w:left w:val="none" w:sz="0" w:space="0" w:color="auto"/>
        <w:bottom w:val="none" w:sz="0" w:space="0" w:color="auto"/>
        <w:right w:val="none" w:sz="0" w:space="0" w:color="auto"/>
      </w:divBdr>
    </w:div>
    <w:div w:id="126162975">
      <w:bodyDiv w:val="1"/>
      <w:marLeft w:val="0"/>
      <w:marRight w:val="0"/>
      <w:marTop w:val="0"/>
      <w:marBottom w:val="0"/>
      <w:divBdr>
        <w:top w:val="none" w:sz="0" w:space="0" w:color="auto"/>
        <w:left w:val="none" w:sz="0" w:space="0" w:color="auto"/>
        <w:bottom w:val="none" w:sz="0" w:space="0" w:color="auto"/>
        <w:right w:val="none" w:sz="0" w:space="0" w:color="auto"/>
      </w:divBdr>
    </w:div>
    <w:div w:id="159154042">
      <w:bodyDiv w:val="1"/>
      <w:marLeft w:val="0"/>
      <w:marRight w:val="0"/>
      <w:marTop w:val="0"/>
      <w:marBottom w:val="0"/>
      <w:divBdr>
        <w:top w:val="none" w:sz="0" w:space="0" w:color="auto"/>
        <w:left w:val="none" w:sz="0" w:space="0" w:color="auto"/>
        <w:bottom w:val="none" w:sz="0" w:space="0" w:color="auto"/>
        <w:right w:val="none" w:sz="0" w:space="0" w:color="auto"/>
      </w:divBdr>
    </w:div>
    <w:div w:id="161507933">
      <w:bodyDiv w:val="1"/>
      <w:marLeft w:val="0"/>
      <w:marRight w:val="0"/>
      <w:marTop w:val="0"/>
      <w:marBottom w:val="0"/>
      <w:divBdr>
        <w:top w:val="none" w:sz="0" w:space="0" w:color="auto"/>
        <w:left w:val="none" w:sz="0" w:space="0" w:color="auto"/>
        <w:bottom w:val="none" w:sz="0" w:space="0" w:color="auto"/>
        <w:right w:val="none" w:sz="0" w:space="0" w:color="auto"/>
      </w:divBdr>
    </w:div>
    <w:div w:id="179466554">
      <w:bodyDiv w:val="1"/>
      <w:marLeft w:val="0"/>
      <w:marRight w:val="0"/>
      <w:marTop w:val="0"/>
      <w:marBottom w:val="0"/>
      <w:divBdr>
        <w:top w:val="none" w:sz="0" w:space="0" w:color="auto"/>
        <w:left w:val="none" w:sz="0" w:space="0" w:color="auto"/>
        <w:bottom w:val="none" w:sz="0" w:space="0" w:color="auto"/>
        <w:right w:val="none" w:sz="0" w:space="0" w:color="auto"/>
      </w:divBdr>
    </w:div>
    <w:div w:id="185949696">
      <w:bodyDiv w:val="1"/>
      <w:marLeft w:val="0"/>
      <w:marRight w:val="0"/>
      <w:marTop w:val="0"/>
      <w:marBottom w:val="0"/>
      <w:divBdr>
        <w:top w:val="none" w:sz="0" w:space="0" w:color="auto"/>
        <w:left w:val="none" w:sz="0" w:space="0" w:color="auto"/>
        <w:bottom w:val="none" w:sz="0" w:space="0" w:color="auto"/>
        <w:right w:val="none" w:sz="0" w:space="0" w:color="auto"/>
      </w:divBdr>
    </w:div>
    <w:div w:id="192309079">
      <w:bodyDiv w:val="1"/>
      <w:marLeft w:val="0"/>
      <w:marRight w:val="0"/>
      <w:marTop w:val="0"/>
      <w:marBottom w:val="0"/>
      <w:divBdr>
        <w:top w:val="none" w:sz="0" w:space="0" w:color="auto"/>
        <w:left w:val="none" w:sz="0" w:space="0" w:color="auto"/>
        <w:bottom w:val="none" w:sz="0" w:space="0" w:color="auto"/>
        <w:right w:val="none" w:sz="0" w:space="0" w:color="auto"/>
      </w:divBdr>
    </w:div>
    <w:div w:id="202524155">
      <w:bodyDiv w:val="1"/>
      <w:marLeft w:val="0"/>
      <w:marRight w:val="0"/>
      <w:marTop w:val="0"/>
      <w:marBottom w:val="0"/>
      <w:divBdr>
        <w:top w:val="none" w:sz="0" w:space="0" w:color="auto"/>
        <w:left w:val="none" w:sz="0" w:space="0" w:color="auto"/>
        <w:bottom w:val="none" w:sz="0" w:space="0" w:color="auto"/>
        <w:right w:val="none" w:sz="0" w:space="0" w:color="auto"/>
      </w:divBdr>
    </w:div>
    <w:div w:id="222373975">
      <w:bodyDiv w:val="1"/>
      <w:marLeft w:val="0"/>
      <w:marRight w:val="0"/>
      <w:marTop w:val="0"/>
      <w:marBottom w:val="0"/>
      <w:divBdr>
        <w:top w:val="none" w:sz="0" w:space="0" w:color="auto"/>
        <w:left w:val="none" w:sz="0" w:space="0" w:color="auto"/>
        <w:bottom w:val="none" w:sz="0" w:space="0" w:color="auto"/>
        <w:right w:val="none" w:sz="0" w:space="0" w:color="auto"/>
      </w:divBdr>
    </w:div>
    <w:div w:id="223108598">
      <w:bodyDiv w:val="1"/>
      <w:marLeft w:val="0"/>
      <w:marRight w:val="0"/>
      <w:marTop w:val="0"/>
      <w:marBottom w:val="0"/>
      <w:divBdr>
        <w:top w:val="none" w:sz="0" w:space="0" w:color="auto"/>
        <w:left w:val="none" w:sz="0" w:space="0" w:color="auto"/>
        <w:bottom w:val="none" w:sz="0" w:space="0" w:color="auto"/>
        <w:right w:val="none" w:sz="0" w:space="0" w:color="auto"/>
      </w:divBdr>
    </w:div>
    <w:div w:id="272791492">
      <w:bodyDiv w:val="1"/>
      <w:marLeft w:val="0"/>
      <w:marRight w:val="0"/>
      <w:marTop w:val="0"/>
      <w:marBottom w:val="0"/>
      <w:divBdr>
        <w:top w:val="none" w:sz="0" w:space="0" w:color="auto"/>
        <w:left w:val="none" w:sz="0" w:space="0" w:color="auto"/>
        <w:bottom w:val="none" w:sz="0" w:space="0" w:color="auto"/>
        <w:right w:val="none" w:sz="0" w:space="0" w:color="auto"/>
      </w:divBdr>
    </w:div>
    <w:div w:id="284509061">
      <w:bodyDiv w:val="1"/>
      <w:marLeft w:val="0"/>
      <w:marRight w:val="0"/>
      <w:marTop w:val="0"/>
      <w:marBottom w:val="0"/>
      <w:divBdr>
        <w:top w:val="none" w:sz="0" w:space="0" w:color="auto"/>
        <w:left w:val="none" w:sz="0" w:space="0" w:color="auto"/>
        <w:bottom w:val="none" w:sz="0" w:space="0" w:color="auto"/>
        <w:right w:val="none" w:sz="0" w:space="0" w:color="auto"/>
      </w:divBdr>
    </w:div>
    <w:div w:id="335575133">
      <w:bodyDiv w:val="1"/>
      <w:marLeft w:val="0"/>
      <w:marRight w:val="0"/>
      <w:marTop w:val="0"/>
      <w:marBottom w:val="0"/>
      <w:divBdr>
        <w:top w:val="none" w:sz="0" w:space="0" w:color="auto"/>
        <w:left w:val="none" w:sz="0" w:space="0" w:color="auto"/>
        <w:bottom w:val="none" w:sz="0" w:space="0" w:color="auto"/>
        <w:right w:val="none" w:sz="0" w:space="0" w:color="auto"/>
      </w:divBdr>
    </w:div>
    <w:div w:id="344863395">
      <w:bodyDiv w:val="1"/>
      <w:marLeft w:val="0"/>
      <w:marRight w:val="0"/>
      <w:marTop w:val="0"/>
      <w:marBottom w:val="0"/>
      <w:divBdr>
        <w:top w:val="none" w:sz="0" w:space="0" w:color="auto"/>
        <w:left w:val="none" w:sz="0" w:space="0" w:color="auto"/>
        <w:bottom w:val="none" w:sz="0" w:space="0" w:color="auto"/>
        <w:right w:val="none" w:sz="0" w:space="0" w:color="auto"/>
      </w:divBdr>
    </w:div>
    <w:div w:id="371273000">
      <w:bodyDiv w:val="1"/>
      <w:marLeft w:val="0"/>
      <w:marRight w:val="0"/>
      <w:marTop w:val="0"/>
      <w:marBottom w:val="0"/>
      <w:divBdr>
        <w:top w:val="none" w:sz="0" w:space="0" w:color="auto"/>
        <w:left w:val="none" w:sz="0" w:space="0" w:color="auto"/>
        <w:bottom w:val="none" w:sz="0" w:space="0" w:color="auto"/>
        <w:right w:val="none" w:sz="0" w:space="0" w:color="auto"/>
      </w:divBdr>
    </w:div>
    <w:div w:id="376468472">
      <w:bodyDiv w:val="1"/>
      <w:marLeft w:val="0"/>
      <w:marRight w:val="0"/>
      <w:marTop w:val="0"/>
      <w:marBottom w:val="0"/>
      <w:divBdr>
        <w:top w:val="none" w:sz="0" w:space="0" w:color="auto"/>
        <w:left w:val="none" w:sz="0" w:space="0" w:color="auto"/>
        <w:bottom w:val="none" w:sz="0" w:space="0" w:color="auto"/>
        <w:right w:val="none" w:sz="0" w:space="0" w:color="auto"/>
      </w:divBdr>
    </w:div>
    <w:div w:id="392124773">
      <w:bodyDiv w:val="1"/>
      <w:marLeft w:val="0"/>
      <w:marRight w:val="0"/>
      <w:marTop w:val="0"/>
      <w:marBottom w:val="0"/>
      <w:divBdr>
        <w:top w:val="none" w:sz="0" w:space="0" w:color="auto"/>
        <w:left w:val="none" w:sz="0" w:space="0" w:color="auto"/>
        <w:bottom w:val="none" w:sz="0" w:space="0" w:color="auto"/>
        <w:right w:val="none" w:sz="0" w:space="0" w:color="auto"/>
      </w:divBdr>
    </w:div>
    <w:div w:id="392968925">
      <w:bodyDiv w:val="1"/>
      <w:marLeft w:val="0"/>
      <w:marRight w:val="0"/>
      <w:marTop w:val="0"/>
      <w:marBottom w:val="0"/>
      <w:divBdr>
        <w:top w:val="none" w:sz="0" w:space="0" w:color="auto"/>
        <w:left w:val="none" w:sz="0" w:space="0" w:color="auto"/>
        <w:bottom w:val="none" w:sz="0" w:space="0" w:color="auto"/>
        <w:right w:val="none" w:sz="0" w:space="0" w:color="auto"/>
      </w:divBdr>
    </w:div>
    <w:div w:id="427428151">
      <w:bodyDiv w:val="1"/>
      <w:marLeft w:val="0"/>
      <w:marRight w:val="0"/>
      <w:marTop w:val="0"/>
      <w:marBottom w:val="0"/>
      <w:divBdr>
        <w:top w:val="none" w:sz="0" w:space="0" w:color="auto"/>
        <w:left w:val="none" w:sz="0" w:space="0" w:color="auto"/>
        <w:bottom w:val="none" w:sz="0" w:space="0" w:color="auto"/>
        <w:right w:val="none" w:sz="0" w:space="0" w:color="auto"/>
      </w:divBdr>
    </w:div>
    <w:div w:id="435903242">
      <w:bodyDiv w:val="1"/>
      <w:marLeft w:val="0"/>
      <w:marRight w:val="0"/>
      <w:marTop w:val="0"/>
      <w:marBottom w:val="0"/>
      <w:divBdr>
        <w:top w:val="none" w:sz="0" w:space="0" w:color="auto"/>
        <w:left w:val="none" w:sz="0" w:space="0" w:color="auto"/>
        <w:bottom w:val="none" w:sz="0" w:space="0" w:color="auto"/>
        <w:right w:val="none" w:sz="0" w:space="0" w:color="auto"/>
      </w:divBdr>
    </w:div>
    <w:div w:id="470173145">
      <w:bodyDiv w:val="1"/>
      <w:marLeft w:val="0"/>
      <w:marRight w:val="0"/>
      <w:marTop w:val="0"/>
      <w:marBottom w:val="0"/>
      <w:divBdr>
        <w:top w:val="none" w:sz="0" w:space="0" w:color="auto"/>
        <w:left w:val="none" w:sz="0" w:space="0" w:color="auto"/>
        <w:bottom w:val="none" w:sz="0" w:space="0" w:color="auto"/>
        <w:right w:val="none" w:sz="0" w:space="0" w:color="auto"/>
      </w:divBdr>
    </w:div>
    <w:div w:id="485169874">
      <w:bodyDiv w:val="1"/>
      <w:marLeft w:val="0"/>
      <w:marRight w:val="0"/>
      <w:marTop w:val="0"/>
      <w:marBottom w:val="0"/>
      <w:divBdr>
        <w:top w:val="none" w:sz="0" w:space="0" w:color="auto"/>
        <w:left w:val="none" w:sz="0" w:space="0" w:color="auto"/>
        <w:bottom w:val="none" w:sz="0" w:space="0" w:color="auto"/>
        <w:right w:val="none" w:sz="0" w:space="0" w:color="auto"/>
      </w:divBdr>
    </w:div>
    <w:div w:id="489440742">
      <w:bodyDiv w:val="1"/>
      <w:marLeft w:val="0"/>
      <w:marRight w:val="0"/>
      <w:marTop w:val="0"/>
      <w:marBottom w:val="0"/>
      <w:divBdr>
        <w:top w:val="none" w:sz="0" w:space="0" w:color="auto"/>
        <w:left w:val="none" w:sz="0" w:space="0" w:color="auto"/>
        <w:bottom w:val="none" w:sz="0" w:space="0" w:color="auto"/>
        <w:right w:val="none" w:sz="0" w:space="0" w:color="auto"/>
      </w:divBdr>
    </w:div>
    <w:div w:id="495536934">
      <w:bodyDiv w:val="1"/>
      <w:marLeft w:val="0"/>
      <w:marRight w:val="0"/>
      <w:marTop w:val="0"/>
      <w:marBottom w:val="0"/>
      <w:divBdr>
        <w:top w:val="none" w:sz="0" w:space="0" w:color="auto"/>
        <w:left w:val="none" w:sz="0" w:space="0" w:color="auto"/>
        <w:bottom w:val="none" w:sz="0" w:space="0" w:color="auto"/>
        <w:right w:val="none" w:sz="0" w:space="0" w:color="auto"/>
      </w:divBdr>
    </w:div>
    <w:div w:id="536046593">
      <w:bodyDiv w:val="1"/>
      <w:marLeft w:val="0"/>
      <w:marRight w:val="0"/>
      <w:marTop w:val="0"/>
      <w:marBottom w:val="0"/>
      <w:divBdr>
        <w:top w:val="none" w:sz="0" w:space="0" w:color="auto"/>
        <w:left w:val="none" w:sz="0" w:space="0" w:color="auto"/>
        <w:bottom w:val="none" w:sz="0" w:space="0" w:color="auto"/>
        <w:right w:val="none" w:sz="0" w:space="0" w:color="auto"/>
      </w:divBdr>
    </w:div>
    <w:div w:id="540477751">
      <w:bodyDiv w:val="1"/>
      <w:marLeft w:val="0"/>
      <w:marRight w:val="0"/>
      <w:marTop w:val="0"/>
      <w:marBottom w:val="0"/>
      <w:divBdr>
        <w:top w:val="none" w:sz="0" w:space="0" w:color="auto"/>
        <w:left w:val="none" w:sz="0" w:space="0" w:color="auto"/>
        <w:bottom w:val="none" w:sz="0" w:space="0" w:color="auto"/>
        <w:right w:val="none" w:sz="0" w:space="0" w:color="auto"/>
      </w:divBdr>
    </w:div>
    <w:div w:id="551766636">
      <w:bodyDiv w:val="1"/>
      <w:marLeft w:val="0"/>
      <w:marRight w:val="0"/>
      <w:marTop w:val="0"/>
      <w:marBottom w:val="0"/>
      <w:divBdr>
        <w:top w:val="none" w:sz="0" w:space="0" w:color="auto"/>
        <w:left w:val="none" w:sz="0" w:space="0" w:color="auto"/>
        <w:bottom w:val="none" w:sz="0" w:space="0" w:color="auto"/>
        <w:right w:val="none" w:sz="0" w:space="0" w:color="auto"/>
      </w:divBdr>
    </w:div>
    <w:div w:id="564297079">
      <w:bodyDiv w:val="1"/>
      <w:marLeft w:val="0"/>
      <w:marRight w:val="0"/>
      <w:marTop w:val="0"/>
      <w:marBottom w:val="0"/>
      <w:divBdr>
        <w:top w:val="none" w:sz="0" w:space="0" w:color="auto"/>
        <w:left w:val="none" w:sz="0" w:space="0" w:color="auto"/>
        <w:bottom w:val="none" w:sz="0" w:space="0" w:color="auto"/>
        <w:right w:val="none" w:sz="0" w:space="0" w:color="auto"/>
      </w:divBdr>
    </w:div>
    <w:div w:id="583807671">
      <w:bodyDiv w:val="1"/>
      <w:marLeft w:val="0"/>
      <w:marRight w:val="0"/>
      <w:marTop w:val="0"/>
      <w:marBottom w:val="0"/>
      <w:divBdr>
        <w:top w:val="none" w:sz="0" w:space="0" w:color="auto"/>
        <w:left w:val="none" w:sz="0" w:space="0" w:color="auto"/>
        <w:bottom w:val="none" w:sz="0" w:space="0" w:color="auto"/>
        <w:right w:val="none" w:sz="0" w:space="0" w:color="auto"/>
      </w:divBdr>
    </w:div>
    <w:div w:id="594364621">
      <w:bodyDiv w:val="1"/>
      <w:marLeft w:val="0"/>
      <w:marRight w:val="0"/>
      <w:marTop w:val="0"/>
      <w:marBottom w:val="0"/>
      <w:divBdr>
        <w:top w:val="none" w:sz="0" w:space="0" w:color="auto"/>
        <w:left w:val="none" w:sz="0" w:space="0" w:color="auto"/>
        <w:bottom w:val="none" w:sz="0" w:space="0" w:color="auto"/>
        <w:right w:val="none" w:sz="0" w:space="0" w:color="auto"/>
      </w:divBdr>
    </w:div>
    <w:div w:id="606347335">
      <w:bodyDiv w:val="1"/>
      <w:marLeft w:val="0"/>
      <w:marRight w:val="0"/>
      <w:marTop w:val="0"/>
      <w:marBottom w:val="0"/>
      <w:divBdr>
        <w:top w:val="none" w:sz="0" w:space="0" w:color="auto"/>
        <w:left w:val="none" w:sz="0" w:space="0" w:color="auto"/>
        <w:bottom w:val="none" w:sz="0" w:space="0" w:color="auto"/>
        <w:right w:val="none" w:sz="0" w:space="0" w:color="auto"/>
      </w:divBdr>
    </w:div>
    <w:div w:id="607784361">
      <w:bodyDiv w:val="1"/>
      <w:marLeft w:val="0"/>
      <w:marRight w:val="0"/>
      <w:marTop w:val="0"/>
      <w:marBottom w:val="0"/>
      <w:divBdr>
        <w:top w:val="none" w:sz="0" w:space="0" w:color="auto"/>
        <w:left w:val="none" w:sz="0" w:space="0" w:color="auto"/>
        <w:bottom w:val="none" w:sz="0" w:space="0" w:color="auto"/>
        <w:right w:val="none" w:sz="0" w:space="0" w:color="auto"/>
      </w:divBdr>
    </w:div>
    <w:div w:id="616957520">
      <w:bodyDiv w:val="1"/>
      <w:marLeft w:val="0"/>
      <w:marRight w:val="0"/>
      <w:marTop w:val="0"/>
      <w:marBottom w:val="0"/>
      <w:divBdr>
        <w:top w:val="none" w:sz="0" w:space="0" w:color="auto"/>
        <w:left w:val="none" w:sz="0" w:space="0" w:color="auto"/>
        <w:bottom w:val="none" w:sz="0" w:space="0" w:color="auto"/>
        <w:right w:val="none" w:sz="0" w:space="0" w:color="auto"/>
      </w:divBdr>
    </w:div>
    <w:div w:id="617300200">
      <w:bodyDiv w:val="1"/>
      <w:marLeft w:val="0"/>
      <w:marRight w:val="0"/>
      <w:marTop w:val="0"/>
      <w:marBottom w:val="0"/>
      <w:divBdr>
        <w:top w:val="none" w:sz="0" w:space="0" w:color="auto"/>
        <w:left w:val="none" w:sz="0" w:space="0" w:color="auto"/>
        <w:bottom w:val="none" w:sz="0" w:space="0" w:color="auto"/>
        <w:right w:val="none" w:sz="0" w:space="0" w:color="auto"/>
      </w:divBdr>
    </w:div>
    <w:div w:id="622423575">
      <w:bodyDiv w:val="1"/>
      <w:marLeft w:val="0"/>
      <w:marRight w:val="0"/>
      <w:marTop w:val="0"/>
      <w:marBottom w:val="0"/>
      <w:divBdr>
        <w:top w:val="none" w:sz="0" w:space="0" w:color="auto"/>
        <w:left w:val="none" w:sz="0" w:space="0" w:color="auto"/>
        <w:bottom w:val="none" w:sz="0" w:space="0" w:color="auto"/>
        <w:right w:val="none" w:sz="0" w:space="0" w:color="auto"/>
      </w:divBdr>
    </w:div>
    <w:div w:id="625041465">
      <w:bodyDiv w:val="1"/>
      <w:marLeft w:val="0"/>
      <w:marRight w:val="0"/>
      <w:marTop w:val="0"/>
      <w:marBottom w:val="0"/>
      <w:divBdr>
        <w:top w:val="none" w:sz="0" w:space="0" w:color="auto"/>
        <w:left w:val="none" w:sz="0" w:space="0" w:color="auto"/>
        <w:bottom w:val="none" w:sz="0" w:space="0" w:color="auto"/>
        <w:right w:val="none" w:sz="0" w:space="0" w:color="auto"/>
      </w:divBdr>
    </w:div>
    <w:div w:id="639649485">
      <w:bodyDiv w:val="1"/>
      <w:marLeft w:val="0"/>
      <w:marRight w:val="0"/>
      <w:marTop w:val="0"/>
      <w:marBottom w:val="0"/>
      <w:divBdr>
        <w:top w:val="none" w:sz="0" w:space="0" w:color="auto"/>
        <w:left w:val="none" w:sz="0" w:space="0" w:color="auto"/>
        <w:bottom w:val="none" w:sz="0" w:space="0" w:color="auto"/>
        <w:right w:val="none" w:sz="0" w:space="0" w:color="auto"/>
      </w:divBdr>
    </w:div>
    <w:div w:id="678778954">
      <w:bodyDiv w:val="1"/>
      <w:marLeft w:val="0"/>
      <w:marRight w:val="0"/>
      <w:marTop w:val="0"/>
      <w:marBottom w:val="0"/>
      <w:divBdr>
        <w:top w:val="none" w:sz="0" w:space="0" w:color="auto"/>
        <w:left w:val="none" w:sz="0" w:space="0" w:color="auto"/>
        <w:bottom w:val="none" w:sz="0" w:space="0" w:color="auto"/>
        <w:right w:val="none" w:sz="0" w:space="0" w:color="auto"/>
      </w:divBdr>
    </w:div>
    <w:div w:id="680666851">
      <w:bodyDiv w:val="1"/>
      <w:marLeft w:val="0"/>
      <w:marRight w:val="0"/>
      <w:marTop w:val="0"/>
      <w:marBottom w:val="0"/>
      <w:divBdr>
        <w:top w:val="none" w:sz="0" w:space="0" w:color="auto"/>
        <w:left w:val="none" w:sz="0" w:space="0" w:color="auto"/>
        <w:bottom w:val="none" w:sz="0" w:space="0" w:color="auto"/>
        <w:right w:val="none" w:sz="0" w:space="0" w:color="auto"/>
      </w:divBdr>
    </w:div>
    <w:div w:id="684209710">
      <w:bodyDiv w:val="1"/>
      <w:marLeft w:val="0"/>
      <w:marRight w:val="0"/>
      <w:marTop w:val="0"/>
      <w:marBottom w:val="0"/>
      <w:divBdr>
        <w:top w:val="none" w:sz="0" w:space="0" w:color="auto"/>
        <w:left w:val="none" w:sz="0" w:space="0" w:color="auto"/>
        <w:bottom w:val="none" w:sz="0" w:space="0" w:color="auto"/>
        <w:right w:val="none" w:sz="0" w:space="0" w:color="auto"/>
      </w:divBdr>
    </w:div>
    <w:div w:id="741683391">
      <w:bodyDiv w:val="1"/>
      <w:marLeft w:val="0"/>
      <w:marRight w:val="0"/>
      <w:marTop w:val="0"/>
      <w:marBottom w:val="0"/>
      <w:divBdr>
        <w:top w:val="none" w:sz="0" w:space="0" w:color="auto"/>
        <w:left w:val="none" w:sz="0" w:space="0" w:color="auto"/>
        <w:bottom w:val="none" w:sz="0" w:space="0" w:color="auto"/>
        <w:right w:val="none" w:sz="0" w:space="0" w:color="auto"/>
      </w:divBdr>
    </w:div>
    <w:div w:id="748892588">
      <w:bodyDiv w:val="1"/>
      <w:marLeft w:val="0"/>
      <w:marRight w:val="0"/>
      <w:marTop w:val="0"/>
      <w:marBottom w:val="0"/>
      <w:divBdr>
        <w:top w:val="none" w:sz="0" w:space="0" w:color="auto"/>
        <w:left w:val="none" w:sz="0" w:space="0" w:color="auto"/>
        <w:bottom w:val="none" w:sz="0" w:space="0" w:color="auto"/>
        <w:right w:val="none" w:sz="0" w:space="0" w:color="auto"/>
      </w:divBdr>
    </w:div>
    <w:div w:id="750977737">
      <w:bodyDiv w:val="1"/>
      <w:marLeft w:val="0"/>
      <w:marRight w:val="0"/>
      <w:marTop w:val="0"/>
      <w:marBottom w:val="0"/>
      <w:divBdr>
        <w:top w:val="none" w:sz="0" w:space="0" w:color="auto"/>
        <w:left w:val="none" w:sz="0" w:space="0" w:color="auto"/>
        <w:bottom w:val="none" w:sz="0" w:space="0" w:color="auto"/>
        <w:right w:val="none" w:sz="0" w:space="0" w:color="auto"/>
      </w:divBdr>
    </w:div>
    <w:div w:id="785735159">
      <w:bodyDiv w:val="1"/>
      <w:marLeft w:val="0"/>
      <w:marRight w:val="0"/>
      <w:marTop w:val="0"/>
      <w:marBottom w:val="0"/>
      <w:divBdr>
        <w:top w:val="none" w:sz="0" w:space="0" w:color="auto"/>
        <w:left w:val="none" w:sz="0" w:space="0" w:color="auto"/>
        <w:bottom w:val="none" w:sz="0" w:space="0" w:color="auto"/>
        <w:right w:val="none" w:sz="0" w:space="0" w:color="auto"/>
      </w:divBdr>
    </w:div>
    <w:div w:id="786702691">
      <w:bodyDiv w:val="1"/>
      <w:marLeft w:val="0"/>
      <w:marRight w:val="0"/>
      <w:marTop w:val="0"/>
      <w:marBottom w:val="0"/>
      <w:divBdr>
        <w:top w:val="none" w:sz="0" w:space="0" w:color="auto"/>
        <w:left w:val="none" w:sz="0" w:space="0" w:color="auto"/>
        <w:bottom w:val="none" w:sz="0" w:space="0" w:color="auto"/>
        <w:right w:val="none" w:sz="0" w:space="0" w:color="auto"/>
      </w:divBdr>
    </w:div>
    <w:div w:id="835153733">
      <w:bodyDiv w:val="1"/>
      <w:marLeft w:val="0"/>
      <w:marRight w:val="0"/>
      <w:marTop w:val="0"/>
      <w:marBottom w:val="0"/>
      <w:divBdr>
        <w:top w:val="none" w:sz="0" w:space="0" w:color="auto"/>
        <w:left w:val="none" w:sz="0" w:space="0" w:color="auto"/>
        <w:bottom w:val="none" w:sz="0" w:space="0" w:color="auto"/>
        <w:right w:val="none" w:sz="0" w:space="0" w:color="auto"/>
      </w:divBdr>
    </w:div>
    <w:div w:id="846872152">
      <w:bodyDiv w:val="1"/>
      <w:marLeft w:val="0"/>
      <w:marRight w:val="0"/>
      <w:marTop w:val="0"/>
      <w:marBottom w:val="0"/>
      <w:divBdr>
        <w:top w:val="none" w:sz="0" w:space="0" w:color="auto"/>
        <w:left w:val="none" w:sz="0" w:space="0" w:color="auto"/>
        <w:bottom w:val="none" w:sz="0" w:space="0" w:color="auto"/>
        <w:right w:val="none" w:sz="0" w:space="0" w:color="auto"/>
      </w:divBdr>
    </w:div>
    <w:div w:id="866210767">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82207444">
      <w:bodyDiv w:val="1"/>
      <w:marLeft w:val="0"/>
      <w:marRight w:val="0"/>
      <w:marTop w:val="0"/>
      <w:marBottom w:val="0"/>
      <w:divBdr>
        <w:top w:val="none" w:sz="0" w:space="0" w:color="auto"/>
        <w:left w:val="none" w:sz="0" w:space="0" w:color="auto"/>
        <w:bottom w:val="none" w:sz="0" w:space="0" w:color="auto"/>
        <w:right w:val="none" w:sz="0" w:space="0" w:color="auto"/>
      </w:divBdr>
    </w:div>
    <w:div w:id="883174431">
      <w:bodyDiv w:val="1"/>
      <w:marLeft w:val="0"/>
      <w:marRight w:val="0"/>
      <w:marTop w:val="0"/>
      <w:marBottom w:val="0"/>
      <w:divBdr>
        <w:top w:val="none" w:sz="0" w:space="0" w:color="auto"/>
        <w:left w:val="none" w:sz="0" w:space="0" w:color="auto"/>
        <w:bottom w:val="none" w:sz="0" w:space="0" w:color="auto"/>
        <w:right w:val="none" w:sz="0" w:space="0" w:color="auto"/>
      </w:divBdr>
    </w:div>
    <w:div w:id="885525327">
      <w:bodyDiv w:val="1"/>
      <w:marLeft w:val="0"/>
      <w:marRight w:val="0"/>
      <w:marTop w:val="0"/>
      <w:marBottom w:val="0"/>
      <w:divBdr>
        <w:top w:val="none" w:sz="0" w:space="0" w:color="auto"/>
        <w:left w:val="none" w:sz="0" w:space="0" w:color="auto"/>
        <w:bottom w:val="none" w:sz="0" w:space="0" w:color="auto"/>
        <w:right w:val="none" w:sz="0" w:space="0" w:color="auto"/>
      </w:divBdr>
    </w:div>
    <w:div w:id="900865114">
      <w:bodyDiv w:val="1"/>
      <w:marLeft w:val="0"/>
      <w:marRight w:val="0"/>
      <w:marTop w:val="0"/>
      <w:marBottom w:val="0"/>
      <w:divBdr>
        <w:top w:val="none" w:sz="0" w:space="0" w:color="auto"/>
        <w:left w:val="none" w:sz="0" w:space="0" w:color="auto"/>
        <w:bottom w:val="none" w:sz="0" w:space="0" w:color="auto"/>
        <w:right w:val="none" w:sz="0" w:space="0" w:color="auto"/>
      </w:divBdr>
    </w:div>
    <w:div w:id="906958943">
      <w:bodyDiv w:val="1"/>
      <w:marLeft w:val="0"/>
      <w:marRight w:val="0"/>
      <w:marTop w:val="0"/>
      <w:marBottom w:val="0"/>
      <w:divBdr>
        <w:top w:val="none" w:sz="0" w:space="0" w:color="auto"/>
        <w:left w:val="none" w:sz="0" w:space="0" w:color="auto"/>
        <w:bottom w:val="none" w:sz="0" w:space="0" w:color="auto"/>
        <w:right w:val="none" w:sz="0" w:space="0" w:color="auto"/>
      </w:divBdr>
    </w:div>
    <w:div w:id="939877521">
      <w:bodyDiv w:val="1"/>
      <w:marLeft w:val="0"/>
      <w:marRight w:val="0"/>
      <w:marTop w:val="0"/>
      <w:marBottom w:val="0"/>
      <w:divBdr>
        <w:top w:val="none" w:sz="0" w:space="0" w:color="auto"/>
        <w:left w:val="none" w:sz="0" w:space="0" w:color="auto"/>
        <w:bottom w:val="none" w:sz="0" w:space="0" w:color="auto"/>
        <w:right w:val="none" w:sz="0" w:space="0" w:color="auto"/>
      </w:divBdr>
    </w:div>
    <w:div w:id="955404821">
      <w:bodyDiv w:val="1"/>
      <w:marLeft w:val="0"/>
      <w:marRight w:val="0"/>
      <w:marTop w:val="0"/>
      <w:marBottom w:val="0"/>
      <w:divBdr>
        <w:top w:val="none" w:sz="0" w:space="0" w:color="auto"/>
        <w:left w:val="none" w:sz="0" w:space="0" w:color="auto"/>
        <w:bottom w:val="none" w:sz="0" w:space="0" w:color="auto"/>
        <w:right w:val="none" w:sz="0" w:space="0" w:color="auto"/>
      </w:divBdr>
    </w:div>
    <w:div w:id="956255367">
      <w:bodyDiv w:val="1"/>
      <w:marLeft w:val="0"/>
      <w:marRight w:val="0"/>
      <w:marTop w:val="0"/>
      <w:marBottom w:val="0"/>
      <w:divBdr>
        <w:top w:val="none" w:sz="0" w:space="0" w:color="auto"/>
        <w:left w:val="none" w:sz="0" w:space="0" w:color="auto"/>
        <w:bottom w:val="none" w:sz="0" w:space="0" w:color="auto"/>
        <w:right w:val="none" w:sz="0" w:space="0" w:color="auto"/>
      </w:divBdr>
    </w:div>
    <w:div w:id="962731312">
      <w:bodyDiv w:val="1"/>
      <w:marLeft w:val="0"/>
      <w:marRight w:val="0"/>
      <w:marTop w:val="0"/>
      <w:marBottom w:val="0"/>
      <w:divBdr>
        <w:top w:val="none" w:sz="0" w:space="0" w:color="auto"/>
        <w:left w:val="none" w:sz="0" w:space="0" w:color="auto"/>
        <w:bottom w:val="none" w:sz="0" w:space="0" w:color="auto"/>
        <w:right w:val="none" w:sz="0" w:space="0" w:color="auto"/>
      </w:divBdr>
    </w:div>
    <w:div w:id="964429473">
      <w:bodyDiv w:val="1"/>
      <w:marLeft w:val="0"/>
      <w:marRight w:val="0"/>
      <w:marTop w:val="0"/>
      <w:marBottom w:val="0"/>
      <w:divBdr>
        <w:top w:val="none" w:sz="0" w:space="0" w:color="auto"/>
        <w:left w:val="none" w:sz="0" w:space="0" w:color="auto"/>
        <w:bottom w:val="none" w:sz="0" w:space="0" w:color="auto"/>
        <w:right w:val="none" w:sz="0" w:space="0" w:color="auto"/>
      </w:divBdr>
    </w:div>
    <w:div w:id="972561551">
      <w:bodyDiv w:val="1"/>
      <w:marLeft w:val="0"/>
      <w:marRight w:val="0"/>
      <w:marTop w:val="0"/>
      <w:marBottom w:val="0"/>
      <w:divBdr>
        <w:top w:val="none" w:sz="0" w:space="0" w:color="auto"/>
        <w:left w:val="none" w:sz="0" w:space="0" w:color="auto"/>
        <w:bottom w:val="none" w:sz="0" w:space="0" w:color="auto"/>
        <w:right w:val="none" w:sz="0" w:space="0" w:color="auto"/>
      </w:divBdr>
    </w:div>
    <w:div w:id="979459647">
      <w:bodyDiv w:val="1"/>
      <w:marLeft w:val="0"/>
      <w:marRight w:val="0"/>
      <w:marTop w:val="0"/>
      <w:marBottom w:val="0"/>
      <w:divBdr>
        <w:top w:val="none" w:sz="0" w:space="0" w:color="auto"/>
        <w:left w:val="none" w:sz="0" w:space="0" w:color="auto"/>
        <w:bottom w:val="none" w:sz="0" w:space="0" w:color="auto"/>
        <w:right w:val="none" w:sz="0" w:space="0" w:color="auto"/>
      </w:divBdr>
    </w:div>
    <w:div w:id="988751847">
      <w:bodyDiv w:val="1"/>
      <w:marLeft w:val="0"/>
      <w:marRight w:val="0"/>
      <w:marTop w:val="0"/>
      <w:marBottom w:val="0"/>
      <w:divBdr>
        <w:top w:val="none" w:sz="0" w:space="0" w:color="auto"/>
        <w:left w:val="none" w:sz="0" w:space="0" w:color="auto"/>
        <w:bottom w:val="none" w:sz="0" w:space="0" w:color="auto"/>
        <w:right w:val="none" w:sz="0" w:space="0" w:color="auto"/>
      </w:divBdr>
    </w:div>
    <w:div w:id="994457040">
      <w:bodyDiv w:val="1"/>
      <w:marLeft w:val="0"/>
      <w:marRight w:val="0"/>
      <w:marTop w:val="0"/>
      <w:marBottom w:val="0"/>
      <w:divBdr>
        <w:top w:val="none" w:sz="0" w:space="0" w:color="auto"/>
        <w:left w:val="none" w:sz="0" w:space="0" w:color="auto"/>
        <w:bottom w:val="none" w:sz="0" w:space="0" w:color="auto"/>
        <w:right w:val="none" w:sz="0" w:space="0" w:color="auto"/>
      </w:divBdr>
    </w:div>
    <w:div w:id="1036733613">
      <w:bodyDiv w:val="1"/>
      <w:marLeft w:val="0"/>
      <w:marRight w:val="0"/>
      <w:marTop w:val="0"/>
      <w:marBottom w:val="0"/>
      <w:divBdr>
        <w:top w:val="none" w:sz="0" w:space="0" w:color="auto"/>
        <w:left w:val="none" w:sz="0" w:space="0" w:color="auto"/>
        <w:bottom w:val="none" w:sz="0" w:space="0" w:color="auto"/>
        <w:right w:val="none" w:sz="0" w:space="0" w:color="auto"/>
      </w:divBdr>
    </w:div>
    <w:div w:id="1075905500">
      <w:bodyDiv w:val="1"/>
      <w:marLeft w:val="0"/>
      <w:marRight w:val="0"/>
      <w:marTop w:val="0"/>
      <w:marBottom w:val="0"/>
      <w:divBdr>
        <w:top w:val="none" w:sz="0" w:space="0" w:color="auto"/>
        <w:left w:val="none" w:sz="0" w:space="0" w:color="auto"/>
        <w:bottom w:val="none" w:sz="0" w:space="0" w:color="auto"/>
        <w:right w:val="none" w:sz="0" w:space="0" w:color="auto"/>
      </w:divBdr>
    </w:div>
    <w:div w:id="1081484683">
      <w:bodyDiv w:val="1"/>
      <w:marLeft w:val="0"/>
      <w:marRight w:val="0"/>
      <w:marTop w:val="0"/>
      <w:marBottom w:val="0"/>
      <w:divBdr>
        <w:top w:val="none" w:sz="0" w:space="0" w:color="auto"/>
        <w:left w:val="none" w:sz="0" w:space="0" w:color="auto"/>
        <w:bottom w:val="none" w:sz="0" w:space="0" w:color="auto"/>
        <w:right w:val="none" w:sz="0" w:space="0" w:color="auto"/>
      </w:divBdr>
    </w:div>
    <w:div w:id="1085687701">
      <w:bodyDiv w:val="1"/>
      <w:marLeft w:val="0"/>
      <w:marRight w:val="0"/>
      <w:marTop w:val="0"/>
      <w:marBottom w:val="0"/>
      <w:divBdr>
        <w:top w:val="none" w:sz="0" w:space="0" w:color="auto"/>
        <w:left w:val="none" w:sz="0" w:space="0" w:color="auto"/>
        <w:bottom w:val="none" w:sz="0" w:space="0" w:color="auto"/>
        <w:right w:val="none" w:sz="0" w:space="0" w:color="auto"/>
      </w:divBdr>
    </w:div>
    <w:div w:id="1093430065">
      <w:bodyDiv w:val="1"/>
      <w:marLeft w:val="0"/>
      <w:marRight w:val="0"/>
      <w:marTop w:val="0"/>
      <w:marBottom w:val="0"/>
      <w:divBdr>
        <w:top w:val="none" w:sz="0" w:space="0" w:color="auto"/>
        <w:left w:val="none" w:sz="0" w:space="0" w:color="auto"/>
        <w:bottom w:val="none" w:sz="0" w:space="0" w:color="auto"/>
        <w:right w:val="none" w:sz="0" w:space="0" w:color="auto"/>
      </w:divBdr>
    </w:div>
    <w:div w:id="1113329861">
      <w:bodyDiv w:val="1"/>
      <w:marLeft w:val="0"/>
      <w:marRight w:val="0"/>
      <w:marTop w:val="0"/>
      <w:marBottom w:val="0"/>
      <w:divBdr>
        <w:top w:val="none" w:sz="0" w:space="0" w:color="auto"/>
        <w:left w:val="none" w:sz="0" w:space="0" w:color="auto"/>
        <w:bottom w:val="none" w:sz="0" w:space="0" w:color="auto"/>
        <w:right w:val="none" w:sz="0" w:space="0" w:color="auto"/>
      </w:divBdr>
    </w:div>
    <w:div w:id="1139416818">
      <w:bodyDiv w:val="1"/>
      <w:marLeft w:val="0"/>
      <w:marRight w:val="0"/>
      <w:marTop w:val="0"/>
      <w:marBottom w:val="0"/>
      <w:divBdr>
        <w:top w:val="none" w:sz="0" w:space="0" w:color="auto"/>
        <w:left w:val="none" w:sz="0" w:space="0" w:color="auto"/>
        <w:bottom w:val="none" w:sz="0" w:space="0" w:color="auto"/>
        <w:right w:val="none" w:sz="0" w:space="0" w:color="auto"/>
      </w:divBdr>
    </w:div>
    <w:div w:id="1140883424">
      <w:bodyDiv w:val="1"/>
      <w:marLeft w:val="0"/>
      <w:marRight w:val="0"/>
      <w:marTop w:val="0"/>
      <w:marBottom w:val="0"/>
      <w:divBdr>
        <w:top w:val="none" w:sz="0" w:space="0" w:color="auto"/>
        <w:left w:val="none" w:sz="0" w:space="0" w:color="auto"/>
        <w:bottom w:val="none" w:sz="0" w:space="0" w:color="auto"/>
        <w:right w:val="none" w:sz="0" w:space="0" w:color="auto"/>
      </w:divBdr>
    </w:div>
    <w:div w:id="1146362878">
      <w:bodyDiv w:val="1"/>
      <w:marLeft w:val="0"/>
      <w:marRight w:val="0"/>
      <w:marTop w:val="0"/>
      <w:marBottom w:val="0"/>
      <w:divBdr>
        <w:top w:val="none" w:sz="0" w:space="0" w:color="auto"/>
        <w:left w:val="none" w:sz="0" w:space="0" w:color="auto"/>
        <w:bottom w:val="none" w:sz="0" w:space="0" w:color="auto"/>
        <w:right w:val="none" w:sz="0" w:space="0" w:color="auto"/>
      </w:divBdr>
    </w:div>
    <w:div w:id="1182085370">
      <w:bodyDiv w:val="1"/>
      <w:marLeft w:val="0"/>
      <w:marRight w:val="0"/>
      <w:marTop w:val="0"/>
      <w:marBottom w:val="0"/>
      <w:divBdr>
        <w:top w:val="none" w:sz="0" w:space="0" w:color="auto"/>
        <w:left w:val="none" w:sz="0" w:space="0" w:color="auto"/>
        <w:bottom w:val="none" w:sz="0" w:space="0" w:color="auto"/>
        <w:right w:val="none" w:sz="0" w:space="0" w:color="auto"/>
      </w:divBdr>
    </w:div>
    <w:div w:id="1184437852">
      <w:bodyDiv w:val="1"/>
      <w:marLeft w:val="0"/>
      <w:marRight w:val="0"/>
      <w:marTop w:val="0"/>
      <w:marBottom w:val="0"/>
      <w:divBdr>
        <w:top w:val="none" w:sz="0" w:space="0" w:color="auto"/>
        <w:left w:val="none" w:sz="0" w:space="0" w:color="auto"/>
        <w:bottom w:val="none" w:sz="0" w:space="0" w:color="auto"/>
        <w:right w:val="none" w:sz="0" w:space="0" w:color="auto"/>
      </w:divBdr>
    </w:div>
    <w:div w:id="1184437999">
      <w:bodyDiv w:val="1"/>
      <w:marLeft w:val="0"/>
      <w:marRight w:val="0"/>
      <w:marTop w:val="0"/>
      <w:marBottom w:val="0"/>
      <w:divBdr>
        <w:top w:val="none" w:sz="0" w:space="0" w:color="auto"/>
        <w:left w:val="none" w:sz="0" w:space="0" w:color="auto"/>
        <w:bottom w:val="none" w:sz="0" w:space="0" w:color="auto"/>
        <w:right w:val="none" w:sz="0" w:space="0" w:color="auto"/>
      </w:divBdr>
    </w:div>
    <w:div w:id="1266155613">
      <w:bodyDiv w:val="1"/>
      <w:marLeft w:val="0"/>
      <w:marRight w:val="0"/>
      <w:marTop w:val="0"/>
      <w:marBottom w:val="0"/>
      <w:divBdr>
        <w:top w:val="none" w:sz="0" w:space="0" w:color="auto"/>
        <w:left w:val="none" w:sz="0" w:space="0" w:color="auto"/>
        <w:bottom w:val="none" w:sz="0" w:space="0" w:color="auto"/>
        <w:right w:val="none" w:sz="0" w:space="0" w:color="auto"/>
      </w:divBdr>
    </w:div>
    <w:div w:id="1278678403">
      <w:bodyDiv w:val="1"/>
      <w:marLeft w:val="0"/>
      <w:marRight w:val="0"/>
      <w:marTop w:val="0"/>
      <w:marBottom w:val="0"/>
      <w:divBdr>
        <w:top w:val="none" w:sz="0" w:space="0" w:color="auto"/>
        <w:left w:val="none" w:sz="0" w:space="0" w:color="auto"/>
        <w:bottom w:val="none" w:sz="0" w:space="0" w:color="auto"/>
        <w:right w:val="none" w:sz="0" w:space="0" w:color="auto"/>
      </w:divBdr>
    </w:div>
    <w:div w:id="1294822561">
      <w:bodyDiv w:val="1"/>
      <w:marLeft w:val="0"/>
      <w:marRight w:val="0"/>
      <w:marTop w:val="0"/>
      <w:marBottom w:val="0"/>
      <w:divBdr>
        <w:top w:val="none" w:sz="0" w:space="0" w:color="auto"/>
        <w:left w:val="none" w:sz="0" w:space="0" w:color="auto"/>
        <w:bottom w:val="none" w:sz="0" w:space="0" w:color="auto"/>
        <w:right w:val="none" w:sz="0" w:space="0" w:color="auto"/>
      </w:divBdr>
    </w:div>
    <w:div w:id="1299804626">
      <w:bodyDiv w:val="1"/>
      <w:marLeft w:val="0"/>
      <w:marRight w:val="0"/>
      <w:marTop w:val="0"/>
      <w:marBottom w:val="0"/>
      <w:divBdr>
        <w:top w:val="none" w:sz="0" w:space="0" w:color="auto"/>
        <w:left w:val="none" w:sz="0" w:space="0" w:color="auto"/>
        <w:bottom w:val="none" w:sz="0" w:space="0" w:color="auto"/>
        <w:right w:val="none" w:sz="0" w:space="0" w:color="auto"/>
      </w:divBdr>
    </w:div>
    <w:div w:id="1300300477">
      <w:bodyDiv w:val="1"/>
      <w:marLeft w:val="0"/>
      <w:marRight w:val="0"/>
      <w:marTop w:val="0"/>
      <w:marBottom w:val="0"/>
      <w:divBdr>
        <w:top w:val="none" w:sz="0" w:space="0" w:color="auto"/>
        <w:left w:val="none" w:sz="0" w:space="0" w:color="auto"/>
        <w:bottom w:val="none" w:sz="0" w:space="0" w:color="auto"/>
        <w:right w:val="none" w:sz="0" w:space="0" w:color="auto"/>
      </w:divBdr>
    </w:div>
    <w:div w:id="1302540611">
      <w:bodyDiv w:val="1"/>
      <w:marLeft w:val="0"/>
      <w:marRight w:val="0"/>
      <w:marTop w:val="0"/>
      <w:marBottom w:val="0"/>
      <w:divBdr>
        <w:top w:val="none" w:sz="0" w:space="0" w:color="auto"/>
        <w:left w:val="none" w:sz="0" w:space="0" w:color="auto"/>
        <w:bottom w:val="none" w:sz="0" w:space="0" w:color="auto"/>
        <w:right w:val="none" w:sz="0" w:space="0" w:color="auto"/>
      </w:divBdr>
    </w:div>
    <w:div w:id="1311326996">
      <w:bodyDiv w:val="1"/>
      <w:marLeft w:val="0"/>
      <w:marRight w:val="0"/>
      <w:marTop w:val="0"/>
      <w:marBottom w:val="0"/>
      <w:divBdr>
        <w:top w:val="none" w:sz="0" w:space="0" w:color="auto"/>
        <w:left w:val="none" w:sz="0" w:space="0" w:color="auto"/>
        <w:bottom w:val="none" w:sz="0" w:space="0" w:color="auto"/>
        <w:right w:val="none" w:sz="0" w:space="0" w:color="auto"/>
      </w:divBdr>
    </w:div>
    <w:div w:id="1332828821">
      <w:bodyDiv w:val="1"/>
      <w:marLeft w:val="0"/>
      <w:marRight w:val="0"/>
      <w:marTop w:val="0"/>
      <w:marBottom w:val="0"/>
      <w:divBdr>
        <w:top w:val="none" w:sz="0" w:space="0" w:color="auto"/>
        <w:left w:val="none" w:sz="0" w:space="0" w:color="auto"/>
        <w:bottom w:val="none" w:sz="0" w:space="0" w:color="auto"/>
        <w:right w:val="none" w:sz="0" w:space="0" w:color="auto"/>
      </w:divBdr>
    </w:div>
    <w:div w:id="1342702205">
      <w:bodyDiv w:val="1"/>
      <w:marLeft w:val="0"/>
      <w:marRight w:val="0"/>
      <w:marTop w:val="0"/>
      <w:marBottom w:val="0"/>
      <w:divBdr>
        <w:top w:val="none" w:sz="0" w:space="0" w:color="auto"/>
        <w:left w:val="none" w:sz="0" w:space="0" w:color="auto"/>
        <w:bottom w:val="none" w:sz="0" w:space="0" w:color="auto"/>
        <w:right w:val="none" w:sz="0" w:space="0" w:color="auto"/>
      </w:divBdr>
    </w:div>
    <w:div w:id="1349480669">
      <w:bodyDiv w:val="1"/>
      <w:marLeft w:val="0"/>
      <w:marRight w:val="0"/>
      <w:marTop w:val="0"/>
      <w:marBottom w:val="0"/>
      <w:divBdr>
        <w:top w:val="none" w:sz="0" w:space="0" w:color="auto"/>
        <w:left w:val="none" w:sz="0" w:space="0" w:color="auto"/>
        <w:bottom w:val="none" w:sz="0" w:space="0" w:color="auto"/>
        <w:right w:val="none" w:sz="0" w:space="0" w:color="auto"/>
      </w:divBdr>
    </w:div>
    <w:div w:id="1357270645">
      <w:bodyDiv w:val="1"/>
      <w:marLeft w:val="0"/>
      <w:marRight w:val="0"/>
      <w:marTop w:val="0"/>
      <w:marBottom w:val="0"/>
      <w:divBdr>
        <w:top w:val="none" w:sz="0" w:space="0" w:color="auto"/>
        <w:left w:val="none" w:sz="0" w:space="0" w:color="auto"/>
        <w:bottom w:val="none" w:sz="0" w:space="0" w:color="auto"/>
        <w:right w:val="none" w:sz="0" w:space="0" w:color="auto"/>
      </w:divBdr>
    </w:div>
    <w:div w:id="1378819000">
      <w:bodyDiv w:val="1"/>
      <w:marLeft w:val="0"/>
      <w:marRight w:val="0"/>
      <w:marTop w:val="0"/>
      <w:marBottom w:val="0"/>
      <w:divBdr>
        <w:top w:val="none" w:sz="0" w:space="0" w:color="auto"/>
        <w:left w:val="none" w:sz="0" w:space="0" w:color="auto"/>
        <w:bottom w:val="none" w:sz="0" w:space="0" w:color="auto"/>
        <w:right w:val="none" w:sz="0" w:space="0" w:color="auto"/>
      </w:divBdr>
    </w:div>
    <w:div w:id="1395548741">
      <w:bodyDiv w:val="1"/>
      <w:marLeft w:val="0"/>
      <w:marRight w:val="0"/>
      <w:marTop w:val="0"/>
      <w:marBottom w:val="0"/>
      <w:divBdr>
        <w:top w:val="none" w:sz="0" w:space="0" w:color="auto"/>
        <w:left w:val="none" w:sz="0" w:space="0" w:color="auto"/>
        <w:bottom w:val="none" w:sz="0" w:space="0" w:color="auto"/>
        <w:right w:val="none" w:sz="0" w:space="0" w:color="auto"/>
      </w:divBdr>
    </w:div>
    <w:div w:id="1411464162">
      <w:bodyDiv w:val="1"/>
      <w:marLeft w:val="0"/>
      <w:marRight w:val="0"/>
      <w:marTop w:val="0"/>
      <w:marBottom w:val="0"/>
      <w:divBdr>
        <w:top w:val="none" w:sz="0" w:space="0" w:color="auto"/>
        <w:left w:val="none" w:sz="0" w:space="0" w:color="auto"/>
        <w:bottom w:val="none" w:sz="0" w:space="0" w:color="auto"/>
        <w:right w:val="none" w:sz="0" w:space="0" w:color="auto"/>
      </w:divBdr>
    </w:div>
    <w:div w:id="1415472560">
      <w:bodyDiv w:val="1"/>
      <w:marLeft w:val="0"/>
      <w:marRight w:val="0"/>
      <w:marTop w:val="0"/>
      <w:marBottom w:val="0"/>
      <w:divBdr>
        <w:top w:val="none" w:sz="0" w:space="0" w:color="auto"/>
        <w:left w:val="none" w:sz="0" w:space="0" w:color="auto"/>
        <w:bottom w:val="none" w:sz="0" w:space="0" w:color="auto"/>
        <w:right w:val="none" w:sz="0" w:space="0" w:color="auto"/>
      </w:divBdr>
    </w:div>
    <w:div w:id="1439595611">
      <w:bodyDiv w:val="1"/>
      <w:marLeft w:val="0"/>
      <w:marRight w:val="0"/>
      <w:marTop w:val="0"/>
      <w:marBottom w:val="0"/>
      <w:divBdr>
        <w:top w:val="none" w:sz="0" w:space="0" w:color="auto"/>
        <w:left w:val="none" w:sz="0" w:space="0" w:color="auto"/>
        <w:bottom w:val="none" w:sz="0" w:space="0" w:color="auto"/>
        <w:right w:val="none" w:sz="0" w:space="0" w:color="auto"/>
      </w:divBdr>
    </w:div>
    <w:div w:id="1442143029">
      <w:bodyDiv w:val="1"/>
      <w:marLeft w:val="0"/>
      <w:marRight w:val="0"/>
      <w:marTop w:val="0"/>
      <w:marBottom w:val="0"/>
      <w:divBdr>
        <w:top w:val="none" w:sz="0" w:space="0" w:color="auto"/>
        <w:left w:val="none" w:sz="0" w:space="0" w:color="auto"/>
        <w:bottom w:val="none" w:sz="0" w:space="0" w:color="auto"/>
        <w:right w:val="none" w:sz="0" w:space="0" w:color="auto"/>
      </w:divBdr>
    </w:div>
    <w:div w:id="1467314771">
      <w:bodyDiv w:val="1"/>
      <w:marLeft w:val="0"/>
      <w:marRight w:val="0"/>
      <w:marTop w:val="0"/>
      <w:marBottom w:val="0"/>
      <w:divBdr>
        <w:top w:val="none" w:sz="0" w:space="0" w:color="auto"/>
        <w:left w:val="none" w:sz="0" w:space="0" w:color="auto"/>
        <w:bottom w:val="none" w:sz="0" w:space="0" w:color="auto"/>
        <w:right w:val="none" w:sz="0" w:space="0" w:color="auto"/>
      </w:divBdr>
    </w:div>
    <w:div w:id="1478453545">
      <w:bodyDiv w:val="1"/>
      <w:marLeft w:val="0"/>
      <w:marRight w:val="0"/>
      <w:marTop w:val="0"/>
      <w:marBottom w:val="0"/>
      <w:divBdr>
        <w:top w:val="none" w:sz="0" w:space="0" w:color="auto"/>
        <w:left w:val="none" w:sz="0" w:space="0" w:color="auto"/>
        <w:bottom w:val="none" w:sz="0" w:space="0" w:color="auto"/>
        <w:right w:val="none" w:sz="0" w:space="0" w:color="auto"/>
      </w:divBdr>
    </w:div>
    <w:div w:id="1490099563">
      <w:bodyDiv w:val="1"/>
      <w:marLeft w:val="0"/>
      <w:marRight w:val="0"/>
      <w:marTop w:val="0"/>
      <w:marBottom w:val="0"/>
      <w:divBdr>
        <w:top w:val="none" w:sz="0" w:space="0" w:color="auto"/>
        <w:left w:val="none" w:sz="0" w:space="0" w:color="auto"/>
        <w:bottom w:val="none" w:sz="0" w:space="0" w:color="auto"/>
        <w:right w:val="none" w:sz="0" w:space="0" w:color="auto"/>
      </w:divBdr>
    </w:div>
    <w:div w:id="1550605764">
      <w:bodyDiv w:val="1"/>
      <w:marLeft w:val="0"/>
      <w:marRight w:val="0"/>
      <w:marTop w:val="0"/>
      <w:marBottom w:val="0"/>
      <w:divBdr>
        <w:top w:val="none" w:sz="0" w:space="0" w:color="auto"/>
        <w:left w:val="none" w:sz="0" w:space="0" w:color="auto"/>
        <w:bottom w:val="none" w:sz="0" w:space="0" w:color="auto"/>
        <w:right w:val="none" w:sz="0" w:space="0" w:color="auto"/>
      </w:divBdr>
    </w:div>
    <w:div w:id="1555509133">
      <w:bodyDiv w:val="1"/>
      <w:marLeft w:val="0"/>
      <w:marRight w:val="0"/>
      <w:marTop w:val="0"/>
      <w:marBottom w:val="0"/>
      <w:divBdr>
        <w:top w:val="none" w:sz="0" w:space="0" w:color="auto"/>
        <w:left w:val="none" w:sz="0" w:space="0" w:color="auto"/>
        <w:bottom w:val="none" w:sz="0" w:space="0" w:color="auto"/>
        <w:right w:val="none" w:sz="0" w:space="0" w:color="auto"/>
      </w:divBdr>
    </w:div>
    <w:div w:id="1563708210">
      <w:bodyDiv w:val="1"/>
      <w:marLeft w:val="0"/>
      <w:marRight w:val="0"/>
      <w:marTop w:val="0"/>
      <w:marBottom w:val="0"/>
      <w:divBdr>
        <w:top w:val="none" w:sz="0" w:space="0" w:color="auto"/>
        <w:left w:val="none" w:sz="0" w:space="0" w:color="auto"/>
        <w:bottom w:val="none" w:sz="0" w:space="0" w:color="auto"/>
        <w:right w:val="none" w:sz="0" w:space="0" w:color="auto"/>
      </w:divBdr>
    </w:div>
    <w:div w:id="1579634814">
      <w:bodyDiv w:val="1"/>
      <w:marLeft w:val="0"/>
      <w:marRight w:val="0"/>
      <w:marTop w:val="0"/>
      <w:marBottom w:val="0"/>
      <w:divBdr>
        <w:top w:val="none" w:sz="0" w:space="0" w:color="auto"/>
        <w:left w:val="none" w:sz="0" w:space="0" w:color="auto"/>
        <w:bottom w:val="none" w:sz="0" w:space="0" w:color="auto"/>
        <w:right w:val="none" w:sz="0" w:space="0" w:color="auto"/>
      </w:divBdr>
    </w:div>
    <w:div w:id="1587569561">
      <w:bodyDiv w:val="1"/>
      <w:marLeft w:val="0"/>
      <w:marRight w:val="0"/>
      <w:marTop w:val="0"/>
      <w:marBottom w:val="0"/>
      <w:divBdr>
        <w:top w:val="none" w:sz="0" w:space="0" w:color="auto"/>
        <w:left w:val="none" w:sz="0" w:space="0" w:color="auto"/>
        <w:bottom w:val="none" w:sz="0" w:space="0" w:color="auto"/>
        <w:right w:val="none" w:sz="0" w:space="0" w:color="auto"/>
      </w:divBdr>
    </w:div>
    <w:div w:id="1595162060">
      <w:bodyDiv w:val="1"/>
      <w:marLeft w:val="0"/>
      <w:marRight w:val="0"/>
      <w:marTop w:val="0"/>
      <w:marBottom w:val="0"/>
      <w:divBdr>
        <w:top w:val="none" w:sz="0" w:space="0" w:color="auto"/>
        <w:left w:val="none" w:sz="0" w:space="0" w:color="auto"/>
        <w:bottom w:val="none" w:sz="0" w:space="0" w:color="auto"/>
        <w:right w:val="none" w:sz="0" w:space="0" w:color="auto"/>
      </w:divBdr>
    </w:div>
    <w:div w:id="1615476711">
      <w:bodyDiv w:val="1"/>
      <w:marLeft w:val="0"/>
      <w:marRight w:val="0"/>
      <w:marTop w:val="0"/>
      <w:marBottom w:val="0"/>
      <w:divBdr>
        <w:top w:val="none" w:sz="0" w:space="0" w:color="auto"/>
        <w:left w:val="none" w:sz="0" w:space="0" w:color="auto"/>
        <w:bottom w:val="none" w:sz="0" w:space="0" w:color="auto"/>
        <w:right w:val="none" w:sz="0" w:space="0" w:color="auto"/>
      </w:divBdr>
    </w:div>
    <w:div w:id="1630360095">
      <w:bodyDiv w:val="1"/>
      <w:marLeft w:val="0"/>
      <w:marRight w:val="0"/>
      <w:marTop w:val="0"/>
      <w:marBottom w:val="0"/>
      <w:divBdr>
        <w:top w:val="none" w:sz="0" w:space="0" w:color="auto"/>
        <w:left w:val="none" w:sz="0" w:space="0" w:color="auto"/>
        <w:bottom w:val="none" w:sz="0" w:space="0" w:color="auto"/>
        <w:right w:val="none" w:sz="0" w:space="0" w:color="auto"/>
      </w:divBdr>
    </w:div>
    <w:div w:id="1634941528">
      <w:bodyDiv w:val="1"/>
      <w:marLeft w:val="0"/>
      <w:marRight w:val="0"/>
      <w:marTop w:val="0"/>
      <w:marBottom w:val="0"/>
      <w:divBdr>
        <w:top w:val="none" w:sz="0" w:space="0" w:color="auto"/>
        <w:left w:val="none" w:sz="0" w:space="0" w:color="auto"/>
        <w:bottom w:val="none" w:sz="0" w:space="0" w:color="auto"/>
        <w:right w:val="none" w:sz="0" w:space="0" w:color="auto"/>
      </w:divBdr>
    </w:div>
    <w:div w:id="1650859809">
      <w:bodyDiv w:val="1"/>
      <w:marLeft w:val="0"/>
      <w:marRight w:val="0"/>
      <w:marTop w:val="0"/>
      <w:marBottom w:val="0"/>
      <w:divBdr>
        <w:top w:val="none" w:sz="0" w:space="0" w:color="auto"/>
        <w:left w:val="none" w:sz="0" w:space="0" w:color="auto"/>
        <w:bottom w:val="none" w:sz="0" w:space="0" w:color="auto"/>
        <w:right w:val="none" w:sz="0" w:space="0" w:color="auto"/>
      </w:divBdr>
    </w:div>
    <w:div w:id="1661039906">
      <w:bodyDiv w:val="1"/>
      <w:marLeft w:val="0"/>
      <w:marRight w:val="0"/>
      <w:marTop w:val="0"/>
      <w:marBottom w:val="0"/>
      <w:divBdr>
        <w:top w:val="none" w:sz="0" w:space="0" w:color="auto"/>
        <w:left w:val="none" w:sz="0" w:space="0" w:color="auto"/>
        <w:bottom w:val="none" w:sz="0" w:space="0" w:color="auto"/>
        <w:right w:val="none" w:sz="0" w:space="0" w:color="auto"/>
      </w:divBdr>
    </w:div>
    <w:div w:id="1667703009">
      <w:bodyDiv w:val="1"/>
      <w:marLeft w:val="0"/>
      <w:marRight w:val="0"/>
      <w:marTop w:val="0"/>
      <w:marBottom w:val="0"/>
      <w:divBdr>
        <w:top w:val="none" w:sz="0" w:space="0" w:color="auto"/>
        <w:left w:val="none" w:sz="0" w:space="0" w:color="auto"/>
        <w:bottom w:val="none" w:sz="0" w:space="0" w:color="auto"/>
        <w:right w:val="none" w:sz="0" w:space="0" w:color="auto"/>
      </w:divBdr>
    </w:div>
    <w:div w:id="1713766473">
      <w:bodyDiv w:val="1"/>
      <w:marLeft w:val="0"/>
      <w:marRight w:val="0"/>
      <w:marTop w:val="0"/>
      <w:marBottom w:val="0"/>
      <w:divBdr>
        <w:top w:val="none" w:sz="0" w:space="0" w:color="auto"/>
        <w:left w:val="none" w:sz="0" w:space="0" w:color="auto"/>
        <w:bottom w:val="none" w:sz="0" w:space="0" w:color="auto"/>
        <w:right w:val="none" w:sz="0" w:space="0" w:color="auto"/>
      </w:divBdr>
    </w:div>
    <w:div w:id="1726755817">
      <w:bodyDiv w:val="1"/>
      <w:marLeft w:val="0"/>
      <w:marRight w:val="0"/>
      <w:marTop w:val="0"/>
      <w:marBottom w:val="0"/>
      <w:divBdr>
        <w:top w:val="none" w:sz="0" w:space="0" w:color="auto"/>
        <w:left w:val="none" w:sz="0" w:space="0" w:color="auto"/>
        <w:bottom w:val="none" w:sz="0" w:space="0" w:color="auto"/>
        <w:right w:val="none" w:sz="0" w:space="0" w:color="auto"/>
      </w:divBdr>
    </w:div>
    <w:div w:id="1742023894">
      <w:bodyDiv w:val="1"/>
      <w:marLeft w:val="0"/>
      <w:marRight w:val="0"/>
      <w:marTop w:val="0"/>
      <w:marBottom w:val="0"/>
      <w:divBdr>
        <w:top w:val="none" w:sz="0" w:space="0" w:color="auto"/>
        <w:left w:val="none" w:sz="0" w:space="0" w:color="auto"/>
        <w:bottom w:val="none" w:sz="0" w:space="0" w:color="auto"/>
        <w:right w:val="none" w:sz="0" w:space="0" w:color="auto"/>
      </w:divBdr>
    </w:div>
    <w:div w:id="1752392454">
      <w:bodyDiv w:val="1"/>
      <w:marLeft w:val="0"/>
      <w:marRight w:val="0"/>
      <w:marTop w:val="0"/>
      <w:marBottom w:val="0"/>
      <w:divBdr>
        <w:top w:val="none" w:sz="0" w:space="0" w:color="auto"/>
        <w:left w:val="none" w:sz="0" w:space="0" w:color="auto"/>
        <w:bottom w:val="none" w:sz="0" w:space="0" w:color="auto"/>
        <w:right w:val="none" w:sz="0" w:space="0" w:color="auto"/>
      </w:divBdr>
    </w:div>
    <w:div w:id="1800031624">
      <w:bodyDiv w:val="1"/>
      <w:marLeft w:val="0"/>
      <w:marRight w:val="0"/>
      <w:marTop w:val="0"/>
      <w:marBottom w:val="0"/>
      <w:divBdr>
        <w:top w:val="none" w:sz="0" w:space="0" w:color="auto"/>
        <w:left w:val="none" w:sz="0" w:space="0" w:color="auto"/>
        <w:bottom w:val="none" w:sz="0" w:space="0" w:color="auto"/>
        <w:right w:val="none" w:sz="0" w:space="0" w:color="auto"/>
      </w:divBdr>
    </w:div>
    <w:div w:id="1805615083">
      <w:bodyDiv w:val="1"/>
      <w:marLeft w:val="0"/>
      <w:marRight w:val="0"/>
      <w:marTop w:val="0"/>
      <w:marBottom w:val="0"/>
      <w:divBdr>
        <w:top w:val="none" w:sz="0" w:space="0" w:color="auto"/>
        <w:left w:val="none" w:sz="0" w:space="0" w:color="auto"/>
        <w:bottom w:val="none" w:sz="0" w:space="0" w:color="auto"/>
        <w:right w:val="none" w:sz="0" w:space="0" w:color="auto"/>
      </w:divBdr>
    </w:div>
    <w:div w:id="1813908798">
      <w:bodyDiv w:val="1"/>
      <w:marLeft w:val="0"/>
      <w:marRight w:val="0"/>
      <w:marTop w:val="0"/>
      <w:marBottom w:val="0"/>
      <w:divBdr>
        <w:top w:val="none" w:sz="0" w:space="0" w:color="auto"/>
        <w:left w:val="none" w:sz="0" w:space="0" w:color="auto"/>
        <w:bottom w:val="none" w:sz="0" w:space="0" w:color="auto"/>
        <w:right w:val="none" w:sz="0" w:space="0" w:color="auto"/>
      </w:divBdr>
    </w:div>
    <w:div w:id="1830439838">
      <w:bodyDiv w:val="1"/>
      <w:marLeft w:val="0"/>
      <w:marRight w:val="0"/>
      <w:marTop w:val="0"/>
      <w:marBottom w:val="0"/>
      <w:divBdr>
        <w:top w:val="none" w:sz="0" w:space="0" w:color="auto"/>
        <w:left w:val="none" w:sz="0" w:space="0" w:color="auto"/>
        <w:bottom w:val="none" w:sz="0" w:space="0" w:color="auto"/>
        <w:right w:val="none" w:sz="0" w:space="0" w:color="auto"/>
      </w:divBdr>
    </w:div>
    <w:div w:id="1838426006">
      <w:bodyDiv w:val="1"/>
      <w:marLeft w:val="0"/>
      <w:marRight w:val="0"/>
      <w:marTop w:val="0"/>
      <w:marBottom w:val="0"/>
      <w:divBdr>
        <w:top w:val="none" w:sz="0" w:space="0" w:color="auto"/>
        <w:left w:val="none" w:sz="0" w:space="0" w:color="auto"/>
        <w:bottom w:val="none" w:sz="0" w:space="0" w:color="auto"/>
        <w:right w:val="none" w:sz="0" w:space="0" w:color="auto"/>
      </w:divBdr>
    </w:div>
    <w:div w:id="1841502028">
      <w:bodyDiv w:val="1"/>
      <w:marLeft w:val="0"/>
      <w:marRight w:val="0"/>
      <w:marTop w:val="0"/>
      <w:marBottom w:val="0"/>
      <w:divBdr>
        <w:top w:val="none" w:sz="0" w:space="0" w:color="auto"/>
        <w:left w:val="none" w:sz="0" w:space="0" w:color="auto"/>
        <w:bottom w:val="none" w:sz="0" w:space="0" w:color="auto"/>
        <w:right w:val="none" w:sz="0" w:space="0" w:color="auto"/>
      </w:divBdr>
    </w:div>
    <w:div w:id="1852714890">
      <w:bodyDiv w:val="1"/>
      <w:marLeft w:val="0"/>
      <w:marRight w:val="0"/>
      <w:marTop w:val="0"/>
      <w:marBottom w:val="0"/>
      <w:divBdr>
        <w:top w:val="none" w:sz="0" w:space="0" w:color="auto"/>
        <w:left w:val="none" w:sz="0" w:space="0" w:color="auto"/>
        <w:bottom w:val="none" w:sz="0" w:space="0" w:color="auto"/>
        <w:right w:val="none" w:sz="0" w:space="0" w:color="auto"/>
      </w:divBdr>
    </w:div>
    <w:div w:id="1864519063">
      <w:bodyDiv w:val="1"/>
      <w:marLeft w:val="0"/>
      <w:marRight w:val="0"/>
      <w:marTop w:val="0"/>
      <w:marBottom w:val="0"/>
      <w:divBdr>
        <w:top w:val="none" w:sz="0" w:space="0" w:color="auto"/>
        <w:left w:val="none" w:sz="0" w:space="0" w:color="auto"/>
        <w:bottom w:val="none" w:sz="0" w:space="0" w:color="auto"/>
        <w:right w:val="none" w:sz="0" w:space="0" w:color="auto"/>
      </w:divBdr>
    </w:div>
    <w:div w:id="1882591346">
      <w:bodyDiv w:val="1"/>
      <w:marLeft w:val="0"/>
      <w:marRight w:val="0"/>
      <w:marTop w:val="0"/>
      <w:marBottom w:val="0"/>
      <w:divBdr>
        <w:top w:val="none" w:sz="0" w:space="0" w:color="auto"/>
        <w:left w:val="none" w:sz="0" w:space="0" w:color="auto"/>
        <w:bottom w:val="none" w:sz="0" w:space="0" w:color="auto"/>
        <w:right w:val="none" w:sz="0" w:space="0" w:color="auto"/>
      </w:divBdr>
    </w:div>
    <w:div w:id="1890847081">
      <w:bodyDiv w:val="1"/>
      <w:marLeft w:val="0"/>
      <w:marRight w:val="0"/>
      <w:marTop w:val="0"/>
      <w:marBottom w:val="0"/>
      <w:divBdr>
        <w:top w:val="none" w:sz="0" w:space="0" w:color="auto"/>
        <w:left w:val="none" w:sz="0" w:space="0" w:color="auto"/>
        <w:bottom w:val="none" w:sz="0" w:space="0" w:color="auto"/>
        <w:right w:val="none" w:sz="0" w:space="0" w:color="auto"/>
      </w:divBdr>
    </w:div>
    <w:div w:id="1913077357">
      <w:bodyDiv w:val="1"/>
      <w:marLeft w:val="0"/>
      <w:marRight w:val="0"/>
      <w:marTop w:val="0"/>
      <w:marBottom w:val="0"/>
      <w:divBdr>
        <w:top w:val="none" w:sz="0" w:space="0" w:color="auto"/>
        <w:left w:val="none" w:sz="0" w:space="0" w:color="auto"/>
        <w:bottom w:val="none" w:sz="0" w:space="0" w:color="auto"/>
        <w:right w:val="none" w:sz="0" w:space="0" w:color="auto"/>
      </w:divBdr>
    </w:div>
    <w:div w:id="1915554724">
      <w:bodyDiv w:val="1"/>
      <w:marLeft w:val="0"/>
      <w:marRight w:val="0"/>
      <w:marTop w:val="0"/>
      <w:marBottom w:val="0"/>
      <w:divBdr>
        <w:top w:val="none" w:sz="0" w:space="0" w:color="auto"/>
        <w:left w:val="none" w:sz="0" w:space="0" w:color="auto"/>
        <w:bottom w:val="none" w:sz="0" w:space="0" w:color="auto"/>
        <w:right w:val="none" w:sz="0" w:space="0" w:color="auto"/>
      </w:divBdr>
    </w:div>
    <w:div w:id="1917013778">
      <w:bodyDiv w:val="1"/>
      <w:marLeft w:val="0"/>
      <w:marRight w:val="0"/>
      <w:marTop w:val="0"/>
      <w:marBottom w:val="0"/>
      <w:divBdr>
        <w:top w:val="none" w:sz="0" w:space="0" w:color="auto"/>
        <w:left w:val="none" w:sz="0" w:space="0" w:color="auto"/>
        <w:bottom w:val="none" w:sz="0" w:space="0" w:color="auto"/>
        <w:right w:val="none" w:sz="0" w:space="0" w:color="auto"/>
      </w:divBdr>
    </w:div>
    <w:div w:id="1951740847">
      <w:bodyDiv w:val="1"/>
      <w:marLeft w:val="0"/>
      <w:marRight w:val="0"/>
      <w:marTop w:val="0"/>
      <w:marBottom w:val="0"/>
      <w:divBdr>
        <w:top w:val="none" w:sz="0" w:space="0" w:color="auto"/>
        <w:left w:val="none" w:sz="0" w:space="0" w:color="auto"/>
        <w:bottom w:val="none" w:sz="0" w:space="0" w:color="auto"/>
        <w:right w:val="none" w:sz="0" w:space="0" w:color="auto"/>
      </w:divBdr>
    </w:div>
    <w:div w:id="1969898073">
      <w:bodyDiv w:val="1"/>
      <w:marLeft w:val="0"/>
      <w:marRight w:val="0"/>
      <w:marTop w:val="0"/>
      <w:marBottom w:val="0"/>
      <w:divBdr>
        <w:top w:val="none" w:sz="0" w:space="0" w:color="auto"/>
        <w:left w:val="none" w:sz="0" w:space="0" w:color="auto"/>
        <w:bottom w:val="none" w:sz="0" w:space="0" w:color="auto"/>
        <w:right w:val="none" w:sz="0" w:space="0" w:color="auto"/>
      </w:divBdr>
    </w:div>
    <w:div w:id="1983776791">
      <w:bodyDiv w:val="1"/>
      <w:marLeft w:val="0"/>
      <w:marRight w:val="0"/>
      <w:marTop w:val="0"/>
      <w:marBottom w:val="0"/>
      <w:divBdr>
        <w:top w:val="none" w:sz="0" w:space="0" w:color="auto"/>
        <w:left w:val="none" w:sz="0" w:space="0" w:color="auto"/>
        <w:bottom w:val="none" w:sz="0" w:space="0" w:color="auto"/>
        <w:right w:val="none" w:sz="0" w:space="0" w:color="auto"/>
      </w:divBdr>
    </w:div>
    <w:div w:id="2026595443">
      <w:bodyDiv w:val="1"/>
      <w:marLeft w:val="0"/>
      <w:marRight w:val="0"/>
      <w:marTop w:val="0"/>
      <w:marBottom w:val="0"/>
      <w:divBdr>
        <w:top w:val="none" w:sz="0" w:space="0" w:color="auto"/>
        <w:left w:val="none" w:sz="0" w:space="0" w:color="auto"/>
        <w:bottom w:val="none" w:sz="0" w:space="0" w:color="auto"/>
        <w:right w:val="none" w:sz="0" w:space="0" w:color="auto"/>
      </w:divBdr>
    </w:div>
    <w:div w:id="2032762500">
      <w:bodyDiv w:val="1"/>
      <w:marLeft w:val="0"/>
      <w:marRight w:val="0"/>
      <w:marTop w:val="0"/>
      <w:marBottom w:val="0"/>
      <w:divBdr>
        <w:top w:val="none" w:sz="0" w:space="0" w:color="auto"/>
        <w:left w:val="none" w:sz="0" w:space="0" w:color="auto"/>
        <w:bottom w:val="none" w:sz="0" w:space="0" w:color="auto"/>
        <w:right w:val="none" w:sz="0" w:space="0" w:color="auto"/>
      </w:divBdr>
    </w:div>
    <w:div w:id="2064057176">
      <w:bodyDiv w:val="1"/>
      <w:marLeft w:val="0"/>
      <w:marRight w:val="0"/>
      <w:marTop w:val="0"/>
      <w:marBottom w:val="0"/>
      <w:divBdr>
        <w:top w:val="none" w:sz="0" w:space="0" w:color="auto"/>
        <w:left w:val="none" w:sz="0" w:space="0" w:color="auto"/>
        <w:bottom w:val="none" w:sz="0" w:space="0" w:color="auto"/>
        <w:right w:val="none" w:sz="0" w:space="0" w:color="auto"/>
      </w:divBdr>
    </w:div>
    <w:div w:id="2099790504">
      <w:bodyDiv w:val="1"/>
      <w:marLeft w:val="0"/>
      <w:marRight w:val="0"/>
      <w:marTop w:val="0"/>
      <w:marBottom w:val="0"/>
      <w:divBdr>
        <w:top w:val="none" w:sz="0" w:space="0" w:color="auto"/>
        <w:left w:val="none" w:sz="0" w:space="0" w:color="auto"/>
        <w:bottom w:val="none" w:sz="0" w:space="0" w:color="auto"/>
        <w:right w:val="none" w:sz="0" w:space="0" w:color="auto"/>
      </w:divBdr>
    </w:div>
    <w:div w:id="21130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hdc-fps01\data$\Education%20(Current)\DHB%20Reports\2017%20Jan%20to%20Jun\Analysis\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spPr>
            <a:ln>
              <a:solidFill>
                <a:srgbClr val="C00000"/>
              </a:solidFill>
            </a:ln>
          </c:spPr>
          <c:marker>
            <c:spPr>
              <a:solidFill>
                <a:schemeClr val="accent2"/>
              </a:solidFill>
              <a:ln>
                <a:solidFill>
                  <a:srgbClr val="C00000"/>
                </a:solidFill>
              </a:ln>
            </c:spPr>
          </c:marker>
          <c:cat>
            <c:strRef>
              <c:f>'Number over time'!$A$1:$J$1</c:f>
              <c:strCache>
                <c:ptCount val="10"/>
                <c:pt idx="0">
                  <c:v>Jul–Dec 12</c:v>
                </c:pt>
                <c:pt idx="1">
                  <c:v>Jan–Jun 13</c:v>
                </c:pt>
                <c:pt idx="2">
                  <c:v>Jul–Dec 13</c:v>
                </c:pt>
                <c:pt idx="3">
                  <c:v>Jan–Jun 14</c:v>
                </c:pt>
                <c:pt idx="4">
                  <c:v>Jul–Dec 14</c:v>
                </c:pt>
                <c:pt idx="5">
                  <c:v>Jan–Jun 15</c:v>
                </c:pt>
                <c:pt idx="6">
                  <c:v>Jul–Dec 15</c:v>
                </c:pt>
                <c:pt idx="7">
                  <c:v>Jan–Jun 16</c:v>
                </c:pt>
                <c:pt idx="8">
                  <c:v>Jul–Dec 16</c:v>
                </c:pt>
                <c:pt idx="9">
                  <c:v>Jan–Jun 17</c:v>
                </c:pt>
              </c:strCache>
            </c:strRef>
          </c:cat>
          <c:val>
            <c:numRef>
              <c:f>'Number over time'!$A$2:$J$2</c:f>
              <c:numCache>
                <c:formatCode>General</c:formatCode>
                <c:ptCount val="10"/>
                <c:pt idx="0">
                  <c:v>292</c:v>
                </c:pt>
                <c:pt idx="1">
                  <c:v>324</c:v>
                </c:pt>
                <c:pt idx="2">
                  <c:v>330</c:v>
                </c:pt>
                <c:pt idx="3">
                  <c:v>330</c:v>
                </c:pt>
                <c:pt idx="4">
                  <c:v>368</c:v>
                </c:pt>
                <c:pt idx="5">
                  <c:v>389</c:v>
                </c:pt>
                <c:pt idx="6">
                  <c:v>422</c:v>
                </c:pt>
                <c:pt idx="7">
                  <c:v>383</c:v>
                </c:pt>
                <c:pt idx="8">
                  <c:v>386</c:v>
                </c:pt>
                <c:pt idx="9">
                  <c:v>477</c:v>
                </c:pt>
              </c:numCache>
            </c:numRef>
          </c:val>
          <c:smooth val="0"/>
        </c:ser>
        <c:dLbls>
          <c:showLegendKey val="0"/>
          <c:showVal val="0"/>
          <c:showCatName val="0"/>
          <c:showSerName val="0"/>
          <c:showPercent val="0"/>
          <c:showBubbleSize val="0"/>
        </c:dLbls>
        <c:marker val="1"/>
        <c:smooth val="0"/>
        <c:axId val="108988672"/>
        <c:axId val="111036672"/>
      </c:lineChart>
      <c:catAx>
        <c:axId val="108988672"/>
        <c:scaling>
          <c:orientation val="minMax"/>
        </c:scaling>
        <c:delete val="0"/>
        <c:axPos val="b"/>
        <c:majorTickMark val="out"/>
        <c:minorTickMark val="none"/>
        <c:tickLblPos val="nextTo"/>
        <c:crossAx val="111036672"/>
        <c:crosses val="autoZero"/>
        <c:auto val="1"/>
        <c:lblAlgn val="ctr"/>
        <c:lblOffset val="100"/>
        <c:noMultiLvlLbl val="0"/>
      </c:catAx>
      <c:valAx>
        <c:axId val="111036672"/>
        <c:scaling>
          <c:orientation val="minMax"/>
        </c:scaling>
        <c:delete val="0"/>
        <c:axPos val="l"/>
        <c:majorGridlines/>
        <c:numFmt formatCode="General" sourceLinked="1"/>
        <c:majorTickMark val="out"/>
        <c:minorTickMark val="none"/>
        <c:tickLblPos val="nextTo"/>
        <c:crossAx val="1089886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0C2FC-20EE-4EB0-B1DC-586E641D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3977CFB1</Template>
  <TotalTime>43</TotalTime>
  <Pages>25</Pages>
  <Words>7329</Words>
  <Characters>39872</Characters>
  <Application>Microsoft Office Word</Application>
  <DocSecurity>0</DocSecurity>
  <Lines>1812</Lines>
  <Paragraphs>1348</Paragraphs>
  <ScaleCrop>false</ScaleCrop>
  <HeadingPairs>
    <vt:vector size="2" baseType="variant">
      <vt:variant>
        <vt:lpstr>Title</vt:lpstr>
      </vt:variant>
      <vt:variant>
        <vt:i4>1</vt:i4>
      </vt:variant>
    </vt:vector>
  </HeadingPairs>
  <TitlesOfParts>
    <vt:vector size="1" baseType="lpstr">
      <vt:lpstr>National Data involving All District Health Boards</vt:lpstr>
    </vt:vector>
  </TitlesOfParts>
  <Company>HDC</Company>
  <LinksUpToDate>false</LinksUpToDate>
  <CharactersWithSpaces>45853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Data involving All District Health Boards</dc:title>
  <dc:subject>National Data for All District Health Boards</dc:subject>
  <dc:creator>Loryn Bennett</dc:creator>
  <cp:lastModifiedBy>Natasha Davidson</cp:lastModifiedBy>
  <cp:revision>7</cp:revision>
  <cp:lastPrinted>2017-10-27T00:39:00Z</cp:lastPrinted>
  <dcterms:created xsi:type="dcterms:W3CDTF">2017-10-26T00:19:00Z</dcterms:created>
  <dcterms:modified xsi:type="dcterms:W3CDTF">2017-10-27T00:42:00Z</dcterms:modified>
</cp:coreProperties>
</file>