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FA4" w:rsidRPr="009F7E9D" w:rsidRDefault="00540FA4" w:rsidP="00540FA4">
      <w:bookmarkStart w:id="0" w:name="_GoBack"/>
      <w:bookmarkEnd w:id="0"/>
    </w:p>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Pr>
        <w:pStyle w:val="NoSpacing"/>
        <w:jc w:val="center"/>
        <w:rPr>
          <w:rFonts w:eastAsiaTheme="majorEastAsia" w:cstheme="majorBidi"/>
          <w:b/>
          <w:sz w:val="48"/>
          <w:szCs w:val="48"/>
          <w:lang w:val="en-NZ"/>
        </w:rPr>
      </w:pPr>
      <w:r w:rsidRPr="009F7E9D">
        <w:rPr>
          <w:rFonts w:eastAsiaTheme="majorEastAsia" w:cstheme="majorBidi"/>
          <w:b/>
          <w:sz w:val="48"/>
          <w:szCs w:val="48"/>
          <w:lang w:val="en-NZ"/>
        </w:rPr>
        <w:t>Complaints to</w:t>
      </w:r>
      <w:r w:rsidR="008F5D77">
        <w:rPr>
          <w:rFonts w:eastAsiaTheme="majorEastAsia" w:cstheme="majorBidi"/>
          <w:b/>
          <w:sz w:val="48"/>
          <w:szCs w:val="48"/>
          <w:lang w:val="en-NZ"/>
        </w:rPr>
        <w:t xml:space="preserve"> the</w:t>
      </w:r>
      <w:r w:rsidRPr="009F7E9D">
        <w:rPr>
          <w:rFonts w:eastAsiaTheme="majorEastAsia" w:cstheme="majorBidi"/>
          <w:b/>
          <w:sz w:val="48"/>
          <w:szCs w:val="48"/>
          <w:lang w:val="en-NZ"/>
        </w:rPr>
        <w:t xml:space="preserve"> H</w:t>
      </w:r>
      <w:r w:rsidR="008F5D77">
        <w:rPr>
          <w:rFonts w:eastAsiaTheme="majorEastAsia" w:cstheme="majorBidi"/>
          <w:b/>
          <w:sz w:val="48"/>
          <w:szCs w:val="48"/>
          <w:lang w:val="en-NZ"/>
        </w:rPr>
        <w:t xml:space="preserve">ealth and </w:t>
      </w:r>
      <w:r w:rsidRPr="009F7E9D">
        <w:rPr>
          <w:rFonts w:eastAsiaTheme="majorEastAsia" w:cstheme="majorBidi"/>
          <w:b/>
          <w:sz w:val="48"/>
          <w:szCs w:val="48"/>
          <w:lang w:val="en-NZ"/>
        </w:rPr>
        <w:t>D</w:t>
      </w:r>
      <w:r w:rsidR="008F5D77">
        <w:rPr>
          <w:rFonts w:eastAsiaTheme="majorEastAsia" w:cstheme="majorBidi"/>
          <w:b/>
          <w:sz w:val="48"/>
          <w:szCs w:val="48"/>
          <w:lang w:val="en-NZ"/>
        </w:rPr>
        <w:t xml:space="preserve">isability </w:t>
      </w:r>
      <w:r w:rsidRPr="009F7E9D">
        <w:rPr>
          <w:rFonts w:eastAsiaTheme="majorEastAsia" w:cstheme="majorBidi"/>
          <w:b/>
          <w:sz w:val="48"/>
          <w:szCs w:val="48"/>
          <w:lang w:val="en-NZ"/>
        </w:rPr>
        <w:t>C</w:t>
      </w:r>
      <w:r w:rsidR="008F5D77">
        <w:rPr>
          <w:rFonts w:eastAsiaTheme="majorEastAsia" w:cstheme="majorBidi"/>
          <w:b/>
          <w:sz w:val="48"/>
          <w:szCs w:val="48"/>
          <w:lang w:val="en-NZ"/>
        </w:rPr>
        <w:t>ommissioner</w:t>
      </w:r>
      <w:r w:rsidRPr="009F7E9D">
        <w:rPr>
          <w:rFonts w:eastAsiaTheme="majorEastAsia" w:cstheme="majorBidi"/>
          <w:b/>
          <w:sz w:val="48"/>
          <w:szCs w:val="48"/>
          <w:lang w:val="en-NZ"/>
        </w:rPr>
        <w:t xml:space="preserve"> involving </w:t>
      </w:r>
    </w:p>
    <w:p w:rsidR="00540FA4" w:rsidRPr="009F7E9D" w:rsidRDefault="00540FA4" w:rsidP="00540FA4">
      <w:pPr>
        <w:pStyle w:val="NoSpacing"/>
        <w:jc w:val="center"/>
        <w:rPr>
          <w:rFonts w:eastAsiaTheme="majorEastAsia" w:cstheme="majorBidi"/>
          <w:b/>
          <w:sz w:val="48"/>
          <w:szCs w:val="48"/>
          <w:lang w:val="en-NZ"/>
        </w:rPr>
      </w:pPr>
      <w:r>
        <w:rPr>
          <w:rFonts w:eastAsiaTheme="majorEastAsia" w:cstheme="majorBidi"/>
          <w:b/>
          <w:sz w:val="48"/>
          <w:szCs w:val="48"/>
          <w:lang w:val="en-NZ"/>
        </w:rPr>
        <w:t>District Health Boards</w:t>
      </w:r>
    </w:p>
    <w:p w:rsidR="00540FA4" w:rsidRPr="009F7E9D" w:rsidRDefault="00540FA4" w:rsidP="00AE409F">
      <w:pPr>
        <w:pStyle w:val="NoSpacing"/>
        <w:rPr>
          <w:rFonts w:eastAsiaTheme="majorEastAsia" w:cstheme="majorBidi"/>
          <w:b/>
          <w:sz w:val="36"/>
          <w:szCs w:val="36"/>
          <w:lang w:val="en-NZ"/>
        </w:rPr>
      </w:pPr>
    </w:p>
    <w:p w:rsidR="00540FA4" w:rsidRPr="009F7E9D" w:rsidRDefault="00540FA4" w:rsidP="00540FA4">
      <w:pPr>
        <w:pStyle w:val="NoSpacing"/>
        <w:jc w:val="center"/>
        <w:rPr>
          <w:rFonts w:eastAsiaTheme="majorEastAsia" w:cstheme="majorBidi"/>
          <w:b/>
          <w:sz w:val="32"/>
          <w:szCs w:val="32"/>
          <w:lang w:val="en-NZ"/>
        </w:rPr>
      </w:pPr>
      <w:r w:rsidRPr="009F7E9D">
        <w:rPr>
          <w:rFonts w:eastAsiaTheme="majorEastAsia" w:cstheme="majorBidi"/>
          <w:b/>
          <w:sz w:val="32"/>
          <w:szCs w:val="32"/>
          <w:lang w:val="en-NZ"/>
        </w:rPr>
        <w:t>R</w:t>
      </w:r>
      <w:r>
        <w:rPr>
          <w:rFonts w:eastAsiaTheme="majorEastAsia" w:cstheme="majorBidi"/>
          <w:b/>
          <w:sz w:val="32"/>
          <w:szCs w:val="32"/>
          <w:lang w:val="en-NZ"/>
        </w:rPr>
        <w:t>eport a</w:t>
      </w:r>
      <w:r w:rsidR="008F5D77">
        <w:rPr>
          <w:rFonts w:eastAsiaTheme="majorEastAsia" w:cstheme="majorBidi"/>
          <w:b/>
          <w:sz w:val="32"/>
          <w:szCs w:val="32"/>
          <w:lang w:val="en-NZ"/>
        </w:rPr>
        <w:t>nd Analysis for the P</w:t>
      </w:r>
      <w:r w:rsidR="00BC51FC">
        <w:rPr>
          <w:rFonts w:eastAsiaTheme="majorEastAsia" w:cstheme="majorBidi"/>
          <w:b/>
          <w:sz w:val="32"/>
          <w:szCs w:val="32"/>
          <w:lang w:val="en-NZ"/>
        </w:rPr>
        <w:t>eriod 1 January to 30 June 2018</w:t>
      </w: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r>
        <w:rPr>
          <w:rFonts w:eastAsiaTheme="majorEastAsia" w:cstheme="majorBidi"/>
          <w:b/>
          <w:noProof/>
          <w:sz w:val="32"/>
          <w:szCs w:val="32"/>
          <w:lang w:val="en-NZ" w:eastAsia="en-NZ"/>
        </w:rPr>
        <w:drawing>
          <wp:anchor distT="0" distB="0" distL="114300" distR="114300" simplePos="0" relativeHeight="251659264" behindDoc="0" locked="0" layoutInCell="1" allowOverlap="1" wp14:anchorId="676996DA" wp14:editId="58CD0A14">
            <wp:simplePos x="0" y="0"/>
            <wp:positionH relativeFrom="margin">
              <wp:align>center</wp:align>
            </wp:positionH>
            <wp:positionV relativeFrom="margin">
              <wp:align>bottom</wp:align>
            </wp:positionV>
            <wp:extent cx="1014152" cy="548640"/>
            <wp:effectExtent l="0" t="0" r="0" b="3810"/>
            <wp:wrapSquare wrapText="bothSides"/>
            <wp:docPr id="3" name="Picture 0" descr="HDC-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logo-text.jpg"/>
                    <pic:cNvPicPr/>
                  </pic:nvPicPr>
                  <pic:blipFill>
                    <a:blip r:embed="rId9" cstate="print"/>
                    <a:stretch>
                      <a:fillRect/>
                    </a:stretch>
                  </pic:blipFill>
                  <pic:spPr>
                    <a:xfrm>
                      <a:off x="0" y="0"/>
                      <a:ext cx="1014152" cy="548640"/>
                    </a:xfrm>
                    <a:prstGeom prst="rect">
                      <a:avLst/>
                    </a:prstGeom>
                  </pic:spPr>
                </pic:pic>
              </a:graphicData>
            </a:graphic>
          </wp:anchor>
        </w:drawing>
      </w:r>
    </w:p>
    <w:p w:rsidR="00540FA4" w:rsidRDefault="00540FA4" w:rsidP="00540FA4">
      <w:pPr>
        <w:jc w:val="center"/>
        <w:sectPr w:rsidR="00540FA4" w:rsidSect="00A9442D">
          <w:headerReference w:type="even" r:id="rId10"/>
          <w:headerReference w:type="default" r:id="rId11"/>
          <w:footerReference w:type="even" r:id="rId12"/>
          <w:footerReference w:type="default" r:id="rId13"/>
          <w:headerReference w:type="first" r:id="rId14"/>
          <w:footerReference w:type="first" r:id="rId15"/>
          <w:pgSz w:w="11906" w:h="16838" w:code="9"/>
          <w:pgMar w:top="1140" w:right="1412" w:bottom="851" w:left="1412" w:header="720" w:footer="590" w:gutter="0"/>
          <w:cols w:space="720"/>
          <w:titlePg/>
          <w:docGrid w:linePitch="360"/>
        </w:sectPr>
      </w:pPr>
    </w:p>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Pr="00666BAC" w:rsidRDefault="00AE409F" w:rsidP="00AE409F">
      <w:pPr>
        <w:rPr>
          <w:b/>
          <w:szCs w:val="22"/>
        </w:rPr>
      </w:pPr>
      <w:r w:rsidRPr="00666BAC">
        <w:rPr>
          <w:b/>
          <w:szCs w:val="22"/>
        </w:rPr>
        <w:t>Feedback</w:t>
      </w:r>
    </w:p>
    <w:p w:rsidR="00AE409F" w:rsidRPr="00666BAC" w:rsidRDefault="00AE409F" w:rsidP="00AE409F">
      <w:pPr>
        <w:jc w:val="left"/>
        <w:rPr>
          <w:szCs w:val="22"/>
        </w:rPr>
      </w:pPr>
      <w:r w:rsidRPr="00666BAC">
        <w:rPr>
          <w:szCs w:val="22"/>
        </w:rPr>
        <w:t>We welcome your feedback on this report. Please contact Natasha Davidson at hdc@hdc.org.nz</w:t>
      </w:r>
    </w:p>
    <w:p w:rsidR="00AE409F" w:rsidRPr="00666BAC" w:rsidRDefault="00AE409F" w:rsidP="00AE409F">
      <w:pPr>
        <w:jc w:val="left"/>
        <w:rPr>
          <w:szCs w:val="22"/>
        </w:rPr>
      </w:pPr>
    </w:p>
    <w:p w:rsidR="00AE409F" w:rsidRPr="00666BAC" w:rsidRDefault="00AE409F" w:rsidP="00AE409F">
      <w:pPr>
        <w:jc w:val="left"/>
        <w:rPr>
          <w:b/>
          <w:szCs w:val="22"/>
        </w:rPr>
      </w:pPr>
      <w:r w:rsidRPr="00666BAC">
        <w:rPr>
          <w:b/>
          <w:szCs w:val="22"/>
        </w:rPr>
        <w:t>Authors</w:t>
      </w:r>
    </w:p>
    <w:p w:rsidR="00AE409F" w:rsidRPr="00666BAC" w:rsidRDefault="00AE409F" w:rsidP="00AE409F">
      <w:pPr>
        <w:jc w:val="left"/>
        <w:rPr>
          <w:szCs w:val="22"/>
        </w:rPr>
      </w:pPr>
      <w:r w:rsidRPr="00666BAC">
        <w:rPr>
          <w:szCs w:val="22"/>
        </w:rPr>
        <w:t>This report was prepared by Natasha Davidson (Senior Advisor – Research and Education).</w:t>
      </w:r>
    </w:p>
    <w:p w:rsidR="00AE409F" w:rsidRPr="00666BAC" w:rsidRDefault="00AE409F" w:rsidP="00AE409F">
      <w:pPr>
        <w:jc w:val="left"/>
        <w:rPr>
          <w:szCs w:val="22"/>
        </w:rPr>
      </w:pPr>
    </w:p>
    <w:p w:rsidR="00AE409F" w:rsidRPr="00666BAC" w:rsidRDefault="00AE409F" w:rsidP="00AE409F">
      <w:pPr>
        <w:jc w:val="left"/>
        <w:rPr>
          <w:i/>
          <w:szCs w:val="22"/>
        </w:rPr>
      </w:pPr>
      <w:r w:rsidRPr="00666BAC">
        <w:rPr>
          <w:szCs w:val="22"/>
        </w:rPr>
        <w:t>Citation: The Health a</w:t>
      </w:r>
      <w:r w:rsidR="000D1C50">
        <w:rPr>
          <w:szCs w:val="22"/>
        </w:rPr>
        <w:t>nd Disability Commissioner. 2018</w:t>
      </w:r>
      <w:r w:rsidRPr="00666BAC">
        <w:rPr>
          <w:szCs w:val="22"/>
        </w:rPr>
        <w:t xml:space="preserve">. </w:t>
      </w:r>
      <w:r w:rsidRPr="00666BAC">
        <w:rPr>
          <w:i/>
          <w:szCs w:val="22"/>
        </w:rPr>
        <w:t xml:space="preserve">Complaints to the Health and Disability Commissioner involving District Health Boards: </w:t>
      </w:r>
      <w:r>
        <w:rPr>
          <w:i/>
          <w:szCs w:val="22"/>
        </w:rPr>
        <w:t>Report an</w:t>
      </w:r>
      <w:r w:rsidR="00BD2BA7">
        <w:rPr>
          <w:i/>
          <w:szCs w:val="22"/>
        </w:rPr>
        <w:t>d Analysis for the period 1 January to 30</w:t>
      </w:r>
      <w:r>
        <w:rPr>
          <w:i/>
          <w:szCs w:val="22"/>
        </w:rPr>
        <w:t xml:space="preserve"> </w:t>
      </w:r>
      <w:r w:rsidR="00BC51FC">
        <w:rPr>
          <w:i/>
          <w:szCs w:val="22"/>
        </w:rPr>
        <w:t>June 2018</w:t>
      </w:r>
    </w:p>
    <w:p w:rsidR="00AE409F" w:rsidRPr="00666BAC" w:rsidRDefault="00AE409F" w:rsidP="00AE409F">
      <w:pPr>
        <w:jc w:val="left"/>
        <w:rPr>
          <w:szCs w:val="22"/>
        </w:rPr>
      </w:pPr>
    </w:p>
    <w:p w:rsidR="00AE409F" w:rsidRPr="00666BAC" w:rsidRDefault="00AE409F" w:rsidP="00AE409F">
      <w:pPr>
        <w:jc w:val="left"/>
        <w:rPr>
          <w:szCs w:val="22"/>
        </w:rPr>
      </w:pPr>
      <w:r w:rsidRPr="00666BAC">
        <w:rPr>
          <w:szCs w:val="22"/>
        </w:rPr>
        <w:t xml:space="preserve">Published in </w:t>
      </w:r>
      <w:r w:rsidR="005279B6">
        <w:rPr>
          <w:szCs w:val="22"/>
        </w:rPr>
        <w:t>October</w:t>
      </w:r>
      <w:r w:rsidR="00BC51FC">
        <w:rPr>
          <w:szCs w:val="22"/>
        </w:rPr>
        <w:t xml:space="preserve"> </w:t>
      </w:r>
      <w:r w:rsidR="000D1C50">
        <w:rPr>
          <w:szCs w:val="22"/>
        </w:rPr>
        <w:t>2018</w:t>
      </w:r>
    </w:p>
    <w:p w:rsidR="00AE409F" w:rsidRPr="00666BAC" w:rsidRDefault="00AE409F" w:rsidP="00AE409F">
      <w:pPr>
        <w:jc w:val="left"/>
        <w:rPr>
          <w:szCs w:val="22"/>
        </w:rPr>
      </w:pPr>
      <w:proofErr w:type="gramStart"/>
      <w:r w:rsidRPr="00666BAC">
        <w:rPr>
          <w:szCs w:val="22"/>
        </w:rPr>
        <w:t>by</w:t>
      </w:r>
      <w:proofErr w:type="gramEnd"/>
      <w:r w:rsidRPr="00666BAC">
        <w:rPr>
          <w:szCs w:val="22"/>
        </w:rPr>
        <w:t xml:space="preserve"> the Health and Disability Commissioner</w:t>
      </w:r>
    </w:p>
    <w:p w:rsidR="00AE409F" w:rsidRPr="00666BAC" w:rsidRDefault="00AE409F" w:rsidP="00AE409F">
      <w:pPr>
        <w:jc w:val="left"/>
        <w:rPr>
          <w:szCs w:val="22"/>
        </w:rPr>
      </w:pPr>
      <w:r w:rsidRPr="00666BAC">
        <w:rPr>
          <w:szCs w:val="22"/>
        </w:rPr>
        <w:t>PO Box 1791, Auckland 1140</w:t>
      </w:r>
    </w:p>
    <w:p w:rsidR="00AE409F" w:rsidRPr="00666BAC" w:rsidRDefault="00AE409F" w:rsidP="00AE409F">
      <w:pPr>
        <w:jc w:val="left"/>
        <w:rPr>
          <w:b/>
          <w:szCs w:val="22"/>
        </w:rPr>
      </w:pPr>
    </w:p>
    <w:p w:rsidR="00AE409F" w:rsidRPr="00666BAC" w:rsidRDefault="000D1C50" w:rsidP="00AE409F">
      <w:pPr>
        <w:jc w:val="left"/>
        <w:rPr>
          <w:szCs w:val="22"/>
        </w:rPr>
      </w:pPr>
      <w:r>
        <w:rPr>
          <w:szCs w:val="22"/>
        </w:rPr>
        <w:t>©2018</w:t>
      </w:r>
      <w:r w:rsidR="00AE409F" w:rsidRPr="00666BAC">
        <w:rPr>
          <w:szCs w:val="22"/>
        </w:rPr>
        <w:t xml:space="preserve"> The Health and Disability Commissioner</w:t>
      </w:r>
    </w:p>
    <w:p w:rsidR="00AE409F" w:rsidRPr="00666BAC" w:rsidRDefault="00AE409F" w:rsidP="00AE409F">
      <w:pPr>
        <w:jc w:val="left"/>
        <w:rPr>
          <w:b/>
          <w:szCs w:val="22"/>
        </w:rPr>
      </w:pPr>
    </w:p>
    <w:p w:rsidR="00AE409F" w:rsidRPr="00666BAC" w:rsidRDefault="00AE409F" w:rsidP="00AE409F">
      <w:pPr>
        <w:jc w:val="left"/>
        <w:rPr>
          <w:b/>
          <w:szCs w:val="22"/>
        </w:rPr>
        <w:sectPr w:rsidR="00AE409F" w:rsidRPr="00666BAC" w:rsidSect="00AE409F">
          <w:pgSz w:w="11906" w:h="16838" w:code="9"/>
          <w:pgMar w:top="1140" w:right="1412" w:bottom="851" w:left="1412" w:header="720" w:footer="590" w:gutter="0"/>
          <w:pgNumType w:start="0"/>
          <w:cols w:space="720"/>
          <w:titlePg/>
          <w:docGrid w:linePitch="360"/>
        </w:sectPr>
      </w:pPr>
      <w:r w:rsidRPr="00666BAC">
        <w:rPr>
          <w:szCs w:val="22"/>
        </w:rPr>
        <w:t>This report is available on our website at www.hdc.org.nz</w:t>
      </w:r>
    </w:p>
    <w:p w:rsidR="00540FA4" w:rsidRDefault="00540FA4" w:rsidP="00540FA4"/>
    <w:p w:rsidR="00540FA4" w:rsidRDefault="00540FA4" w:rsidP="00540FA4">
      <w:pPr>
        <w:jc w:val="center"/>
        <w:rPr>
          <w:b/>
          <w:color w:val="000000" w:themeColor="text1"/>
          <w:sz w:val="32"/>
          <w:szCs w:val="32"/>
        </w:rPr>
      </w:pPr>
      <w:r>
        <w:br w:type="textWrapping" w:clear="all"/>
      </w:r>
      <w:r w:rsidRPr="00D30C28">
        <w:rPr>
          <w:b/>
          <w:color w:val="000000" w:themeColor="text1"/>
          <w:sz w:val="32"/>
          <w:szCs w:val="32"/>
        </w:rPr>
        <w:t>Contents</w:t>
      </w:r>
    </w:p>
    <w:p w:rsidR="00540FA4" w:rsidRDefault="00540FA4" w:rsidP="00540FA4">
      <w:pPr>
        <w:jc w:val="center"/>
        <w:rPr>
          <w:b/>
          <w:color w:val="000000" w:themeColor="text1"/>
          <w:sz w:val="32"/>
          <w:szCs w:val="32"/>
        </w:rPr>
      </w:pPr>
    </w:p>
    <w:p w:rsidR="00753106" w:rsidRDefault="00540FA4">
      <w:pPr>
        <w:pStyle w:val="TOC1"/>
        <w:tabs>
          <w:tab w:val="right" w:leader="dot" w:pos="9072"/>
        </w:tabs>
        <w:rPr>
          <w:rFonts w:eastAsiaTheme="minorEastAsia" w:cstheme="minorBidi"/>
          <w:b w:val="0"/>
          <w:noProof/>
          <w:sz w:val="22"/>
          <w:szCs w:val="22"/>
          <w:lang w:eastAsia="en-NZ" w:bidi="ar-SA"/>
        </w:rPr>
      </w:pPr>
      <w:r>
        <w:rPr>
          <w:b w:val="0"/>
          <w:color w:val="000000" w:themeColor="text1"/>
          <w:sz w:val="32"/>
          <w:szCs w:val="32"/>
        </w:rPr>
        <w:fldChar w:fldCharType="begin"/>
      </w:r>
      <w:r>
        <w:rPr>
          <w:b w:val="0"/>
          <w:color w:val="000000" w:themeColor="text1"/>
          <w:sz w:val="32"/>
          <w:szCs w:val="32"/>
        </w:rPr>
        <w:instrText xml:space="preserve"> TOC \o "2-3" \h \z \t "Heading 1,1" </w:instrText>
      </w:r>
      <w:r>
        <w:rPr>
          <w:b w:val="0"/>
          <w:color w:val="000000" w:themeColor="text1"/>
          <w:sz w:val="32"/>
          <w:szCs w:val="32"/>
        </w:rPr>
        <w:fldChar w:fldCharType="separate"/>
      </w:r>
      <w:hyperlink w:anchor="_Toc516741367" w:history="1">
        <w:r w:rsidR="00753106" w:rsidRPr="002E207F">
          <w:rPr>
            <w:rStyle w:val="Hyperlink"/>
            <w:noProof/>
          </w:rPr>
          <w:t>Commissioner’s Foreword</w:t>
        </w:r>
        <w:r w:rsidR="00753106">
          <w:rPr>
            <w:noProof/>
            <w:webHidden/>
          </w:rPr>
          <w:tab/>
        </w:r>
        <w:r w:rsidR="00753106">
          <w:rPr>
            <w:noProof/>
            <w:webHidden/>
          </w:rPr>
          <w:fldChar w:fldCharType="begin"/>
        </w:r>
        <w:r w:rsidR="00753106">
          <w:rPr>
            <w:noProof/>
            <w:webHidden/>
          </w:rPr>
          <w:instrText xml:space="preserve"> PAGEREF _Toc516741367 \h </w:instrText>
        </w:r>
        <w:r w:rsidR="00753106">
          <w:rPr>
            <w:noProof/>
            <w:webHidden/>
          </w:rPr>
        </w:r>
        <w:r w:rsidR="00753106">
          <w:rPr>
            <w:noProof/>
            <w:webHidden/>
          </w:rPr>
          <w:fldChar w:fldCharType="separate"/>
        </w:r>
        <w:r w:rsidR="00685FD7">
          <w:rPr>
            <w:noProof/>
            <w:webHidden/>
          </w:rPr>
          <w:t>i</w:t>
        </w:r>
        <w:r w:rsidR="00753106">
          <w:rPr>
            <w:noProof/>
            <w:webHidden/>
          </w:rPr>
          <w:fldChar w:fldCharType="end"/>
        </w:r>
      </w:hyperlink>
    </w:p>
    <w:p w:rsidR="00753106" w:rsidRDefault="00685FD7">
      <w:pPr>
        <w:pStyle w:val="TOC1"/>
        <w:tabs>
          <w:tab w:val="right" w:leader="dot" w:pos="9072"/>
        </w:tabs>
        <w:rPr>
          <w:rFonts w:eastAsiaTheme="minorEastAsia" w:cstheme="minorBidi"/>
          <w:b w:val="0"/>
          <w:noProof/>
          <w:sz w:val="22"/>
          <w:szCs w:val="22"/>
          <w:lang w:eastAsia="en-NZ" w:bidi="ar-SA"/>
        </w:rPr>
      </w:pPr>
      <w:hyperlink w:anchor="_Toc516741368" w:history="1">
        <w:r w:rsidR="00753106" w:rsidRPr="002E207F">
          <w:rPr>
            <w:rStyle w:val="Hyperlink"/>
            <w:noProof/>
          </w:rPr>
          <w:t>National Data for all District Health Boards</w:t>
        </w:r>
        <w:r w:rsidR="00753106">
          <w:rPr>
            <w:noProof/>
            <w:webHidden/>
          </w:rPr>
          <w:tab/>
        </w:r>
        <w:r w:rsidR="00753106">
          <w:rPr>
            <w:noProof/>
            <w:webHidden/>
          </w:rPr>
          <w:fldChar w:fldCharType="begin"/>
        </w:r>
        <w:r w:rsidR="00753106">
          <w:rPr>
            <w:noProof/>
            <w:webHidden/>
          </w:rPr>
          <w:instrText xml:space="preserve"> PAGEREF _Toc516741368 \h </w:instrText>
        </w:r>
        <w:r w:rsidR="00753106">
          <w:rPr>
            <w:noProof/>
            <w:webHidden/>
          </w:rPr>
        </w:r>
        <w:r w:rsidR="00753106">
          <w:rPr>
            <w:noProof/>
            <w:webHidden/>
          </w:rPr>
          <w:fldChar w:fldCharType="separate"/>
        </w:r>
        <w:r>
          <w:rPr>
            <w:noProof/>
            <w:webHidden/>
          </w:rPr>
          <w:t>1</w:t>
        </w:r>
        <w:r w:rsidR="00753106">
          <w:rPr>
            <w:noProof/>
            <w:webHidden/>
          </w:rPr>
          <w:fldChar w:fldCharType="end"/>
        </w:r>
      </w:hyperlink>
    </w:p>
    <w:p w:rsidR="00753106" w:rsidRDefault="00685FD7">
      <w:pPr>
        <w:pStyle w:val="TOC2"/>
        <w:tabs>
          <w:tab w:val="left" w:pos="880"/>
          <w:tab w:val="right" w:leader="dot" w:pos="9072"/>
        </w:tabs>
        <w:rPr>
          <w:rFonts w:eastAsiaTheme="minorEastAsia" w:cstheme="minorBidi"/>
          <w:b w:val="0"/>
          <w:noProof/>
          <w:lang w:eastAsia="en-NZ" w:bidi="ar-SA"/>
        </w:rPr>
      </w:pPr>
      <w:hyperlink w:anchor="_Toc516741369" w:history="1">
        <w:r w:rsidR="00753106" w:rsidRPr="002E207F">
          <w:rPr>
            <w:rStyle w:val="Hyperlink"/>
            <w:noProof/>
          </w:rPr>
          <w:t>1.0</w:t>
        </w:r>
        <w:r w:rsidR="00753106">
          <w:rPr>
            <w:rFonts w:eastAsiaTheme="minorEastAsia" w:cstheme="minorBidi"/>
            <w:b w:val="0"/>
            <w:noProof/>
            <w:lang w:eastAsia="en-NZ" w:bidi="ar-SA"/>
          </w:rPr>
          <w:tab/>
        </w:r>
        <w:r w:rsidR="00753106" w:rsidRPr="002E207F">
          <w:rPr>
            <w:rStyle w:val="Hyperlink"/>
            <w:noProof/>
          </w:rPr>
          <w:t>Number of complaints received</w:t>
        </w:r>
        <w:r w:rsidR="00753106">
          <w:rPr>
            <w:noProof/>
            <w:webHidden/>
          </w:rPr>
          <w:tab/>
        </w:r>
        <w:r w:rsidR="00753106">
          <w:rPr>
            <w:noProof/>
            <w:webHidden/>
          </w:rPr>
          <w:fldChar w:fldCharType="begin"/>
        </w:r>
        <w:r w:rsidR="00753106">
          <w:rPr>
            <w:noProof/>
            <w:webHidden/>
          </w:rPr>
          <w:instrText xml:space="preserve"> PAGEREF _Toc516741369 \h </w:instrText>
        </w:r>
        <w:r w:rsidR="00753106">
          <w:rPr>
            <w:noProof/>
            <w:webHidden/>
          </w:rPr>
        </w:r>
        <w:r w:rsidR="00753106">
          <w:rPr>
            <w:noProof/>
            <w:webHidden/>
          </w:rPr>
          <w:fldChar w:fldCharType="separate"/>
        </w:r>
        <w:r>
          <w:rPr>
            <w:noProof/>
            <w:webHidden/>
          </w:rPr>
          <w:t>1</w:t>
        </w:r>
        <w:r w:rsidR="00753106">
          <w:rPr>
            <w:noProof/>
            <w:webHidden/>
          </w:rPr>
          <w:fldChar w:fldCharType="end"/>
        </w:r>
      </w:hyperlink>
    </w:p>
    <w:p w:rsidR="00753106" w:rsidRDefault="00685FD7">
      <w:pPr>
        <w:pStyle w:val="TOC3"/>
        <w:tabs>
          <w:tab w:val="left" w:pos="1100"/>
          <w:tab w:val="right" w:leader="dot" w:pos="9072"/>
        </w:tabs>
        <w:rPr>
          <w:rFonts w:eastAsiaTheme="minorEastAsia" w:cstheme="minorBidi"/>
          <w:noProof/>
          <w:lang w:eastAsia="en-NZ" w:bidi="ar-SA"/>
        </w:rPr>
      </w:pPr>
      <w:hyperlink w:anchor="_Toc516741370" w:history="1">
        <w:r w:rsidR="00753106" w:rsidRPr="002E207F">
          <w:rPr>
            <w:rStyle w:val="Hyperlink"/>
            <w:noProof/>
          </w:rPr>
          <w:t xml:space="preserve">1.1 </w:t>
        </w:r>
        <w:r w:rsidR="00753106">
          <w:rPr>
            <w:rFonts w:eastAsiaTheme="minorEastAsia" w:cstheme="minorBidi"/>
            <w:noProof/>
            <w:lang w:eastAsia="en-NZ" w:bidi="ar-SA"/>
          </w:rPr>
          <w:tab/>
        </w:r>
        <w:r w:rsidR="00753106" w:rsidRPr="002E207F">
          <w:rPr>
            <w:rStyle w:val="Hyperlink"/>
            <w:noProof/>
          </w:rPr>
          <w:t>Raw number of complaints received</w:t>
        </w:r>
        <w:r w:rsidR="00753106">
          <w:rPr>
            <w:noProof/>
            <w:webHidden/>
          </w:rPr>
          <w:tab/>
        </w:r>
        <w:r w:rsidR="00753106">
          <w:rPr>
            <w:noProof/>
            <w:webHidden/>
          </w:rPr>
          <w:fldChar w:fldCharType="begin"/>
        </w:r>
        <w:r w:rsidR="00753106">
          <w:rPr>
            <w:noProof/>
            <w:webHidden/>
          </w:rPr>
          <w:instrText xml:space="preserve"> PAGEREF _Toc516741370 \h </w:instrText>
        </w:r>
        <w:r w:rsidR="00753106">
          <w:rPr>
            <w:noProof/>
            <w:webHidden/>
          </w:rPr>
        </w:r>
        <w:r w:rsidR="00753106">
          <w:rPr>
            <w:noProof/>
            <w:webHidden/>
          </w:rPr>
          <w:fldChar w:fldCharType="separate"/>
        </w:r>
        <w:r>
          <w:rPr>
            <w:noProof/>
            <w:webHidden/>
          </w:rPr>
          <w:t>1</w:t>
        </w:r>
        <w:r w:rsidR="00753106">
          <w:rPr>
            <w:noProof/>
            <w:webHidden/>
          </w:rPr>
          <w:fldChar w:fldCharType="end"/>
        </w:r>
      </w:hyperlink>
    </w:p>
    <w:p w:rsidR="00753106" w:rsidRDefault="00685FD7">
      <w:pPr>
        <w:pStyle w:val="TOC3"/>
        <w:tabs>
          <w:tab w:val="left" w:pos="1100"/>
          <w:tab w:val="right" w:leader="dot" w:pos="9072"/>
        </w:tabs>
        <w:rPr>
          <w:rFonts w:eastAsiaTheme="minorEastAsia" w:cstheme="minorBidi"/>
          <w:noProof/>
          <w:lang w:eastAsia="en-NZ" w:bidi="ar-SA"/>
        </w:rPr>
      </w:pPr>
      <w:hyperlink w:anchor="_Toc516741371" w:history="1">
        <w:r w:rsidR="00753106" w:rsidRPr="002E207F">
          <w:rPr>
            <w:rStyle w:val="Hyperlink"/>
            <w:noProof/>
          </w:rPr>
          <w:t>1.2</w:t>
        </w:r>
        <w:r w:rsidR="00753106">
          <w:rPr>
            <w:rFonts w:eastAsiaTheme="minorEastAsia" w:cstheme="minorBidi"/>
            <w:noProof/>
            <w:lang w:eastAsia="en-NZ" w:bidi="ar-SA"/>
          </w:rPr>
          <w:tab/>
        </w:r>
        <w:r w:rsidR="00753106" w:rsidRPr="002E207F">
          <w:rPr>
            <w:rStyle w:val="Hyperlink"/>
            <w:noProof/>
          </w:rPr>
          <w:t>Rate of complaints received</w:t>
        </w:r>
        <w:r w:rsidR="00753106">
          <w:rPr>
            <w:noProof/>
            <w:webHidden/>
          </w:rPr>
          <w:tab/>
        </w:r>
        <w:r w:rsidR="00753106">
          <w:rPr>
            <w:noProof/>
            <w:webHidden/>
          </w:rPr>
          <w:fldChar w:fldCharType="begin"/>
        </w:r>
        <w:r w:rsidR="00753106">
          <w:rPr>
            <w:noProof/>
            <w:webHidden/>
          </w:rPr>
          <w:instrText xml:space="preserve"> PAGEREF _Toc516741371 \h </w:instrText>
        </w:r>
        <w:r w:rsidR="00753106">
          <w:rPr>
            <w:noProof/>
            <w:webHidden/>
          </w:rPr>
        </w:r>
        <w:r w:rsidR="00753106">
          <w:rPr>
            <w:noProof/>
            <w:webHidden/>
          </w:rPr>
          <w:fldChar w:fldCharType="separate"/>
        </w:r>
        <w:r>
          <w:rPr>
            <w:noProof/>
            <w:webHidden/>
          </w:rPr>
          <w:t>2</w:t>
        </w:r>
        <w:r w:rsidR="00753106">
          <w:rPr>
            <w:noProof/>
            <w:webHidden/>
          </w:rPr>
          <w:fldChar w:fldCharType="end"/>
        </w:r>
      </w:hyperlink>
    </w:p>
    <w:p w:rsidR="00753106" w:rsidRDefault="00685FD7">
      <w:pPr>
        <w:pStyle w:val="TOC2"/>
        <w:tabs>
          <w:tab w:val="left" w:pos="880"/>
          <w:tab w:val="right" w:leader="dot" w:pos="9072"/>
        </w:tabs>
        <w:rPr>
          <w:rFonts w:eastAsiaTheme="minorEastAsia" w:cstheme="minorBidi"/>
          <w:b w:val="0"/>
          <w:noProof/>
          <w:lang w:eastAsia="en-NZ" w:bidi="ar-SA"/>
        </w:rPr>
      </w:pPr>
      <w:hyperlink w:anchor="_Toc516741372" w:history="1">
        <w:r w:rsidR="00753106" w:rsidRPr="002E207F">
          <w:rPr>
            <w:rStyle w:val="Hyperlink"/>
            <w:noProof/>
          </w:rPr>
          <w:t>2.0</w:t>
        </w:r>
        <w:r w:rsidR="00753106">
          <w:rPr>
            <w:rFonts w:eastAsiaTheme="minorEastAsia" w:cstheme="minorBidi"/>
            <w:b w:val="0"/>
            <w:noProof/>
            <w:lang w:eastAsia="en-NZ" w:bidi="ar-SA"/>
          </w:rPr>
          <w:tab/>
        </w:r>
        <w:r w:rsidR="00753106" w:rsidRPr="002E207F">
          <w:rPr>
            <w:rStyle w:val="Hyperlink"/>
            <w:noProof/>
          </w:rPr>
          <w:t>Service types complained about</w:t>
        </w:r>
        <w:r w:rsidR="00753106">
          <w:rPr>
            <w:noProof/>
            <w:webHidden/>
          </w:rPr>
          <w:tab/>
        </w:r>
        <w:r w:rsidR="00753106">
          <w:rPr>
            <w:noProof/>
            <w:webHidden/>
          </w:rPr>
          <w:fldChar w:fldCharType="begin"/>
        </w:r>
        <w:r w:rsidR="00753106">
          <w:rPr>
            <w:noProof/>
            <w:webHidden/>
          </w:rPr>
          <w:instrText xml:space="preserve"> PAGEREF _Toc516741372 \h </w:instrText>
        </w:r>
        <w:r w:rsidR="00753106">
          <w:rPr>
            <w:noProof/>
            <w:webHidden/>
          </w:rPr>
        </w:r>
        <w:r w:rsidR="00753106">
          <w:rPr>
            <w:noProof/>
            <w:webHidden/>
          </w:rPr>
          <w:fldChar w:fldCharType="separate"/>
        </w:r>
        <w:r>
          <w:rPr>
            <w:noProof/>
            <w:webHidden/>
          </w:rPr>
          <w:t>4</w:t>
        </w:r>
        <w:r w:rsidR="00753106">
          <w:rPr>
            <w:noProof/>
            <w:webHidden/>
          </w:rPr>
          <w:fldChar w:fldCharType="end"/>
        </w:r>
      </w:hyperlink>
    </w:p>
    <w:p w:rsidR="00753106" w:rsidRDefault="00685FD7">
      <w:pPr>
        <w:pStyle w:val="TOC3"/>
        <w:tabs>
          <w:tab w:val="left" w:pos="1100"/>
          <w:tab w:val="right" w:leader="dot" w:pos="9072"/>
        </w:tabs>
        <w:rPr>
          <w:rFonts w:eastAsiaTheme="minorEastAsia" w:cstheme="minorBidi"/>
          <w:noProof/>
          <w:lang w:eastAsia="en-NZ" w:bidi="ar-SA"/>
        </w:rPr>
      </w:pPr>
      <w:hyperlink w:anchor="_Toc516741373" w:history="1">
        <w:r w:rsidR="00753106" w:rsidRPr="002E207F">
          <w:rPr>
            <w:rStyle w:val="Hyperlink"/>
            <w:noProof/>
          </w:rPr>
          <w:t>2.1</w:t>
        </w:r>
        <w:r w:rsidR="00753106">
          <w:rPr>
            <w:rFonts w:eastAsiaTheme="minorEastAsia" w:cstheme="minorBidi"/>
            <w:noProof/>
            <w:lang w:eastAsia="en-NZ" w:bidi="ar-SA"/>
          </w:rPr>
          <w:tab/>
        </w:r>
        <w:r w:rsidR="00753106" w:rsidRPr="002E207F">
          <w:rPr>
            <w:rStyle w:val="Hyperlink"/>
            <w:noProof/>
          </w:rPr>
          <w:t>Service type category</w:t>
        </w:r>
        <w:r w:rsidR="00753106">
          <w:rPr>
            <w:noProof/>
            <w:webHidden/>
          </w:rPr>
          <w:tab/>
        </w:r>
        <w:r w:rsidR="00753106">
          <w:rPr>
            <w:noProof/>
            <w:webHidden/>
          </w:rPr>
          <w:fldChar w:fldCharType="begin"/>
        </w:r>
        <w:r w:rsidR="00753106">
          <w:rPr>
            <w:noProof/>
            <w:webHidden/>
          </w:rPr>
          <w:instrText xml:space="preserve"> PAGEREF _Toc516741373 \h </w:instrText>
        </w:r>
        <w:r w:rsidR="00753106">
          <w:rPr>
            <w:noProof/>
            <w:webHidden/>
          </w:rPr>
        </w:r>
        <w:r w:rsidR="00753106">
          <w:rPr>
            <w:noProof/>
            <w:webHidden/>
          </w:rPr>
          <w:fldChar w:fldCharType="separate"/>
        </w:r>
        <w:r>
          <w:rPr>
            <w:noProof/>
            <w:webHidden/>
          </w:rPr>
          <w:t>4</w:t>
        </w:r>
        <w:r w:rsidR="00753106">
          <w:rPr>
            <w:noProof/>
            <w:webHidden/>
          </w:rPr>
          <w:fldChar w:fldCharType="end"/>
        </w:r>
      </w:hyperlink>
    </w:p>
    <w:p w:rsidR="00753106" w:rsidRDefault="00685FD7">
      <w:pPr>
        <w:pStyle w:val="TOC2"/>
        <w:tabs>
          <w:tab w:val="left" w:pos="880"/>
          <w:tab w:val="right" w:leader="dot" w:pos="9072"/>
        </w:tabs>
        <w:rPr>
          <w:rFonts w:eastAsiaTheme="minorEastAsia" w:cstheme="minorBidi"/>
          <w:b w:val="0"/>
          <w:noProof/>
          <w:lang w:eastAsia="en-NZ" w:bidi="ar-SA"/>
        </w:rPr>
      </w:pPr>
      <w:hyperlink w:anchor="_Toc516741374" w:history="1">
        <w:r w:rsidR="00753106" w:rsidRPr="002E207F">
          <w:rPr>
            <w:rStyle w:val="Hyperlink"/>
            <w:noProof/>
          </w:rPr>
          <w:t>3.0</w:t>
        </w:r>
        <w:r w:rsidR="00753106">
          <w:rPr>
            <w:rFonts w:eastAsiaTheme="minorEastAsia" w:cstheme="minorBidi"/>
            <w:b w:val="0"/>
            <w:noProof/>
            <w:lang w:eastAsia="en-NZ" w:bidi="ar-SA"/>
          </w:rPr>
          <w:tab/>
        </w:r>
        <w:r w:rsidR="00753106" w:rsidRPr="002E207F">
          <w:rPr>
            <w:rStyle w:val="Hyperlink"/>
            <w:noProof/>
          </w:rPr>
          <w:t>Issues complained about</w:t>
        </w:r>
        <w:r w:rsidR="00753106">
          <w:rPr>
            <w:noProof/>
            <w:webHidden/>
          </w:rPr>
          <w:tab/>
        </w:r>
        <w:r w:rsidR="00753106">
          <w:rPr>
            <w:noProof/>
            <w:webHidden/>
          </w:rPr>
          <w:fldChar w:fldCharType="begin"/>
        </w:r>
        <w:r w:rsidR="00753106">
          <w:rPr>
            <w:noProof/>
            <w:webHidden/>
          </w:rPr>
          <w:instrText xml:space="preserve"> PAGEREF _Toc516741374 \h </w:instrText>
        </w:r>
        <w:r w:rsidR="00753106">
          <w:rPr>
            <w:noProof/>
            <w:webHidden/>
          </w:rPr>
        </w:r>
        <w:r w:rsidR="00753106">
          <w:rPr>
            <w:noProof/>
            <w:webHidden/>
          </w:rPr>
          <w:fldChar w:fldCharType="separate"/>
        </w:r>
        <w:r>
          <w:rPr>
            <w:noProof/>
            <w:webHidden/>
          </w:rPr>
          <w:t>6</w:t>
        </w:r>
        <w:r w:rsidR="00753106">
          <w:rPr>
            <w:noProof/>
            <w:webHidden/>
          </w:rPr>
          <w:fldChar w:fldCharType="end"/>
        </w:r>
      </w:hyperlink>
    </w:p>
    <w:p w:rsidR="00753106" w:rsidRDefault="00685FD7">
      <w:pPr>
        <w:pStyle w:val="TOC3"/>
        <w:tabs>
          <w:tab w:val="left" w:pos="1100"/>
          <w:tab w:val="right" w:leader="dot" w:pos="9072"/>
        </w:tabs>
        <w:rPr>
          <w:rFonts w:eastAsiaTheme="minorEastAsia" w:cstheme="minorBidi"/>
          <w:noProof/>
          <w:lang w:eastAsia="en-NZ" w:bidi="ar-SA"/>
        </w:rPr>
      </w:pPr>
      <w:hyperlink w:anchor="_Toc516741375" w:history="1">
        <w:r w:rsidR="00753106" w:rsidRPr="002E207F">
          <w:rPr>
            <w:rStyle w:val="Hyperlink"/>
            <w:noProof/>
          </w:rPr>
          <w:t>3.1</w:t>
        </w:r>
        <w:r w:rsidR="00753106">
          <w:rPr>
            <w:rFonts w:eastAsiaTheme="minorEastAsia" w:cstheme="minorBidi"/>
            <w:noProof/>
            <w:lang w:eastAsia="en-NZ" w:bidi="ar-SA"/>
          </w:rPr>
          <w:tab/>
        </w:r>
        <w:r w:rsidR="00753106" w:rsidRPr="002E207F">
          <w:rPr>
            <w:rStyle w:val="Hyperlink"/>
            <w:noProof/>
          </w:rPr>
          <w:t>Primary complaint issues</w:t>
        </w:r>
        <w:r w:rsidR="00753106">
          <w:rPr>
            <w:noProof/>
            <w:webHidden/>
          </w:rPr>
          <w:tab/>
        </w:r>
        <w:r w:rsidR="00753106">
          <w:rPr>
            <w:noProof/>
            <w:webHidden/>
          </w:rPr>
          <w:fldChar w:fldCharType="begin"/>
        </w:r>
        <w:r w:rsidR="00753106">
          <w:rPr>
            <w:noProof/>
            <w:webHidden/>
          </w:rPr>
          <w:instrText xml:space="preserve"> PAGEREF _Toc516741375 \h </w:instrText>
        </w:r>
        <w:r w:rsidR="00753106">
          <w:rPr>
            <w:noProof/>
            <w:webHidden/>
          </w:rPr>
        </w:r>
        <w:r w:rsidR="00753106">
          <w:rPr>
            <w:noProof/>
            <w:webHidden/>
          </w:rPr>
          <w:fldChar w:fldCharType="separate"/>
        </w:r>
        <w:r>
          <w:rPr>
            <w:noProof/>
            <w:webHidden/>
          </w:rPr>
          <w:t>6</w:t>
        </w:r>
        <w:r w:rsidR="00753106">
          <w:rPr>
            <w:noProof/>
            <w:webHidden/>
          </w:rPr>
          <w:fldChar w:fldCharType="end"/>
        </w:r>
      </w:hyperlink>
    </w:p>
    <w:p w:rsidR="00753106" w:rsidRDefault="00685FD7">
      <w:pPr>
        <w:pStyle w:val="TOC3"/>
        <w:tabs>
          <w:tab w:val="left" w:pos="1100"/>
          <w:tab w:val="right" w:leader="dot" w:pos="9072"/>
        </w:tabs>
        <w:rPr>
          <w:rFonts w:eastAsiaTheme="minorEastAsia" w:cstheme="minorBidi"/>
          <w:noProof/>
          <w:lang w:eastAsia="en-NZ" w:bidi="ar-SA"/>
        </w:rPr>
      </w:pPr>
      <w:hyperlink w:anchor="_Toc516741376" w:history="1">
        <w:r w:rsidR="00753106" w:rsidRPr="002E207F">
          <w:rPr>
            <w:rStyle w:val="Hyperlink"/>
            <w:noProof/>
          </w:rPr>
          <w:t>3.2</w:t>
        </w:r>
        <w:r w:rsidR="00753106">
          <w:rPr>
            <w:rFonts w:eastAsiaTheme="minorEastAsia" w:cstheme="minorBidi"/>
            <w:noProof/>
            <w:lang w:eastAsia="en-NZ" w:bidi="ar-SA"/>
          </w:rPr>
          <w:tab/>
        </w:r>
        <w:r w:rsidR="00753106" w:rsidRPr="002E207F">
          <w:rPr>
            <w:rStyle w:val="Hyperlink"/>
            <w:noProof/>
          </w:rPr>
          <w:t>All complaint  issues</w:t>
        </w:r>
        <w:r w:rsidR="00753106">
          <w:rPr>
            <w:noProof/>
            <w:webHidden/>
          </w:rPr>
          <w:tab/>
        </w:r>
        <w:r w:rsidR="00753106">
          <w:rPr>
            <w:noProof/>
            <w:webHidden/>
          </w:rPr>
          <w:fldChar w:fldCharType="begin"/>
        </w:r>
        <w:r w:rsidR="00753106">
          <w:rPr>
            <w:noProof/>
            <w:webHidden/>
          </w:rPr>
          <w:instrText xml:space="preserve"> PAGEREF _Toc516741376 \h </w:instrText>
        </w:r>
        <w:r w:rsidR="00753106">
          <w:rPr>
            <w:noProof/>
            <w:webHidden/>
          </w:rPr>
        </w:r>
        <w:r w:rsidR="00753106">
          <w:rPr>
            <w:noProof/>
            <w:webHidden/>
          </w:rPr>
          <w:fldChar w:fldCharType="separate"/>
        </w:r>
        <w:r>
          <w:rPr>
            <w:noProof/>
            <w:webHidden/>
          </w:rPr>
          <w:t>9</w:t>
        </w:r>
        <w:r w:rsidR="00753106">
          <w:rPr>
            <w:noProof/>
            <w:webHidden/>
          </w:rPr>
          <w:fldChar w:fldCharType="end"/>
        </w:r>
      </w:hyperlink>
    </w:p>
    <w:p w:rsidR="00753106" w:rsidRDefault="00685FD7">
      <w:pPr>
        <w:pStyle w:val="TOC3"/>
        <w:tabs>
          <w:tab w:val="left" w:pos="1100"/>
          <w:tab w:val="right" w:leader="dot" w:pos="9072"/>
        </w:tabs>
        <w:rPr>
          <w:rFonts w:eastAsiaTheme="minorEastAsia" w:cstheme="minorBidi"/>
          <w:noProof/>
          <w:lang w:eastAsia="en-NZ" w:bidi="ar-SA"/>
        </w:rPr>
      </w:pPr>
      <w:hyperlink w:anchor="_Toc516741377" w:history="1">
        <w:r w:rsidR="00753106" w:rsidRPr="002E207F">
          <w:rPr>
            <w:rStyle w:val="Hyperlink"/>
            <w:noProof/>
          </w:rPr>
          <w:t>3.3</w:t>
        </w:r>
        <w:r w:rsidR="00753106">
          <w:rPr>
            <w:rFonts w:eastAsiaTheme="minorEastAsia" w:cstheme="minorBidi"/>
            <w:noProof/>
            <w:lang w:eastAsia="en-NZ" w:bidi="ar-SA"/>
          </w:rPr>
          <w:tab/>
        </w:r>
        <w:r w:rsidR="00753106" w:rsidRPr="002E207F">
          <w:rPr>
            <w:rStyle w:val="Hyperlink"/>
            <w:noProof/>
          </w:rPr>
          <w:t>Service type and primary issues</w:t>
        </w:r>
        <w:r w:rsidR="00753106">
          <w:rPr>
            <w:noProof/>
            <w:webHidden/>
          </w:rPr>
          <w:tab/>
        </w:r>
        <w:r w:rsidR="00753106">
          <w:rPr>
            <w:noProof/>
            <w:webHidden/>
          </w:rPr>
          <w:fldChar w:fldCharType="begin"/>
        </w:r>
        <w:r w:rsidR="00753106">
          <w:rPr>
            <w:noProof/>
            <w:webHidden/>
          </w:rPr>
          <w:instrText xml:space="preserve"> PAGEREF _Toc516741377 \h </w:instrText>
        </w:r>
        <w:r w:rsidR="00753106">
          <w:rPr>
            <w:noProof/>
            <w:webHidden/>
          </w:rPr>
        </w:r>
        <w:r w:rsidR="00753106">
          <w:rPr>
            <w:noProof/>
            <w:webHidden/>
          </w:rPr>
          <w:fldChar w:fldCharType="separate"/>
        </w:r>
        <w:r>
          <w:rPr>
            <w:noProof/>
            <w:webHidden/>
          </w:rPr>
          <w:t>11</w:t>
        </w:r>
        <w:r w:rsidR="00753106">
          <w:rPr>
            <w:noProof/>
            <w:webHidden/>
          </w:rPr>
          <w:fldChar w:fldCharType="end"/>
        </w:r>
      </w:hyperlink>
    </w:p>
    <w:p w:rsidR="00753106" w:rsidRDefault="00685FD7">
      <w:pPr>
        <w:pStyle w:val="TOC2"/>
        <w:tabs>
          <w:tab w:val="left" w:pos="880"/>
          <w:tab w:val="right" w:leader="dot" w:pos="9072"/>
        </w:tabs>
        <w:rPr>
          <w:rFonts w:eastAsiaTheme="minorEastAsia" w:cstheme="minorBidi"/>
          <w:b w:val="0"/>
          <w:noProof/>
          <w:lang w:eastAsia="en-NZ" w:bidi="ar-SA"/>
        </w:rPr>
      </w:pPr>
      <w:hyperlink w:anchor="_Toc516741378" w:history="1">
        <w:r w:rsidR="00753106" w:rsidRPr="002E207F">
          <w:rPr>
            <w:rStyle w:val="Hyperlink"/>
            <w:noProof/>
          </w:rPr>
          <w:t>4.0</w:t>
        </w:r>
        <w:r w:rsidR="00753106">
          <w:rPr>
            <w:rFonts w:eastAsiaTheme="minorEastAsia" w:cstheme="minorBidi"/>
            <w:b w:val="0"/>
            <w:noProof/>
            <w:lang w:eastAsia="en-NZ" w:bidi="ar-SA"/>
          </w:rPr>
          <w:tab/>
        </w:r>
        <w:r w:rsidR="00753106" w:rsidRPr="002E207F">
          <w:rPr>
            <w:rStyle w:val="Hyperlink"/>
            <w:noProof/>
          </w:rPr>
          <w:t>Complaints closed</w:t>
        </w:r>
        <w:r w:rsidR="00753106">
          <w:rPr>
            <w:noProof/>
            <w:webHidden/>
          </w:rPr>
          <w:tab/>
        </w:r>
        <w:r w:rsidR="00753106">
          <w:rPr>
            <w:noProof/>
            <w:webHidden/>
          </w:rPr>
          <w:fldChar w:fldCharType="begin"/>
        </w:r>
        <w:r w:rsidR="00753106">
          <w:rPr>
            <w:noProof/>
            <w:webHidden/>
          </w:rPr>
          <w:instrText xml:space="preserve"> PAGEREF _Toc516741378 \h </w:instrText>
        </w:r>
        <w:r w:rsidR="00753106">
          <w:rPr>
            <w:noProof/>
            <w:webHidden/>
          </w:rPr>
        </w:r>
        <w:r w:rsidR="00753106">
          <w:rPr>
            <w:noProof/>
            <w:webHidden/>
          </w:rPr>
          <w:fldChar w:fldCharType="separate"/>
        </w:r>
        <w:r>
          <w:rPr>
            <w:noProof/>
            <w:webHidden/>
          </w:rPr>
          <w:t>12</w:t>
        </w:r>
        <w:r w:rsidR="00753106">
          <w:rPr>
            <w:noProof/>
            <w:webHidden/>
          </w:rPr>
          <w:fldChar w:fldCharType="end"/>
        </w:r>
      </w:hyperlink>
    </w:p>
    <w:p w:rsidR="00753106" w:rsidRDefault="00685FD7">
      <w:pPr>
        <w:pStyle w:val="TOC3"/>
        <w:tabs>
          <w:tab w:val="left" w:pos="1100"/>
          <w:tab w:val="right" w:leader="dot" w:pos="9072"/>
        </w:tabs>
        <w:rPr>
          <w:rFonts w:eastAsiaTheme="minorEastAsia" w:cstheme="minorBidi"/>
          <w:noProof/>
          <w:lang w:eastAsia="en-NZ" w:bidi="ar-SA"/>
        </w:rPr>
      </w:pPr>
      <w:hyperlink w:anchor="_Toc516741379" w:history="1">
        <w:r w:rsidR="00753106" w:rsidRPr="002E207F">
          <w:rPr>
            <w:rStyle w:val="Hyperlink"/>
            <w:noProof/>
          </w:rPr>
          <w:t>4.1</w:t>
        </w:r>
        <w:r w:rsidR="00753106">
          <w:rPr>
            <w:rFonts w:eastAsiaTheme="minorEastAsia" w:cstheme="minorBidi"/>
            <w:noProof/>
            <w:lang w:eastAsia="en-NZ" w:bidi="ar-SA"/>
          </w:rPr>
          <w:tab/>
        </w:r>
        <w:r w:rsidR="00753106" w:rsidRPr="002E207F">
          <w:rPr>
            <w:rStyle w:val="Hyperlink"/>
            <w:noProof/>
          </w:rPr>
          <w:t>Number of complaints closed</w:t>
        </w:r>
        <w:r w:rsidR="00753106">
          <w:rPr>
            <w:noProof/>
            <w:webHidden/>
          </w:rPr>
          <w:tab/>
        </w:r>
        <w:r w:rsidR="00753106">
          <w:rPr>
            <w:noProof/>
            <w:webHidden/>
          </w:rPr>
          <w:fldChar w:fldCharType="begin"/>
        </w:r>
        <w:r w:rsidR="00753106">
          <w:rPr>
            <w:noProof/>
            <w:webHidden/>
          </w:rPr>
          <w:instrText xml:space="preserve"> PAGEREF _Toc516741379 \h </w:instrText>
        </w:r>
        <w:r w:rsidR="00753106">
          <w:rPr>
            <w:noProof/>
            <w:webHidden/>
          </w:rPr>
        </w:r>
        <w:r w:rsidR="00753106">
          <w:rPr>
            <w:noProof/>
            <w:webHidden/>
          </w:rPr>
          <w:fldChar w:fldCharType="separate"/>
        </w:r>
        <w:r>
          <w:rPr>
            <w:noProof/>
            <w:webHidden/>
          </w:rPr>
          <w:t>12</w:t>
        </w:r>
        <w:r w:rsidR="00753106">
          <w:rPr>
            <w:noProof/>
            <w:webHidden/>
          </w:rPr>
          <w:fldChar w:fldCharType="end"/>
        </w:r>
      </w:hyperlink>
    </w:p>
    <w:p w:rsidR="00753106" w:rsidRDefault="00685FD7">
      <w:pPr>
        <w:pStyle w:val="TOC3"/>
        <w:tabs>
          <w:tab w:val="left" w:pos="1100"/>
          <w:tab w:val="right" w:leader="dot" w:pos="9072"/>
        </w:tabs>
        <w:rPr>
          <w:rFonts w:eastAsiaTheme="minorEastAsia" w:cstheme="minorBidi"/>
          <w:noProof/>
          <w:lang w:eastAsia="en-NZ" w:bidi="ar-SA"/>
        </w:rPr>
      </w:pPr>
      <w:hyperlink w:anchor="_Toc516741380" w:history="1">
        <w:r w:rsidR="00753106" w:rsidRPr="002E207F">
          <w:rPr>
            <w:rStyle w:val="Hyperlink"/>
            <w:noProof/>
          </w:rPr>
          <w:t>4.2</w:t>
        </w:r>
        <w:r w:rsidR="00753106">
          <w:rPr>
            <w:rFonts w:eastAsiaTheme="minorEastAsia" w:cstheme="minorBidi"/>
            <w:noProof/>
            <w:lang w:eastAsia="en-NZ" w:bidi="ar-SA"/>
          </w:rPr>
          <w:tab/>
        </w:r>
        <w:r w:rsidR="00753106" w:rsidRPr="002E207F">
          <w:rPr>
            <w:rStyle w:val="Hyperlink"/>
            <w:noProof/>
          </w:rPr>
          <w:t>Outcomes of complaints closed</w:t>
        </w:r>
        <w:r w:rsidR="00753106">
          <w:rPr>
            <w:noProof/>
            <w:webHidden/>
          </w:rPr>
          <w:tab/>
        </w:r>
        <w:r w:rsidR="00753106">
          <w:rPr>
            <w:noProof/>
            <w:webHidden/>
          </w:rPr>
          <w:fldChar w:fldCharType="begin"/>
        </w:r>
        <w:r w:rsidR="00753106">
          <w:rPr>
            <w:noProof/>
            <w:webHidden/>
          </w:rPr>
          <w:instrText xml:space="preserve"> PAGEREF _Toc516741380 \h </w:instrText>
        </w:r>
        <w:r w:rsidR="00753106">
          <w:rPr>
            <w:noProof/>
            <w:webHidden/>
          </w:rPr>
        </w:r>
        <w:r w:rsidR="00753106">
          <w:rPr>
            <w:noProof/>
            <w:webHidden/>
          </w:rPr>
          <w:fldChar w:fldCharType="separate"/>
        </w:r>
        <w:r>
          <w:rPr>
            <w:noProof/>
            <w:webHidden/>
          </w:rPr>
          <w:t>12</w:t>
        </w:r>
        <w:r w:rsidR="00753106">
          <w:rPr>
            <w:noProof/>
            <w:webHidden/>
          </w:rPr>
          <w:fldChar w:fldCharType="end"/>
        </w:r>
      </w:hyperlink>
    </w:p>
    <w:p w:rsidR="00753106" w:rsidRDefault="00685FD7">
      <w:pPr>
        <w:pStyle w:val="TOC3"/>
        <w:tabs>
          <w:tab w:val="left" w:pos="1100"/>
          <w:tab w:val="right" w:leader="dot" w:pos="9072"/>
        </w:tabs>
        <w:rPr>
          <w:rFonts w:eastAsiaTheme="minorEastAsia" w:cstheme="minorBidi"/>
          <w:noProof/>
          <w:lang w:eastAsia="en-NZ" w:bidi="ar-SA"/>
        </w:rPr>
      </w:pPr>
      <w:hyperlink w:anchor="_Toc516741381" w:history="1">
        <w:r w:rsidR="00753106" w:rsidRPr="002E207F">
          <w:rPr>
            <w:rStyle w:val="Hyperlink"/>
            <w:noProof/>
            <w:lang w:eastAsia="en-NZ"/>
          </w:rPr>
          <w:t xml:space="preserve">4.3 </w:t>
        </w:r>
        <w:r w:rsidR="00753106">
          <w:rPr>
            <w:rFonts w:eastAsiaTheme="minorEastAsia" w:cstheme="minorBidi"/>
            <w:noProof/>
            <w:lang w:eastAsia="en-NZ" w:bidi="ar-SA"/>
          </w:rPr>
          <w:tab/>
        </w:r>
        <w:r w:rsidR="00753106" w:rsidRPr="002E207F">
          <w:rPr>
            <w:rStyle w:val="Hyperlink"/>
            <w:noProof/>
          </w:rPr>
          <w:t>Recommendations</w:t>
        </w:r>
        <w:r w:rsidR="00753106" w:rsidRPr="002E207F">
          <w:rPr>
            <w:rStyle w:val="Hyperlink"/>
            <w:noProof/>
            <w:lang w:eastAsia="en-NZ"/>
          </w:rPr>
          <w:t xml:space="preserve"> made to DHBs following a complaint</w:t>
        </w:r>
        <w:r w:rsidR="00753106">
          <w:rPr>
            <w:noProof/>
            <w:webHidden/>
          </w:rPr>
          <w:tab/>
        </w:r>
        <w:r w:rsidR="00753106">
          <w:rPr>
            <w:noProof/>
            <w:webHidden/>
          </w:rPr>
          <w:fldChar w:fldCharType="begin"/>
        </w:r>
        <w:r w:rsidR="00753106">
          <w:rPr>
            <w:noProof/>
            <w:webHidden/>
          </w:rPr>
          <w:instrText xml:space="preserve"> PAGEREF _Toc516741381 \h </w:instrText>
        </w:r>
        <w:r w:rsidR="00753106">
          <w:rPr>
            <w:noProof/>
            <w:webHidden/>
          </w:rPr>
        </w:r>
        <w:r w:rsidR="00753106">
          <w:rPr>
            <w:noProof/>
            <w:webHidden/>
          </w:rPr>
          <w:fldChar w:fldCharType="separate"/>
        </w:r>
        <w:r>
          <w:rPr>
            <w:noProof/>
            <w:webHidden/>
          </w:rPr>
          <w:t>14</w:t>
        </w:r>
        <w:r w:rsidR="00753106">
          <w:rPr>
            <w:noProof/>
            <w:webHidden/>
          </w:rPr>
          <w:fldChar w:fldCharType="end"/>
        </w:r>
      </w:hyperlink>
    </w:p>
    <w:p w:rsidR="00753106" w:rsidRDefault="00685FD7">
      <w:pPr>
        <w:pStyle w:val="TOC2"/>
        <w:tabs>
          <w:tab w:val="left" w:pos="880"/>
          <w:tab w:val="right" w:leader="dot" w:pos="9072"/>
        </w:tabs>
        <w:rPr>
          <w:rFonts w:eastAsiaTheme="minorEastAsia" w:cstheme="minorBidi"/>
          <w:b w:val="0"/>
          <w:noProof/>
          <w:lang w:eastAsia="en-NZ" w:bidi="ar-SA"/>
        </w:rPr>
      </w:pPr>
      <w:hyperlink w:anchor="_Toc516741382" w:history="1">
        <w:r w:rsidR="00753106" w:rsidRPr="002E207F">
          <w:rPr>
            <w:rStyle w:val="Hyperlink"/>
            <w:noProof/>
          </w:rPr>
          <w:t>5.0</w:t>
        </w:r>
        <w:r w:rsidR="00753106">
          <w:rPr>
            <w:rFonts w:eastAsiaTheme="minorEastAsia" w:cstheme="minorBidi"/>
            <w:b w:val="0"/>
            <w:noProof/>
            <w:lang w:eastAsia="en-NZ" w:bidi="ar-SA"/>
          </w:rPr>
          <w:tab/>
        </w:r>
        <w:r w:rsidR="00753106" w:rsidRPr="002E207F">
          <w:rPr>
            <w:rStyle w:val="Hyperlink"/>
            <w:noProof/>
          </w:rPr>
          <w:t>Learning from complaints — HDC case reports</w:t>
        </w:r>
        <w:r w:rsidR="00753106">
          <w:rPr>
            <w:noProof/>
            <w:webHidden/>
          </w:rPr>
          <w:tab/>
        </w:r>
        <w:r w:rsidR="00753106">
          <w:rPr>
            <w:noProof/>
            <w:webHidden/>
          </w:rPr>
          <w:fldChar w:fldCharType="begin"/>
        </w:r>
        <w:r w:rsidR="00753106">
          <w:rPr>
            <w:noProof/>
            <w:webHidden/>
          </w:rPr>
          <w:instrText xml:space="preserve"> PAGEREF _Toc516741382 \h </w:instrText>
        </w:r>
        <w:r w:rsidR="00753106">
          <w:rPr>
            <w:noProof/>
            <w:webHidden/>
          </w:rPr>
        </w:r>
        <w:r w:rsidR="00753106">
          <w:rPr>
            <w:noProof/>
            <w:webHidden/>
          </w:rPr>
          <w:fldChar w:fldCharType="separate"/>
        </w:r>
        <w:r>
          <w:rPr>
            <w:noProof/>
            <w:webHidden/>
          </w:rPr>
          <w:t>15</w:t>
        </w:r>
        <w:r w:rsidR="00753106">
          <w:rPr>
            <w:noProof/>
            <w:webHidden/>
          </w:rPr>
          <w:fldChar w:fldCharType="end"/>
        </w:r>
      </w:hyperlink>
    </w:p>
    <w:p w:rsidR="00540FA4" w:rsidRDefault="00540FA4" w:rsidP="00540FA4">
      <w:pPr>
        <w:jc w:val="left"/>
        <w:rPr>
          <w:b/>
          <w:color w:val="000000" w:themeColor="text1"/>
          <w:sz w:val="32"/>
          <w:szCs w:val="32"/>
        </w:rPr>
      </w:pPr>
      <w:r>
        <w:rPr>
          <w:b/>
          <w:color w:val="000000" w:themeColor="text1"/>
          <w:sz w:val="32"/>
          <w:szCs w:val="32"/>
        </w:rPr>
        <w:fldChar w:fldCharType="end"/>
      </w:r>
    </w:p>
    <w:p w:rsidR="00540FA4" w:rsidRDefault="00540FA4" w:rsidP="00540FA4">
      <w:pPr>
        <w:jc w:val="left"/>
        <w:rPr>
          <w:b/>
          <w:color w:val="000000" w:themeColor="text1"/>
          <w:sz w:val="32"/>
          <w:szCs w:val="32"/>
        </w:rPr>
        <w:sectPr w:rsidR="00540FA4" w:rsidSect="00317B3B">
          <w:headerReference w:type="default" r:id="rId16"/>
          <w:footerReference w:type="default" r:id="rId17"/>
          <w:headerReference w:type="first" r:id="rId18"/>
          <w:footerReference w:type="first" r:id="rId19"/>
          <w:type w:val="oddPage"/>
          <w:pgSz w:w="11906" w:h="16838" w:code="9"/>
          <w:pgMar w:top="1140" w:right="1412" w:bottom="851" w:left="1412" w:header="720" w:footer="590" w:gutter="0"/>
          <w:pgNumType w:fmt="lowerRoman" w:start="1"/>
          <w:cols w:space="720"/>
          <w:titlePg/>
          <w:docGrid w:linePitch="360"/>
        </w:sectPr>
      </w:pPr>
    </w:p>
    <w:p w:rsidR="00D86226" w:rsidRDefault="006C6BDE" w:rsidP="00D86226">
      <w:pPr>
        <w:pStyle w:val="Heading1"/>
        <w:spacing w:before="240"/>
        <w:rPr>
          <w:lang w:val="en-NZ"/>
        </w:rPr>
      </w:pPr>
      <w:bookmarkStart w:id="1" w:name="_Toc426462625"/>
      <w:bookmarkStart w:id="2" w:name="_Toc384047606"/>
      <w:bookmarkStart w:id="3" w:name="_Toc443992220"/>
      <w:bookmarkStart w:id="4" w:name="_Toc447291466"/>
      <w:bookmarkStart w:id="5" w:name="_Toc447527523"/>
      <w:bookmarkStart w:id="6" w:name="_Toc426462636"/>
      <w:bookmarkStart w:id="7" w:name="_Toc415221218"/>
      <w:bookmarkStart w:id="8" w:name="_Toc415153517"/>
      <w:bookmarkStart w:id="9" w:name="_Toc415147243"/>
      <w:bookmarkStart w:id="10" w:name="_Toc415135529"/>
      <w:bookmarkStart w:id="11" w:name="_Toc415046457"/>
      <w:bookmarkStart w:id="12" w:name="_Toc415039801"/>
      <w:bookmarkStart w:id="13" w:name="_Toc414952830"/>
      <w:bookmarkStart w:id="14" w:name="_Toc414886545"/>
      <w:bookmarkStart w:id="15" w:name="_Toc414875835"/>
      <w:bookmarkStart w:id="16" w:name="_Toc414461837"/>
      <w:bookmarkStart w:id="17" w:name="_Toc414442656"/>
      <w:bookmarkStart w:id="18" w:name="_Toc383707794"/>
      <w:r>
        <w:rPr>
          <w:lang w:val="en-NZ"/>
        </w:rPr>
        <w:lastRenderedPageBreak/>
        <w:t xml:space="preserve"> </w:t>
      </w:r>
      <w:bookmarkStart w:id="19" w:name="_Toc493684121"/>
      <w:bookmarkStart w:id="20" w:name="_Toc51674136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D86226">
        <w:rPr>
          <w:lang w:val="en-NZ"/>
        </w:rPr>
        <w:t>Commissioner’s Foreword</w:t>
      </w:r>
      <w:bookmarkEnd w:id="19"/>
      <w:bookmarkEnd w:id="20"/>
    </w:p>
    <w:p w:rsidR="00BB5DE6" w:rsidRPr="003E5D6C" w:rsidRDefault="00BB5DE6" w:rsidP="00BB5DE6">
      <w:r w:rsidRPr="003E5D6C">
        <w:t>I am pleased to present you with HDC’s second six monthly D</w:t>
      </w:r>
      <w:r>
        <w:t>HB complaint report for the 2017/2018</w:t>
      </w:r>
      <w:r w:rsidRPr="003E5D6C">
        <w:t xml:space="preserve"> year.</w:t>
      </w:r>
    </w:p>
    <w:p w:rsidR="00BB5DE6" w:rsidRPr="003E5D6C" w:rsidRDefault="00BB5DE6" w:rsidP="00BB5DE6">
      <w:pPr>
        <w:rPr>
          <w:lang w:bidi="ar-SA"/>
        </w:rPr>
      </w:pPr>
    </w:p>
    <w:p w:rsidR="00BB5DE6" w:rsidRPr="003E5D6C" w:rsidRDefault="00BB5DE6" w:rsidP="00BB5DE6">
      <w:pPr>
        <w:rPr>
          <w:lang w:bidi="ar-SA"/>
        </w:rPr>
      </w:pPr>
      <w:r>
        <w:rPr>
          <w:lang w:bidi="ar-SA"/>
        </w:rPr>
        <w:t>The</w:t>
      </w:r>
      <w:r w:rsidRPr="003E5D6C">
        <w:rPr>
          <w:lang w:bidi="ar-SA"/>
        </w:rPr>
        <w:t xml:space="preserve"> trends in complaints about DHBs</w:t>
      </w:r>
      <w:r>
        <w:rPr>
          <w:lang w:bidi="ar-SA"/>
        </w:rPr>
        <w:t xml:space="preserve"> in Jan</w:t>
      </w:r>
      <w:r w:rsidR="002A5A11">
        <w:rPr>
          <w:lang w:bidi="ar-SA"/>
        </w:rPr>
        <w:t xml:space="preserve">uary to </w:t>
      </w:r>
      <w:r>
        <w:rPr>
          <w:lang w:bidi="ar-SA"/>
        </w:rPr>
        <w:t>Jun</w:t>
      </w:r>
      <w:r w:rsidR="002A5A11">
        <w:rPr>
          <w:lang w:bidi="ar-SA"/>
        </w:rPr>
        <w:t>e</w:t>
      </w:r>
      <w:r>
        <w:rPr>
          <w:lang w:bidi="ar-SA"/>
        </w:rPr>
        <w:t xml:space="preserve"> 2018 have</w:t>
      </w:r>
      <w:r w:rsidRPr="003E5D6C">
        <w:rPr>
          <w:lang w:bidi="ar-SA"/>
        </w:rPr>
        <w:t xml:space="preserve"> remained broadly consistent</w:t>
      </w:r>
      <w:r>
        <w:rPr>
          <w:lang w:bidi="ar-SA"/>
        </w:rPr>
        <w:t xml:space="preserve"> with previous periods. Surgery, mental health and general medicine have</w:t>
      </w:r>
      <w:r w:rsidRPr="003E5D6C">
        <w:rPr>
          <w:lang w:bidi="ar-SA"/>
        </w:rPr>
        <w:t xml:space="preserve"> remained the most commonly complained about service types at DHBs</w:t>
      </w:r>
      <w:r>
        <w:rPr>
          <w:lang w:bidi="ar-SA"/>
        </w:rPr>
        <w:t>,</w:t>
      </w:r>
      <w:r w:rsidRPr="003E5D6C">
        <w:rPr>
          <w:lang w:bidi="ar-SA"/>
        </w:rPr>
        <w:t xml:space="preserve"> and misdiagnosis</w:t>
      </w:r>
      <w:r>
        <w:rPr>
          <w:lang w:bidi="ar-SA"/>
        </w:rPr>
        <w:t xml:space="preserve"> was again </w:t>
      </w:r>
      <w:r w:rsidRPr="003E5D6C">
        <w:rPr>
          <w:lang w:bidi="ar-SA"/>
        </w:rPr>
        <w:t>the most commonly comp</w:t>
      </w:r>
      <w:r>
        <w:rPr>
          <w:lang w:bidi="ar-SA"/>
        </w:rPr>
        <w:t>lained about primary issue.</w:t>
      </w:r>
      <w:r w:rsidR="00016B1A">
        <w:rPr>
          <w:lang w:bidi="ar-SA"/>
        </w:rPr>
        <w:t xml:space="preserve"> However, complaints</w:t>
      </w:r>
      <w:r>
        <w:rPr>
          <w:lang w:bidi="ar-SA"/>
        </w:rPr>
        <w:t xml:space="preserve"> regarding an unexpected treatment outcome became more prominent in Jan</w:t>
      </w:r>
      <w:r w:rsidR="002A5A11">
        <w:rPr>
          <w:lang w:bidi="ar-SA"/>
        </w:rPr>
        <w:t xml:space="preserve">uary to </w:t>
      </w:r>
      <w:r>
        <w:rPr>
          <w:lang w:bidi="ar-SA"/>
        </w:rPr>
        <w:t>Jun</w:t>
      </w:r>
      <w:r w:rsidR="002A5A11">
        <w:rPr>
          <w:lang w:bidi="ar-SA"/>
        </w:rPr>
        <w:t>e</w:t>
      </w:r>
      <w:r>
        <w:rPr>
          <w:lang w:bidi="ar-SA"/>
        </w:rPr>
        <w:t xml:space="preserve"> 2018, with </w:t>
      </w:r>
      <w:r w:rsidR="00016B1A">
        <w:rPr>
          <w:lang w:bidi="ar-SA"/>
        </w:rPr>
        <w:t>this issue</w:t>
      </w:r>
      <w:r w:rsidR="001F36A2">
        <w:rPr>
          <w:lang w:bidi="ar-SA"/>
        </w:rPr>
        <w:t xml:space="preserve"> increasing from being the primary issue in around 8% of DHB complaints</w:t>
      </w:r>
      <w:r w:rsidR="00064B53">
        <w:rPr>
          <w:lang w:bidi="ar-SA"/>
        </w:rPr>
        <w:t xml:space="preserve"> in previous periods</w:t>
      </w:r>
      <w:r w:rsidR="001F36A2">
        <w:rPr>
          <w:lang w:bidi="ar-SA"/>
        </w:rPr>
        <w:t xml:space="preserve"> to 12% in Jan</w:t>
      </w:r>
      <w:r w:rsidR="002A5A11">
        <w:rPr>
          <w:lang w:bidi="ar-SA"/>
        </w:rPr>
        <w:t xml:space="preserve">uary to </w:t>
      </w:r>
      <w:r w:rsidR="001F36A2">
        <w:rPr>
          <w:lang w:bidi="ar-SA"/>
        </w:rPr>
        <w:t>Jun</w:t>
      </w:r>
      <w:r w:rsidR="002A5A11">
        <w:rPr>
          <w:lang w:bidi="ar-SA"/>
        </w:rPr>
        <w:t>e</w:t>
      </w:r>
      <w:r w:rsidR="001F36A2">
        <w:rPr>
          <w:lang w:bidi="ar-SA"/>
        </w:rPr>
        <w:t xml:space="preserve"> 2018. This issue often relates to post-surgical complications, and can sometimes reflect the quality of </w:t>
      </w:r>
      <w:r w:rsidR="00016B1A">
        <w:rPr>
          <w:lang w:bidi="ar-SA"/>
        </w:rPr>
        <w:t>information provided to the</w:t>
      </w:r>
      <w:r w:rsidR="001F36A2">
        <w:rPr>
          <w:lang w:bidi="ar-SA"/>
        </w:rPr>
        <w:t xml:space="preserve"> consumer around the risks and possible complications of surgery.</w:t>
      </w:r>
    </w:p>
    <w:p w:rsidR="00BB5DE6" w:rsidRPr="003E5D6C" w:rsidRDefault="00BB5DE6" w:rsidP="00BB5DE6">
      <w:pPr>
        <w:rPr>
          <w:lang w:bidi="ar-SA"/>
        </w:rPr>
      </w:pPr>
    </w:p>
    <w:p w:rsidR="00064B53" w:rsidRDefault="001F36A2" w:rsidP="00BB5DE6">
      <w:r>
        <w:rPr>
          <w:lang w:bidi="ar-SA"/>
        </w:rPr>
        <w:t>Over the last year, I have noted that</w:t>
      </w:r>
      <w:r w:rsidR="00016B1A">
        <w:rPr>
          <w:lang w:bidi="ar-SA"/>
        </w:rPr>
        <w:t xml:space="preserve"> inadequate follow-up of test result has been a feature of a number of investigations closed by th</w:t>
      </w:r>
      <w:r w:rsidR="00A344F3">
        <w:rPr>
          <w:lang w:bidi="ar-SA"/>
        </w:rPr>
        <w:t>is Office about</w:t>
      </w:r>
      <w:r w:rsidR="00016B1A">
        <w:rPr>
          <w:lang w:bidi="ar-SA"/>
        </w:rPr>
        <w:t xml:space="preserve"> DHBs</w:t>
      </w:r>
      <w:r w:rsidR="00456864">
        <w:rPr>
          <w:rStyle w:val="FootnoteReference"/>
          <w:lang w:bidi="ar-SA"/>
        </w:rPr>
        <w:footnoteReference w:id="1"/>
      </w:r>
      <w:r>
        <w:rPr>
          <w:lang w:bidi="ar-SA"/>
        </w:rPr>
        <w:t xml:space="preserve">. These cases are often contributed </w:t>
      </w:r>
      <w:r>
        <w:t xml:space="preserve">to by </w:t>
      </w:r>
      <w:r w:rsidRPr="001F36A2">
        <w:t>the lack of</w:t>
      </w:r>
      <w:r w:rsidR="00016B1A">
        <w:t xml:space="preserve"> a </w:t>
      </w:r>
      <w:r w:rsidRPr="001F36A2">
        <w:t xml:space="preserve">clear, effective formalised system for </w:t>
      </w:r>
      <w:r w:rsidR="00D56982">
        <w:t>the reporting and follow-up of test results</w:t>
      </w:r>
      <w:r>
        <w:t>.</w:t>
      </w:r>
      <w:r w:rsidR="00456864">
        <w:t xml:space="preserve"> It is important that DHBs communicate their expectations around test result follow-up to staff clearly and that systems have a number of defences built into them to ensure that test results are </w:t>
      </w:r>
      <w:r w:rsidR="00D56982">
        <w:t>actioned</w:t>
      </w:r>
      <w:r w:rsidR="00456864">
        <w:t xml:space="preserve"> in a timely manner.</w:t>
      </w:r>
      <w:r w:rsidR="00016B1A">
        <w:t xml:space="preserve"> </w:t>
      </w:r>
      <w:r>
        <w:t xml:space="preserve">Another issue I often see in these cases </w:t>
      </w:r>
      <w:r w:rsidR="00456864">
        <w:t>are</w:t>
      </w:r>
      <w:r>
        <w:t xml:space="preserve"> inadequacies in electronic systems, including: </w:t>
      </w:r>
    </w:p>
    <w:p w:rsidR="00064B53" w:rsidRDefault="001F36A2" w:rsidP="00064B53">
      <w:pPr>
        <w:pStyle w:val="ListParagraph"/>
        <w:numPr>
          <w:ilvl w:val="0"/>
          <w:numId w:val="17"/>
        </w:numPr>
        <w:rPr>
          <w:lang w:bidi="ar-SA"/>
        </w:rPr>
      </w:pPr>
      <w:r>
        <w:t xml:space="preserve">incomplete rollout of electronic systems; </w:t>
      </w:r>
    </w:p>
    <w:p w:rsidR="00064B53" w:rsidRDefault="001F36A2" w:rsidP="00064B53">
      <w:pPr>
        <w:pStyle w:val="ListParagraph"/>
        <w:numPr>
          <w:ilvl w:val="0"/>
          <w:numId w:val="17"/>
        </w:numPr>
        <w:rPr>
          <w:lang w:bidi="ar-SA"/>
        </w:rPr>
      </w:pPr>
      <w:r>
        <w:t xml:space="preserve">lack of appropriate safeguards built into </w:t>
      </w:r>
      <w:r w:rsidR="00016B1A">
        <w:t xml:space="preserve">such </w:t>
      </w:r>
      <w:r>
        <w:t xml:space="preserve">systems; </w:t>
      </w:r>
    </w:p>
    <w:p w:rsidR="00064B53" w:rsidRDefault="001F36A2" w:rsidP="00064B53">
      <w:pPr>
        <w:pStyle w:val="ListParagraph"/>
        <w:numPr>
          <w:ilvl w:val="0"/>
          <w:numId w:val="17"/>
        </w:numPr>
        <w:rPr>
          <w:lang w:bidi="ar-SA"/>
        </w:rPr>
      </w:pPr>
      <w:r>
        <w:t>lack of clarity in policies and procedures around their use</w:t>
      </w:r>
      <w:r w:rsidR="00016B1A">
        <w:t>;</w:t>
      </w:r>
      <w:r>
        <w:t xml:space="preserve"> and </w:t>
      </w:r>
    </w:p>
    <w:p w:rsidR="00064B53" w:rsidRDefault="001F36A2" w:rsidP="00064B53">
      <w:pPr>
        <w:pStyle w:val="ListParagraph"/>
        <w:numPr>
          <w:ilvl w:val="0"/>
          <w:numId w:val="17"/>
        </w:numPr>
        <w:rPr>
          <w:lang w:bidi="ar-SA"/>
        </w:rPr>
      </w:pPr>
      <w:proofErr w:type="gramStart"/>
      <w:r>
        <w:t>staff</w:t>
      </w:r>
      <w:proofErr w:type="gramEnd"/>
      <w:r>
        <w:t xml:space="preserve"> not</w:t>
      </w:r>
      <w:r w:rsidR="00016B1A">
        <w:t xml:space="preserve"> being</w:t>
      </w:r>
      <w:r>
        <w:t xml:space="preserve"> trained/competent in </w:t>
      </w:r>
      <w:r w:rsidR="00016B1A">
        <w:t xml:space="preserve"> the use of electronic</w:t>
      </w:r>
      <w:r>
        <w:t xml:space="preserve"> systems. </w:t>
      </w:r>
    </w:p>
    <w:p w:rsidR="00064B53" w:rsidRDefault="00064B53" w:rsidP="00064B53">
      <w:pPr>
        <w:ind w:left="45"/>
      </w:pPr>
    </w:p>
    <w:p w:rsidR="00BB5DE6" w:rsidRPr="003E5D6C" w:rsidRDefault="00456864" w:rsidP="00064B53">
      <w:pPr>
        <w:ind w:left="45"/>
        <w:rPr>
          <w:lang w:bidi="ar-SA"/>
        </w:rPr>
      </w:pPr>
      <w:r>
        <w:t>While I support the introduction of digital systems, it is important that these systems are fit-for purpose and the roll out and use of such systems are well planned, well designed, and</w:t>
      </w:r>
      <w:r w:rsidR="00064B53">
        <w:t xml:space="preserve"> subject to close scrutiny. Providers need to be</w:t>
      </w:r>
      <w:r>
        <w:t xml:space="preserve"> trained appropriately on the use of these tools to ensure that they make the </w:t>
      </w:r>
      <w:r w:rsidR="00016B1A">
        <w:t>best use</w:t>
      </w:r>
      <w:r w:rsidR="00064B53">
        <w:t xml:space="preserve"> of the safety features </w:t>
      </w:r>
      <w:r w:rsidR="00A344F3">
        <w:t>and DHBs</w:t>
      </w:r>
      <w:r w:rsidR="00064B53">
        <w:t xml:space="preserve"> need to</w:t>
      </w:r>
      <w:r w:rsidR="00016B1A">
        <w:t xml:space="preserve"> make their expectations regarding the use of such systems clear.</w:t>
      </w:r>
    </w:p>
    <w:p w:rsidR="00BB5DE6" w:rsidRDefault="00BB5DE6" w:rsidP="00BB5DE6">
      <w:pPr>
        <w:jc w:val="left"/>
        <w:rPr>
          <w:lang w:bidi="ar-SA"/>
        </w:rPr>
      </w:pPr>
    </w:p>
    <w:p w:rsidR="00BB5DE6" w:rsidRDefault="00BB5DE6" w:rsidP="00BB5DE6">
      <w:pPr>
        <w:jc w:val="left"/>
        <w:rPr>
          <w:lang w:bidi="ar-SA"/>
        </w:rPr>
      </w:pPr>
    </w:p>
    <w:p w:rsidR="00BB5DE6" w:rsidRPr="006E1CA7" w:rsidRDefault="00BB5DE6" w:rsidP="00BB5DE6">
      <w:pPr>
        <w:jc w:val="left"/>
        <w:rPr>
          <w:b/>
          <w:lang w:val="en-US"/>
        </w:rPr>
      </w:pPr>
      <w:r>
        <w:rPr>
          <w:lang w:val="en-US"/>
        </w:rPr>
        <w:t>Anthony Hill</w:t>
      </w:r>
      <w:r>
        <w:rPr>
          <w:lang w:val="en-US"/>
        </w:rPr>
        <w:br/>
      </w:r>
      <w:r w:rsidRPr="006E1CA7">
        <w:rPr>
          <w:b/>
          <w:lang w:val="en-US"/>
        </w:rPr>
        <w:t>Health and Disability Commissioner</w:t>
      </w:r>
    </w:p>
    <w:p w:rsidR="00BB5DE6" w:rsidRPr="00BB5DE6" w:rsidRDefault="00BB5DE6" w:rsidP="00BB5DE6">
      <w:pPr>
        <w:rPr>
          <w:lang w:bidi="ar-SA"/>
        </w:rPr>
      </w:pPr>
    </w:p>
    <w:p w:rsidR="00041773" w:rsidRPr="00A8497F" w:rsidRDefault="00041773" w:rsidP="00041773"/>
    <w:p w:rsidR="00041773" w:rsidRPr="00041773" w:rsidRDefault="00041773" w:rsidP="00041773">
      <w:pPr>
        <w:rPr>
          <w:lang w:bidi="ar-SA"/>
        </w:rPr>
      </w:pPr>
    </w:p>
    <w:p w:rsidR="00D86226" w:rsidRDefault="00D86226" w:rsidP="00D86226">
      <w:pPr>
        <w:jc w:val="left"/>
        <w:rPr>
          <w:lang w:bidi="ar-SA"/>
        </w:rPr>
      </w:pPr>
    </w:p>
    <w:p w:rsidR="00D86226" w:rsidRDefault="00D86226" w:rsidP="00D86226">
      <w:pPr>
        <w:jc w:val="left"/>
        <w:rPr>
          <w:lang w:bidi="ar-SA"/>
        </w:rPr>
      </w:pPr>
    </w:p>
    <w:p w:rsidR="00D86226" w:rsidRDefault="00D86226" w:rsidP="00D86226">
      <w:pPr>
        <w:jc w:val="left"/>
        <w:sectPr w:rsidR="00D86226" w:rsidSect="00160606">
          <w:type w:val="oddPage"/>
          <w:pgSz w:w="11906" w:h="16838"/>
          <w:pgMar w:top="1140" w:right="1412" w:bottom="851" w:left="1412" w:header="720" w:footer="590" w:gutter="0"/>
          <w:pgNumType w:fmt="lowerRoman" w:start="1"/>
          <w:cols w:space="720"/>
        </w:sectPr>
      </w:pPr>
    </w:p>
    <w:p w:rsidR="00D86226" w:rsidRDefault="00D86226" w:rsidP="00D86226">
      <w:pPr>
        <w:pStyle w:val="Heading1"/>
        <w:spacing w:before="240"/>
        <w:rPr>
          <w:lang w:val="en-NZ"/>
        </w:rPr>
      </w:pPr>
      <w:bookmarkStart w:id="21" w:name="_Toc426462626"/>
      <w:bookmarkStart w:id="22" w:name="_Toc443992221"/>
      <w:bookmarkStart w:id="23" w:name="_Toc447291467"/>
      <w:bookmarkStart w:id="24" w:name="_Toc447527524"/>
      <w:bookmarkStart w:id="25" w:name="_Toc493684122"/>
      <w:bookmarkStart w:id="26" w:name="_Toc516741368"/>
      <w:r>
        <w:rPr>
          <w:lang w:val="en-NZ"/>
        </w:rPr>
        <w:lastRenderedPageBreak/>
        <w:t>National Data for all District Health Boards</w:t>
      </w:r>
      <w:bookmarkEnd w:id="21"/>
      <w:bookmarkEnd w:id="22"/>
      <w:bookmarkEnd w:id="23"/>
      <w:bookmarkEnd w:id="24"/>
      <w:bookmarkEnd w:id="25"/>
      <w:bookmarkEnd w:id="26"/>
    </w:p>
    <w:p w:rsidR="00D86226" w:rsidRDefault="00D86226" w:rsidP="00D86226">
      <w:pPr>
        <w:pStyle w:val="Heading2"/>
        <w:spacing w:before="120"/>
        <w:rPr>
          <w:lang w:val="en-NZ"/>
        </w:rPr>
      </w:pPr>
      <w:bookmarkStart w:id="27" w:name="_Toc426462627"/>
      <w:bookmarkStart w:id="28" w:name="_Toc443992222"/>
      <w:bookmarkStart w:id="29" w:name="_Toc447291468"/>
      <w:bookmarkStart w:id="30" w:name="_Toc447527525"/>
      <w:bookmarkStart w:id="31" w:name="_Toc493684123"/>
      <w:bookmarkStart w:id="32" w:name="_Toc516741369"/>
      <w:r>
        <w:rPr>
          <w:lang w:val="en-NZ"/>
        </w:rPr>
        <w:t>1.0</w:t>
      </w:r>
      <w:r>
        <w:rPr>
          <w:lang w:val="en-NZ"/>
        </w:rPr>
        <w:tab/>
        <w:t>Number of complaints received</w:t>
      </w:r>
      <w:bookmarkEnd w:id="27"/>
      <w:bookmarkEnd w:id="28"/>
      <w:bookmarkEnd w:id="29"/>
      <w:bookmarkEnd w:id="30"/>
      <w:bookmarkEnd w:id="31"/>
      <w:bookmarkEnd w:id="32"/>
    </w:p>
    <w:p w:rsidR="00D86226" w:rsidRDefault="00D86226" w:rsidP="00D86226">
      <w:pPr>
        <w:pStyle w:val="Heading3"/>
        <w:spacing w:after="120"/>
      </w:pPr>
      <w:bookmarkStart w:id="33" w:name="_Toc426462628"/>
      <w:bookmarkStart w:id="34" w:name="_Toc443992223"/>
      <w:bookmarkStart w:id="35" w:name="_Toc447291469"/>
      <w:bookmarkStart w:id="36" w:name="_Toc447527526"/>
      <w:bookmarkStart w:id="37" w:name="_Toc493684124"/>
      <w:bookmarkStart w:id="38" w:name="_Toc516741370"/>
      <w:r>
        <w:t xml:space="preserve">1.1 </w:t>
      </w:r>
      <w:r>
        <w:tab/>
        <w:t>Raw number of complaints received</w:t>
      </w:r>
      <w:bookmarkEnd w:id="33"/>
      <w:bookmarkEnd w:id="34"/>
      <w:bookmarkEnd w:id="35"/>
      <w:bookmarkEnd w:id="36"/>
      <w:bookmarkEnd w:id="37"/>
      <w:bookmarkEnd w:id="38"/>
      <w:r>
        <w:t xml:space="preserve"> </w:t>
      </w:r>
    </w:p>
    <w:p w:rsidR="00D86226" w:rsidRDefault="00D86226" w:rsidP="00D86226">
      <w:r>
        <w:t xml:space="preserve">In the period </w:t>
      </w:r>
      <w:r w:rsidR="00BC51FC">
        <w:rPr>
          <w:lang w:eastAsia="en-NZ" w:bidi="ar-SA"/>
        </w:rPr>
        <w:t>Jan–Jun 2018</w:t>
      </w:r>
      <w:r>
        <w:t xml:space="preserve">, HDC received a total of </w:t>
      </w:r>
      <w:r w:rsidR="00411DA0">
        <w:rPr>
          <w:b/>
        </w:rPr>
        <w:t>4</w:t>
      </w:r>
      <w:r w:rsidR="00BC51FC">
        <w:rPr>
          <w:b/>
        </w:rPr>
        <w:t>5</w:t>
      </w:r>
      <w:r w:rsidR="006C7D61">
        <w:rPr>
          <w:b/>
        </w:rPr>
        <w:t>0</w:t>
      </w:r>
      <w:r>
        <w:rPr>
          <w:rStyle w:val="FootnoteReference"/>
          <w:b/>
        </w:rPr>
        <w:footnoteReference w:id="2"/>
      </w:r>
      <w:r>
        <w:t xml:space="preserve"> complaints about care provided by District Health Boards. Numbers of complaints received in previous six</w:t>
      </w:r>
      <w:r w:rsidR="00EF6666">
        <w:t>-</w:t>
      </w:r>
      <w:r>
        <w:t>month periods are reported in Table 1.</w:t>
      </w:r>
    </w:p>
    <w:p w:rsidR="00D86226" w:rsidRDefault="00D86226" w:rsidP="00D86226"/>
    <w:p w:rsidR="00D86226" w:rsidRDefault="00D86226" w:rsidP="00160606">
      <w:pPr>
        <w:spacing w:after="60"/>
        <w:rPr>
          <w:b/>
        </w:rPr>
      </w:pPr>
      <w:proofErr w:type="gramStart"/>
      <w:r>
        <w:rPr>
          <w:b/>
        </w:rPr>
        <w:t>Table 1.</w:t>
      </w:r>
      <w:proofErr w:type="gramEnd"/>
      <w:r>
        <w:rPr>
          <w:b/>
        </w:rPr>
        <w:t xml:space="preserve"> </w:t>
      </w:r>
      <w:r>
        <w:t>Number of complaints received</w:t>
      </w:r>
      <w:r>
        <w:rPr>
          <w:rStyle w:val="NoSpacingChar"/>
        </w:rPr>
        <w:t xml:space="preserve"> in the last five years</w:t>
      </w:r>
    </w:p>
    <w:tbl>
      <w:tblPr>
        <w:tblStyle w:val="TableGrid"/>
        <w:tblpPr w:leftFromText="180" w:rightFromText="180" w:vertAnchor="text" w:horzAnchor="margin" w:tblpX="114" w:tblpY="105"/>
        <w:tblW w:w="4900" w:type="pct"/>
        <w:tblLook w:val="04A0" w:firstRow="1" w:lastRow="0" w:firstColumn="1" w:lastColumn="0" w:noHBand="0" w:noVBand="1"/>
      </w:tblPr>
      <w:tblGrid>
        <w:gridCol w:w="1227"/>
        <w:gridCol w:w="703"/>
        <w:gridCol w:w="588"/>
        <w:gridCol w:w="700"/>
        <w:gridCol w:w="701"/>
        <w:gridCol w:w="701"/>
        <w:gridCol w:w="701"/>
        <w:gridCol w:w="703"/>
        <w:gridCol w:w="701"/>
        <w:gridCol w:w="701"/>
        <w:gridCol w:w="995"/>
        <w:gridCol w:w="691"/>
      </w:tblGrid>
      <w:tr w:rsidR="00D86226" w:rsidTr="00D86226">
        <w:tc>
          <w:tcPr>
            <w:tcW w:w="675" w:type="pct"/>
            <w:tcBorders>
              <w:top w:val="single" w:sz="4" w:space="0" w:color="auto"/>
              <w:left w:val="single" w:sz="4" w:space="0" w:color="auto"/>
              <w:bottom w:val="single" w:sz="4" w:space="0" w:color="auto"/>
              <w:right w:val="single" w:sz="4" w:space="0" w:color="auto"/>
            </w:tcBorders>
            <w:vAlign w:val="center"/>
          </w:tcPr>
          <w:p w:rsidR="00D86226" w:rsidRDefault="00D86226" w:rsidP="00D86226">
            <w:pPr>
              <w:keepNext/>
              <w:keepLines/>
              <w:jc w:val="left"/>
              <w:rPr>
                <w:rFonts w:ascii="Calibri" w:hAnsi="Calibri"/>
                <w:b/>
                <w:sz w:val="20"/>
                <w:szCs w:val="20"/>
              </w:rPr>
            </w:pPr>
          </w:p>
          <w:p w:rsidR="00D86226" w:rsidRDefault="00D86226" w:rsidP="00D86226">
            <w:pPr>
              <w:keepNext/>
              <w:keepLines/>
              <w:jc w:val="left"/>
              <w:rPr>
                <w:rFonts w:ascii="Calibri" w:hAnsi="Calibri"/>
                <w:b/>
                <w:sz w:val="20"/>
                <w:szCs w:val="20"/>
              </w:rPr>
            </w:pP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BC51FC" w:rsidP="00D86226">
            <w:pPr>
              <w:keepNext/>
              <w:keepLines/>
              <w:jc w:val="center"/>
              <w:rPr>
                <w:rFonts w:ascii="Calibri" w:hAnsi="Calibri"/>
                <w:b/>
                <w:sz w:val="20"/>
                <w:szCs w:val="20"/>
              </w:rPr>
            </w:pPr>
            <w:r>
              <w:rPr>
                <w:rFonts w:ascii="Calibri" w:hAnsi="Calibri"/>
                <w:b/>
                <w:sz w:val="20"/>
                <w:szCs w:val="20"/>
              </w:rPr>
              <w:t>Jul–Dec 13</w:t>
            </w:r>
          </w:p>
        </w:tc>
        <w:tc>
          <w:tcPr>
            <w:tcW w:w="308" w:type="pct"/>
            <w:tcBorders>
              <w:top w:val="single" w:sz="4" w:space="0" w:color="auto"/>
              <w:left w:val="single" w:sz="4" w:space="0" w:color="auto"/>
              <w:bottom w:val="single" w:sz="4" w:space="0" w:color="auto"/>
              <w:right w:val="single" w:sz="4" w:space="0" w:color="auto"/>
            </w:tcBorders>
            <w:vAlign w:val="center"/>
            <w:hideMark/>
          </w:tcPr>
          <w:p w:rsidR="00D86226" w:rsidRDefault="00BC51FC" w:rsidP="00D86226">
            <w:pPr>
              <w:keepNext/>
              <w:keepLines/>
              <w:jc w:val="center"/>
              <w:rPr>
                <w:rFonts w:ascii="Calibri" w:hAnsi="Calibri"/>
                <w:b/>
                <w:sz w:val="20"/>
                <w:szCs w:val="20"/>
              </w:rPr>
            </w:pPr>
            <w:r>
              <w:rPr>
                <w:rFonts w:ascii="Calibri" w:hAnsi="Calibri"/>
                <w:b/>
                <w:sz w:val="20"/>
                <w:szCs w:val="20"/>
              </w:rPr>
              <w:t>Jan–Jun 14</w:t>
            </w:r>
          </w:p>
        </w:tc>
        <w:tc>
          <w:tcPr>
            <w:tcW w:w="385" w:type="pct"/>
            <w:tcBorders>
              <w:top w:val="single" w:sz="4" w:space="0" w:color="auto"/>
              <w:left w:val="single" w:sz="4" w:space="0" w:color="auto"/>
              <w:bottom w:val="single" w:sz="4" w:space="0" w:color="auto"/>
              <w:right w:val="single" w:sz="4" w:space="0" w:color="auto"/>
            </w:tcBorders>
            <w:hideMark/>
          </w:tcPr>
          <w:p w:rsidR="00D86226" w:rsidRDefault="00BC51FC" w:rsidP="00D86226">
            <w:pPr>
              <w:keepNext/>
              <w:keepLines/>
              <w:spacing w:before="180"/>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14</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BC51FC" w:rsidP="00D86226">
            <w:pPr>
              <w:keepNext/>
              <w:keepLines/>
              <w:spacing w:before="180"/>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15</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BC51FC" w:rsidP="00D86226">
            <w:pPr>
              <w:keepNext/>
              <w:keepLines/>
              <w:spacing w:before="180"/>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15</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BC51FC" w:rsidP="00D86226">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16</w:t>
            </w:r>
          </w:p>
        </w:tc>
        <w:tc>
          <w:tcPr>
            <w:tcW w:w="387" w:type="pct"/>
            <w:tcBorders>
              <w:top w:val="single" w:sz="4" w:space="0" w:color="auto"/>
              <w:left w:val="single" w:sz="4" w:space="0" w:color="auto"/>
              <w:bottom w:val="single" w:sz="4" w:space="0" w:color="auto"/>
              <w:right w:val="single" w:sz="4" w:space="0" w:color="auto"/>
            </w:tcBorders>
            <w:hideMark/>
          </w:tcPr>
          <w:p w:rsidR="00D86226" w:rsidRDefault="00BC51FC" w:rsidP="00D86226">
            <w:pPr>
              <w:keepNext/>
              <w:keepLines/>
              <w:spacing w:before="180"/>
              <w:jc w:val="center"/>
              <w:rPr>
                <w:rFonts w:ascii="Calibri" w:hAnsi="Calibri"/>
                <w:b/>
                <w:sz w:val="20"/>
                <w:szCs w:val="20"/>
              </w:rPr>
            </w:pPr>
            <w:r>
              <w:rPr>
                <w:rFonts w:ascii="Calibri" w:hAnsi="Calibri"/>
                <w:b/>
                <w:sz w:val="20"/>
                <w:szCs w:val="20"/>
              </w:rPr>
              <w:t>Jul–Dec</w:t>
            </w:r>
            <w:r>
              <w:rPr>
                <w:rFonts w:ascii="Calibri" w:hAnsi="Calibri"/>
                <w:b/>
                <w:sz w:val="20"/>
                <w:szCs w:val="20"/>
              </w:rPr>
              <w:br/>
              <w:t>16</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BC51FC" w:rsidP="00D86226">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17</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BC51FC" w:rsidP="00D86226">
            <w:pPr>
              <w:keepNext/>
              <w:keepLines/>
              <w:spacing w:before="180"/>
              <w:jc w:val="center"/>
              <w:rPr>
                <w:rFonts w:ascii="Calibri" w:hAnsi="Calibri"/>
                <w:b/>
                <w:sz w:val="20"/>
                <w:szCs w:val="20"/>
              </w:rPr>
            </w:pPr>
            <w:r>
              <w:rPr>
                <w:rFonts w:ascii="Calibri" w:hAnsi="Calibri"/>
                <w:b/>
                <w:sz w:val="20"/>
                <w:szCs w:val="20"/>
              </w:rPr>
              <w:t>Jul–Dec</w:t>
            </w:r>
            <w:r w:rsidR="00D86226">
              <w:rPr>
                <w:rFonts w:ascii="Calibri" w:hAnsi="Calibri"/>
                <w:b/>
                <w:sz w:val="20"/>
                <w:szCs w:val="20"/>
              </w:rPr>
              <w:br/>
              <w:t>1</w:t>
            </w:r>
            <w:r w:rsidR="00CA2839">
              <w:rPr>
                <w:rFonts w:ascii="Calibri" w:hAnsi="Calibri"/>
                <w:b/>
                <w:sz w:val="20"/>
                <w:szCs w:val="20"/>
              </w:rPr>
              <w:t>7</w:t>
            </w:r>
          </w:p>
        </w:tc>
        <w:tc>
          <w:tcPr>
            <w:tcW w:w="547" w:type="pct"/>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spacing w:before="120"/>
              <w:jc w:val="center"/>
              <w:rPr>
                <w:rFonts w:ascii="Calibri" w:hAnsi="Calibri"/>
                <w:b/>
                <w:sz w:val="20"/>
                <w:szCs w:val="20"/>
              </w:rPr>
            </w:pPr>
            <w:r>
              <w:rPr>
                <w:rFonts w:ascii="Calibri" w:hAnsi="Calibri"/>
                <w:b/>
                <w:sz w:val="20"/>
                <w:szCs w:val="20"/>
              </w:rPr>
              <w:t xml:space="preserve">Average of last 4  </w:t>
            </w:r>
          </w:p>
          <w:p w:rsidR="00D86226" w:rsidRDefault="00D86226" w:rsidP="00D86226">
            <w:pPr>
              <w:keepNext/>
              <w:keepLines/>
              <w:jc w:val="center"/>
              <w:rPr>
                <w:rFonts w:ascii="Calibri" w:hAnsi="Calibri"/>
                <w:b/>
                <w:sz w:val="20"/>
                <w:szCs w:val="20"/>
              </w:rPr>
            </w:pPr>
            <w:r>
              <w:rPr>
                <w:rFonts w:ascii="Calibri" w:hAnsi="Calibri"/>
                <w:b/>
                <w:sz w:val="20"/>
                <w:szCs w:val="20"/>
              </w:rPr>
              <w:t>6-month periods</w:t>
            </w:r>
          </w:p>
        </w:tc>
        <w:tc>
          <w:tcPr>
            <w:tcW w:w="380" w:type="pct"/>
            <w:tcBorders>
              <w:top w:val="single" w:sz="4" w:space="0" w:color="auto"/>
              <w:left w:val="single" w:sz="4" w:space="0" w:color="auto"/>
              <w:bottom w:val="single" w:sz="4" w:space="0" w:color="auto"/>
              <w:right w:val="single" w:sz="4" w:space="0" w:color="auto"/>
            </w:tcBorders>
            <w:hideMark/>
          </w:tcPr>
          <w:p w:rsidR="00D86226" w:rsidRDefault="00BC51FC" w:rsidP="00D86226">
            <w:pPr>
              <w:keepNext/>
              <w:keepLines/>
              <w:spacing w:before="180"/>
              <w:jc w:val="center"/>
              <w:rPr>
                <w:rFonts w:ascii="Calibri" w:hAnsi="Calibri"/>
                <w:b/>
                <w:sz w:val="20"/>
                <w:szCs w:val="20"/>
              </w:rPr>
            </w:pPr>
            <w:r>
              <w:rPr>
                <w:rFonts w:ascii="Calibri" w:hAnsi="Calibri"/>
                <w:b/>
                <w:sz w:val="20"/>
                <w:szCs w:val="20"/>
              </w:rPr>
              <w:t>Jan–Jun</w:t>
            </w:r>
          </w:p>
          <w:p w:rsidR="00D86226" w:rsidRDefault="00D86226" w:rsidP="00D86226">
            <w:pPr>
              <w:keepNext/>
              <w:keepLines/>
              <w:jc w:val="center"/>
              <w:rPr>
                <w:rFonts w:ascii="Calibri" w:hAnsi="Calibri"/>
                <w:b/>
                <w:sz w:val="20"/>
                <w:szCs w:val="20"/>
              </w:rPr>
            </w:pPr>
            <w:r>
              <w:rPr>
                <w:rFonts w:ascii="Calibri" w:hAnsi="Calibri"/>
                <w:b/>
                <w:sz w:val="20"/>
                <w:szCs w:val="20"/>
              </w:rPr>
              <w:t>1</w:t>
            </w:r>
            <w:r w:rsidR="00BC51FC">
              <w:rPr>
                <w:rFonts w:ascii="Calibri" w:hAnsi="Calibri"/>
                <w:b/>
                <w:sz w:val="20"/>
                <w:szCs w:val="20"/>
              </w:rPr>
              <w:t>8</w:t>
            </w:r>
          </w:p>
        </w:tc>
      </w:tr>
      <w:tr w:rsidR="00D86226" w:rsidTr="00D86226">
        <w:tc>
          <w:tcPr>
            <w:tcW w:w="675" w:type="pct"/>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spacing w:after="40"/>
              <w:jc w:val="left"/>
              <w:rPr>
                <w:rFonts w:ascii="Calibri" w:hAnsi="Calibri"/>
                <w:b/>
                <w:sz w:val="20"/>
                <w:szCs w:val="20"/>
              </w:rPr>
            </w:pPr>
            <w:r>
              <w:rPr>
                <w:rFonts w:ascii="Calibri" w:hAnsi="Calibri"/>
                <w:b/>
                <w:sz w:val="20"/>
                <w:szCs w:val="20"/>
              </w:rPr>
              <w:t>Number of complaints</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BC51FC" w:rsidP="00D86226">
            <w:pPr>
              <w:keepNext/>
              <w:keepLines/>
              <w:jc w:val="center"/>
              <w:rPr>
                <w:rFonts w:ascii="Calibri" w:hAnsi="Calibri"/>
                <w:sz w:val="20"/>
                <w:szCs w:val="20"/>
              </w:rPr>
            </w:pPr>
            <w:r>
              <w:rPr>
                <w:rFonts w:ascii="Calibri" w:hAnsi="Calibri"/>
                <w:sz w:val="20"/>
                <w:szCs w:val="20"/>
              </w:rPr>
              <w:t>330</w:t>
            </w:r>
          </w:p>
        </w:tc>
        <w:tc>
          <w:tcPr>
            <w:tcW w:w="308" w:type="pct"/>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jc w:val="center"/>
              <w:rPr>
                <w:rFonts w:ascii="Calibri" w:hAnsi="Calibri"/>
                <w:sz w:val="20"/>
                <w:szCs w:val="20"/>
              </w:rPr>
            </w:pPr>
            <w:r>
              <w:rPr>
                <w:rFonts w:ascii="Calibri" w:hAnsi="Calibri"/>
                <w:sz w:val="20"/>
                <w:szCs w:val="20"/>
              </w:rPr>
              <w:t>3</w:t>
            </w:r>
            <w:r w:rsidR="00CA2839">
              <w:rPr>
                <w:rFonts w:ascii="Calibri" w:hAnsi="Calibri"/>
                <w:sz w:val="20"/>
                <w:szCs w:val="20"/>
              </w:rPr>
              <w:t>30</w:t>
            </w:r>
          </w:p>
        </w:tc>
        <w:tc>
          <w:tcPr>
            <w:tcW w:w="385" w:type="pct"/>
            <w:tcBorders>
              <w:top w:val="single" w:sz="4" w:space="0" w:color="auto"/>
              <w:left w:val="single" w:sz="4" w:space="0" w:color="auto"/>
              <w:bottom w:val="single" w:sz="4" w:space="0" w:color="auto"/>
              <w:right w:val="single" w:sz="4" w:space="0" w:color="auto"/>
            </w:tcBorders>
            <w:vAlign w:val="center"/>
            <w:hideMark/>
          </w:tcPr>
          <w:p w:rsidR="00D86226" w:rsidRDefault="00BC51FC" w:rsidP="00D86226">
            <w:pPr>
              <w:keepNext/>
              <w:keepLines/>
              <w:jc w:val="center"/>
              <w:rPr>
                <w:rFonts w:ascii="Calibri" w:hAnsi="Calibri"/>
                <w:sz w:val="20"/>
                <w:szCs w:val="20"/>
              </w:rPr>
            </w:pPr>
            <w:r>
              <w:rPr>
                <w:rFonts w:ascii="Calibri" w:hAnsi="Calibri"/>
                <w:sz w:val="20"/>
                <w:szCs w:val="20"/>
              </w:rPr>
              <w:t>368</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BC51FC" w:rsidP="00D86226">
            <w:pPr>
              <w:keepNext/>
              <w:keepLines/>
              <w:jc w:val="center"/>
              <w:rPr>
                <w:rFonts w:ascii="Calibri" w:hAnsi="Calibri"/>
                <w:sz w:val="20"/>
                <w:szCs w:val="20"/>
              </w:rPr>
            </w:pPr>
            <w:r>
              <w:rPr>
                <w:rFonts w:ascii="Calibri" w:hAnsi="Calibri"/>
                <w:sz w:val="20"/>
                <w:szCs w:val="20"/>
              </w:rPr>
              <w:t>389</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BC51FC" w:rsidP="00D86226">
            <w:pPr>
              <w:keepNext/>
              <w:keepLines/>
              <w:jc w:val="center"/>
              <w:rPr>
                <w:rFonts w:ascii="Calibri" w:hAnsi="Calibri"/>
                <w:sz w:val="20"/>
                <w:szCs w:val="20"/>
              </w:rPr>
            </w:pPr>
            <w:r>
              <w:rPr>
                <w:rFonts w:ascii="Calibri" w:hAnsi="Calibri"/>
                <w:sz w:val="20"/>
                <w:szCs w:val="20"/>
              </w:rPr>
              <w:t>422</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BC51FC" w:rsidP="00D86226">
            <w:pPr>
              <w:keepNext/>
              <w:keepLines/>
              <w:jc w:val="center"/>
              <w:rPr>
                <w:rFonts w:ascii="Calibri" w:hAnsi="Calibri"/>
                <w:sz w:val="20"/>
                <w:szCs w:val="20"/>
              </w:rPr>
            </w:pPr>
            <w:r>
              <w:rPr>
                <w:rFonts w:ascii="Calibri" w:hAnsi="Calibri"/>
                <w:sz w:val="20"/>
                <w:szCs w:val="20"/>
              </w:rPr>
              <w:t>383</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BC51FC" w:rsidP="00D86226">
            <w:pPr>
              <w:keepNext/>
              <w:keepLines/>
              <w:jc w:val="center"/>
              <w:rPr>
                <w:rFonts w:ascii="Calibri" w:hAnsi="Calibri"/>
                <w:sz w:val="20"/>
                <w:szCs w:val="20"/>
              </w:rPr>
            </w:pPr>
            <w:r>
              <w:rPr>
                <w:rFonts w:ascii="Calibri" w:hAnsi="Calibri"/>
                <w:sz w:val="20"/>
                <w:szCs w:val="20"/>
              </w:rPr>
              <w:t>386</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BC51FC" w:rsidP="00D86226">
            <w:pPr>
              <w:keepNext/>
              <w:keepLines/>
              <w:jc w:val="center"/>
              <w:rPr>
                <w:rFonts w:ascii="Calibri" w:hAnsi="Calibri"/>
                <w:sz w:val="20"/>
                <w:szCs w:val="20"/>
              </w:rPr>
            </w:pPr>
            <w:r>
              <w:rPr>
                <w:rFonts w:ascii="Calibri" w:hAnsi="Calibri"/>
                <w:sz w:val="20"/>
                <w:szCs w:val="20"/>
              </w:rPr>
              <w:t>477</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BC51FC" w:rsidP="00D86226">
            <w:pPr>
              <w:keepNext/>
              <w:keepLines/>
              <w:jc w:val="center"/>
              <w:rPr>
                <w:rFonts w:ascii="Calibri" w:hAnsi="Calibri"/>
                <w:sz w:val="20"/>
                <w:szCs w:val="20"/>
              </w:rPr>
            </w:pPr>
            <w:r>
              <w:rPr>
                <w:rFonts w:ascii="Calibri" w:hAnsi="Calibri"/>
                <w:sz w:val="20"/>
                <w:szCs w:val="20"/>
              </w:rPr>
              <w:t>439</w:t>
            </w:r>
          </w:p>
        </w:tc>
        <w:tc>
          <w:tcPr>
            <w:tcW w:w="547" w:type="pct"/>
            <w:tcBorders>
              <w:top w:val="single" w:sz="4" w:space="0" w:color="auto"/>
              <w:left w:val="single" w:sz="4" w:space="0" w:color="auto"/>
              <w:bottom w:val="single" w:sz="4" w:space="0" w:color="auto"/>
              <w:right w:val="single" w:sz="4" w:space="0" w:color="auto"/>
            </w:tcBorders>
            <w:vAlign w:val="center"/>
            <w:hideMark/>
          </w:tcPr>
          <w:p w:rsidR="00D86226" w:rsidRDefault="00BC51FC" w:rsidP="00D86226">
            <w:pPr>
              <w:keepNext/>
              <w:keepLines/>
              <w:jc w:val="center"/>
              <w:rPr>
                <w:rFonts w:ascii="Calibri" w:hAnsi="Calibri"/>
                <w:b/>
                <w:sz w:val="20"/>
                <w:szCs w:val="20"/>
              </w:rPr>
            </w:pPr>
            <w:r>
              <w:rPr>
                <w:rFonts w:ascii="Calibri" w:hAnsi="Calibri"/>
                <w:b/>
                <w:sz w:val="20"/>
                <w:szCs w:val="20"/>
              </w:rPr>
              <w:t>421</w:t>
            </w:r>
          </w:p>
        </w:tc>
        <w:tc>
          <w:tcPr>
            <w:tcW w:w="380" w:type="pct"/>
            <w:tcBorders>
              <w:top w:val="single" w:sz="4" w:space="0" w:color="auto"/>
              <w:left w:val="single" w:sz="4" w:space="0" w:color="auto"/>
              <w:bottom w:val="single" w:sz="4" w:space="0" w:color="auto"/>
              <w:right w:val="single" w:sz="4" w:space="0" w:color="auto"/>
            </w:tcBorders>
            <w:vAlign w:val="center"/>
            <w:hideMark/>
          </w:tcPr>
          <w:p w:rsidR="00D86226" w:rsidRDefault="00BC51FC" w:rsidP="00D86226">
            <w:pPr>
              <w:keepNext/>
              <w:keepLines/>
              <w:jc w:val="center"/>
              <w:rPr>
                <w:rFonts w:ascii="Calibri" w:hAnsi="Calibri"/>
                <w:b/>
                <w:sz w:val="20"/>
                <w:szCs w:val="20"/>
              </w:rPr>
            </w:pPr>
            <w:r>
              <w:rPr>
                <w:rFonts w:ascii="Calibri" w:hAnsi="Calibri"/>
                <w:b/>
                <w:sz w:val="20"/>
                <w:szCs w:val="20"/>
              </w:rPr>
              <w:t>45</w:t>
            </w:r>
            <w:r w:rsidR="006C7D61">
              <w:rPr>
                <w:rFonts w:ascii="Calibri" w:hAnsi="Calibri"/>
                <w:b/>
                <w:sz w:val="20"/>
                <w:szCs w:val="20"/>
              </w:rPr>
              <w:t>0</w:t>
            </w:r>
          </w:p>
        </w:tc>
      </w:tr>
    </w:tbl>
    <w:p w:rsidR="00D86226" w:rsidRDefault="00D86226" w:rsidP="00D86226"/>
    <w:p w:rsidR="00D86226" w:rsidRDefault="00D86226" w:rsidP="00160606">
      <w:pPr>
        <w:spacing w:before="120"/>
      </w:pPr>
      <w:r>
        <w:t xml:space="preserve">The total number of complaints received in </w:t>
      </w:r>
      <w:r w:rsidR="00BC51FC">
        <w:rPr>
          <w:lang w:eastAsia="en-NZ" w:bidi="ar-SA"/>
        </w:rPr>
        <w:t>Jan–Jun 2018</w:t>
      </w:r>
      <w:r>
        <w:rPr>
          <w:lang w:eastAsia="en-NZ" w:bidi="ar-SA"/>
        </w:rPr>
        <w:t xml:space="preserve"> </w:t>
      </w:r>
      <w:r w:rsidR="00CA2839">
        <w:t>(</w:t>
      </w:r>
      <w:r w:rsidR="006C7D61">
        <w:t>450</w:t>
      </w:r>
      <w:r w:rsidR="00F91634">
        <w:t>) shows an increase of 7</w:t>
      </w:r>
      <w:r>
        <w:t>% over the average number of complaints received</w:t>
      </w:r>
      <w:r w:rsidR="00CA2839">
        <w:t xml:space="preserve"> in the previous four periods</w:t>
      </w:r>
      <w:r w:rsidR="00E7187A">
        <w:t>.</w:t>
      </w:r>
    </w:p>
    <w:p w:rsidR="00D86226" w:rsidRDefault="00D86226" w:rsidP="00D86226"/>
    <w:p w:rsidR="00D86226" w:rsidRDefault="00D86226" w:rsidP="00D86226">
      <w:r>
        <w:t xml:space="preserve">The number of complaints received in </w:t>
      </w:r>
      <w:r w:rsidR="0012206A">
        <w:rPr>
          <w:lang w:eastAsia="en-NZ" w:bidi="ar-SA"/>
        </w:rPr>
        <w:t>Jan–Jun 2018</w:t>
      </w:r>
      <w:r>
        <w:rPr>
          <w:lang w:eastAsia="en-NZ" w:bidi="ar-SA"/>
        </w:rPr>
        <w:t xml:space="preserve"> </w:t>
      </w:r>
      <w:r>
        <w:t>and previous six</w:t>
      </w:r>
      <w:r w:rsidR="00EF6666">
        <w:t>-</w:t>
      </w:r>
      <w:r>
        <w:t xml:space="preserve">month periods are also displayed below in Figure 1. </w:t>
      </w:r>
    </w:p>
    <w:p w:rsidR="00D86226" w:rsidRDefault="00D86226" w:rsidP="00D86226"/>
    <w:p w:rsidR="00D86226" w:rsidRDefault="00D86226" w:rsidP="00D86226">
      <w:pPr>
        <w:spacing w:after="120"/>
        <w:rPr>
          <w:b/>
        </w:rPr>
      </w:pPr>
      <w:proofErr w:type="gramStart"/>
      <w:r>
        <w:rPr>
          <w:b/>
        </w:rPr>
        <w:t>Figure 1.</w:t>
      </w:r>
      <w:proofErr w:type="gramEnd"/>
      <w:r>
        <w:rPr>
          <w:b/>
        </w:rPr>
        <w:t xml:space="preserve"> </w:t>
      </w:r>
      <w:r>
        <w:t>Number of complaints received</w:t>
      </w:r>
    </w:p>
    <w:p w:rsidR="00D86226" w:rsidRDefault="0012206A" w:rsidP="00D86226">
      <w:pPr>
        <w:spacing w:after="120"/>
        <w:jc w:val="center"/>
        <w:rPr>
          <w:rFonts w:ascii="Calibri" w:hAnsi="Calibri"/>
          <w:szCs w:val="22"/>
        </w:rPr>
      </w:pPr>
      <w:r>
        <w:rPr>
          <w:noProof/>
          <w:lang w:eastAsia="en-NZ" w:bidi="ar-SA"/>
        </w:rPr>
        <w:drawing>
          <wp:inline distT="0" distB="0" distL="0" distR="0" wp14:anchorId="62399AC1" wp14:editId="3A0BEBDB">
            <wp:extent cx="5562600" cy="35718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86226" w:rsidRDefault="00D86226" w:rsidP="00D86226"/>
    <w:p w:rsidR="00D86226" w:rsidRDefault="00D86226" w:rsidP="00D86226">
      <w:pPr>
        <w:pStyle w:val="Heading3"/>
      </w:pPr>
      <w:bookmarkStart w:id="39" w:name="_Toc447291470"/>
      <w:bookmarkStart w:id="40" w:name="_Toc447527527"/>
      <w:bookmarkStart w:id="41" w:name="_Toc493684125"/>
      <w:bookmarkStart w:id="42" w:name="_Toc516741371"/>
      <w:r>
        <w:lastRenderedPageBreak/>
        <w:t>1.2</w:t>
      </w:r>
      <w:r>
        <w:tab/>
        <w:t>Rate of complaints received</w:t>
      </w:r>
      <w:bookmarkEnd w:id="39"/>
      <w:bookmarkEnd w:id="40"/>
      <w:bookmarkEnd w:id="41"/>
      <w:bookmarkEnd w:id="42"/>
      <w:r>
        <w:t xml:space="preserve"> </w:t>
      </w:r>
    </w:p>
    <w:p w:rsidR="00D86226" w:rsidRDefault="00D86226" w:rsidP="00D86226">
      <w:r>
        <w:t xml:space="preserve">When numbers of </w:t>
      </w:r>
      <w:r>
        <w:rPr>
          <w:rFonts w:cs="Calibri"/>
        </w:rPr>
        <w:t>complaints</w:t>
      </w:r>
      <w:r>
        <w:t xml:space="preserve"> to HDC are expressed as a rate per 100,000 discharges, comparisons can be made between </w:t>
      </w:r>
      <w:proofErr w:type="gramStart"/>
      <w:r>
        <w:t>DHBs,</w:t>
      </w:r>
      <w:proofErr w:type="gramEnd"/>
      <w:r>
        <w:t xml:space="preserve"> and within DHBs over time, enabling any trends to be observed. </w:t>
      </w:r>
    </w:p>
    <w:p w:rsidR="00D86226" w:rsidRDefault="00D86226" w:rsidP="00D86226"/>
    <w:p w:rsidR="00D86226" w:rsidRDefault="00D86226" w:rsidP="005279B6">
      <w:pPr>
        <w:spacing w:after="240"/>
      </w:pPr>
      <w:r>
        <w:t xml:space="preserve">Rate of complaints calculations are made using discharge data provided by the Ministry of Health. This data is provisional </w:t>
      </w:r>
      <w:r w:rsidR="00785901">
        <w:t>as at the date of extraction (</w:t>
      </w:r>
      <w:r w:rsidR="00962223">
        <w:t>14 September</w:t>
      </w:r>
      <w:r w:rsidR="00CA2839">
        <w:t xml:space="preserve"> 2018</w:t>
      </w:r>
      <w:r>
        <w:t>) and is likely incomplete</w:t>
      </w:r>
      <w:r w:rsidR="00EF6666">
        <w:t>;</w:t>
      </w:r>
      <w:r>
        <w:t xml:space="preserve"> </w:t>
      </w:r>
      <w:r w:rsidR="00EF6666">
        <w:t>i</w:t>
      </w:r>
      <w:r>
        <w:t xml:space="preserve">t will be updated in the next </w:t>
      </w:r>
      <w:r w:rsidR="00EF6666">
        <w:t>six</w:t>
      </w:r>
      <w:r>
        <w:t>-monthly report. It should be noted that this discharge data excludes short</w:t>
      </w:r>
      <w:r w:rsidR="00EF6666">
        <w:t>-</w:t>
      </w:r>
      <w:r>
        <w:t xml:space="preserve">stay emergency department discharges and patients attending outpatient clinics. </w:t>
      </w:r>
    </w:p>
    <w:p w:rsidR="00D86226" w:rsidRDefault="00D86226" w:rsidP="00D86226">
      <w:pPr>
        <w:spacing w:after="120"/>
        <w:rPr>
          <w:b/>
        </w:rPr>
      </w:pPr>
      <w:proofErr w:type="gramStart"/>
      <w:r>
        <w:rPr>
          <w:b/>
        </w:rPr>
        <w:t>Table 2.</w:t>
      </w:r>
      <w:proofErr w:type="gramEnd"/>
      <w:r>
        <w:rPr>
          <w:b/>
        </w:rPr>
        <w:t xml:space="preserve"> </w:t>
      </w:r>
      <w:r>
        <w:t xml:space="preserve">Rate of complaints received per 100,000 discharges during </w:t>
      </w:r>
      <w:r w:rsidR="0012206A">
        <w:rPr>
          <w:lang w:eastAsia="en-NZ" w:bidi="ar-SA"/>
        </w:rPr>
        <w:t>Jan–Jun 2018</w:t>
      </w:r>
    </w:p>
    <w:tbl>
      <w:tblPr>
        <w:tblStyle w:val="TableGrid"/>
        <w:tblW w:w="0" w:type="auto"/>
        <w:tblInd w:w="108" w:type="dxa"/>
        <w:tblLook w:val="04A0" w:firstRow="1" w:lastRow="0" w:firstColumn="1" w:lastColumn="0" w:noHBand="0" w:noVBand="1"/>
      </w:tblPr>
      <w:tblGrid>
        <w:gridCol w:w="1809"/>
        <w:gridCol w:w="1701"/>
        <w:gridCol w:w="1701"/>
      </w:tblGrid>
      <w:tr w:rsidR="00D86226" w:rsidTr="00D86226">
        <w:trPr>
          <w:trHeight w:val="859"/>
        </w:trPr>
        <w:tc>
          <w:tcPr>
            <w:tcW w:w="1809" w:type="dxa"/>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jc w:val="center"/>
              <w:rPr>
                <w:rFonts w:cstheme="minorHAnsi"/>
                <w:b/>
                <w:szCs w:val="22"/>
              </w:rPr>
            </w:pPr>
            <w:r>
              <w:rPr>
                <w:rFonts w:cstheme="minorHAnsi"/>
                <w:b/>
                <w:szCs w:val="22"/>
              </w:rPr>
              <w:t>Number of complaints received</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tabs>
                <w:tab w:val="left" w:pos="1440"/>
                <w:tab w:val="left" w:pos="2610"/>
              </w:tabs>
              <w:spacing w:after="240"/>
              <w:jc w:val="center"/>
              <w:outlineLvl w:val="0"/>
              <w:rPr>
                <w:rFonts w:ascii="Calibri" w:hAnsi="Calibri"/>
                <w:b/>
                <w:szCs w:val="22"/>
              </w:rPr>
            </w:pPr>
            <w:r>
              <w:rPr>
                <w:rFonts w:ascii="Calibri" w:hAnsi="Calibri"/>
                <w:b/>
                <w:szCs w:val="22"/>
              </w:rPr>
              <w:t>Total number of discharges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tabs>
                <w:tab w:val="left" w:pos="1440"/>
                <w:tab w:val="left" w:pos="2610"/>
              </w:tabs>
              <w:spacing w:before="180" w:after="240"/>
              <w:jc w:val="center"/>
              <w:outlineLvl w:val="0"/>
              <w:rPr>
                <w:rFonts w:ascii="Calibri" w:hAnsi="Calibri"/>
                <w:b/>
                <w:iCs/>
                <w:szCs w:val="22"/>
              </w:rPr>
            </w:pPr>
            <w:r>
              <w:rPr>
                <w:rFonts w:ascii="Calibri" w:hAnsi="Calibri"/>
                <w:b/>
                <w:szCs w:val="22"/>
              </w:rPr>
              <w:t>Rate per 100,000 discharges</w:t>
            </w:r>
          </w:p>
        </w:tc>
      </w:tr>
      <w:tr w:rsidR="00D86226" w:rsidTr="00D86226">
        <w:tc>
          <w:tcPr>
            <w:tcW w:w="1809" w:type="dxa"/>
            <w:tcBorders>
              <w:top w:val="single" w:sz="4" w:space="0" w:color="auto"/>
              <w:left w:val="single" w:sz="4" w:space="0" w:color="auto"/>
              <w:bottom w:val="single" w:sz="4" w:space="0" w:color="auto"/>
              <w:right w:val="single" w:sz="4" w:space="0" w:color="auto"/>
            </w:tcBorders>
            <w:vAlign w:val="center"/>
            <w:hideMark/>
          </w:tcPr>
          <w:p w:rsidR="00D86226" w:rsidRDefault="0012206A" w:rsidP="00D86226">
            <w:pPr>
              <w:tabs>
                <w:tab w:val="left" w:pos="1440"/>
                <w:tab w:val="left" w:pos="2610"/>
              </w:tabs>
              <w:spacing w:before="120" w:after="240"/>
              <w:jc w:val="center"/>
              <w:outlineLvl w:val="0"/>
              <w:rPr>
                <w:rFonts w:ascii="Calibri" w:hAnsi="Calibri"/>
                <w:b/>
                <w:iCs/>
                <w:szCs w:val="22"/>
              </w:rPr>
            </w:pPr>
            <w:r>
              <w:rPr>
                <w:rFonts w:ascii="Calibri" w:hAnsi="Calibri"/>
                <w:szCs w:val="22"/>
              </w:rPr>
              <w:t>45</w:t>
            </w:r>
            <w:r w:rsidR="006C7D61">
              <w:rPr>
                <w:rFonts w:ascii="Calibri" w:hAnsi="Calibri"/>
                <w:szCs w:val="22"/>
              </w:rPr>
              <w:t>0</w:t>
            </w:r>
          </w:p>
        </w:tc>
        <w:tc>
          <w:tcPr>
            <w:tcW w:w="1701" w:type="dxa"/>
            <w:tcBorders>
              <w:top w:val="single" w:sz="4" w:space="0" w:color="auto"/>
              <w:left w:val="single" w:sz="4" w:space="0" w:color="auto"/>
              <w:bottom w:val="single" w:sz="4" w:space="0" w:color="auto"/>
              <w:right w:val="single" w:sz="4" w:space="0" w:color="auto"/>
            </w:tcBorders>
            <w:hideMark/>
          </w:tcPr>
          <w:p w:rsidR="00D86226" w:rsidRDefault="00962223" w:rsidP="0012206A">
            <w:pPr>
              <w:tabs>
                <w:tab w:val="left" w:pos="1440"/>
                <w:tab w:val="left" w:pos="2610"/>
              </w:tabs>
              <w:spacing w:before="120" w:after="240"/>
              <w:jc w:val="center"/>
              <w:outlineLvl w:val="0"/>
              <w:rPr>
                <w:rFonts w:ascii="Calibri" w:hAnsi="Calibri"/>
                <w:iCs/>
                <w:szCs w:val="22"/>
              </w:rPr>
            </w:pPr>
            <w:r>
              <w:rPr>
                <w:rFonts w:ascii="Calibri" w:hAnsi="Calibri"/>
                <w:iCs/>
                <w:szCs w:val="22"/>
              </w:rPr>
              <w:t>477,118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6226" w:rsidRDefault="00962223" w:rsidP="00D86226">
            <w:pPr>
              <w:tabs>
                <w:tab w:val="left" w:pos="1440"/>
                <w:tab w:val="left" w:pos="2610"/>
              </w:tabs>
              <w:spacing w:before="120" w:after="240"/>
              <w:jc w:val="center"/>
              <w:outlineLvl w:val="0"/>
              <w:rPr>
                <w:rFonts w:ascii="Calibri" w:hAnsi="Calibri"/>
                <w:b/>
                <w:szCs w:val="22"/>
              </w:rPr>
            </w:pPr>
            <w:r>
              <w:rPr>
                <w:rFonts w:ascii="Calibri" w:hAnsi="Calibri"/>
                <w:b/>
                <w:szCs w:val="22"/>
              </w:rPr>
              <w:t>94.</w:t>
            </w:r>
            <w:r w:rsidR="006C7D61">
              <w:rPr>
                <w:rFonts w:ascii="Calibri" w:hAnsi="Calibri"/>
                <w:b/>
                <w:szCs w:val="22"/>
              </w:rPr>
              <w:t>32</w:t>
            </w:r>
          </w:p>
        </w:tc>
      </w:tr>
    </w:tbl>
    <w:p w:rsidR="00D86226" w:rsidRDefault="00D86226" w:rsidP="00D86226"/>
    <w:p w:rsidR="00D86226" w:rsidRDefault="00D86226" w:rsidP="005279B6">
      <w:pPr>
        <w:spacing w:before="240" w:after="240"/>
        <w:rPr>
          <w:rFonts w:ascii="Calibri" w:hAnsi="Calibri"/>
          <w:szCs w:val="22"/>
          <w:lang w:eastAsia="en-NZ" w:bidi="ar-SA"/>
        </w:rPr>
      </w:pPr>
      <w:r>
        <w:rPr>
          <w:rFonts w:ascii="Calibri" w:hAnsi="Calibri"/>
          <w:szCs w:val="22"/>
          <w:lang w:eastAsia="en-NZ" w:bidi="ar-SA"/>
        </w:rPr>
        <w:t xml:space="preserve">Table 3 shows the </w:t>
      </w:r>
      <w:r>
        <w:rPr>
          <w:rFonts w:ascii="Calibri" w:hAnsi="Calibri" w:cs="Calibri"/>
          <w:szCs w:val="22"/>
        </w:rPr>
        <w:t>rate</w:t>
      </w:r>
      <w:r>
        <w:rPr>
          <w:rFonts w:ascii="Calibri" w:hAnsi="Calibri"/>
          <w:szCs w:val="22"/>
          <w:lang w:eastAsia="en-NZ" w:bidi="ar-SA"/>
        </w:rPr>
        <w:t xml:space="preserve"> of complaints received by HDC per 100,000 discharges, for </w:t>
      </w:r>
      <w:r w:rsidR="0012206A">
        <w:rPr>
          <w:lang w:eastAsia="en-NZ" w:bidi="ar-SA"/>
        </w:rPr>
        <w:t>Jan–Jun 2018</w:t>
      </w:r>
      <w:r>
        <w:rPr>
          <w:lang w:eastAsia="en-NZ" w:bidi="ar-SA"/>
        </w:rPr>
        <w:t xml:space="preserve"> </w:t>
      </w:r>
      <w:r>
        <w:rPr>
          <w:rFonts w:ascii="Calibri" w:hAnsi="Calibri"/>
          <w:szCs w:val="22"/>
          <w:lang w:eastAsia="en-NZ" w:bidi="ar-SA"/>
        </w:rPr>
        <w:t>and previous six</w:t>
      </w:r>
      <w:r w:rsidR="00EF6666">
        <w:rPr>
          <w:rFonts w:ascii="Calibri" w:hAnsi="Calibri"/>
          <w:szCs w:val="22"/>
          <w:lang w:eastAsia="en-NZ" w:bidi="ar-SA"/>
        </w:rPr>
        <w:t>-</w:t>
      </w:r>
      <w:r>
        <w:rPr>
          <w:rFonts w:ascii="Calibri" w:hAnsi="Calibri"/>
          <w:szCs w:val="22"/>
          <w:lang w:eastAsia="en-NZ" w:bidi="ar-SA"/>
        </w:rPr>
        <w:t xml:space="preserve">month periods. </w:t>
      </w:r>
    </w:p>
    <w:p w:rsidR="00D86226" w:rsidRDefault="00D86226" w:rsidP="00D86226">
      <w:pPr>
        <w:spacing w:after="120"/>
        <w:rPr>
          <w:b/>
        </w:rPr>
      </w:pPr>
      <w:proofErr w:type="gramStart"/>
      <w:r>
        <w:rPr>
          <w:b/>
        </w:rPr>
        <w:t>Table 3.</w:t>
      </w:r>
      <w:proofErr w:type="gramEnd"/>
      <w:r>
        <w:rPr>
          <w:b/>
        </w:rPr>
        <w:t xml:space="preserve"> </w:t>
      </w:r>
      <w:r>
        <w:t>Rate of complaints received in last five years</w:t>
      </w:r>
      <w:r>
        <w:rPr>
          <w:b/>
        </w:rPr>
        <w:t xml:space="preserve"> </w:t>
      </w:r>
    </w:p>
    <w:tbl>
      <w:tblPr>
        <w:tblStyle w:val="TableGrid"/>
        <w:tblpPr w:leftFromText="180" w:rightFromText="180" w:vertAnchor="text" w:horzAnchor="margin" w:tblpX="114" w:tblpY="105"/>
        <w:tblW w:w="4900" w:type="pct"/>
        <w:tblLook w:val="04A0" w:firstRow="1" w:lastRow="0" w:firstColumn="1" w:lastColumn="0" w:noHBand="0" w:noVBand="1"/>
      </w:tblPr>
      <w:tblGrid>
        <w:gridCol w:w="1096"/>
        <w:gridCol w:w="699"/>
        <w:gridCol w:w="704"/>
        <w:gridCol w:w="703"/>
        <w:gridCol w:w="703"/>
        <w:gridCol w:w="703"/>
        <w:gridCol w:w="703"/>
        <w:gridCol w:w="705"/>
        <w:gridCol w:w="703"/>
        <w:gridCol w:w="703"/>
        <w:gridCol w:w="997"/>
        <w:gridCol w:w="693"/>
      </w:tblGrid>
      <w:tr w:rsidR="00D86226" w:rsidTr="00D86226">
        <w:tc>
          <w:tcPr>
            <w:tcW w:w="601" w:type="pct"/>
            <w:tcBorders>
              <w:top w:val="single" w:sz="4" w:space="0" w:color="auto"/>
              <w:left w:val="single" w:sz="4" w:space="0" w:color="auto"/>
              <w:bottom w:val="single" w:sz="4" w:space="0" w:color="auto"/>
              <w:right w:val="single" w:sz="4" w:space="0" w:color="auto"/>
            </w:tcBorders>
            <w:vAlign w:val="center"/>
          </w:tcPr>
          <w:p w:rsidR="00D86226" w:rsidRDefault="00D86226" w:rsidP="00D86226">
            <w:pPr>
              <w:keepNext/>
              <w:keepLines/>
              <w:jc w:val="left"/>
              <w:rPr>
                <w:rFonts w:ascii="Calibri" w:hAnsi="Calibri"/>
                <w:b/>
                <w:sz w:val="20"/>
                <w:szCs w:val="20"/>
              </w:rPr>
            </w:pPr>
          </w:p>
          <w:p w:rsidR="00D86226" w:rsidRDefault="00D86226" w:rsidP="00D86226">
            <w:pPr>
              <w:keepNext/>
              <w:keepLines/>
              <w:jc w:val="left"/>
              <w:rPr>
                <w:rFonts w:ascii="Calibri" w:hAnsi="Calibri"/>
                <w:b/>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D86226" w:rsidRDefault="0012206A" w:rsidP="00D86226">
            <w:pPr>
              <w:keepNext/>
              <w:keepLines/>
              <w:jc w:val="center"/>
              <w:rPr>
                <w:rFonts w:ascii="Calibri" w:hAnsi="Calibri"/>
                <w:b/>
                <w:sz w:val="20"/>
                <w:szCs w:val="20"/>
              </w:rPr>
            </w:pPr>
            <w:r>
              <w:rPr>
                <w:rFonts w:ascii="Calibri" w:hAnsi="Calibri"/>
                <w:b/>
                <w:sz w:val="20"/>
                <w:szCs w:val="20"/>
              </w:rPr>
              <w:t>Jul–Dec 13</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12206A" w:rsidP="00D86226">
            <w:pPr>
              <w:keepNext/>
              <w:keepLines/>
              <w:jc w:val="center"/>
              <w:rPr>
                <w:rFonts w:ascii="Calibri" w:hAnsi="Calibri"/>
                <w:b/>
                <w:sz w:val="20"/>
                <w:szCs w:val="20"/>
              </w:rPr>
            </w:pPr>
            <w:r>
              <w:rPr>
                <w:rFonts w:ascii="Calibri" w:hAnsi="Calibri"/>
                <w:b/>
                <w:sz w:val="20"/>
                <w:szCs w:val="20"/>
              </w:rPr>
              <w:t>Jan–Jun 14</w:t>
            </w:r>
          </w:p>
        </w:tc>
        <w:tc>
          <w:tcPr>
            <w:tcW w:w="385" w:type="pct"/>
            <w:tcBorders>
              <w:top w:val="single" w:sz="4" w:space="0" w:color="auto"/>
              <w:left w:val="single" w:sz="4" w:space="0" w:color="auto"/>
              <w:bottom w:val="single" w:sz="4" w:space="0" w:color="auto"/>
              <w:right w:val="single" w:sz="4" w:space="0" w:color="auto"/>
            </w:tcBorders>
            <w:hideMark/>
          </w:tcPr>
          <w:p w:rsidR="00D86226" w:rsidRDefault="0012206A" w:rsidP="00D86226">
            <w:pPr>
              <w:keepNext/>
              <w:keepLines/>
              <w:spacing w:before="180"/>
              <w:jc w:val="center"/>
              <w:rPr>
                <w:rFonts w:ascii="Calibri" w:hAnsi="Calibri"/>
                <w:b/>
                <w:sz w:val="20"/>
                <w:szCs w:val="20"/>
              </w:rPr>
            </w:pPr>
            <w:r>
              <w:rPr>
                <w:rFonts w:ascii="Calibri" w:hAnsi="Calibri"/>
                <w:b/>
                <w:sz w:val="20"/>
                <w:szCs w:val="20"/>
              </w:rPr>
              <w:t>Jul–Dec 14</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12206A" w:rsidP="00D86226">
            <w:pPr>
              <w:keepNext/>
              <w:keepLines/>
              <w:spacing w:before="180"/>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15</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12206A" w:rsidP="00D86226">
            <w:pPr>
              <w:keepNext/>
              <w:keepLines/>
              <w:spacing w:before="180"/>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15</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12206A" w:rsidP="00D86226">
            <w:pPr>
              <w:keepNext/>
              <w:keepLines/>
              <w:spacing w:before="180"/>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16</w:t>
            </w:r>
          </w:p>
        </w:tc>
        <w:tc>
          <w:tcPr>
            <w:tcW w:w="387" w:type="pct"/>
            <w:tcBorders>
              <w:top w:val="single" w:sz="4" w:space="0" w:color="auto"/>
              <w:left w:val="single" w:sz="4" w:space="0" w:color="auto"/>
              <w:bottom w:val="single" w:sz="4" w:space="0" w:color="auto"/>
              <w:right w:val="single" w:sz="4" w:space="0" w:color="auto"/>
            </w:tcBorders>
            <w:hideMark/>
          </w:tcPr>
          <w:p w:rsidR="00D86226" w:rsidRDefault="0012206A" w:rsidP="00D86226">
            <w:pPr>
              <w:keepNext/>
              <w:keepLines/>
              <w:spacing w:before="180"/>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16</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955CFC" w:rsidP="00D86226">
            <w:pPr>
              <w:keepNext/>
              <w:keepLines/>
              <w:spacing w:before="180"/>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17</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955CFC" w:rsidP="00D86226">
            <w:pPr>
              <w:keepNext/>
              <w:keepLines/>
              <w:spacing w:before="180"/>
              <w:jc w:val="center"/>
              <w:rPr>
                <w:rFonts w:ascii="Calibri" w:hAnsi="Calibri"/>
                <w:b/>
                <w:sz w:val="20"/>
                <w:szCs w:val="20"/>
              </w:rPr>
            </w:pPr>
            <w:r>
              <w:rPr>
                <w:rFonts w:ascii="Calibri" w:hAnsi="Calibri"/>
                <w:b/>
                <w:sz w:val="20"/>
                <w:szCs w:val="20"/>
              </w:rPr>
              <w:t>Jul–Dec</w:t>
            </w:r>
            <w:r w:rsidR="00D86226">
              <w:rPr>
                <w:rFonts w:ascii="Calibri" w:hAnsi="Calibri"/>
                <w:b/>
                <w:sz w:val="20"/>
                <w:szCs w:val="20"/>
              </w:rPr>
              <w:t xml:space="preserve"> </w:t>
            </w:r>
            <w:r w:rsidR="00086744">
              <w:rPr>
                <w:rFonts w:ascii="Calibri" w:hAnsi="Calibri"/>
                <w:b/>
                <w:sz w:val="20"/>
                <w:szCs w:val="20"/>
              </w:rPr>
              <w:br/>
              <w:t>17</w:t>
            </w:r>
            <w:r w:rsidR="00D86226">
              <w:rPr>
                <w:rStyle w:val="FootnoteReference"/>
                <w:rFonts w:ascii="Calibri" w:hAnsi="Calibri"/>
                <w:szCs w:val="22"/>
                <w:lang w:eastAsia="en-NZ" w:bidi="ar-SA"/>
              </w:rPr>
              <w:footnoteReference w:id="3"/>
            </w:r>
          </w:p>
        </w:tc>
        <w:tc>
          <w:tcPr>
            <w:tcW w:w="547" w:type="pct"/>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spacing w:before="120"/>
              <w:jc w:val="center"/>
              <w:rPr>
                <w:rFonts w:ascii="Calibri" w:hAnsi="Calibri"/>
                <w:b/>
                <w:sz w:val="20"/>
                <w:szCs w:val="20"/>
              </w:rPr>
            </w:pPr>
            <w:r>
              <w:rPr>
                <w:rFonts w:ascii="Calibri" w:hAnsi="Calibri"/>
                <w:b/>
                <w:sz w:val="20"/>
                <w:szCs w:val="20"/>
              </w:rPr>
              <w:t xml:space="preserve">Average of last 4  </w:t>
            </w:r>
          </w:p>
          <w:p w:rsidR="00D86226" w:rsidRDefault="00D86226" w:rsidP="00D86226">
            <w:pPr>
              <w:keepNext/>
              <w:keepLines/>
              <w:jc w:val="center"/>
              <w:rPr>
                <w:rFonts w:ascii="Calibri" w:hAnsi="Calibri"/>
                <w:b/>
                <w:sz w:val="20"/>
                <w:szCs w:val="20"/>
              </w:rPr>
            </w:pPr>
            <w:r>
              <w:rPr>
                <w:rFonts w:ascii="Calibri" w:hAnsi="Calibri"/>
                <w:b/>
                <w:sz w:val="20"/>
                <w:szCs w:val="20"/>
              </w:rPr>
              <w:t>6-month periods</w:t>
            </w:r>
          </w:p>
        </w:tc>
        <w:tc>
          <w:tcPr>
            <w:tcW w:w="380" w:type="pct"/>
            <w:tcBorders>
              <w:top w:val="single" w:sz="4" w:space="0" w:color="auto"/>
              <w:left w:val="single" w:sz="4" w:space="0" w:color="auto"/>
              <w:bottom w:val="single" w:sz="4" w:space="0" w:color="auto"/>
              <w:right w:val="single" w:sz="4" w:space="0" w:color="auto"/>
            </w:tcBorders>
            <w:hideMark/>
          </w:tcPr>
          <w:p w:rsidR="00D86226" w:rsidRDefault="00955CFC" w:rsidP="00D86226">
            <w:pPr>
              <w:keepNext/>
              <w:keepLines/>
              <w:spacing w:before="180"/>
              <w:jc w:val="center"/>
              <w:rPr>
                <w:rFonts w:ascii="Calibri" w:hAnsi="Calibri"/>
                <w:b/>
                <w:sz w:val="20"/>
                <w:szCs w:val="20"/>
              </w:rPr>
            </w:pPr>
            <w:r>
              <w:rPr>
                <w:rFonts w:ascii="Calibri" w:hAnsi="Calibri"/>
                <w:b/>
                <w:sz w:val="20"/>
                <w:szCs w:val="20"/>
              </w:rPr>
              <w:t>Jan–Jun</w:t>
            </w:r>
          </w:p>
          <w:p w:rsidR="00D86226" w:rsidRDefault="00955CFC" w:rsidP="00D86226">
            <w:pPr>
              <w:keepNext/>
              <w:keepLines/>
              <w:jc w:val="center"/>
              <w:rPr>
                <w:rFonts w:ascii="Calibri" w:hAnsi="Calibri"/>
                <w:b/>
                <w:sz w:val="20"/>
                <w:szCs w:val="20"/>
              </w:rPr>
            </w:pPr>
            <w:r>
              <w:rPr>
                <w:rFonts w:ascii="Calibri" w:hAnsi="Calibri"/>
                <w:b/>
                <w:sz w:val="20"/>
                <w:szCs w:val="20"/>
              </w:rPr>
              <w:t>18</w:t>
            </w:r>
          </w:p>
        </w:tc>
      </w:tr>
      <w:tr w:rsidR="00D86226" w:rsidTr="00D86226">
        <w:tc>
          <w:tcPr>
            <w:tcW w:w="601" w:type="pct"/>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spacing w:after="40"/>
              <w:jc w:val="left"/>
              <w:rPr>
                <w:rFonts w:ascii="Calibri" w:hAnsi="Calibri"/>
                <w:b/>
                <w:sz w:val="20"/>
                <w:szCs w:val="20"/>
              </w:rPr>
            </w:pPr>
            <w:r>
              <w:rPr>
                <w:rFonts w:ascii="Calibri" w:hAnsi="Calibri"/>
                <w:b/>
                <w:sz w:val="20"/>
                <w:szCs w:val="20"/>
              </w:rPr>
              <w:t>Rate per 100,000 discharges</w:t>
            </w:r>
          </w:p>
        </w:tc>
        <w:tc>
          <w:tcPr>
            <w:tcW w:w="383"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12206A" w:rsidP="00D86226">
            <w:pPr>
              <w:keepNext/>
              <w:keepLines/>
              <w:jc w:val="center"/>
              <w:rPr>
                <w:rFonts w:ascii="Calibri" w:hAnsi="Calibri"/>
                <w:sz w:val="20"/>
                <w:szCs w:val="20"/>
              </w:rPr>
            </w:pPr>
            <w:r>
              <w:rPr>
                <w:rFonts w:ascii="Calibri" w:hAnsi="Calibri"/>
                <w:sz w:val="20"/>
                <w:szCs w:val="20"/>
              </w:rPr>
              <w:t>71.15</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12206A" w:rsidP="00D86226">
            <w:pPr>
              <w:keepNext/>
              <w:keepLines/>
              <w:jc w:val="center"/>
              <w:rPr>
                <w:rFonts w:ascii="Calibri" w:hAnsi="Calibri"/>
                <w:sz w:val="20"/>
                <w:szCs w:val="20"/>
              </w:rPr>
            </w:pPr>
            <w:r>
              <w:rPr>
                <w:rFonts w:ascii="Calibri" w:hAnsi="Calibri"/>
                <w:sz w:val="20"/>
                <w:szCs w:val="20"/>
              </w:rPr>
              <w:t>72</w:t>
            </w:r>
            <w:r w:rsidRPr="00D12A0D">
              <w:rPr>
                <w:rFonts w:ascii="Calibri" w:hAnsi="Calibri"/>
                <w:sz w:val="20"/>
                <w:szCs w:val="20"/>
              </w:rPr>
              <w:t>.</w:t>
            </w:r>
            <w:r>
              <w:rPr>
                <w:rFonts w:ascii="Calibri" w:hAnsi="Calibri"/>
                <w:sz w:val="20"/>
                <w:szCs w:val="20"/>
              </w:rPr>
              <w:t>99</w:t>
            </w:r>
          </w:p>
        </w:tc>
        <w:tc>
          <w:tcPr>
            <w:tcW w:w="385"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12206A" w:rsidP="00D86226">
            <w:pPr>
              <w:keepNext/>
              <w:keepLines/>
              <w:jc w:val="center"/>
              <w:rPr>
                <w:rFonts w:ascii="Calibri" w:hAnsi="Calibri"/>
                <w:sz w:val="20"/>
                <w:szCs w:val="20"/>
              </w:rPr>
            </w:pPr>
            <w:r>
              <w:rPr>
                <w:rFonts w:ascii="Calibri" w:hAnsi="Calibri"/>
                <w:sz w:val="20"/>
                <w:szCs w:val="20"/>
              </w:rPr>
              <w:t>76</w:t>
            </w:r>
            <w:r w:rsidRPr="00D12A0D">
              <w:rPr>
                <w:rFonts w:ascii="Calibri" w:hAnsi="Calibri"/>
                <w:sz w:val="20"/>
                <w:szCs w:val="20"/>
              </w:rPr>
              <w:t>.</w:t>
            </w:r>
            <w:r>
              <w:rPr>
                <w:rFonts w:ascii="Calibri" w:hAnsi="Calibri"/>
                <w:sz w:val="20"/>
                <w:szCs w:val="20"/>
              </w:rPr>
              <w:t>65</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12206A" w:rsidP="00D86226">
            <w:pPr>
              <w:keepNext/>
              <w:keepLines/>
              <w:jc w:val="center"/>
              <w:rPr>
                <w:rFonts w:ascii="Calibri" w:hAnsi="Calibri"/>
                <w:sz w:val="20"/>
                <w:szCs w:val="20"/>
              </w:rPr>
            </w:pPr>
            <w:r w:rsidRPr="00D12A0D">
              <w:rPr>
                <w:rFonts w:ascii="Calibri" w:hAnsi="Calibri"/>
                <w:sz w:val="20"/>
                <w:szCs w:val="20"/>
              </w:rPr>
              <w:t>84.60</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12206A" w:rsidP="00D86226">
            <w:pPr>
              <w:keepNext/>
              <w:keepLines/>
              <w:jc w:val="center"/>
              <w:rPr>
                <w:rFonts w:ascii="Calibri" w:hAnsi="Calibri"/>
                <w:sz w:val="20"/>
                <w:szCs w:val="20"/>
              </w:rPr>
            </w:pPr>
            <w:r>
              <w:rPr>
                <w:rFonts w:ascii="Calibri" w:hAnsi="Calibri"/>
                <w:sz w:val="20"/>
                <w:szCs w:val="20"/>
              </w:rPr>
              <w:t>87.57</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12206A" w:rsidP="00D86226">
            <w:pPr>
              <w:keepNext/>
              <w:keepLines/>
              <w:jc w:val="center"/>
              <w:rPr>
                <w:rFonts w:ascii="Calibri" w:hAnsi="Calibri"/>
                <w:sz w:val="20"/>
                <w:szCs w:val="20"/>
              </w:rPr>
            </w:pPr>
            <w:r>
              <w:rPr>
                <w:rFonts w:ascii="Calibri" w:hAnsi="Calibri"/>
                <w:sz w:val="20"/>
                <w:szCs w:val="20"/>
              </w:rPr>
              <w:t>81</w:t>
            </w:r>
            <w:r w:rsidRPr="00D12A0D">
              <w:rPr>
                <w:rFonts w:ascii="Calibri" w:hAnsi="Calibri"/>
                <w:sz w:val="20"/>
                <w:szCs w:val="20"/>
              </w:rPr>
              <w:t>.</w:t>
            </w:r>
            <w:r>
              <w:rPr>
                <w:rFonts w:ascii="Calibri" w:hAnsi="Calibri"/>
                <w:sz w:val="20"/>
                <w:szCs w:val="20"/>
              </w:rPr>
              <w:t>44</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12206A" w:rsidP="00D86226">
            <w:pPr>
              <w:keepNext/>
              <w:keepLines/>
              <w:jc w:val="center"/>
              <w:rPr>
                <w:rFonts w:ascii="Calibri" w:hAnsi="Calibri"/>
                <w:sz w:val="20"/>
                <w:szCs w:val="20"/>
              </w:rPr>
            </w:pPr>
            <w:r>
              <w:rPr>
                <w:rFonts w:ascii="Calibri" w:hAnsi="Calibri"/>
                <w:sz w:val="20"/>
                <w:szCs w:val="20"/>
              </w:rPr>
              <w:t>78.79</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955CFC" w:rsidP="00D86226">
            <w:pPr>
              <w:keepNext/>
              <w:keepLines/>
              <w:jc w:val="center"/>
              <w:rPr>
                <w:rFonts w:ascii="Calibri" w:hAnsi="Calibri"/>
                <w:sz w:val="20"/>
                <w:szCs w:val="20"/>
              </w:rPr>
            </w:pPr>
            <w:r>
              <w:rPr>
                <w:rFonts w:ascii="Calibri" w:hAnsi="Calibri"/>
                <w:sz w:val="20"/>
                <w:szCs w:val="20"/>
              </w:rPr>
              <w:t>99.08</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955CFC" w:rsidP="00D86226">
            <w:pPr>
              <w:keepNext/>
              <w:keepLines/>
              <w:jc w:val="center"/>
              <w:rPr>
                <w:rFonts w:ascii="Calibri" w:hAnsi="Calibri"/>
                <w:sz w:val="20"/>
                <w:szCs w:val="20"/>
              </w:rPr>
            </w:pPr>
            <w:r>
              <w:rPr>
                <w:rFonts w:ascii="Calibri" w:hAnsi="Calibri"/>
                <w:sz w:val="20"/>
                <w:szCs w:val="20"/>
              </w:rPr>
              <w:t>88.</w:t>
            </w:r>
            <w:r w:rsidR="00962223">
              <w:rPr>
                <w:rFonts w:ascii="Calibri" w:hAnsi="Calibri"/>
                <w:sz w:val="20"/>
                <w:szCs w:val="20"/>
              </w:rPr>
              <w:t>23</w:t>
            </w:r>
          </w:p>
        </w:tc>
        <w:tc>
          <w:tcPr>
            <w:tcW w:w="547"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086744" w:rsidP="00D86226">
            <w:pPr>
              <w:keepNext/>
              <w:keepLines/>
              <w:jc w:val="center"/>
              <w:rPr>
                <w:rFonts w:ascii="Calibri" w:hAnsi="Calibri"/>
                <w:b/>
                <w:sz w:val="20"/>
                <w:szCs w:val="20"/>
              </w:rPr>
            </w:pPr>
            <w:r>
              <w:rPr>
                <w:rFonts w:ascii="Calibri" w:hAnsi="Calibri"/>
                <w:b/>
                <w:sz w:val="20"/>
                <w:szCs w:val="20"/>
              </w:rPr>
              <w:t>86.</w:t>
            </w:r>
            <w:r w:rsidR="00962223">
              <w:rPr>
                <w:rFonts w:ascii="Calibri" w:hAnsi="Calibri"/>
                <w:b/>
                <w:sz w:val="20"/>
                <w:szCs w:val="20"/>
              </w:rPr>
              <w:t>89</w:t>
            </w:r>
          </w:p>
        </w:tc>
        <w:tc>
          <w:tcPr>
            <w:tcW w:w="380"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962223" w:rsidP="00D86226">
            <w:pPr>
              <w:keepNext/>
              <w:keepLines/>
              <w:jc w:val="center"/>
              <w:rPr>
                <w:rFonts w:ascii="Calibri" w:hAnsi="Calibri"/>
                <w:b/>
                <w:sz w:val="20"/>
                <w:szCs w:val="20"/>
              </w:rPr>
            </w:pPr>
            <w:r>
              <w:rPr>
                <w:rFonts w:ascii="Calibri" w:hAnsi="Calibri"/>
                <w:b/>
                <w:sz w:val="20"/>
                <w:szCs w:val="20"/>
              </w:rPr>
              <w:t>94.</w:t>
            </w:r>
            <w:r w:rsidR="006C7D61">
              <w:rPr>
                <w:rFonts w:ascii="Calibri" w:hAnsi="Calibri"/>
                <w:b/>
                <w:sz w:val="20"/>
                <w:szCs w:val="20"/>
              </w:rPr>
              <w:t>32</w:t>
            </w:r>
          </w:p>
        </w:tc>
      </w:tr>
    </w:tbl>
    <w:p w:rsidR="00D86226" w:rsidRDefault="00D86226" w:rsidP="00160606">
      <w:pPr>
        <w:spacing w:before="240"/>
      </w:pPr>
      <w:r>
        <w:rPr>
          <w:lang w:eastAsia="en-NZ" w:bidi="ar-SA"/>
        </w:rPr>
        <w:br/>
        <w:t>The rate of complaints re</w:t>
      </w:r>
      <w:r w:rsidR="00955CFC">
        <w:rPr>
          <w:lang w:eastAsia="en-NZ" w:bidi="ar-SA"/>
        </w:rPr>
        <w:t>ceived during Jan–Jun 2018</w:t>
      </w:r>
      <w:r w:rsidR="00086744">
        <w:rPr>
          <w:lang w:eastAsia="en-NZ" w:bidi="ar-SA"/>
        </w:rPr>
        <w:t xml:space="preserve"> (</w:t>
      </w:r>
      <w:r w:rsidR="006C7D61">
        <w:rPr>
          <w:lang w:eastAsia="en-NZ" w:bidi="ar-SA"/>
        </w:rPr>
        <w:t>94.32</w:t>
      </w:r>
      <w:r w:rsidR="00FC346F">
        <w:rPr>
          <w:lang w:eastAsia="en-NZ" w:bidi="ar-SA"/>
        </w:rPr>
        <w:t>) shows a 9</w:t>
      </w:r>
      <w:r>
        <w:rPr>
          <w:lang w:eastAsia="en-NZ" w:bidi="ar-SA"/>
        </w:rPr>
        <w:t xml:space="preserve">% increase </w:t>
      </w:r>
      <w:r>
        <w:t xml:space="preserve">over the average rate of complaints received </w:t>
      </w:r>
      <w:r w:rsidR="00086744">
        <w:t>for the previous fo</w:t>
      </w:r>
      <w:r w:rsidR="00955CFC">
        <w:t>ur periods.</w:t>
      </w:r>
    </w:p>
    <w:p w:rsidR="00D86226" w:rsidRDefault="00D86226" w:rsidP="00D86226">
      <w:pPr>
        <w:jc w:val="left"/>
        <w:rPr>
          <w:rFonts w:ascii="Calibri" w:hAnsi="Calibri"/>
          <w:szCs w:val="22"/>
        </w:rPr>
      </w:pPr>
      <w:r>
        <w:rPr>
          <w:lang w:eastAsia="en-NZ" w:bidi="ar-SA"/>
        </w:rPr>
        <w:br/>
      </w:r>
      <w:r>
        <w:rPr>
          <w:rFonts w:ascii="Calibri" w:hAnsi="Calibri"/>
          <w:szCs w:val="22"/>
        </w:rPr>
        <w:t>Table 4 shows the number and rate of complaints received by HDC for each DHB</w:t>
      </w:r>
      <w:r w:rsidR="00EF6666">
        <w:rPr>
          <w:rFonts w:ascii="Calibri" w:hAnsi="Calibri"/>
          <w:szCs w:val="22"/>
        </w:rPr>
        <w:t>.</w:t>
      </w:r>
      <w:r>
        <w:rPr>
          <w:rStyle w:val="FootnoteReference"/>
          <w:rFonts w:ascii="Calibri" w:hAnsi="Calibri"/>
          <w:szCs w:val="22"/>
        </w:rPr>
        <w:footnoteReference w:id="4"/>
      </w:r>
    </w:p>
    <w:p w:rsidR="00D86226" w:rsidRDefault="00D86226"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5279B6" w:rsidRDefault="005279B6" w:rsidP="00D86226">
      <w:pPr>
        <w:rPr>
          <w:highlight w:val="yellow"/>
        </w:rPr>
      </w:pPr>
    </w:p>
    <w:p w:rsidR="005279B6" w:rsidRDefault="005279B6" w:rsidP="00D86226">
      <w:pPr>
        <w:rPr>
          <w:highlight w:val="yellow"/>
        </w:rPr>
      </w:pPr>
    </w:p>
    <w:p w:rsidR="00D86226" w:rsidRPr="00D12A0D" w:rsidRDefault="00D86226" w:rsidP="00D86226">
      <w:pPr>
        <w:spacing w:after="120"/>
        <w:rPr>
          <w:szCs w:val="22"/>
        </w:rPr>
      </w:pPr>
      <w:proofErr w:type="gramStart"/>
      <w:r w:rsidRPr="00D12A0D">
        <w:rPr>
          <w:b/>
          <w:szCs w:val="22"/>
        </w:rPr>
        <w:lastRenderedPageBreak/>
        <w:t>Table 4.</w:t>
      </w:r>
      <w:proofErr w:type="gramEnd"/>
      <w:r w:rsidRPr="00D12A0D">
        <w:rPr>
          <w:szCs w:val="22"/>
        </w:rPr>
        <w:t xml:space="preserve"> Number and rate of complai</w:t>
      </w:r>
      <w:r w:rsidR="00955CFC">
        <w:rPr>
          <w:szCs w:val="22"/>
        </w:rPr>
        <w:t>nts received for each DHB in Jan-Jun 2018</w:t>
      </w:r>
    </w:p>
    <w:tbl>
      <w:tblPr>
        <w:tblStyle w:val="TableGrid"/>
        <w:tblW w:w="0" w:type="auto"/>
        <w:tblLook w:val="04A0" w:firstRow="1" w:lastRow="0" w:firstColumn="1" w:lastColumn="0" w:noHBand="0" w:noVBand="1"/>
      </w:tblPr>
      <w:tblGrid>
        <w:gridCol w:w="2310"/>
        <w:gridCol w:w="2310"/>
        <w:gridCol w:w="2311"/>
        <w:gridCol w:w="2311"/>
      </w:tblGrid>
      <w:tr w:rsidR="00D86226" w:rsidRPr="00D12A0D" w:rsidTr="00D86226">
        <w:tc>
          <w:tcPr>
            <w:tcW w:w="2310" w:type="dxa"/>
            <w:tcBorders>
              <w:top w:val="single" w:sz="4" w:space="0" w:color="auto"/>
              <w:left w:val="single" w:sz="4" w:space="0" w:color="auto"/>
              <w:bottom w:val="single" w:sz="4" w:space="0" w:color="auto"/>
              <w:right w:val="single" w:sz="4" w:space="0" w:color="auto"/>
            </w:tcBorders>
            <w:hideMark/>
          </w:tcPr>
          <w:p w:rsidR="00D86226" w:rsidRPr="00D12A0D" w:rsidRDefault="00D86226" w:rsidP="00D86226">
            <w:pPr>
              <w:spacing w:after="120"/>
              <w:jc w:val="center"/>
              <w:rPr>
                <w:b/>
                <w:szCs w:val="22"/>
              </w:rPr>
            </w:pPr>
            <w:r w:rsidRPr="00D12A0D">
              <w:rPr>
                <w:b/>
                <w:szCs w:val="22"/>
              </w:rPr>
              <w:t>DHB</w:t>
            </w:r>
          </w:p>
        </w:tc>
        <w:tc>
          <w:tcPr>
            <w:tcW w:w="2310" w:type="dxa"/>
            <w:tcBorders>
              <w:top w:val="single" w:sz="4" w:space="0" w:color="auto"/>
              <w:left w:val="single" w:sz="4" w:space="0" w:color="auto"/>
              <w:bottom w:val="single" w:sz="4" w:space="0" w:color="auto"/>
              <w:right w:val="single" w:sz="4" w:space="0" w:color="auto"/>
            </w:tcBorders>
            <w:hideMark/>
          </w:tcPr>
          <w:p w:rsidR="00D86226" w:rsidRPr="00D12A0D" w:rsidRDefault="00D86226" w:rsidP="00D86226">
            <w:pPr>
              <w:spacing w:after="120"/>
              <w:jc w:val="center"/>
              <w:rPr>
                <w:b/>
                <w:szCs w:val="22"/>
              </w:rPr>
            </w:pPr>
            <w:r w:rsidRPr="00D12A0D">
              <w:rPr>
                <w:b/>
                <w:szCs w:val="22"/>
              </w:rPr>
              <w:t>Number of complaints received</w:t>
            </w:r>
          </w:p>
        </w:tc>
        <w:tc>
          <w:tcPr>
            <w:tcW w:w="2311" w:type="dxa"/>
            <w:tcBorders>
              <w:top w:val="single" w:sz="4" w:space="0" w:color="auto"/>
              <w:left w:val="single" w:sz="4" w:space="0" w:color="auto"/>
              <w:bottom w:val="single" w:sz="4" w:space="0" w:color="auto"/>
              <w:right w:val="single" w:sz="4" w:space="0" w:color="auto"/>
            </w:tcBorders>
            <w:hideMark/>
          </w:tcPr>
          <w:p w:rsidR="00D86226" w:rsidRPr="00D12A0D" w:rsidRDefault="00D86226" w:rsidP="00D86226">
            <w:pPr>
              <w:spacing w:after="120"/>
              <w:jc w:val="center"/>
              <w:rPr>
                <w:b/>
                <w:szCs w:val="22"/>
              </w:rPr>
            </w:pPr>
            <w:r w:rsidRPr="00D12A0D">
              <w:rPr>
                <w:b/>
                <w:szCs w:val="22"/>
              </w:rPr>
              <w:t>Number of discharges</w:t>
            </w:r>
          </w:p>
        </w:tc>
        <w:tc>
          <w:tcPr>
            <w:tcW w:w="2311" w:type="dxa"/>
            <w:tcBorders>
              <w:top w:val="single" w:sz="4" w:space="0" w:color="auto"/>
              <w:left w:val="single" w:sz="4" w:space="0" w:color="auto"/>
              <w:bottom w:val="single" w:sz="4" w:space="0" w:color="auto"/>
              <w:right w:val="single" w:sz="4" w:space="0" w:color="auto"/>
            </w:tcBorders>
            <w:hideMark/>
          </w:tcPr>
          <w:p w:rsidR="00D86226" w:rsidRPr="00D12A0D" w:rsidRDefault="00D86226" w:rsidP="00D86226">
            <w:pPr>
              <w:spacing w:after="120"/>
              <w:jc w:val="center"/>
              <w:rPr>
                <w:b/>
                <w:szCs w:val="22"/>
              </w:rPr>
            </w:pPr>
            <w:r w:rsidRPr="00D12A0D">
              <w:rPr>
                <w:b/>
                <w:szCs w:val="22"/>
              </w:rPr>
              <w:t>Rate of complaints to HDC per 100,000 discharges</w:t>
            </w:r>
          </w:p>
        </w:tc>
      </w:tr>
      <w:tr w:rsidR="00250331"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D86226">
            <w:pPr>
              <w:rPr>
                <w:szCs w:val="22"/>
              </w:rPr>
            </w:pPr>
            <w:r w:rsidRPr="00D12A0D">
              <w:rPr>
                <w:szCs w:val="22"/>
              </w:rPr>
              <w:t>Auckland</w:t>
            </w:r>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6</w:t>
            </w:r>
            <w:r w:rsidR="006C7D61">
              <w:rPr>
                <w:rFonts w:ascii="Calibri" w:hAnsi="Calibri"/>
                <w:color w:val="000000"/>
                <w:szCs w:val="22"/>
              </w:rPr>
              <w:t>7</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60164</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11</w:t>
            </w:r>
            <w:r w:rsidR="006C7D61">
              <w:rPr>
                <w:rFonts w:ascii="Calibri" w:hAnsi="Calibri"/>
                <w:color w:val="000000"/>
                <w:szCs w:val="22"/>
              </w:rPr>
              <w:t>1.36</w:t>
            </w:r>
          </w:p>
        </w:tc>
      </w:tr>
      <w:tr w:rsidR="00250331"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D86226">
            <w:pPr>
              <w:rPr>
                <w:szCs w:val="22"/>
              </w:rPr>
            </w:pPr>
            <w:r w:rsidRPr="00D12A0D">
              <w:rPr>
                <w:szCs w:val="22"/>
              </w:rPr>
              <w:t>Bay of Plenty</w:t>
            </w:r>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23</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25664</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89.62</w:t>
            </w:r>
          </w:p>
        </w:tc>
      </w:tr>
      <w:tr w:rsidR="00250331"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D86226">
            <w:pPr>
              <w:rPr>
                <w:szCs w:val="22"/>
              </w:rPr>
            </w:pPr>
            <w:r w:rsidRPr="00D12A0D">
              <w:rPr>
                <w:szCs w:val="22"/>
              </w:rPr>
              <w:t>Canterbury</w:t>
            </w:r>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51</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56445</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90.35</w:t>
            </w:r>
          </w:p>
        </w:tc>
      </w:tr>
      <w:tr w:rsidR="00250331"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D86226">
            <w:pPr>
              <w:rPr>
                <w:szCs w:val="22"/>
              </w:rPr>
            </w:pPr>
            <w:r w:rsidRPr="00D12A0D">
              <w:rPr>
                <w:szCs w:val="22"/>
              </w:rPr>
              <w:t>Capital and Coast</w:t>
            </w:r>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45</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29386</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153.13</w:t>
            </w:r>
          </w:p>
        </w:tc>
      </w:tr>
      <w:tr w:rsidR="00250331"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D86226">
            <w:pPr>
              <w:rPr>
                <w:szCs w:val="22"/>
              </w:rPr>
            </w:pPr>
            <w:r w:rsidRPr="00D12A0D">
              <w:rPr>
                <w:szCs w:val="22"/>
              </w:rPr>
              <w:t xml:space="preserve">Counties </w:t>
            </w:r>
            <w:proofErr w:type="spellStart"/>
            <w:r w:rsidRPr="00D12A0D">
              <w:rPr>
                <w:szCs w:val="22"/>
              </w:rPr>
              <w:t>Manukau</w:t>
            </w:r>
            <w:proofErr w:type="spellEnd"/>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43</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50666</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84.87</w:t>
            </w:r>
          </w:p>
        </w:tc>
      </w:tr>
      <w:tr w:rsidR="00250331"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D86226">
            <w:pPr>
              <w:rPr>
                <w:szCs w:val="22"/>
              </w:rPr>
            </w:pPr>
            <w:r w:rsidRPr="00D12A0D">
              <w:rPr>
                <w:szCs w:val="22"/>
              </w:rPr>
              <w:t>Hawke’s Bay</w:t>
            </w:r>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17</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17390</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97.76</w:t>
            </w:r>
          </w:p>
        </w:tc>
      </w:tr>
      <w:tr w:rsidR="00250331"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D86226">
            <w:pPr>
              <w:rPr>
                <w:szCs w:val="22"/>
              </w:rPr>
            </w:pPr>
            <w:r w:rsidRPr="00D12A0D">
              <w:rPr>
                <w:szCs w:val="22"/>
              </w:rPr>
              <w:t>Hutt Valley</w:t>
            </w:r>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16</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15888</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100.70</w:t>
            </w:r>
          </w:p>
        </w:tc>
      </w:tr>
      <w:tr w:rsidR="00250331"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D86226">
            <w:pPr>
              <w:rPr>
                <w:szCs w:val="22"/>
              </w:rPr>
            </w:pPr>
            <w:r w:rsidRPr="00D12A0D">
              <w:rPr>
                <w:szCs w:val="22"/>
              </w:rPr>
              <w:t>Lakes</w:t>
            </w:r>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13</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11491</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113.13</w:t>
            </w:r>
          </w:p>
        </w:tc>
      </w:tr>
      <w:tr w:rsidR="00250331"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D86226">
            <w:pPr>
              <w:rPr>
                <w:szCs w:val="22"/>
              </w:rPr>
            </w:pPr>
            <w:proofErr w:type="spellStart"/>
            <w:r w:rsidRPr="00D12A0D">
              <w:rPr>
                <w:szCs w:val="22"/>
              </w:rPr>
              <w:t>MidCentral</w:t>
            </w:r>
            <w:proofErr w:type="spellEnd"/>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13</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15013</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86.59</w:t>
            </w:r>
          </w:p>
        </w:tc>
      </w:tr>
      <w:tr w:rsidR="00250331"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D86226">
            <w:pPr>
              <w:rPr>
                <w:szCs w:val="22"/>
              </w:rPr>
            </w:pPr>
            <w:r w:rsidRPr="00D12A0D">
              <w:rPr>
                <w:szCs w:val="22"/>
              </w:rPr>
              <w:t>Nelson Marlborough</w:t>
            </w:r>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13</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9561</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135.97</w:t>
            </w:r>
          </w:p>
        </w:tc>
      </w:tr>
      <w:tr w:rsidR="00250331"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D86226">
            <w:pPr>
              <w:rPr>
                <w:szCs w:val="22"/>
              </w:rPr>
            </w:pPr>
            <w:r w:rsidRPr="00D12A0D">
              <w:rPr>
                <w:szCs w:val="22"/>
              </w:rPr>
              <w:t>Northland</w:t>
            </w:r>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15</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20635</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72.69</w:t>
            </w:r>
          </w:p>
        </w:tc>
      </w:tr>
      <w:tr w:rsidR="00250331"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D86226">
            <w:pPr>
              <w:rPr>
                <w:szCs w:val="22"/>
              </w:rPr>
            </w:pPr>
            <w:r w:rsidRPr="00D12A0D">
              <w:rPr>
                <w:szCs w:val="22"/>
              </w:rPr>
              <w:t>South Canterbury</w:t>
            </w:r>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2</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5935</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33.70</w:t>
            </w:r>
          </w:p>
        </w:tc>
      </w:tr>
      <w:tr w:rsidR="00250331"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D86226">
            <w:pPr>
              <w:rPr>
                <w:szCs w:val="22"/>
              </w:rPr>
            </w:pPr>
            <w:r w:rsidRPr="00D12A0D">
              <w:rPr>
                <w:szCs w:val="22"/>
              </w:rPr>
              <w:t>Southern</w:t>
            </w:r>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36</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26806</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134.3</w:t>
            </w:r>
          </w:p>
        </w:tc>
      </w:tr>
      <w:tr w:rsidR="00250331"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9F019B">
            <w:pPr>
              <w:rPr>
                <w:szCs w:val="22"/>
              </w:rPr>
            </w:pPr>
            <w:proofErr w:type="spellStart"/>
            <w:r w:rsidRPr="00D12A0D">
              <w:rPr>
                <w:szCs w:val="22"/>
              </w:rPr>
              <w:t>Tair</w:t>
            </w:r>
            <w:r>
              <w:rPr>
                <w:rFonts w:ascii="Times New Roman" w:hAnsi="Times New Roman"/>
                <w:szCs w:val="22"/>
              </w:rPr>
              <w:t>ā</w:t>
            </w:r>
            <w:r w:rsidRPr="00D12A0D">
              <w:rPr>
                <w:szCs w:val="22"/>
              </w:rPr>
              <w:t>whiti</w:t>
            </w:r>
            <w:proofErr w:type="spellEnd"/>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6</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5009</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119.78</w:t>
            </w:r>
          </w:p>
        </w:tc>
      </w:tr>
      <w:tr w:rsidR="00250331"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D86226">
            <w:pPr>
              <w:rPr>
                <w:szCs w:val="22"/>
              </w:rPr>
            </w:pPr>
            <w:r w:rsidRPr="00D12A0D">
              <w:rPr>
                <w:szCs w:val="22"/>
              </w:rPr>
              <w:t>Taranaki</w:t>
            </w:r>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7</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13177</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53.12</w:t>
            </w:r>
          </w:p>
        </w:tc>
      </w:tr>
      <w:tr w:rsidR="00250331"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D86226">
            <w:pPr>
              <w:rPr>
                <w:szCs w:val="22"/>
              </w:rPr>
            </w:pPr>
            <w:r w:rsidRPr="00D12A0D">
              <w:rPr>
                <w:szCs w:val="22"/>
              </w:rPr>
              <w:t>Waikato</w:t>
            </w:r>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24</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47618</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50.40</w:t>
            </w:r>
          </w:p>
        </w:tc>
      </w:tr>
      <w:tr w:rsidR="00250331"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D86226">
            <w:pPr>
              <w:rPr>
                <w:szCs w:val="22"/>
              </w:rPr>
            </w:pPr>
            <w:proofErr w:type="spellStart"/>
            <w:r w:rsidRPr="00D12A0D">
              <w:rPr>
                <w:szCs w:val="22"/>
              </w:rPr>
              <w:t>Wairarapa</w:t>
            </w:r>
            <w:proofErr w:type="spellEnd"/>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14</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4366</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320.66</w:t>
            </w:r>
          </w:p>
        </w:tc>
      </w:tr>
      <w:tr w:rsidR="00250331"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D86226">
            <w:pPr>
              <w:rPr>
                <w:szCs w:val="22"/>
              </w:rPr>
            </w:pPr>
            <w:proofErr w:type="spellStart"/>
            <w:r w:rsidRPr="00D12A0D">
              <w:rPr>
                <w:szCs w:val="22"/>
              </w:rPr>
              <w:t>Waitemata</w:t>
            </w:r>
            <w:proofErr w:type="spellEnd"/>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48</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51999</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92.31</w:t>
            </w:r>
          </w:p>
        </w:tc>
      </w:tr>
      <w:tr w:rsidR="00250331"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D86226">
            <w:pPr>
              <w:rPr>
                <w:szCs w:val="22"/>
              </w:rPr>
            </w:pPr>
            <w:r w:rsidRPr="00D12A0D">
              <w:rPr>
                <w:szCs w:val="22"/>
              </w:rPr>
              <w:t>West Coast</w:t>
            </w:r>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7</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3401</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205.82</w:t>
            </w:r>
          </w:p>
        </w:tc>
      </w:tr>
      <w:tr w:rsidR="00250331" w:rsidTr="00064B53">
        <w:tc>
          <w:tcPr>
            <w:tcW w:w="2310" w:type="dxa"/>
            <w:tcBorders>
              <w:top w:val="single" w:sz="4" w:space="0" w:color="auto"/>
              <w:left w:val="single" w:sz="4" w:space="0" w:color="auto"/>
              <w:bottom w:val="single" w:sz="4" w:space="0" w:color="auto"/>
              <w:right w:val="single" w:sz="4" w:space="0" w:color="auto"/>
            </w:tcBorders>
            <w:hideMark/>
          </w:tcPr>
          <w:p w:rsidR="00250331" w:rsidRPr="00D12A0D" w:rsidRDefault="00250331" w:rsidP="00D86226">
            <w:pPr>
              <w:rPr>
                <w:szCs w:val="22"/>
              </w:rPr>
            </w:pPr>
            <w:r w:rsidRPr="00D12A0D">
              <w:rPr>
                <w:szCs w:val="22"/>
              </w:rPr>
              <w:t>Whanganui</w:t>
            </w:r>
          </w:p>
        </w:tc>
        <w:tc>
          <w:tcPr>
            <w:tcW w:w="2310"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7</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6504</w:t>
            </w:r>
          </w:p>
        </w:tc>
        <w:tc>
          <w:tcPr>
            <w:tcW w:w="2311" w:type="dxa"/>
            <w:tcBorders>
              <w:top w:val="single" w:sz="4" w:space="0" w:color="auto"/>
              <w:left w:val="single" w:sz="4" w:space="0" w:color="auto"/>
              <w:bottom w:val="single" w:sz="4" w:space="0" w:color="auto"/>
              <w:right w:val="single" w:sz="4" w:space="0" w:color="auto"/>
            </w:tcBorders>
            <w:vAlign w:val="bottom"/>
          </w:tcPr>
          <w:p w:rsidR="00250331" w:rsidRDefault="00250331" w:rsidP="00250331">
            <w:pPr>
              <w:jc w:val="center"/>
              <w:rPr>
                <w:rFonts w:ascii="Calibri" w:hAnsi="Calibri"/>
                <w:color w:val="000000"/>
                <w:szCs w:val="22"/>
              </w:rPr>
            </w:pPr>
            <w:r>
              <w:rPr>
                <w:rFonts w:ascii="Calibri" w:hAnsi="Calibri"/>
                <w:color w:val="000000"/>
                <w:szCs w:val="22"/>
              </w:rPr>
              <w:t>107.63</w:t>
            </w:r>
          </w:p>
        </w:tc>
      </w:tr>
    </w:tbl>
    <w:p w:rsidR="00D86226" w:rsidRDefault="00D86226" w:rsidP="00D86226"/>
    <w:p w:rsidR="00D86226" w:rsidRDefault="00D86226" w:rsidP="00D86226"/>
    <w:p w:rsidR="00431442" w:rsidRDefault="00431442" w:rsidP="00D86226"/>
    <w:tbl>
      <w:tblPr>
        <w:tblStyle w:val="TableGrid"/>
        <w:tblW w:w="0" w:type="auto"/>
        <w:tblInd w:w="28" w:type="dxa"/>
        <w:tblCellMar>
          <w:top w:w="170" w:type="dxa"/>
          <w:left w:w="170" w:type="dxa"/>
          <w:bottom w:w="170" w:type="dxa"/>
          <w:right w:w="170" w:type="dxa"/>
        </w:tblCellMar>
        <w:tblLook w:val="04A0" w:firstRow="1" w:lastRow="0" w:firstColumn="1" w:lastColumn="0" w:noHBand="0" w:noVBand="1"/>
      </w:tblPr>
      <w:tblGrid>
        <w:gridCol w:w="9270"/>
      </w:tblGrid>
      <w:tr w:rsidR="00D86226" w:rsidTr="00160606">
        <w:tc>
          <w:tcPr>
            <w:tcW w:w="9270" w:type="dxa"/>
          </w:tcPr>
          <w:p w:rsidR="00D86226" w:rsidRDefault="00D86226" w:rsidP="00160606">
            <w:pPr>
              <w:spacing w:before="120" w:line="360" w:lineRule="auto"/>
              <w:jc w:val="center"/>
              <w:rPr>
                <w:b/>
                <w:szCs w:val="22"/>
              </w:rPr>
            </w:pPr>
            <w:r>
              <w:rPr>
                <w:b/>
                <w:szCs w:val="22"/>
              </w:rPr>
              <w:t>Notes on DHB’s n</w:t>
            </w:r>
            <w:r w:rsidRPr="008C3A00">
              <w:rPr>
                <w:b/>
                <w:szCs w:val="22"/>
              </w:rPr>
              <w:t>umber and rate of complaints</w:t>
            </w:r>
          </w:p>
          <w:p w:rsidR="00D86226" w:rsidRDefault="00D86226" w:rsidP="00D86226">
            <w:pPr>
              <w:rPr>
                <w:szCs w:val="22"/>
              </w:rPr>
            </w:pPr>
            <w:r w:rsidRPr="008C3A00">
              <w:rPr>
                <w:szCs w:val="22"/>
                <w:lang w:bidi="ar-SA"/>
              </w:rPr>
              <w:t>It should be noted that a DHB’s number and rate of complaints can vary considerably from one six</w:t>
            </w:r>
            <w:r w:rsidR="00807FF4">
              <w:rPr>
                <w:szCs w:val="22"/>
                <w:lang w:bidi="ar-SA"/>
              </w:rPr>
              <w:t>-</w:t>
            </w:r>
            <w:r w:rsidRPr="008C3A00">
              <w:rPr>
                <w:szCs w:val="22"/>
                <w:lang w:bidi="ar-SA"/>
              </w:rPr>
              <w:t>month period to the next. Therefore, care should be taken before drawing conclusions on the basis of one six</w:t>
            </w:r>
            <w:r w:rsidR="00807FF4">
              <w:rPr>
                <w:szCs w:val="22"/>
                <w:lang w:bidi="ar-SA"/>
              </w:rPr>
              <w:t>-</w:t>
            </w:r>
            <w:r w:rsidRPr="008C3A00">
              <w:rPr>
                <w:szCs w:val="22"/>
                <w:lang w:bidi="ar-SA"/>
              </w:rPr>
              <w:t>month period. For smaller DHBs, a very small absolute increase or decrease in</w:t>
            </w:r>
            <w:r>
              <w:rPr>
                <w:szCs w:val="22"/>
                <w:lang w:bidi="ar-SA"/>
              </w:rPr>
              <w:t xml:space="preserve"> the</w:t>
            </w:r>
            <w:r w:rsidRPr="008C3A00">
              <w:rPr>
                <w:szCs w:val="22"/>
                <w:lang w:bidi="ar-SA"/>
              </w:rPr>
              <w:t xml:space="preserve"> number of complaints receiv</w:t>
            </w:r>
            <w:r>
              <w:rPr>
                <w:szCs w:val="22"/>
                <w:lang w:bidi="ar-SA"/>
              </w:rPr>
              <w:t>ed can dramatically affect the</w:t>
            </w:r>
            <w:r w:rsidRPr="008C3A00">
              <w:rPr>
                <w:szCs w:val="22"/>
                <w:lang w:bidi="ar-SA"/>
              </w:rPr>
              <w:t xml:space="preserve"> rate of complaints. </w:t>
            </w:r>
            <w:r>
              <w:rPr>
                <w:szCs w:val="22"/>
                <w:lang w:bidi="ar-SA"/>
              </w:rPr>
              <w:t xml:space="preserve">Accordingly, </w:t>
            </w:r>
            <w:r w:rsidRPr="008C3A00">
              <w:rPr>
                <w:szCs w:val="22"/>
              </w:rPr>
              <w:t>much of the value in this data lies in how it changes over time, as such analysis allows trends to emerg</w:t>
            </w:r>
            <w:r>
              <w:rPr>
                <w:szCs w:val="22"/>
              </w:rPr>
              <w:t xml:space="preserve">e </w:t>
            </w:r>
            <w:r w:rsidR="00807FF4">
              <w:rPr>
                <w:szCs w:val="22"/>
              </w:rPr>
              <w:t xml:space="preserve">that </w:t>
            </w:r>
            <w:r>
              <w:rPr>
                <w:szCs w:val="22"/>
              </w:rPr>
              <w:t>may point to areas that</w:t>
            </w:r>
            <w:r w:rsidRPr="008C3A00">
              <w:rPr>
                <w:szCs w:val="22"/>
              </w:rPr>
              <w:t xml:space="preserve"> require further attention.</w:t>
            </w:r>
          </w:p>
          <w:p w:rsidR="00D86226" w:rsidRDefault="00D86226" w:rsidP="00D86226">
            <w:pPr>
              <w:rPr>
                <w:szCs w:val="22"/>
              </w:rPr>
            </w:pPr>
          </w:p>
          <w:p w:rsidR="00D86226" w:rsidRPr="004A5036" w:rsidRDefault="00D86226" w:rsidP="005279B6">
            <w:pPr>
              <w:spacing w:after="120"/>
              <w:rPr>
                <w:szCs w:val="22"/>
                <w:lang w:bidi="ar-SA"/>
              </w:rPr>
            </w:pPr>
            <w:r w:rsidRPr="008C3A00">
              <w:rPr>
                <w:szCs w:val="22"/>
                <w:lang w:bidi="ar-SA"/>
              </w:rPr>
              <w:t>It is also important to note that numbers of complaints received by HDC is not always a good proxy for quality of care provided</w:t>
            </w:r>
            <w:r w:rsidR="00807FF4">
              <w:rPr>
                <w:szCs w:val="22"/>
                <w:lang w:bidi="ar-SA"/>
              </w:rPr>
              <w:t>,</w:t>
            </w:r>
            <w:r w:rsidRPr="008C3A00">
              <w:rPr>
                <w:szCs w:val="22"/>
                <w:lang w:bidi="ar-SA"/>
              </w:rPr>
              <w:t xml:space="preserve"> and may instead, for example, be an indicator of the effectiveness of a DHB’s complaint</w:t>
            </w:r>
            <w:r w:rsidR="00807FF4">
              <w:rPr>
                <w:szCs w:val="22"/>
                <w:lang w:bidi="ar-SA"/>
              </w:rPr>
              <w:t>s</w:t>
            </w:r>
            <w:r w:rsidRPr="008C3A00">
              <w:rPr>
                <w:szCs w:val="22"/>
                <w:lang w:bidi="ar-SA"/>
              </w:rPr>
              <w:t xml:space="preserve"> system or features of the </w:t>
            </w:r>
            <w:r w:rsidR="005279B6">
              <w:rPr>
                <w:szCs w:val="22"/>
                <w:lang w:bidi="ar-SA"/>
              </w:rPr>
              <w:t>services provided by a particular DHB</w:t>
            </w:r>
            <w:r w:rsidRPr="008C3A00">
              <w:rPr>
                <w:szCs w:val="22"/>
                <w:lang w:bidi="ar-SA"/>
              </w:rPr>
              <w:t>.  Additionally,</w:t>
            </w:r>
            <w:r>
              <w:rPr>
                <w:szCs w:val="22"/>
                <w:lang w:bidi="ar-SA"/>
              </w:rPr>
              <w:t xml:space="preserve"> complaints received within a single </w:t>
            </w:r>
            <w:r w:rsidR="00807FF4">
              <w:rPr>
                <w:szCs w:val="22"/>
                <w:lang w:bidi="ar-SA"/>
              </w:rPr>
              <w:t>six-</w:t>
            </w:r>
            <w:r>
              <w:rPr>
                <w:szCs w:val="22"/>
                <w:lang w:bidi="ar-SA"/>
              </w:rPr>
              <w:t>month period will sometimes relate to care provided within quite a different time period.</w:t>
            </w:r>
            <w:r w:rsidRPr="008C3A00">
              <w:rPr>
                <w:szCs w:val="22"/>
                <w:lang w:bidi="ar-SA"/>
              </w:rPr>
              <w:t xml:space="preserve"> </w:t>
            </w:r>
            <w:r>
              <w:rPr>
                <w:szCs w:val="22"/>
                <w:lang w:bidi="ar-SA"/>
              </w:rPr>
              <w:t>From time to time, s</w:t>
            </w:r>
            <w:r w:rsidRPr="008C3A00">
              <w:rPr>
                <w:szCs w:val="22"/>
                <w:lang w:bidi="ar-SA"/>
              </w:rPr>
              <w:t>ome DHBs may</w:t>
            </w:r>
            <w:r>
              <w:rPr>
                <w:szCs w:val="22"/>
                <w:lang w:bidi="ar-SA"/>
              </w:rPr>
              <w:t xml:space="preserve"> also</w:t>
            </w:r>
            <w:r w:rsidRPr="008C3A00">
              <w:rPr>
                <w:szCs w:val="22"/>
                <w:lang w:bidi="ar-SA"/>
              </w:rPr>
              <w:t xml:space="preserve"> be the subject of a number of complaints from a single complainant within one reporting period</w:t>
            </w:r>
            <w:r>
              <w:rPr>
                <w:szCs w:val="22"/>
                <w:lang w:bidi="ar-SA"/>
              </w:rPr>
              <w:t>. This is important context that is taken into account by DHBs when considering their own complaint patterns.</w:t>
            </w:r>
          </w:p>
        </w:tc>
      </w:tr>
    </w:tbl>
    <w:p w:rsidR="00D86226" w:rsidRDefault="00D86226" w:rsidP="00D86226">
      <w:pPr>
        <w:rPr>
          <w:lang w:bidi="ar-SA"/>
        </w:rPr>
      </w:pPr>
    </w:p>
    <w:p w:rsidR="00D86226" w:rsidRDefault="00D86226" w:rsidP="00D86226">
      <w:bookmarkStart w:id="43" w:name="_Toc426462630"/>
      <w:bookmarkStart w:id="44" w:name="_Toc443992225"/>
      <w:bookmarkStart w:id="45" w:name="_Toc445910049"/>
      <w:bookmarkStart w:id="46" w:name="_Toc447291333"/>
      <w:bookmarkStart w:id="47" w:name="_Toc447291471"/>
      <w:bookmarkStart w:id="48" w:name="_Toc447527528"/>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2F3702" w:rsidRPr="009E57B6" w:rsidRDefault="002F3702" w:rsidP="00D86226">
      <w:pPr>
        <w:rPr>
          <w:lang w:bidi="ar-SA"/>
        </w:rPr>
      </w:pPr>
    </w:p>
    <w:p w:rsidR="00D86226" w:rsidRDefault="00D86226" w:rsidP="00D86226">
      <w:pPr>
        <w:pStyle w:val="Heading2"/>
        <w:spacing w:before="120"/>
        <w:rPr>
          <w:lang w:val="en-NZ"/>
        </w:rPr>
      </w:pPr>
      <w:bookmarkStart w:id="49" w:name="_Toc493684126"/>
      <w:bookmarkStart w:id="50" w:name="_Toc516741372"/>
      <w:r>
        <w:rPr>
          <w:lang w:val="en-NZ"/>
        </w:rPr>
        <w:lastRenderedPageBreak/>
        <w:t>2.0</w:t>
      </w:r>
      <w:r>
        <w:rPr>
          <w:lang w:val="en-NZ"/>
        </w:rPr>
        <w:tab/>
        <w:t>Service types complained about</w:t>
      </w:r>
      <w:bookmarkEnd w:id="43"/>
      <w:bookmarkEnd w:id="44"/>
      <w:bookmarkEnd w:id="45"/>
      <w:bookmarkEnd w:id="46"/>
      <w:bookmarkEnd w:id="47"/>
      <w:bookmarkEnd w:id="48"/>
      <w:bookmarkEnd w:id="49"/>
      <w:bookmarkEnd w:id="50"/>
      <w:r>
        <w:rPr>
          <w:lang w:val="en-NZ"/>
        </w:rPr>
        <w:t xml:space="preserve"> </w:t>
      </w:r>
    </w:p>
    <w:p w:rsidR="00D86226" w:rsidRDefault="00D86226" w:rsidP="00D86226">
      <w:pPr>
        <w:pStyle w:val="Heading3"/>
      </w:pPr>
      <w:bookmarkStart w:id="51" w:name="_Toc426462631"/>
      <w:bookmarkStart w:id="52" w:name="_Toc443992226"/>
      <w:bookmarkStart w:id="53" w:name="_Toc445910050"/>
      <w:bookmarkStart w:id="54" w:name="_Toc447291334"/>
      <w:bookmarkStart w:id="55" w:name="_Toc447291472"/>
      <w:bookmarkStart w:id="56" w:name="_Toc447527529"/>
      <w:bookmarkStart w:id="57" w:name="_Toc493684127"/>
      <w:bookmarkStart w:id="58" w:name="_Toc516741373"/>
      <w:r>
        <w:t>2.1</w:t>
      </w:r>
      <w:r>
        <w:tab/>
        <w:t>Service type category</w:t>
      </w:r>
      <w:bookmarkEnd w:id="51"/>
      <w:bookmarkEnd w:id="52"/>
      <w:bookmarkEnd w:id="53"/>
      <w:bookmarkEnd w:id="54"/>
      <w:bookmarkEnd w:id="55"/>
      <w:bookmarkEnd w:id="56"/>
      <w:bookmarkEnd w:id="57"/>
      <w:bookmarkEnd w:id="58"/>
    </w:p>
    <w:p w:rsidR="00D86226" w:rsidRDefault="00D86226" w:rsidP="00D86226">
      <w:r>
        <w:t>Complaints to HDC are shown by service type in Table 5. Please note that some complaints involve more than one DHB and/or more than one hospital</w:t>
      </w:r>
      <w:r w:rsidR="00807FF4">
        <w:t>;</w:t>
      </w:r>
      <w:r>
        <w:t xml:space="preserve"> th</w:t>
      </w:r>
      <w:r w:rsidR="00F91634">
        <w:t>erefore, although there wer</w:t>
      </w:r>
      <w:r w:rsidR="00BB0A8A">
        <w:t>e 450 complaints about DHBs, 472</w:t>
      </w:r>
      <w:r>
        <w:t xml:space="preserve"> services were complained about.</w:t>
      </w:r>
    </w:p>
    <w:p w:rsidR="00E63765" w:rsidRDefault="00E63765" w:rsidP="00D86226"/>
    <w:p w:rsidR="00E63765" w:rsidRDefault="004F1231" w:rsidP="00E63765">
      <w:r>
        <w:t>Surgical services (31.4</w:t>
      </w:r>
      <w:r w:rsidR="00E63765">
        <w:t>%) received the grea</w:t>
      </w:r>
      <w:r w:rsidR="000D30A8">
        <w:t>test n</w:t>
      </w:r>
      <w:r>
        <w:t>umber of complaints in Jan</w:t>
      </w:r>
      <w:r w:rsidR="00807FF4">
        <w:t>–</w:t>
      </w:r>
      <w:r>
        <w:t>Jun 2018</w:t>
      </w:r>
      <w:r w:rsidR="000D30A8">
        <w:t>, with orthopaedics</w:t>
      </w:r>
      <w:r w:rsidR="00CF64A4">
        <w:t xml:space="preserve"> (8.1</w:t>
      </w:r>
      <w:r>
        <w:t>%)</w:t>
      </w:r>
      <w:r w:rsidR="000D30A8">
        <w:t xml:space="preserve"> and </w:t>
      </w:r>
      <w:r>
        <w:t>general surgery (7.4%</w:t>
      </w:r>
      <w:r w:rsidR="000D30A8">
        <w:t xml:space="preserve">) being the surgical specialties most commonly complained about. </w:t>
      </w:r>
      <w:r w:rsidR="00E63765">
        <w:t>Other commonly complained about servi</w:t>
      </w:r>
      <w:r>
        <w:t>ces included ment</w:t>
      </w:r>
      <w:r w:rsidR="00BB0A8A">
        <w:t>al health (21.2</w:t>
      </w:r>
      <w:r w:rsidR="00E63765">
        <w:t xml:space="preserve">%), </w:t>
      </w:r>
      <w:r w:rsidR="00BB0A8A">
        <w:t>general medicine (16.3</w:t>
      </w:r>
      <w:r w:rsidR="000D30A8">
        <w:t>%), emergency departments (</w:t>
      </w:r>
      <w:r w:rsidR="00BB0A8A">
        <w:t>10.6</w:t>
      </w:r>
      <w:r w:rsidR="000D30A8">
        <w:t>%) and maternity services (</w:t>
      </w:r>
      <w:r w:rsidR="00874A3E">
        <w:t>6.8</w:t>
      </w:r>
      <w:r w:rsidR="00E63765">
        <w:t>%). This is</w:t>
      </w:r>
      <w:r w:rsidR="000D30A8">
        <w:t xml:space="preserve"> broadly</w:t>
      </w:r>
      <w:r w:rsidR="00E63765">
        <w:t xml:space="preserve"> similar to what has been seen in previous periods. </w:t>
      </w:r>
    </w:p>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D86226" w:rsidRDefault="00D86226" w:rsidP="00D86226">
      <w:pPr>
        <w:spacing w:after="120"/>
        <w:rPr>
          <w:b/>
        </w:rPr>
      </w:pPr>
      <w:proofErr w:type="gramStart"/>
      <w:r>
        <w:rPr>
          <w:b/>
        </w:rPr>
        <w:lastRenderedPageBreak/>
        <w:t>Table 5.</w:t>
      </w:r>
      <w:proofErr w:type="gramEnd"/>
      <w:r>
        <w:rPr>
          <w:b/>
        </w:rPr>
        <w:t xml:space="preserve"> </w:t>
      </w:r>
      <w:r>
        <w:t>Service types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1985"/>
      </w:tblGrid>
      <w:tr w:rsidR="00D86226" w:rsidTr="00D86226">
        <w:trPr>
          <w:trHeight w:val="467"/>
          <w:tblHeader/>
        </w:trPr>
        <w:tc>
          <w:tcPr>
            <w:tcW w:w="4678" w:type="dxa"/>
            <w:tcBorders>
              <w:top w:val="single" w:sz="4" w:space="0" w:color="auto"/>
              <w:left w:val="single" w:sz="4" w:space="0" w:color="auto"/>
              <w:bottom w:val="single" w:sz="4" w:space="0" w:color="auto"/>
              <w:right w:val="single" w:sz="4" w:space="0" w:color="auto"/>
            </w:tcBorders>
            <w:hideMark/>
          </w:tcPr>
          <w:p w:rsidR="00D86226" w:rsidRDefault="00D86226" w:rsidP="00D86226">
            <w:pPr>
              <w:tabs>
                <w:tab w:val="left" w:pos="1440"/>
                <w:tab w:val="decimal" w:pos="4320"/>
              </w:tabs>
              <w:spacing w:before="120" w:after="120"/>
              <w:jc w:val="center"/>
              <w:outlineLvl w:val="0"/>
              <w:rPr>
                <w:rFonts w:ascii="Calibri" w:hAnsi="Calibri"/>
                <w:b/>
                <w:szCs w:val="22"/>
                <w:vertAlign w:val="superscript"/>
              </w:rPr>
            </w:pPr>
            <w:r>
              <w:rPr>
                <w:rFonts w:ascii="Calibri" w:hAnsi="Calibri"/>
                <w:b/>
                <w:szCs w:val="22"/>
              </w:rPr>
              <w:t>Service type</w:t>
            </w:r>
          </w:p>
        </w:tc>
        <w:tc>
          <w:tcPr>
            <w:tcW w:w="2268" w:type="dxa"/>
            <w:tcBorders>
              <w:top w:val="single" w:sz="4" w:space="0" w:color="auto"/>
              <w:left w:val="single" w:sz="4" w:space="0" w:color="auto"/>
              <w:bottom w:val="single" w:sz="4" w:space="0" w:color="auto"/>
              <w:right w:val="single" w:sz="4" w:space="0" w:color="auto"/>
            </w:tcBorders>
            <w:hideMark/>
          </w:tcPr>
          <w:p w:rsidR="00D86226" w:rsidRDefault="00D86226" w:rsidP="00D86226">
            <w:pPr>
              <w:tabs>
                <w:tab w:val="left" w:pos="1440"/>
                <w:tab w:val="decimal" w:pos="4320"/>
              </w:tabs>
              <w:spacing w:before="120" w:after="120"/>
              <w:jc w:val="center"/>
              <w:outlineLvl w:val="0"/>
              <w:rPr>
                <w:rFonts w:ascii="Calibri" w:hAnsi="Calibri"/>
                <w:b/>
                <w:szCs w:val="22"/>
              </w:rPr>
            </w:pPr>
            <w:r>
              <w:rPr>
                <w:rFonts w:ascii="Calibri" w:hAnsi="Calibri"/>
                <w:b/>
                <w:szCs w:val="22"/>
              </w:rPr>
              <w:t>Number of complaints</w:t>
            </w:r>
          </w:p>
        </w:tc>
        <w:tc>
          <w:tcPr>
            <w:tcW w:w="1985" w:type="dxa"/>
            <w:tcBorders>
              <w:top w:val="single" w:sz="4" w:space="0" w:color="auto"/>
              <w:left w:val="single" w:sz="4" w:space="0" w:color="auto"/>
              <w:bottom w:val="single" w:sz="4" w:space="0" w:color="auto"/>
              <w:right w:val="single" w:sz="4" w:space="0" w:color="auto"/>
            </w:tcBorders>
            <w:hideMark/>
          </w:tcPr>
          <w:p w:rsidR="00D86226" w:rsidRDefault="00D86226" w:rsidP="00D86226">
            <w:pPr>
              <w:tabs>
                <w:tab w:val="left" w:pos="1440"/>
                <w:tab w:val="decimal" w:pos="4320"/>
              </w:tabs>
              <w:spacing w:before="120" w:after="120"/>
              <w:jc w:val="center"/>
              <w:outlineLvl w:val="0"/>
              <w:rPr>
                <w:rFonts w:ascii="Calibri" w:hAnsi="Calibri"/>
                <w:b/>
                <w:szCs w:val="22"/>
              </w:rPr>
            </w:pPr>
            <w:r>
              <w:rPr>
                <w:rFonts w:ascii="Calibri" w:hAnsi="Calibri"/>
                <w:b/>
                <w:szCs w:val="22"/>
              </w:rPr>
              <w:t>Percentage</w:t>
            </w:r>
          </w:p>
        </w:tc>
      </w:tr>
      <w:tr w:rsidR="00D86226" w:rsidTr="00D86226">
        <w:trPr>
          <w:trHeight w:val="252"/>
        </w:trPr>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086744" w:rsidP="00D86226">
            <w:pPr>
              <w:rPr>
                <w:rFonts w:ascii="Calibri" w:hAnsi="Calibri" w:cs="Calibri"/>
                <w:b/>
                <w:color w:val="000000"/>
                <w:szCs w:val="22"/>
              </w:rPr>
            </w:pPr>
            <w:r>
              <w:rPr>
                <w:rFonts w:ascii="Calibri" w:hAnsi="Calibri" w:cs="Calibri"/>
                <w:b/>
                <w:color w:val="000000"/>
                <w:szCs w:val="22"/>
              </w:rPr>
              <w:t>Aged care</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Default="00F91634" w:rsidP="00D86226">
            <w:pPr>
              <w:jc w:val="center"/>
              <w:rPr>
                <w:rFonts w:ascii="Calibri" w:hAnsi="Calibri"/>
                <w:b/>
                <w:color w:val="000000"/>
                <w:szCs w:val="22"/>
              </w:rPr>
            </w:pPr>
            <w:r>
              <w:rPr>
                <w:rFonts w:ascii="Calibri" w:hAnsi="Calibri"/>
                <w:b/>
                <w:color w:val="000000"/>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4668E4" w:rsidP="00D86226">
            <w:pPr>
              <w:jc w:val="center"/>
              <w:rPr>
                <w:rFonts w:ascii="Calibri" w:hAnsi="Calibri"/>
                <w:b/>
                <w:color w:val="000000"/>
                <w:szCs w:val="22"/>
              </w:rPr>
            </w:pPr>
            <w:r>
              <w:rPr>
                <w:rFonts w:ascii="Calibri" w:hAnsi="Calibri"/>
                <w:b/>
                <w:color w:val="000000"/>
                <w:szCs w:val="22"/>
              </w:rPr>
              <w:t>0.4%</w:t>
            </w:r>
          </w:p>
        </w:tc>
      </w:tr>
      <w:tr w:rsidR="00181890" w:rsidTr="00D86226">
        <w:trPr>
          <w:trHeight w:val="255"/>
        </w:trPr>
        <w:tc>
          <w:tcPr>
            <w:tcW w:w="4678" w:type="dxa"/>
            <w:tcBorders>
              <w:top w:val="single" w:sz="4" w:space="0" w:color="auto"/>
              <w:left w:val="single" w:sz="4" w:space="0" w:color="auto"/>
              <w:bottom w:val="single" w:sz="4" w:space="0" w:color="auto"/>
              <w:right w:val="single" w:sz="4" w:space="0" w:color="auto"/>
            </w:tcBorders>
            <w:vAlign w:val="bottom"/>
          </w:tcPr>
          <w:p w:rsidR="00181890" w:rsidRDefault="00181890" w:rsidP="00D86226">
            <w:pPr>
              <w:rPr>
                <w:rFonts w:ascii="Calibri" w:hAnsi="Calibri" w:cs="Calibri"/>
                <w:b/>
                <w:color w:val="000000"/>
                <w:szCs w:val="22"/>
              </w:rPr>
            </w:pPr>
            <w:r>
              <w:rPr>
                <w:rFonts w:ascii="Calibri" w:hAnsi="Calibri" w:cs="Calibri"/>
                <w:b/>
                <w:color w:val="000000"/>
                <w:szCs w:val="22"/>
              </w:rPr>
              <w:t>Alcohol and drug</w:t>
            </w:r>
          </w:p>
        </w:tc>
        <w:tc>
          <w:tcPr>
            <w:tcW w:w="2268" w:type="dxa"/>
            <w:tcBorders>
              <w:top w:val="single" w:sz="4" w:space="0" w:color="auto"/>
              <w:left w:val="single" w:sz="4" w:space="0" w:color="auto"/>
              <w:bottom w:val="single" w:sz="4" w:space="0" w:color="auto"/>
              <w:right w:val="single" w:sz="4" w:space="0" w:color="auto"/>
            </w:tcBorders>
            <w:vAlign w:val="center"/>
          </w:tcPr>
          <w:p w:rsidR="00181890" w:rsidRDefault="00F91634" w:rsidP="00D86226">
            <w:pPr>
              <w:jc w:val="center"/>
              <w:rPr>
                <w:rFonts w:ascii="Calibri" w:hAnsi="Calibri"/>
                <w:b/>
                <w:color w:val="000000"/>
                <w:szCs w:val="22"/>
              </w:rPr>
            </w:pPr>
            <w:r>
              <w:rPr>
                <w:rFonts w:ascii="Calibri" w:hAnsi="Calibri"/>
                <w:b/>
                <w:color w:val="000000"/>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181890" w:rsidRDefault="004668E4" w:rsidP="00D86226">
            <w:pPr>
              <w:jc w:val="center"/>
              <w:rPr>
                <w:rFonts w:ascii="Calibri" w:hAnsi="Calibri"/>
                <w:b/>
                <w:color w:val="000000"/>
                <w:szCs w:val="22"/>
              </w:rPr>
            </w:pPr>
            <w:r>
              <w:rPr>
                <w:rFonts w:ascii="Calibri" w:hAnsi="Calibri"/>
                <w:b/>
                <w:color w:val="000000"/>
                <w:szCs w:val="22"/>
              </w:rPr>
              <w:t>0.6%</w:t>
            </w:r>
          </w:p>
        </w:tc>
      </w:tr>
      <w:tr w:rsidR="00D86226" w:rsidTr="00D86226">
        <w:trPr>
          <w:trHeight w:val="255"/>
        </w:trPr>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ascii="Calibri" w:hAnsi="Calibri" w:cs="Calibri"/>
                <w:b/>
                <w:color w:val="000000"/>
                <w:szCs w:val="22"/>
              </w:rPr>
            </w:pPr>
            <w:r>
              <w:rPr>
                <w:rFonts w:ascii="Calibri" w:hAnsi="Calibri" w:cs="Calibri"/>
                <w:b/>
                <w:color w:val="000000"/>
                <w:szCs w:val="22"/>
              </w:rPr>
              <w:t>Anaesthetics/pain medicine</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Default="00F91634" w:rsidP="00D86226">
            <w:pPr>
              <w:jc w:val="center"/>
              <w:rPr>
                <w:rFonts w:ascii="Calibri" w:hAnsi="Calibri"/>
                <w:b/>
                <w:color w:val="000000"/>
                <w:szCs w:val="22"/>
              </w:rPr>
            </w:pPr>
            <w:r>
              <w:rPr>
                <w:rFonts w:ascii="Calibri" w:hAnsi="Calibri"/>
                <w:b/>
                <w:color w:val="000000"/>
                <w:szCs w:val="22"/>
              </w:rPr>
              <w:t>4</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4668E4" w:rsidP="00D86226">
            <w:pPr>
              <w:jc w:val="center"/>
              <w:rPr>
                <w:rFonts w:ascii="Calibri" w:hAnsi="Calibri"/>
                <w:b/>
                <w:color w:val="000000"/>
                <w:szCs w:val="22"/>
              </w:rPr>
            </w:pPr>
            <w:r>
              <w:rPr>
                <w:rFonts w:ascii="Calibri" w:hAnsi="Calibri"/>
                <w:b/>
                <w:color w:val="000000"/>
                <w:szCs w:val="22"/>
              </w:rPr>
              <w:t>0.8%</w:t>
            </w:r>
          </w:p>
        </w:tc>
      </w:tr>
      <w:tr w:rsidR="00D86226" w:rsidTr="00D86226">
        <w:trPr>
          <w:trHeight w:val="274"/>
        </w:trPr>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ascii="Calibri" w:hAnsi="Calibri" w:cs="Calibri"/>
                <w:b/>
                <w:color w:val="000000"/>
                <w:szCs w:val="22"/>
              </w:rPr>
            </w:pPr>
            <w:r>
              <w:rPr>
                <w:rFonts w:ascii="Calibri" w:hAnsi="Calibri" w:cs="Calibri"/>
                <w:b/>
                <w:color w:val="000000"/>
                <w:szCs w:val="22"/>
              </w:rPr>
              <w:t xml:space="preserve">Dental </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Default="00F91634" w:rsidP="00D86226">
            <w:pPr>
              <w:jc w:val="center"/>
              <w:rPr>
                <w:rFonts w:ascii="Calibri" w:hAnsi="Calibri"/>
                <w:b/>
                <w:color w:val="000000"/>
                <w:szCs w:val="22"/>
              </w:rPr>
            </w:pPr>
            <w:r>
              <w:rPr>
                <w:rFonts w:ascii="Calibri" w:hAnsi="Calibri"/>
                <w:b/>
                <w:color w:val="000000"/>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4668E4" w:rsidP="00D86226">
            <w:pPr>
              <w:jc w:val="center"/>
              <w:rPr>
                <w:rFonts w:ascii="Calibri" w:hAnsi="Calibri"/>
                <w:b/>
                <w:color w:val="000000"/>
                <w:szCs w:val="22"/>
              </w:rPr>
            </w:pPr>
            <w:r>
              <w:rPr>
                <w:rFonts w:ascii="Calibri" w:hAnsi="Calibri"/>
                <w:b/>
                <w:color w:val="000000"/>
                <w:szCs w:val="22"/>
              </w:rPr>
              <w:t>0.6%</w:t>
            </w:r>
          </w:p>
        </w:tc>
      </w:tr>
      <w:tr w:rsidR="00D86226" w:rsidTr="00D86226">
        <w:trPr>
          <w:trHeight w:val="263"/>
        </w:trPr>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cs="Arial"/>
                <w:b/>
                <w:szCs w:val="22"/>
              </w:rPr>
            </w:pPr>
            <w:r>
              <w:rPr>
                <w:rFonts w:cs="Arial"/>
                <w:b/>
                <w:szCs w:val="22"/>
              </w:rPr>
              <w:t>Diagnostics</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Default="00F91634" w:rsidP="00D86226">
            <w:pPr>
              <w:jc w:val="center"/>
              <w:rPr>
                <w:rFonts w:ascii="Calibri" w:hAnsi="Calibri"/>
                <w:b/>
                <w:color w:val="000000"/>
                <w:szCs w:val="22"/>
              </w:rPr>
            </w:pPr>
            <w:r>
              <w:rPr>
                <w:rFonts w:ascii="Calibri" w:hAnsi="Calibri"/>
                <w:b/>
                <w:color w:val="000000"/>
                <w:szCs w:val="22"/>
              </w:rPr>
              <w:t>16</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4668E4" w:rsidP="00D86226">
            <w:pPr>
              <w:jc w:val="center"/>
              <w:rPr>
                <w:rFonts w:ascii="Calibri" w:hAnsi="Calibri"/>
                <w:b/>
                <w:color w:val="000000"/>
                <w:szCs w:val="22"/>
              </w:rPr>
            </w:pPr>
            <w:r>
              <w:rPr>
                <w:rFonts w:ascii="Calibri" w:hAnsi="Calibri"/>
                <w:b/>
                <w:color w:val="000000"/>
                <w:szCs w:val="22"/>
              </w:rPr>
              <w:t>3.</w:t>
            </w:r>
            <w:r w:rsidR="00127F7C">
              <w:rPr>
                <w:rFonts w:ascii="Calibri" w:hAnsi="Calibri"/>
                <w:b/>
                <w:color w:val="000000"/>
                <w:szCs w:val="22"/>
              </w:rPr>
              <w:t>4%</w:t>
            </w:r>
          </w:p>
        </w:tc>
      </w:tr>
      <w:tr w:rsidR="00D86226" w:rsidTr="00D86226">
        <w:trPr>
          <w:trHeight w:val="282"/>
        </w:trPr>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cs="Arial"/>
                <w:b/>
                <w:szCs w:val="22"/>
              </w:rPr>
            </w:pPr>
            <w:r>
              <w:rPr>
                <w:rFonts w:cs="Arial"/>
                <w:b/>
                <w:szCs w:val="22"/>
              </w:rPr>
              <w:t>Disability services</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Default="00F91634" w:rsidP="00D86226">
            <w:pPr>
              <w:jc w:val="center"/>
              <w:rPr>
                <w:rFonts w:ascii="Calibri" w:hAnsi="Calibri"/>
                <w:b/>
                <w:color w:val="000000"/>
                <w:szCs w:val="22"/>
              </w:rPr>
            </w:pPr>
            <w:r>
              <w:rPr>
                <w:rFonts w:ascii="Calibri" w:hAnsi="Calibri"/>
                <w:b/>
                <w:color w:val="000000"/>
                <w:szCs w:val="22"/>
              </w:rPr>
              <w:t>8</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127F7C" w:rsidP="00D86226">
            <w:pPr>
              <w:jc w:val="center"/>
              <w:rPr>
                <w:rFonts w:ascii="Calibri" w:hAnsi="Calibri"/>
                <w:b/>
                <w:color w:val="000000"/>
                <w:szCs w:val="22"/>
              </w:rPr>
            </w:pPr>
            <w:r>
              <w:rPr>
                <w:rFonts w:ascii="Calibri" w:hAnsi="Calibri"/>
                <w:b/>
                <w:color w:val="000000"/>
                <w:szCs w:val="22"/>
              </w:rPr>
              <w:t>1.7%</w:t>
            </w:r>
          </w:p>
        </w:tc>
      </w:tr>
      <w:tr w:rsidR="00D86226" w:rsidTr="00D86226">
        <w:trPr>
          <w:trHeight w:val="257"/>
        </w:trPr>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cs="Arial"/>
                <w:b/>
                <w:szCs w:val="22"/>
              </w:rPr>
            </w:pPr>
            <w:r>
              <w:rPr>
                <w:rFonts w:cs="Arial"/>
                <w:b/>
                <w:szCs w:val="22"/>
              </w:rPr>
              <w:t xml:space="preserve">District nursing </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Default="00F91634" w:rsidP="00D86226">
            <w:pPr>
              <w:jc w:val="center"/>
              <w:rPr>
                <w:rFonts w:ascii="Calibri" w:hAnsi="Calibri"/>
                <w:b/>
                <w:color w:val="000000"/>
                <w:szCs w:val="22"/>
              </w:rPr>
            </w:pPr>
            <w:r>
              <w:rPr>
                <w:rFonts w:ascii="Calibri" w:hAnsi="Calibri"/>
                <w:b/>
                <w:color w:val="000000"/>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127F7C" w:rsidP="00D86226">
            <w:pPr>
              <w:jc w:val="center"/>
              <w:rPr>
                <w:rFonts w:ascii="Calibri" w:hAnsi="Calibri"/>
                <w:b/>
                <w:color w:val="000000"/>
                <w:szCs w:val="22"/>
              </w:rPr>
            </w:pPr>
            <w:r>
              <w:rPr>
                <w:rFonts w:ascii="Calibri" w:hAnsi="Calibri"/>
                <w:b/>
                <w:color w:val="000000"/>
                <w:szCs w:val="22"/>
              </w:rPr>
              <w:t>0.6%</w:t>
            </w:r>
          </w:p>
        </w:tc>
      </w:tr>
      <w:tr w:rsidR="00D86226" w:rsidTr="00D86226">
        <w:trPr>
          <w:trHeight w:val="262"/>
        </w:trPr>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jc w:val="left"/>
              <w:rPr>
                <w:rFonts w:ascii="Calibri" w:hAnsi="Calibri" w:cs="Calibri"/>
                <w:b/>
                <w:color w:val="000000"/>
                <w:szCs w:val="22"/>
              </w:rPr>
            </w:pPr>
            <w:r>
              <w:rPr>
                <w:rFonts w:ascii="Calibri" w:hAnsi="Calibri" w:cs="Calibri"/>
                <w:b/>
                <w:color w:val="000000"/>
                <w:szCs w:val="22"/>
              </w:rPr>
              <w:t xml:space="preserve">Emergency department </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Default="00F91634" w:rsidP="00D86226">
            <w:pPr>
              <w:jc w:val="center"/>
              <w:rPr>
                <w:rFonts w:ascii="Calibri" w:hAnsi="Calibri"/>
                <w:b/>
                <w:color w:val="000000"/>
                <w:szCs w:val="22"/>
              </w:rPr>
            </w:pPr>
            <w:r>
              <w:rPr>
                <w:rFonts w:ascii="Calibri" w:hAnsi="Calibri"/>
                <w:b/>
                <w:color w:val="000000"/>
                <w:szCs w:val="22"/>
              </w:rPr>
              <w:t>50</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BB0A8A" w:rsidP="00D86226">
            <w:pPr>
              <w:jc w:val="center"/>
              <w:rPr>
                <w:rFonts w:ascii="Calibri" w:hAnsi="Calibri"/>
                <w:b/>
                <w:color w:val="000000"/>
                <w:szCs w:val="22"/>
              </w:rPr>
            </w:pPr>
            <w:r>
              <w:rPr>
                <w:rFonts w:ascii="Calibri" w:hAnsi="Calibri"/>
                <w:b/>
                <w:color w:val="000000"/>
                <w:szCs w:val="22"/>
              </w:rPr>
              <w:t>10.6</w:t>
            </w:r>
            <w:r w:rsidR="00127F7C">
              <w:rPr>
                <w:rFonts w:ascii="Calibri" w:hAnsi="Calibri"/>
                <w:b/>
                <w:color w:val="000000"/>
                <w:szCs w:val="22"/>
              </w:rPr>
              <w:t>%</w:t>
            </w:r>
          </w:p>
        </w:tc>
      </w:tr>
      <w:tr w:rsidR="00D86226" w:rsidTr="00D86226">
        <w:trPr>
          <w:trHeight w:val="337"/>
        </w:trPr>
        <w:tc>
          <w:tcPr>
            <w:tcW w:w="4678" w:type="dxa"/>
            <w:tcBorders>
              <w:top w:val="single" w:sz="4" w:space="0" w:color="auto"/>
              <w:left w:val="single" w:sz="4" w:space="0" w:color="auto"/>
              <w:bottom w:val="single" w:sz="4" w:space="0" w:color="auto"/>
              <w:right w:val="single" w:sz="4" w:space="0" w:color="auto"/>
            </w:tcBorders>
            <w:hideMark/>
          </w:tcPr>
          <w:p w:rsidR="00D86226" w:rsidRDefault="00D86226" w:rsidP="00D86226">
            <w:pPr>
              <w:jc w:val="left"/>
              <w:rPr>
                <w:rFonts w:ascii="Calibri" w:hAnsi="Calibri" w:cs="Calibri"/>
                <w:b/>
                <w:color w:val="000000"/>
                <w:szCs w:val="22"/>
              </w:rPr>
            </w:pPr>
            <w:r>
              <w:rPr>
                <w:rFonts w:ascii="Calibri" w:hAnsi="Calibri" w:cs="Calibri"/>
                <w:b/>
                <w:color w:val="000000"/>
                <w:szCs w:val="22"/>
              </w:rPr>
              <w:t>General medicine</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Cardiology</w:t>
            </w:r>
          </w:p>
          <w:p w:rsidR="00F91634" w:rsidRDefault="00F91634" w:rsidP="00D86226">
            <w:pPr>
              <w:jc w:val="left"/>
              <w:rPr>
                <w:rFonts w:ascii="Calibri" w:hAnsi="Calibri" w:cs="Calibri"/>
                <w:color w:val="000000"/>
                <w:szCs w:val="22"/>
              </w:rPr>
            </w:pPr>
            <w:r>
              <w:rPr>
                <w:rFonts w:ascii="Calibri" w:hAnsi="Calibri" w:cs="Calibri"/>
                <w:color w:val="000000"/>
                <w:szCs w:val="22"/>
              </w:rPr>
              <w:t xml:space="preserve">  Dermatology</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Endocrinology</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Gastroenterology</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Geriatric medicine</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Haematology</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Infectious diseases</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Neurology</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Oncology</w:t>
            </w:r>
          </w:p>
          <w:p w:rsidR="00181890" w:rsidRDefault="00181890" w:rsidP="00D86226">
            <w:pPr>
              <w:jc w:val="left"/>
              <w:rPr>
                <w:rFonts w:ascii="Calibri" w:hAnsi="Calibri" w:cs="Calibri"/>
                <w:color w:val="000000"/>
                <w:szCs w:val="22"/>
              </w:rPr>
            </w:pPr>
            <w:r>
              <w:rPr>
                <w:rFonts w:ascii="Calibri" w:hAnsi="Calibri" w:cs="Calibri"/>
                <w:color w:val="000000"/>
                <w:szCs w:val="22"/>
              </w:rPr>
              <w:t xml:space="preserve">  Palliative care</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Renal/nephrology</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Respiratory</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Rheumatology</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Other/unspecified</w:t>
            </w:r>
          </w:p>
        </w:tc>
        <w:tc>
          <w:tcPr>
            <w:tcW w:w="2268" w:type="dxa"/>
            <w:tcBorders>
              <w:top w:val="single" w:sz="4" w:space="0" w:color="auto"/>
              <w:left w:val="single" w:sz="4" w:space="0" w:color="auto"/>
              <w:bottom w:val="single" w:sz="4" w:space="0" w:color="auto"/>
              <w:right w:val="single" w:sz="4" w:space="0" w:color="auto"/>
            </w:tcBorders>
          </w:tcPr>
          <w:p w:rsidR="00E63765" w:rsidRPr="00F91634" w:rsidRDefault="00F91634" w:rsidP="00D86226">
            <w:pPr>
              <w:jc w:val="center"/>
              <w:rPr>
                <w:rFonts w:ascii="Calibri" w:hAnsi="Calibri"/>
                <w:b/>
                <w:color w:val="000000"/>
                <w:szCs w:val="22"/>
              </w:rPr>
            </w:pPr>
            <w:r w:rsidRPr="00F91634">
              <w:rPr>
                <w:rFonts w:ascii="Calibri" w:hAnsi="Calibri"/>
                <w:b/>
                <w:color w:val="000000"/>
                <w:szCs w:val="22"/>
              </w:rPr>
              <w:t>77</w:t>
            </w:r>
          </w:p>
          <w:p w:rsidR="00F91634" w:rsidRDefault="00F91634" w:rsidP="00D86226">
            <w:pPr>
              <w:jc w:val="center"/>
              <w:rPr>
                <w:rFonts w:ascii="Calibri" w:hAnsi="Calibri"/>
                <w:color w:val="000000"/>
                <w:szCs w:val="22"/>
              </w:rPr>
            </w:pPr>
            <w:r>
              <w:rPr>
                <w:rFonts w:ascii="Calibri" w:hAnsi="Calibri"/>
                <w:color w:val="000000"/>
                <w:szCs w:val="22"/>
              </w:rPr>
              <w:t>8</w:t>
            </w:r>
          </w:p>
          <w:p w:rsidR="00F91634" w:rsidRDefault="00F91634" w:rsidP="00D86226">
            <w:pPr>
              <w:jc w:val="center"/>
              <w:rPr>
                <w:rFonts w:ascii="Calibri" w:hAnsi="Calibri"/>
                <w:color w:val="000000"/>
                <w:szCs w:val="22"/>
              </w:rPr>
            </w:pPr>
            <w:r>
              <w:rPr>
                <w:rFonts w:ascii="Calibri" w:hAnsi="Calibri"/>
                <w:color w:val="000000"/>
                <w:szCs w:val="22"/>
              </w:rPr>
              <w:t>1</w:t>
            </w:r>
          </w:p>
          <w:p w:rsidR="00F91634" w:rsidRDefault="00F91634" w:rsidP="00D86226">
            <w:pPr>
              <w:jc w:val="center"/>
              <w:rPr>
                <w:rFonts w:ascii="Calibri" w:hAnsi="Calibri"/>
                <w:color w:val="000000"/>
                <w:szCs w:val="22"/>
              </w:rPr>
            </w:pPr>
            <w:r>
              <w:rPr>
                <w:rFonts w:ascii="Calibri" w:hAnsi="Calibri"/>
                <w:color w:val="000000"/>
                <w:szCs w:val="22"/>
              </w:rPr>
              <w:t>4</w:t>
            </w:r>
          </w:p>
          <w:p w:rsidR="00F91634" w:rsidRDefault="00F91634" w:rsidP="00D86226">
            <w:pPr>
              <w:jc w:val="center"/>
              <w:rPr>
                <w:rFonts w:ascii="Calibri" w:hAnsi="Calibri"/>
                <w:color w:val="000000"/>
                <w:szCs w:val="22"/>
              </w:rPr>
            </w:pPr>
            <w:r>
              <w:rPr>
                <w:rFonts w:ascii="Calibri" w:hAnsi="Calibri"/>
                <w:color w:val="000000"/>
                <w:szCs w:val="22"/>
              </w:rPr>
              <w:t>7</w:t>
            </w:r>
          </w:p>
          <w:p w:rsidR="00F91634" w:rsidRDefault="00F91634" w:rsidP="00D86226">
            <w:pPr>
              <w:jc w:val="center"/>
              <w:rPr>
                <w:rFonts w:ascii="Calibri" w:hAnsi="Calibri"/>
                <w:color w:val="000000"/>
                <w:szCs w:val="22"/>
              </w:rPr>
            </w:pPr>
            <w:r>
              <w:rPr>
                <w:rFonts w:ascii="Calibri" w:hAnsi="Calibri"/>
                <w:color w:val="000000"/>
                <w:szCs w:val="22"/>
              </w:rPr>
              <w:t>9</w:t>
            </w:r>
          </w:p>
          <w:p w:rsidR="00F91634" w:rsidRDefault="00F91634" w:rsidP="00D86226">
            <w:pPr>
              <w:jc w:val="center"/>
              <w:rPr>
                <w:rFonts w:ascii="Calibri" w:hAnsi="Calibri"/>
                <w:color w:val="000000"/>
                <w:szCs w:val="22"/>
              </w:rPr>
            </w:pPr>
            <w:r>
              <w:rPr>
                <w:rFonts w:ascii="Calibri" w:hAnsi="Calibri"/>
                <w:color w:val="000000"/>
                <w:szCs w:val="22"/>
              </w:rPr>
              <w:t>1</w:t>
            </w:r>
          </w:p>
          <w:p w:rsidR="00F91634" w:rsidRDefault="00F91634" w:rsidP="00D86226">
            <w:pPr>
              <w:jc w:val="center"/>
              <w:rPr>
                <w:rFonts w:ascii="Calibri" w:hAnsi="Calibri"/>
                <w:color w:val="000000"/>
                <w:szCs w:val="22"/>
              </w:rPr>
            </w:pPr>
            <w:r>
              <w:rPr>
                <w:rFonts w:ascii="Calibri" w:hAnsi="Calibri"/>
                <w:color w:val="000000"/>
                <w:szCs w:val="22"/>
              </w:rPr>
              <w:t>2</w:t>
            </w:r>
          </w:p>
          <w:p w:rsidR="00F91634" w:rsidRDefault="00F91634" w:rsidP="00D86226">
            <w:pPr>
              <w:jc w:val="center"/>
              <w:rPr>
                <w:rFonts w:ascii="Calibri" w:hAnsi="Calibri"/>
                <w:color w:val="000000"/>
                <w:szCs w:val="22"/>
              </w:rPr>
            </w:pPr>
            <w:r>
              <w:rPr>
                <w:rFonts w:ascii="Calibri" w:hAnsi="Calibri"/>
                <w:color w:val="000000"/>
                <w:szCs w:val="22"/>
              </w:rPr>
              <w:t>9</w:t>
            </w:r>
          </w:p>
          <w:p w:rsidR="00F91634" w:rsidRDefault="00F91634" w:rsidP="00D86226">
            <w:pPr>
              <w:jc w:val="center"/>
              <w:rPr>
                <w:rFonts w:ascii="Calibri" w:hAnsi="Calibri"/>
                <w:color w:val="000000"/>
                <w:szCs w:val="22"/>
              </w:rPr>
            </w:pPr>
            <w:r>
              <w:rPr>
                <w:rFonts w:ascii="Calibri" w:hAnsi="Calibri"/>
                <w:color w:val="000000"/>
                <w:szCs w:val="22"/>
              </w:rPr>
              <w:t>7</w:t>
            </w:r>
          </w:p>
          <w:p w:rsidR="00F91634" w:rsidRDefault="00F91634" w:rsidP="00D86226">
            <w:pPr>
              <w:jc w:val="center"/>
              <w:rPr>
                <w:rFonts w:ascii="Calibri" w:hAnsi="Calibri"/>
                <w:color w:val="000000"/>
                <w:szCs w:val="22"/>
              </w:rPr>
            </w:pPr>
            <w:r>
              <w:rPr>
                <w:rFonts w:ascii="Calibri" w:hAnsi="Calibri"/>
                <w:color w:val="000000"/>
                <w:szCs w:val="22"/>
              </w:rPr>
              <w:t>1</w:t>
            </w:r>
          </w:p>
          <w:p w:rsidR="00F91634" w:rsidRDefault="00F91634" w:rsidP="00D86226">
            <w:pPr>
              <w:jc w:val="center"/>
              <w:rPr>
                <w:rFonts w:ascii="Calibri" w:hAnsi="Calibri"/>
                <w:color w:val="000000"/>
                <w:szCs w:val="22"/>
              </w:rPr>
            </w:pPr>
            <w:r>
              <w:rPr>
                <w:rFonts w:ascii="Calibri" w:hAnsi="Calibri"/>
                <w:color w:val="000000"/>
                <w:szCs w:val="22"/>
              </w:rPr>
              <w:t>2</w:t>
            </w:r>
          </w:p>
          <w:p w:rsidR="00F91634" w:rsidRDefault="00F91634" w:rsidP="00D86226">
            <w:pPr>
              <w:jc w:val="center"/>
              <w:rPr>
                <w:rFonts w:ascii="Calibri" w:hAnsi="Calibri"/>
                <w:color w:val="000000"/>
                <w:szCs w:val="22"/>
              </w:rPr>
            </w:pPr>
            <w:r>
              <w:rPr>
                <w:rFonts w:ascii="Calibri" w:hAnsi="Calibri"/>
                <w:color w:val="000000"/>
                <w:szCs w:val="22"/>
              </w:rPr>
              <w:t>6</w:t>
            </w:r>
          </w:p>
          <w:p w:rsidR="00F91634" w:rsidRDefault="00F91634" w:rsidP="00D86226">
            <w:pPr>
              <w:jc w:val="center"/>
              <w:rPr>
                <w:rFonts w:ascii="Calibri" w:hAnsi="Calibri"/>
                <w:color w:val="000000"/>
                <w:szCs w:val="22"/>
              </w:rPr>
            </w:pPr>
            <w:r>
              <w:rPr>
                <w:rFonts w:ascii="Calibri" w:hAnsi="Calibri"/>
                <w:color w:val="000000"/>
                <w:szCs w:val="22"/>
              </w:rPr>
              <w:t>1</w:t>
            </w:r>
          </w:p>
          <w:p w:rsidR="00F91634" w:rsidRDefault="00F91634" w:rsidP="00D86226">
            <w:pPr>
              <w:jc w:val="center"/>
              <w:rPr>
                <w:rFonts w:ascii="Calibri" w:hAnsi="Calibri"/>
                <w:color w:val="000000"/>
                <w:szCs w:val="22"/>
              </w:rPr>
            </w:pPr>
            <w:r>
              <w:rPr>
                <w:rFonts w:ascii="Calibri" w:hAnsi="Calibri"/>
                <w:color w:val="000000"/>
                <w:szCs w:val="22"/>
              </w:rPr>
              <w:t>19</w:t>
            </w:r>
          </w:p>
        </w:tc>
        <w:tc>
          <w:tcPr>
            <w:tcW w:w="1985" w:type="dxa"/>
            <w:tcBorders>
              <w:top w:val="single" w:sz="4" w:space="0" w:color="auto"/>
              <w:left w:val="single" w:sz="4" w:space="0" w:color="auto"/>
              <w:bottom w:val="single" w:sz="4" w:space="0" w:color="auto"/>
              <w:right w:val="single" w:sz="4" w:space="0" w:color="auto"/>
            </w:tcBorders>
          </w:tcPr>
          <w:p w:rsidR="000D30A8" w:rsidRPr="00127F7C" w:rsidRDefault="00BB0A8A" w:rsidP="00D86226">
            <w:pPr>
              <w:jc w:val="center"/>
              <w:rPr>
                <w:rFonts w:ascii="Calibri" w:hAnsi="Calibri"/>
                <w:b/>
                <w:color w:val="000000"/>
                <w:szCs w:val="22"/>
              </w:rPr>
            </w:pPr>
            <w:r>
              <w:rPr>
                <w:rFonts w:ascii="Calibri" w:hAnsi="Calibri"/>
                <w:b/>
                <w:color w:val="000000"/>
                <w:szCs w:val="22"/>
              </w:rPr>
              <w:t>16.3</w:t>
            </w:r>
            <w:r w:rsidR="00127F7C" w:rsidRPr="00127F7C">
              <w:rPr>
                <w:rFonts w:ascii="Calibri" w:hAnsi="Calibri"/>
                <w:b/>
                <w:color w:val="000000"/>
                <w:szCs w:val="22"/>
              </w:rPr>
              <w:t>%</w:t>
            </w:r>
          </w:p>
          <w:p w:rsidR="00127F7C" w:rsidRDefault="00127F7C" w:rsidP="00D86226">
            <w:pPr>
              <w:jc w:val="center"/>
              <w:rPr>
                <w:rFonts w:ascii="Calibri" w:hAnsi="Calibri"/>
                <w:color w:val="000000"/>
                <w:szCs w:val="22"/>
              </w:rPr>
            </w:pPr>
            <w:r>
              <w:rPr>
                <w:rFonts w:ascii="Calibri" w:hAnsi="Calibri"/>
                <w:color w:val="000000"/>
                <w:szCs w:val="22"/>
              </w:rPr>
              <w:t>1.7%</w:t>
            </w:r>
          </w:p>
          <w:p w:rsidR="00127F7C" w:rsidRDefault="00127F7C" w:rsidP="00D86226">
            <w:pPr>
              <w:jc w:val="center"/>
              <w:rPr>
                <w:rFonts w:ascii="Calibri" w:hAnsi="Calibri"/>
                <w:color w:val="000000"/>
                <w:szCs w:val="22"/>
              </w:rPr>
            </w:pPr>
            <w:r>
              <w:rPr>
                <w:rFonts w:ascii="Calibri" w:hAnsi="Calibri"/>
                <w:color w:val="000000"/>
                <w:szCs w:val="22"/>
              </w:rPr>
              <w:t>0.2%</w:t>
            </w:r>
          </w:p>
          <w:p w:rsidR="00127F7C" w:rsidRDefault="00127F7C" w:rsidP="00D86226">
            <w:pPr>
              <w:jc w:val="center"/>
              <w:rPr>
                <w:rFonts w:ascii="Calibri" w:hAnsi="Calibri"/>
                <w:color w:val="000000"/>
                <w:szCs w:val="22"/>
              </w:rPr>
            </w:pPr>
            <w:r>
              <w:rPr>
                <w:rFonts w:ascii="Calibri" w:hAnsi="Calibri"/>
                <w:color w:val="000000"/>
                <w:szCs w:val="22"/>
              </w:rPr>
              <w:t>0.8%</w:t>
            </w:r>
          </w:p>
          <w:p w:rsidR="00127F7C" w:rsidRDefault="00127F7C" w:rsidP="00D86226">
            <w:pPr>
              <w:jc w:val="center"/>
              <w:rPr>
                <w:rFonts w:ascii="Calibri" w:hAnsi="Calibri"/>
                <w:color w:val="000000"/>
                <w:szCs w:val="22"/>
              </w:rPr>
            </w:pPr>
            <w:r>
              <w:rPr>
                <w:rFonts w:ascii="Calibri" w:hAnsi="Calibri"/>
                <w:color w:val="000000"/>
                <w:szCs w:val="22"/>
              </w:rPr>
              <w:t>1.5%</w:t>
            </w:r>
          </w:p>
          <w:p w:rsidR="00127F7C" w:rsidRDefault="00127F7C" w:rsidP="00D86226">
            <w:pPr>
              <w:jc w:val="center"/>
              <w:rPr>
                <w:rFonts w:ascii="Calibri" w:hAnsi="Calibri"/>
                <w:color w:val="000000"/>
                <w:szCs w:val="22"/>
              </w:rPr>
            </w:pPr>
            <w:r>
              <w:rPr>
                <w:rFonts w:ascii="Calibri" w:hAnsi="Calibri"/>
                <w:color w:val="000000"/>
                <w:szCs w:val="22"/>
              </w:rPr>
              <w:t>1.9%</w:t>
            </w:r>
          </w:p>
          <w:p w:rsidR="00127F7C" w:rsidRDefault="00127F7C" w:rsidP="00D86226">
            <w:pPr>
              <w:jc w:val="center"/>
              <w:rPr>
                <w:rFonts w:ascii="Calibri" w:hAnsi="Calibri"/>
                <w:color w:val="000000"/>
                <w:szCs w:val="22"/>
              </w:rPr>
            </w:pPr>
            <w:r>
              <w:rPr>
                <w:rFonts w:ascii="Calibri" w:hAnsi="Calibri"/>
                <w:color w:val="000000"/>
                <w:szCs w:val="22"/>
              </w:rPr>
              <w:t>0.2%</w:t>
            </w:r>
          </w:p>
          <w:p w:rsidR="00127F7C" w:rsidRDefault="00127F7C" w:rsidP="00D86226">
            <w:pPr>
              <w:jc w:val="center"/>
              <w:rPr>
                <w:rFonts w:ascii="Calibri" w:hAnsi="Calibri"/>
                <w:color w:val="000000"/>
                <w:szCs w:val="22"/>
              </w:rPr>
            </w:pPr>
            <w:r>
              <w:rPr>
                <w:rFonts w:ascii="Calibri" w:hAnsi="Calibri"/>
                <w:color w:val="000000"/>
                <w:szCs w:val="22"/>
              </w:rPr>
              <w:t>0.4%</w:t>
            </w:r>
          </w:p>
          <w:p w:rsidR="00127F7C" w:rsidRDefault="00127F7C" w:rsidP="00D86226">
            <w:pPr>
              <w:jc w:val="center"/>
              <w:rPr>
                <w:rFonts w:ascii="Calibri" w:hAnsi="Calibri"/>
                <w:color w:val="000000"/>
                <w:szCs w:val="22"/>
              </w:rPr>
            </w:pPr>
            <w:r>
              <w:rPr>
                <w:rFonts w:ascii="Calibri" w:hAnsi="Calibri"/>
                <w:color w:val="000000"/>
                <w:szCs w:val="22"/>
              </w:rPr>
              <w:t>1.9%</w:t>
            </w:r>
          </w:p>
          <w:p w:rsidR="00127F7C" w:rsidRDefault="00127F7C" w:rsidP="00D86226">
            <w:pPr>
              <w:jc w:val="center"/>
              <w:rPr>
                <w:rFonts w:ascii="Calibri" w:hAnsi="Calibri"/>
                <w:color w:val="000000"/>
                <w:szCs w:val="22"/>
              </w:rPr>
            </w:pPr>
            <w:r>
              <w:rPr>
                <w:rFonts w:ascii="Calibri" w:hAnsi="Calibri"/>
                <w:color w:val="000000"/>
                <w:szCs w:val="22"/>
              </w:rPr>
              <w:t>1.5%</w:t>
            </w:r>
          </w:p>
          <w:p w:rsidR="00127F7C" w:rsidRDefault="00127F7C" w:rsidP="00D86226">
            <w:pPr>
              <w:jc w:val="center"/>
              <w:rPr>
                <w:rFonts w:ascii="Calibri" w:hAnsi="Calibri"/>
                <w:color w:val="000000"/>
                <w:szCs w:val="22"/>
              </w:rPr>
            </w:pPr>
            <w:r>
              <w:rPr>
                <w:rFonts w:ascii="Calibri" w:hAnsi="Calibri"/>
                <w:color w:val="000000"/>
                <w:szCs w:val="22"/>
              </w:rPr>
              <w:t>0.2%</w:t>
            </w:r>
          </w:p>
          <w:p w:rsidR="00127F7C" w:rsidRDefault="00127F7C" w:rsidP="00D86226">
            <w:pPr>
              <w:jc w:val="center"/>
              <w:rPr>
                <w:rFonts w:ascii="Calibri" w:hAnsi="Calibri"/>
                <w:color w:val="000000"/>
                <w:szCs w:val="22"/>
              </w:rPr>
            </w:pPr>
            <w:r>
              <w:rPr>
                <w:rFonts w:ascii="Calibri" w:hAnsi="Calibri"/>
                <w:color w:val="000000"/>
                <w:szCs w:val="22"/>
              </w:rPr>
              <w:t>0.4%</w:t>
            </w:r>
          </w:p>
          <w:p w:rsidR="00127F7C" w:rsidRDefault="00874A3E" w:rsidP="00D86226">
            <w:pPr>
              <w:jc w:val="center"/>
              <w:rPr>
                <w:rFonts w:ascii="Calibri" w:hAnsi="Calibri"/>
                <w:color w:val="000000"/>
                <w:szCs w:val="22"/>
              </w:rPr>
            </w:pPr>
            <w:r>
              <w:rPr>
                <w:rFonts w:ascii="Calibri" w:hAnsi="Calibri"/>
                <w:color w:val="000000"/>
                <w:szCs w:val="22"/>
              </w:rPr>
              <w:t>1.3</w:t>
            </w:r>
            <w:r w:rsidR="00127F7C">
              <w:rPr>
                <w:rFonts w:ascii="Calibri" w:hAnsi="Calibri"/>
                <w:color w:val="000000"/>
                <w:szCs w:val="22"/>
              </w:rPr>
              <w:t>%</w:t>
            </w:r>
          </w:p>
          <w:p w:rsidR="00127F7C" w:rsidRDefault="00127F7C" w:rsidP="00D86226">
            <w:pPr>
              <w:jc w:val="center"/>
              <w:rPr>
                <w:rFonts w:ascii="Calibri" w:hAnsi="Calibri"/>
                <w:color w:val="000000"/>
                <w:szCs w:val="22"/>
              </w:rPr>
            </w:pPr>
            <w:r>
              <w:rPr>
                <w:rFonts w:ascii="Calibri" w:hAnsi="Calibri"/>
                <w:color w:val="000000"/>
                <w:szCs w:val="22"/>
              </w:rPr>
              <w:t>0.2%</w:t>
            </w:r>
          </w:p>
          <w:p w:rsidR="00127F7C" w:rsidRPr="00E63765" w:rsidRDefault="00127F7C" w:rsidP="00D86226">
            <w:pPr>
              <w:jc w:val="center"/>
              <w:rPr>
                <w:rFonts w:ascii="Calibri" w:hAnsi="Calibri"/>
                <w:color w:val="000000"/>
                <w:szCs w:val="22"/>
              </w:rPr>
            </w:pPr>
            <w:r>
              <w:rPr>
                <w:rFonts w:ascii="Calibri" w:hAnsi="Calibri"/>
                <w:color w:val="000000"/>
                <w:szCs w:val="22"/>
              </w:rPr>
              <w:t>4.0%</w:t>
            </w:r>
          </w:p>
        </w:tc>
      </w:tr>
      <w:tr w:rsidR="00D86226" w:rsidTr="00D86226">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jc w:val="left"/>
              <w:rPr>
                <w:rFonts w:ascii="Calibri" w:hAnsi="Calibri" w:cs="Calibri"/>
                <w:b/>
                <w:color w:val="000000"/>
                <w:szCs w:val="22"/>
              </w:rPr>
            </w:pPr>
            <w:r>
              <w:rPr>
                <w:rFonts w:ascii="Calibri" w:hAnsi="Calibri" w:cs="Calibri"/>
                <w:b/>
                <w:color w:val="000000"/>
                <w:szCs w:val="22"/>
              </w:rPr>
              <w:t>Hearing services</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Pr="00E63765" w:rsidRDefault="00F91634" w:rsidP="00D86226">
            <w:pPr>
              <w:jc w:val="center"/>
              <w:rPr>
                <w:rFonts w:ascii="Calibri" w:hAnsi="Calibri"/>
                <w:b/>
                <w:color w:val="000000"/>
                <w:szCs w:val="22"/>
              </w:rPr>
            </w:pPr>
            <w:r>
              <w:rPr>
                <w:rFonts w:ascii="Calibri" w:hAnsi="Calibri"/>
                <w:b/>
                <w:color w:val="000000"/>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127F7C" w:rsidP="00D86226">
            <w:pPr>
              <w:jc w:val="center"/>
              <w:rPr>
                <w:rFonts w:ascii="Calibri" w:hAnsi="Calibri"/>
                <w:b/>
                <w:color w:val="000000"/>
                <w:szCs w:val="22"/>
              </w:rPr>
            </w:pPr>
            <w:r>
              <w:rPr>
                <w:rFonts w:ascii="Calibri" w:hAnsi="Calibri"/>
                <w:b/>
                <w:color w:val="000000"/>
                <w:szCs w:val="22"/>
              </w:rPr>
              <w:t>0.4%</w:t>
            </w:r>
          </w:p>
        </w:tc>
      </w:tr>
      <w:tr w:rsidR="00D86226" w:rsidTr="00D86226">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ascii="Calibri" w:hAnsi="Calibri" w:cs="Calibri"/>
                <w:b/>
                <w:color w:val="000000"/>
                <w:szCs w:val="22"/>
              </w:rPr>
            </w:pPr>
            <w:r>
              <w:rPr>
                <w:rFonts w:ascii="Calibri" w:hAnsi="Calibri" w:cs="Calibri"/>
                <w:b/>
                <w:color w:val="000000"/>
                <w:szCs w:val="22"/>
              </w:rPr>
              <w:t>Intensive care/critical care</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Pr="00E63765" w:rsidRDefault="00F91634" w:rsidP="00D86226">
            <w:pPr>
              <w:jc w:val="center"/>
              <w:rPr>
                <w:rFonts w:ascii="Calibri" w:hAnsi="Calibri"/>
                <w:b/>
                <w:color w:val="000000"/>
                <w:szCs w:val="22"/>
              </w:rPr>
            </w:pPr>
            <w:r>
              <w:rPr>
                <w:rFonts w:ascii="Calibri" w:hAnsi="Calibri"/>
                <w:b/>
                <w:color w:val="000000"/>
                <w:szCs w:val="22"/>
              </w:rPr>
              <w:t>4</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127F7C" w:rsidP="00D86226">
            <w:pPr>
              <w:jc w:val="center"/>
              <w:rPr>
                <w:rFonts w:ascii="Calibri" w:hAnsi="Calibri"/>
                <w:b/>
                <w:color w:val="000000"/>
                <w:szCs w:val="22"/>
              </w:rPr>
            </w:pPr>
            <w:r>
              <w:rPr>
                <w:rFonts w:ascii="Calibri" w:hAnsi="Calibri"/>
                <w:b/>
                <w:color w:val="000000"/>
                <w:szCs w:val="22"/>
              </w:rPr>
              <w:t>0.8%</w:t>
            </w:r>
          </w:p>
        </w:tc>
      </w:tr>
      <w:tr w:rsidR="00D86226" w:rsidTr="00D86226">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ascii="Calibri" w:hAnsi="Calibri" w:cs="Calibri"/>
                <w:b/>
                <w:color w:val="000000"/>
                <w:szCs w:val="22"/>
              </w:rPr>
            </w:pPr>
            <w:r>
              <w:rPr>
                <w:rFonts w:ascii="Calibri" w:hAnsi="Calibri" w:cs="Calibri"/>
                <w:b/>
                <w:color w:val="000000"/>
                <w:szCs w:val="22"/>
              </w:rPr>
              <w:t>Maternity</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Pr="00E63765" w:rsidRDefault="00F91634" w:rsidP="00D86226">
            <w:pPr>
              <w:jc w:val="center"/>
              <w:rPr>
                <w:rFonts w:ascii="Calibri" w:hAnsi="Calibri"/>
                <w:b/>
                <w:color w:val="000000"/>
                <w:szCs w:val="22"/>
              </w:rPr>
            </w:pPr>
            <w:r>
              <w:rPr>
                <w:rFonts w:ascii="Calibri" w:hAnsi="Calibri"/>
                <w:b/>
                <w:color w:val="000000"/>
                <w:szCs w:val="22"/>
              </w:rPr>
              <w:t>32</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874A3E" w:rsidP="00D86226">
            <w:pPr>
              <w:jc w:val="center"/>
              <w:rPr>
                <w:rFonts w:ascii="Calibri" w:hAnsi="Calibri"/>
                <w:b/>
                <w:color w:val="000000"/>
                <w:szCs w:val="22"/>
              </w:rPr>
            </w:pPr>
            <w:r>
              <w:rPr>
                <w:rFonts w:ascii="Calibri" w:hAnsi="Calibri"/>
                <w:b/>
                <w:color w:val="000000"/>
                <w:szCs w:val="22"/>
              </w:rPr>
              <w:t>6.8</w:t>
            </w:r>
            <w:r w:rsidR="00127F7C">
              <w:rPr>
                <w:rFonts w:ascii="Calibri" w:hAnsi="Calibri"/>
                <w:b/>
                <w:color w:val="000000"/>
                <w:szCs w:val="22"/>
              </w:rPr>
              <w:t>%</w:t>
            </w:r>
          </w:p>
        </w:tc>
      </w:tr>
      <w:tr w:rsidR="00D86226" w:rsidTr="00D86226">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ascii="Calibri" w:hAnsi="Calibri" w:cs="Calibri"/>
                <w:b/>
                <w:color w:val="000000"/>
                <w:szCs w:val="22"/>
              </w:rPr>
            </w:pPr>
            <w:r>
              <w:rPr>
                <w:rFonts w:ascii="Calibri" w:hAnsi="Calibri" w:cs="Calibri"/>
                <w:b/>
                <w:color w:val="000000"/>
                <w:szCs w:val="22"/>
              </w:rPr>
              <w:t xml:space="preserve">Mental health </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Pr="00E63765" w:rsidRDefault="00F91634" w:rsidP="00D86226">
            <w:pPr>
              <w:jc w:val="center"/>
              <w:rPr>
                <w:rFonts w:ascii="Calibri" w:hAnsi="Calibri"/>
                <w:b/>
                <w:color w:val="000000"/>
                <w:szCs w:val="22"/>
              </w:rPr>
            </w:pPr>
            <w:r>
              <w:rPr>
                <w:rFonts w:ascii="Calibri" w:hAnsi="Calibri"/>
                <w:b/>
                <w:color w:val="000000"/>
                <w:szCs w:val="22"/>
              </w:rPr>
              <w:t>10</w:t>
            </w:r>
            <w:r w:rsidR="00874A3E">
              <w:rPr>
                <w:rFonts w:ascii="Calibri" w:hAnsi="Calibri"/>
                <w:b/>
                <w:color w:val="000000"/>
                <w:szCs w:val="22"/>
              </w:rPr>
              <w:t>0</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BB0A8A" w:rsidP="00D86226">
            <w:pPr>
              <w:jc w:val="center"/>
              <w:rPr>
                <w:rFonts w:ascii="Calibri" w:hAnsi="Calibri"/>
                <w:b/>
                <w:color w:val="000000"/>
                <w:szCs w:val="22"/>
              </w:rPr>
            </w:pPr>
            <w:r>
              <w:rPr>
                <w:rFonts w:ascii="Calibri" w:hAnsi="Calibri"/>
                <w:b/>
                <w:color w:val="000000"/>
                <w:szCs w:val="22"/>
              </w:rPr>
              <w:t>21.2</w:t>
            </w:r>
            <w:r w:rsidR="00127F7C">
              <w:rPr>
                <w:rFonts w:ascii="Calibri" w:hAnsi="Calibri"/>
                <w:b/>
                <w:color w:val="000000"/>
                <w:szCs w:val="22"/>
              </w:rPr>
              <w:t>%</w:t>
            </w:r>
          </w:p>
        </w:tc>
      </w:tr>
      <w:tr w:rsidR="004668E4" w:rsidTr="00D86226">
        <w:tc>
          <w:tcPr>
            <w:tcW w:w="4678" w:type="dxa"/>
            <w:tcBorders>
              <w:top w:val="single" w:sz="4" w:space="0" w:color="auto"/>
              <w:left w:val="single" w:sz="4" w:space="0" w:color="auto"/>
              <w:bottom w:val="single" w:sz="4" w:space="0" w:color="auto"/>
              <w:right w:val="single" w:sz="4" w:space="0" w:color="auto"/>
            </w:tcBorders>
            <w:vAlign w:val="bottom"/>
          </w:tcPr>
          <w:p w:rsidR="004668E4" w:rsidRDefault="004668E4" w:rsidP="00D86226">
            <w:pPr>
              <w:rPr>
                <w:rFonts w:cs="Arial"/>
                <w:b/>
                <w:szCs w:val="22"/>
              </w:rPr>
            </w:pPr>
            <w:r>
              <w:rPr>
                <w:rFonts w:cs="Arial"/>
                <w:b/>
                <w:szCs w:val="22"/>
              </w:rPr>
              <w:t>Paediatrics (not surgical)</w:t>
            </w:r>
          </w:p>
        </w:tc>
        <w:tc>
          <w:tcPr>
            <w:tcW w:w="2268" w:type="dxa"/>
            <w:tcBorders>
              <w:top w:val="single" w:sz="4" w:space="0" w:color="auto"/>
              <w:left w:val="single" w:sz="4" w:space="0" w:color="auto"/>
              <w:bottom w:val="single" w:sz="4" w:space="0" w:color="auto"/>
              <w:right w:val="single" w:sz="4" w:space="0" w:color="auto"/>
            </w:tcBorders>
            <w:vAlign w:val="center"/>
          </w:tcPr>
          <w:p w:rsidR="004668E4" w:rsidRPr="00E63765" w:rsidRDefault="004668E4" w:rsidP="00D86226">
            <w:pPr>
              <w:jc w:val="center"/>
              <w:rPr>
                <w:rFonts w:ascii="Calibri" w:hAnsi="Calibri"/>
                <w:b/>
                <w:color w:val="000000"/>
                <w:szCs w:val="22"/>
              </w:rPr>
            </w:pPr>
            <w:r>
              <w:rPr>
                <w:rFonts w:ascii="Calibri" w:hAnsi="Calibri"/>
                <w:b/>
                <w:color w:val="000000"/>
                <w:szCs w:val="22"/>
              </w:rPr>
              <w:t>1</w:t>
            </w:r>
            <w:r w:rsidR="00BB0A8A">
              <w:rPr>
                <w:rFonts w:ascii="Calibri" w:hAnsi="Calibri"/>
                <w:b/>
                <w:color w:val="000000"/>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4668E4" w:rsidRDefault="00CF64A4" w:rsidP="00D86226">
            <w:pPr>
              <w:jc w:val="center"/>
              <w:rPr>
                <w:rFonts w:ascii="Calibri" w:hAnsi="Calibri"/>
                <w:b/>
                <w:color w:val="000000"/>
                <w:szCs w:val="22"/>
              </w:rPr>
            </w:pPr>
            <w:r>
              <w:rPr>
                <w:rFonts w:ascii="Calibri" w:hAnsi="Calibri"/>
                <w:b/>
                <w:color w:val="000000"/>
                <w:szCs w:val="22"/>
              </w:rPr>
              <w:t>2.5</w:t>
            </w:r>
            <w:r w:rsidR="00127F7C">
              <w:rPr>
                <w:rFonts w:ascii="Calibri" w:hAnsi="Calibri"/>
                <w:b/>
                <w:color w:val="000000"/>
                <w:szCs w:val="22"/>
              </w:rPr>
              <w:t>%</w:t>
            </w:r>
          </w:p>
        </w:tc>
      </w:tr>
      <w:tr w:rsidR="004668E4" w:rsidTr="00D86226">
        <w:tc>
          <w:tcPr>
            <w:tcW w:w="4678" w:type="dxa"/>
            <w:tcBorders>
              <w:top w:val="single" w:sz="4" w:space="0" w:color="auto"/>
              <w:left w:val="single" w:sz="4" w:space="0" w:color="auto"/>
              <w:bottom w:val="single" w:sz="4" w:space="0" w:color="auto"/>
              <w:right w:val="single" w:sz="4" w:space="0" w:color="auto"/>
            </w:tcBorders>
            <w:vAlign w:val="bottom"/>
          </w:tcPr>
          <w:p w:rsidR="004668E4" w:rsidRDefault="004668E4" w:rsidP="00D86226">
            <w:pPr>
              <w:rPr>
                <w:rFonts w:ascii="Calibri" w:hAnsi="Calibri" w:cs="Calibri"/>
                <w:b/>
                <w:color w:val="000000"/>
                <w:szCs w:val="22"/>
              </w:rPr>
            </w:pPr>
            <w:r>
              <w:rPr>
                <w:rFonts w:ascii="Calibri" w:hAnsi="Calibri" w:cs="Calibri"/>
                <w:b/>
                <w:color w:val="000000"/>
                <w:szCs w:val="22"/>
              </w:rPr>
              <w:t xml:space="preserve">Rehabilitation services </w:t>
            </w:r>
          </w:p>
        </w:tc>
        <w:tc>
          <w:tcPr>
            <w:tcW w:w="2268" w:type="dxa"/>
            <w:tcBorders>
              <w:top w:val="single" w:sz="4" w:space="0" w:color="auto"/>
              <w:left w:val="single" w:sz="4" w:space="0" w:color="auto"/>
              <w:bottom w:val="single" w:sz="4" w:space="0" w:color="auto"/>
              <w:right w:val="single" w:sz="4" w:space="0" w:color="auto"/>
            </w:tcBorders>
            <w:vAlign w:val="center"/>
          </w:tcPr>
          <w:p w:rsidR="004668E4" w:rsidRPr="00E63765" w:rsidRDefault="004668E4" w:rsidP="00D86226">
            <w:pPr>
              <w:jc w:val="center"/>
              <w:rPr>
                <w:rFonts w:ascii="Calibri" w:hAnsi="Calibri"/>
                <w:b/>
                <w:color w:val="000000"/>
                <w:szCs w:val="22"/>
              </w:rPr>
            </w:pPr>
            <w:r>
              <w:rPr>
                <w:rFonts w:ascii="Calibri" w:hAnsi="Calibri"/>
                <w:b/>
                <w:color w:val="000000"/>
                <w:szCs w:val="22"/>
              </w:rPr>
              <w:t>5</w:t>
            </w:r>
          </w:p>
        </w:tc>
        <w:tc>
          <w:tcPr>
            <w:tcW w:w="1985" w:type="dxa"/>
            <w:tcBorders>
              <w:top w:val="single" w:sz="4" w:space="0" w:color="auto"/>
              <w:left w:val="single" w:sz="4" w:space="0" w:color="auto"/>
              <w:bottom w:val="single" w:sz="4" w:space="0" w:color="auto"/>
              <w:right w:val="single" w:sz="4" w:space="0" w:color="auto"/>
            </w:tcBorders>
            <w:vAlign w:val="center"/>
          </w:tcPr>
          <w:p w:rsidR="004668E4" w:rsidRDefault="00127F7C" w:rsidP="00D86226">
            <w:pPr>
              <w:jc w:val="center"/>
              <w:rPr>
                <w:rFonts w:ascii="Calibri" w:hAnsi="Calibri"/>
                <w:b/>
                <w:color w:val="000000"/>
                <w:szCs w:val="22"/>
              </w:rPr>
            </w:pPr>
            <w:r>
              <w:rPr>
                <w:rFonts w:ascii="Calibri" w:hAnsi="Calibri"/>
                <w:b/>
                <w:color w:val="000000"/>
                <w:szCs w:val="22"/>
              </w:rPr>
              <w:t>1.1%</w:t>
            </w:r>
          </w:p>
        </w:tc>
      </w:tr>
      <w:tr w:rsidR="004668E4" w:rsidTr="004668E4">
        <w:tc>
          <w:tcPr>
            <w:tcW w:w="4678" w:type="dxa"/>
            <w:tcBorders>
              <w:top w:val="single" w:sz="4" w:space="0" w:color="auto"/>
              <w:left w:val="single" w:sz="4" w:space="0" w:color="auto"/>
              <w:bottom w:val="single" w:sz="4" w:space="0" w:color="auto"/>
              <w:right w:val="single" w:sz="4" w:space="0" w:color="auto"/>
            </w:tcBorders>
            <w:vAlign w:val="bottom"/>
          </w:tcPr>
          <w:p w:rsidR="004668E4" w:rsidRDefault="004668E4" w:rsidP="00D86226">
            <w:pPr>
              <w:rPr>
                <w:rFonts w:ascii="Calibri" w:hAnsi="Calibri" w:cs="Calibri"/>
                <w:b/>
                <w:color w:val="000000"/>
                <w:szCs w:val="22"/>
              </w:rPr>
            </w:pPr>
            <w:r>
              <w:rPr>
                <w:rFonts w:ascii="Calibri" w:hAnsi="Calibri" w:cs="Calibri"/>
                <w:b/>
                <w:color w:val="000000"/>
                <w:szCs w:val="22"/>
              </w:rPr>
              <w:t>Surgery</w:t>
            </w:r>
          </w:p>
          <w:p w:rsidR="004668E4" w:rsidRDefault="004668E4" w:rsidP="00D86226">
            <w:pPr>
              <w:rPr>
                <w:rFonts w:ascii="Calibri" w:hAnsi="Calibri" w:cs="Calibri"/>
                <w:color w:val="000000"/>
                <w:szCs w:val="22"/>
              </w:rPr>
            </w:pPr>
            <w:r>
              <w:rPr>
                <w:rFonts w:ascii="Calibri" w:hAnsi="Calibri" w:cs="Calibri"/>
                <w:b/>
                <w:color w:val="000000"/>
                <w:szCs w:val="22"/>
              </w:rPr>
              <w:t xml:space="preserve">  </w:t>
            </w:r>
            <w:r>
              <w:rPr>
                <w:rFonts w:ascii="Calibri" w:hAnsi="Calibri" w:cs="Calibri"/>
                <w:color w:val="000000"/>
                <w:szCs w:val="22"/>
              </w:rPr>
              <w:t>Cardiothoracic</w:t>
            </w:r>
          </w:p>
          <w:p w:rsidR="004668E4" w:rsidRDefault="004668E4" w:rsidP="00D86226">
            <w:pPr>
              <w:rPr>
                <w:rFonts w:ascii="Calibri" w:hAnsi="Calibri" w:cs="Calibri"/>
                <w:color w:val="000000"/>
                <w:szCs w:val="22"/>
              </w:rPr>
            </w:pPr>
            <w:r>
              <w:rPr>
                <w:rFonts w:ascii="Calibri" w:hAnsi="Calibri" w:cs="Calibri"/>
                <w:color w:val="000000"/>
                <w:szCs w:val="22"/>
              </w:rPr>
              <w:t xml:space="preserve">  General</w:t>
            </w:r>
          </w:p>
          <w:p w:rsidR="004668E4" w:rsidRDefault="004668E4" w:rsidP="00D86226">
            <w:pPr>
              <w:rPr>
                <w:rFonts w:ascii="Calibri" w:hAnsi="Calibri" w:cs="Calibri"/>
                <w:color w:val="000000"/>
                <w:szCs w:val="22"/>
              </w:rPr>
            </w:pPr>
            <w:r>
              <w:rPr>
                <w:rFonts w:ascii="Calibri" w:hAnsi="Calibri" w:cs="Calibri"/>
                <w:color w:val="000000"/>
                <w:szCs w:val="22"/>
              </w:rPr>
              <w:t xml:space="preserve">  Gynaecology</w:t>
            </w:r>
          </w:p>
          <w:p w:rsidR="004668E4" w:rsidRDefault="004668E4" w:rsidP="00D86226">
            <w:pPr>
              <w:rPr>
                <w:rFonts w:ascii="Calibri" w:hAnsi="Calibri" w:cs="Calibri"/>
                <w:color w:val="000000"/>
                <w:szCs w:val="22"/>
              </w:rPr>
            </w:pPr>
            <w:r>
              <w:rPr>
                <w:rFonts w:ascii="Calibri" w:hAnsi="Calibri" w:cs="Calibri"/>
                <w:color w:val="000000"/>
                <w:szCs w:val="22"/>
              </w:rPr>
              <w:t xml:space="preserve">  Neurosurgery</w:t>
            </w:r>
          </w:p>
          <w:p w:rsidR="004668E4" w:rsidRDefault="004668E4" w:rsidP="00D86226">
            <w:pPr>
              <w:rPr>
                <w:rFonts w:ascii="Calibri" w:hAnsi="Calibri" w:cs="Calibri"/>
                <w:color w:val="000000"/>
                <w:szCs w:val="22"/>
              </w:rPr>
            </w:pPr>
            <w:r>
              <w:rPr>
                <w:rFonts w:ascii="Calibri" w:hAnsi="Calibri" w:cs="Calibri"/>
                <w:color w:val="000000"/>
                <w:szCs w:val="22"/>
              </w:rPr>
              <w:t xml:space="preserve">  Ophthalmology</w:t>
            </w:r>
          </w:p>
          <w:p w:rsidR="004668E4" w:rsidRDefault="004668E4" w:rsidP="00D86226">
            <w:pPr>
              <w:rPr>
                <w:rFonts w:ascii="Calibri" w:hAnsi="Calibri" w:cs="Calibri"/>
                <w:color w:val="000000"/>
                <w:szCs w:val="22"/>
              </w:rPr>
            </w:pPr>
            <w:r>
              <w:rPr>
                <w:rFonts w:ascii="Calibri" w:hAnsi="Calibri" w:cs="Calibri"/>
                <w:color w:val="000000"/>
                <w:szCs w:val="22"/>
              </w:rPr>
              <w:t xml:space="preserve">  Oral/Maxillofacial</w:t>
            </w:r>
          </w:p>
          <w:p w:rsidR="004668E4" w:rsidRDefault="004668E4" w:rsidP="00D86226">
            <w:pPr>
              <w:rPr>
                <w:rFonts w:ascii="Calibri" w:hAnsi="Calibri" w:cs="Calibri"/>
                <w:color w:val="000000"/>
                <w:szCs w:val="22"/>
              </w:rPr>
            </w:pPr>
            <w:r>
              <w:rPr>
                <w:rFonts w:ascii="Calibri" w:hAnsi="Calibri" w:cs="Calibri"/>
                <w:color w:val="000000"/>
                <w:szCs w:val="22"/>
              </w:rPr>
              <w:t xml:space="preserve">  Orthopaedics</w:t>
            </w:r>
          </w:p>
          <w:p w:rsidR="004668E4" w:rsidRDefault="004668E4" w:rsidP="00D86226">
            <w:pPr>
              <w:rPr>
                <w:rFonts w:ascii="Calibri" w:hAnsi="Calibri" w:cs="Calibri"/>
                <w:color w:val="000000"/>
                <w:szCs w:val="22"/>
              </w:rPr>
            </w:pPr>
            <w:r>
              <w:rPr>
                <w:rFonts w:ascii="Calibri" w:hAnsi="Calibri" w:cs="Calibri"/>
                <w:color w:val="000000"/>
                <w:szCs w:val="22"/>
              </w:rPr>
              <w:t xml:space="preserve">  Otolaryngology</w:t>
            </w:r>
          </w:p>
          <w:p w:rsidR="004668E4" w:rsidRDefault="004668E4" w:rsidP="00D86226">
            <w:pPr>
              <w:rPr>
                <w:rFonts w:ascii="Calibri" w:hAnsi="Calibri" w:cs="Calibri"/>
                <w:color w:val="000000"/>
                <w:szCs w:val="22"/>
              </w:rPr>
            </w:pPr>
            <w:r>
              <w:rPr>
                <w:rFonts w:ascii="Calibri" w:hAnsi="Calibri" w:cs="Calibri"/>
                <w:color w:val="000000"/>
                <w:szCs w:val="22"/>
              </w:rPr>
              <w:t xml:space="preserve">  Plastic and Reconstructive</w:t>
            </w:r>
          </w:p>
          <w:p w:rsidR="004668E4" w:rsidRDefault="004668E4" w:rsidP="00D86226">
            <w:pPr>
              <w:rPr>
                <w:rFonts w:ascii="Calibri" w:hAnsi="Calibri" w:cs="Calibri"/>
                <w:color w:val="000000"/>
                <w:szCs w:val="22"/>
              </w:rPr>
            </w:pPr>
            <w:r>
              <w:rPr>
                <w:rFonts w:ascii="Calibri" w:hAnsi="Calibri" w:cs="Calibri"/>
                <w:color w:val="000000"/>
                <w:szCs w:val="22"/>
              </w:rPr>
              <w:t xml:space="preserve">  Urology</w:t>
            </w:r>
          </w:p>
          <w:p w:rsidR="004668E4" w:rsidRDefault="004668E4" w:rsidP="00D86226">
            <w:pPr>
              <w:rPr>
                <w:rFonts w:ascii="Calibri" w:hAnsi="Calibri" w:cs="Calibri"/>
                <w:color w:val="000000"/>
                <w:szCs w:val="22"/>
              </w:rPr>
            </w:pPr>
            <w:r>
              <w:rPr>
                <w:rFonts w:ascii="Calibri" w:hAnsi="Calibri" w:cs="Calibri"/>
                <w:color w:val="000000"/>
                <w:szCs w:val="22"/>
              </w:rPr>
              <w:t xml:space="preserve">  Vascular</w:t>
            </w:r>
          </w:p>
          <w:p w:rsidR="004668E4" w:rsidRDefault="004668E4" w:rsidP="00D86226">
            <w:pPr>
              <w:rPr>
                <w:rFonts w:ascii="Calibri" w:hAnsi="Calibri" w:cs="Calibri"/>
                <w:b/>
                <w:color w:val="000000"/>
                <w:szCs w:val="22"/>
              </w:rPr>
            </w:pPr>
            <w:r>
              <w:rPr>
                <w:rFonts w:ascii="Calibri" w:hAnsi="Calibri" w:cs="Calibri"/>
                <w:color w:val="000000"/>
                <w:szCs w:val="22"/>
              </w:rPr>
              <w:t xml:space="preserve">  Unknown</w:t>
            </w:r>
          </w:p>
        </w:tc>
        <w:tc>
          <w:tcPr>
            <w:tcW w:w="2268" w:type="dxa"/>
            <w:tcBorders>
              <w:top w:val="single" w:sz="4" w:space="0" w:color="auto"/>
              <w:left w:val="single" w:sz="4" w:space="0" w:color="auto"/>
              <w:bottom w:val="single" w:sz="4" w:space="0" w:color="auto"/>
              <w:right w:val="single" w:sz="4" w:space="0" w:color="auto"/>
            </w:tcBorders>
          </w:tcPr>
          <w:p w:rsidR="004668E4" w:rsidRDefault="00BB0A8A" w:rsidP="00D86226">
            <w:pPr>
              <w:jc w:val="center"/>
              <w:rPr>
                <w:rFonts w:ascii="Calibri" w:hAnsi="Calibri"/>
                <w:b/>
                <w:color w:val="000000"/>
                <w:szCs w:val="22"/>
              </w:rPr>
            </w:pPr>
            <w:r>
              <w:rPr>
                <w:rFonts w:ascii="Calibri" w:hAnsi="Calibri"/>
                <w:b/>
                <w:color w:val="000000"/>
                <w:szCs w:val="22"/>
              </w:rPr>
              <w:t>148</w:t>
            </w:r>
          </w:p>
          <w:p w:rsidR="004668E4" w:rsidRDefault="004668E4" w:rsidP="00D86226">
            <w:pPr>
              <w:jc w:val="center"/>
              <w:rPr>
                <w:rFonts w:ascii="Calibri" w:hAnsi="Calibri"/>
                <w:color w:val="000000"/>
                <w:szCs w:val="22"/>
              </w:rPr>
            </w:pPr>
            <w:r>
              <w:rPr>
                <w:rFonts w:ascii="Calibri" w:hAnsi="Calibri"/>
                <w:color w:val="000000"/>
                <w:szCs w:val="22"/>
              </w:rPr>
              <w:t>1</w:t>
            </w:r>
          </w:p>
          <w:p w:rsidR="004668E4" w:rsidRDefault="004668E4" w:rsidP="00D86226">
            <w:pPr>
              <w:jc w:val="center"/>
              <w:rPr>
                <w:rFonts w:ascii="Calibri" w:hAnsi="Calibri"/>
                <w:color w:val="000000"/>
                <w:szCs w:val="22"/>
              </w:rPr>
            </w:pPr>
            <w:r>
              <w:rPr>
                <w:rFonts w:ascii="Calibri" w:hAnsi="Calibri"/>
                <w:color w:val="000000"/>
                <w:szCs w:val="22"/>
              </w:rPr>
              <w:t>35</w:t>
            </w:r>
          </w:p>
          <w:p w:rsidR="004668E4" w:rsidRDefault="00BB0A8A" w:rsidP="00D86226">
            <w:pPr>
              <w:jc w:val="center"/>
              <w:rPr>
                <w:rFonts w:ascii="Calibri" w:hAnsi="Calibri"/>
                <w:color w:val="000000"/>
                <w:szCs w:val="22"/>
              </w:rPr>
            </w:pPr>
            <w:r>
              <w:rPr>
                <w:rFonts w:ascii="Calibri" w:hAnsi="Calibri"/>
                <w:color w:val="000000"/>
                <w:szCs w:val="22"/>
              </w:rPr>
              <w:t>20</w:t>
            </w:r>
          </w:p>
          <w:p w:rsidR="004668E4" w:rsidRDefault="004668E4" w:rsidP="00D86226">
            <w:pPr>
              <w:jc w:val="center"/>
              <w:rPr>
                <w:rFonts w:ascii="Calibri" w:hAnsi="Calibri"/>
                <w:color w:val="000000"/>
                <w:szCs w:val="22"/>
              </w:rPr>
            </w:pPr>
            <w:r>
              <w:rPr>
                <w:rFonts w:ascii="Calibri" w:hAnsi="Calibri"/>
                <w:color w:val="000000"/>
                <w:szCs w:val="22"/>
              </w:rPr>
              <w:t>7</w:t>
            </w:r>
          </w:p>
          <w:p w:rsidR="004668E4" w:rsidRDefault="004668E4" w:rsidP="00D86226">
            <w:pPr>
              <w:jc w:val="center"/>
              <w:rPr>
                <w:rFonts w:ascii="Calibri" w:hAnsi="Calibri"/>
                <w:color w:val="000000"/>
                <w:szCs w:val="22"/>
              </w:rPr>
            </w:pPr>
            <w:r>
              <w:rPr>
                <w:rFonts w:ascii="Calibri" w:hAnsi="Calibri"/>
                <w:color w:val="000000"/>
                <w:szCs w:val="22"/>
              </w:rPr>
              <w:t>12</w:t>
            </w:r>
          </w:p>
          <w:p w:rsidR="004668E4" w:rsidRDefault="004668E4" w:rsidP="00D86226">
            <w:pPr>
              <w:jc w:val="center"/>
              <w:rPr>
                <w:rFonts w:ascii="Calibri" w:hAnsi="Calibri"/>
                <w:color w:val="000000"/>
                <w:szCs w:val="22"/>
              </w:rPr>
            </w:pPr>
            <w:r>
              <w:rPr>
                <w:rFonts w:ascii="Calibri" w:hAnsi="Calibri"/>
                <w:color w:val="000000"/>
                <w:szCs w:val="22"/>
              </w:rPr>
              <w:t>1</w:t>
            </w:r>
          </w:p>
          <w:p w:rsidR="004668E4" w:rsidRDefault="004668E4" w:rsidP="00D86226">
            <w:pPr>
              <w:jc w:val="center"/>
              <w:rPr>
                <w:rFonts w:ascii="Calibri" w:hAnsi="Calibri"/>
                <w:color w:val="000000"/>
                <w:szCs w:val="22"/>
              </w:rPr>
            </w:pPr>
            <w:r>
              <w:rPr>
                <w:rFonts w:ascii="Calibri" w:hAnsi="Calibri"/>
                <w:color w:val="000000"/>
                <w:szCs w:val="22"/>
              </w:rPr>
              <w:t>38</w:t>
            </w:r>
          </w:p>
          <w:p w:rsidR="004668E4" w:rsidRDefault="004668E4" w:rsidP="00D86226">
            <w:pPr>
              <w:jc w:val="center"/>
              <w:rPr>
                <w:rFonts w:ascii="Calibri" w:hAnsi="Calibri"/>
                <w:color w:val="000000"/>
                <w:szCs w:val="22"/>
              </w:rPr>
            </w:pPr>
            <w:r>
              <w:rPr>
                <w:rFonts w:ascii="Calibri" w:hAnsi="Calibri"/>
                <w:color w:val="000000"/>
                <w:szCs w:val="22"/>
              </w:rPr>
              <w:t>14</w:t>
            </w:r>
          </w:p>
          <w:p w:rsidR="004668E4" w:rsidRDefault="004668E4" w:rsidP="00D86226">
            <w:pPr>
              <w:jc w:val="center"/>
              <w:rPr>
                <w:rFonts w:ascii="Calibri" w:hAnsi="Calibri"/>
                <w:color w:val="000000"/>
                <w:szCs w:val="22"/>
              </w:rPr>
            </w:pPr>
            <w:r>
              <w:rPr>
                <w:rFonts w:ascii="Calibri" w:hAnsi="Calibri"/>
                <w:color w:val="000000"/>
                <w:szCs w:val="22"/>
              </w:rPr>
              <w:t>5</w:t>
            </w:r>
          </w:p>
          <w:p w:rsidR="004668E4" w:rsidRDefault="004668E4" w:rsidP="00D86226">
            <w:pPr>
              <w:jc w:val="center"/>
              <w:rPr>
                <w:rFonts w:ascii="Calibri" w:hAnsi="Calibri"/>
                <w:color w:val="000000"/>
                <w:szCs w:val="22"/>
              </w:rPr>
            </w:pPr>
            <w:r>
              <w:rPr>
                <w:rFonts w:ascii="Calibri" w:hAnsi="Calibri"/>
                <w:color w:val="000000"/>
                <w:szCs w:val="22"/>
              </w:rPr>
              <w:t>11</w:t>
            </w:r>
          </w:p>
          <w:p w:rsidR="004668E4" w:rsidRDefault="004668E4" w:rsidP="00D86226">
            <w:pPr>
              <w:jc w:val="center"/>
              <w:rPr>
                <w:rFonts w:ascii="Calibri" w:hAnsi="Calibri"/>
                <w:color w:val="000000"/>
                <w:szCs w:val="22"/>
              </w:rPr>
            </w:pPr>
            <w:r>
              <w:rPr>
                <w:rFonts w:ascii="Calibri" w:hAnsi="Calibri"/>
                <w:color w:val="000000"/>
                <w:szCs w:val="22"/>
              </w:rPr>
              <w:t>3</w:t>
            </w:r>
          </w:p>
          <w:p w:rsidR="004668E4" w:rsidRPr="004668E4" w:rsidRDefault="004668E4" w:rsidP="00D86226">
            <w:pPr>
              <w:jc w:val="center"/>
              <w:rPr>
                <w:rFonts w:ascii="Calibri" w:hAnsi="Calibri"/>
                <w:color w:val="000000"/>
                <w:szCs w:val="22"/>
              </w:rPr>
            </w:pPr>
            <w:r>
              <w:rPr>
                <w:rFonts w:ascii="Calibri" w:hAnsi="Calibri"/>
                <w:color w:val="000000"/>
                <w:szCs w:val="22"/>
              </w:rPr>
              <w:t>1</w:t>
            </w:r>
          </w:p>
        </w:tc>
        <w:tc>
          <w:tcPr>
            <w:tcW w:w="1985" w:type="dxa"/>
            <w:tcBorders>
              <w:top w:val="single" w:sz="4" w:space="0" w:color="auto"/>
              <w:left w:val="single" w:sz="4" w:space="0" w:color="auto"/>
              <w:bottom w:val="single" w:sz="4" w:space="0" w:color="auto"/>
              <w:right w:val="single" w:sz="4" w:space="0" w:color="auto"/>
            </w:tcBorders>
          </w:tcPr>
          <w:p w:rsidR="004668E4" w:rsidRDefault="00127F7C" w:rsidP="00D86226">
            <w:pPr>
              <w:jc w:val="center"/>
              <w:rPr>
                <w:rFonts w:ascii="Calibri" w:hAnsi="Calibri"/>
                <w:b/>
                <w:color w:val="000000"/>
                <w:szCs w:val="22"/>
              </w:rPr>
            </w:pPr>
            <w:r>
              <w:rPr>
                <w:rFonts w:ascii="Calibri" w:hAnsi="Calibri"/>
                <w:b/>
                <w:color w:val="000000"/>
                <w:szCs w:val="22"/>
              </w:rPr>
              <w:t>31.4%</w:t>
            </w:r>
          </w:p>
          <w:p w:rsidR="00127F7C" w:rsidRDefault="00127F7C" w:rsidP="00D86226">
            <w:pPr>
              <w:jc w:val="center"/>
              <w:rPr>
                <w:rFonts w:ascii="Calibri" w:hAnsi="Calibri"/>
                <w:color w:val="000000"/>
                <w:szCs w:val="22"/>
              </w:rPr>
            </w:pPr>
            <w:r w:rsidRPr="00127F7C">
              <w:rPr>
                <w:rFonts w:ascii="Calibri" w:hAnsi="Calibri"/>
                <w:color w:val="000000"/>
                <w:szCs w:val="22"/>
              </w:rPr>
              <w:t>0.2%</w:t>
            </w:r>
          </w:p>
          <w:p w:rsidR="00127F7C" w:rsidRDefault="00127F7C" w:rsidP="00D86226">
            <w:pPr>
              <w:jc w:val="center"/>
              <w:rPr>
                <w:rFonts w:ascii="Calibri" w:hAnsi="Calibri"/>
                <w:color w:val="000000"/>
                <w:szCs w:val="22"/>
              </w:rPr>
            </w:pPr>
            <w:r>
              <w:rPr>
                <w:rFonts w:ascii="Calibri" w:hAnsi="Calibri"/>
                <w:color w:val="000000"/>
                <w:szCs w:val="22"/>
              </w:rPr>
              <w:t>7.4%</w:t>
            </w:r>
          </w:p>
          <w:p w:rsidR="00127F7C" w:rsidRDefault="00CF64A4" w:rsidP="00D86226">
            <w:pPr>
              <w:jc w:val="center"/>
              <w:rPr>
                <w:rFonts w:ascii="Calibri" w:hAnsi="Calibri"/>
                <w:color w:val="000000"/>
                <w:szCs w:val="22"/>
              </w:rPr>
            </w:pPr>
            <w:r>
              <w:rPr>
                <w:rFonts w:ascii="Calibri" w:hAnsi="Calibri"/>
                <w:color w:val="000000"/>
                <w:szCs w:val="22"/>
              </w:rPr>
              <w:t>4.2</w:t>
            </w:r>
            <w:r w:rsidR="00127F7C">
              <w:rPr>
                <w:rFonts w:ascii="Calibri" w:hAnsi="Calibri"/>
                <w:color w:val="000000"/>
                <w:szCs w:val="22"/>
              </w:rPr>
              <w:t>%</w:t>
            </w:r>
          </w:p>
          <w:p w:rsidR="00127F7C" w:rsidRDefault="00127F7C" w:rsidP="00D86226">
            <w:pPr>
              <w:jc w:val="center"/>
              <w:rPr>
                <w:rFonts w:ascii="Calibri" w:hAnsi="Calibri"/>
                <w:color w:val="000000"/>
                <w:szCs w:val="22"/>
              </w:rPr>
            </w:pPr>
            <w:r>
              <w:rPr>
                <w:rFonts w:ascii="Calibri" w:hAnsi="Calibri"/>
                <w:color w:val="000000"/>
                <w:szCs w:val="22"/>
              </w:rPr>
              <w:t>1.5%</w:t>
            </w:r>
          </w:p>
          <w:p w:rsidR="00127F7C" w:rsidRDefault="00127F7C" w:rsidP="00D86226">
            <w:pPr>
              <w:jc w:val="center"/>
              <w:rPr>
                <w:rFonts w:ascii="Calibri" w:hAnsi="Calibri"/>
                <w:color w:val="000000"/>
                <w:szCs w:val="22"/>
              </w:rPr>
            </w:pPr>
            <w:r>
              <w:rPr>
                <w:rFonts w:ascii="Calibri" w:hAnsi="Calibri"/>
                <w:color w:val="000000"/>
                <w:szCs w:val="22"/>
              </w:rPr>
              <w:t>2.5%</w:t>
            </w:r>
          </w:p>
          <w:p w:rsidR="00127F7C" w:rsidRDefault="00127F7C" w:rsidP="00D86226">
            <w:pPr>
              <w:jc w:val="center"/>
              <w:rPr>
                <w:rFonts w:ascii="Calibri" w:hAnsi="Calibri"/>
                <w:color w:val="000000"/>
                <w:szCs w:val="22"/>
              </w:rPr>
            </w:pPr>
            <w:r>
              <w:rPr>
                <w:rFonts w:ascii="Calibri" w:hAnsi="Calibri"/>
                <w:color w:val="000000"/>
                <w:szCs w:val="22"/>
              </w:rPr>
              <w:t>0.2%</w:t>
            </w:r>
          </w:p>
          <w:p w:rsidR="00127F7C" w:rsidRDefault="00CF64A4" w:rsidP="00D86226">
            <w:pPr>
              <w:jc w:val="center"/>
              <w:rPr>
                <w:rFonts w:ascii="Calibri" w:hAnsi="Calibri"/>
                <w:color w:val="000000"/>
                <w:szCs w:val="22"/>
              </w:rPr>
            </w:pPr>
            <w:r>
              <w:rPr>
                <w:rFonts w:ascii="Calibri" w:hAnsi="Calibri"/>
                <w:color w:val="000000"/>
                <w:szCs w:val="22"/>
              </w:rPr>
              <w:t>8.1</w:t>
            </w:r>
            <w:r w:rsidR="004F1231">
              <w:rPr>
                <w:rFonts w:ascii="Calibri" w:hAnsi="Calibri"/>
                <w:color w:val="000000"/>
                <w:szCs w:val="22"/>
              </w:rPr>
              <w:t>%</w:t>
            </w:r>
          </w:p>
          <w:p w:rsidR="004F1231" w:rsidRDefault="00874A3E" w:rsidP="00D86226">
            <w:pPr>
              <w:jc w:val="center"/>
              <w:rPr>
                <w:rFonts w:ascii="Calibri" w:hAnsi="Calibri"/>
                <w:color w:val="000000"/>
                <w:szCs w:val="22"/>
              </w:rPr>
            </w:pPr>
            <w:r>
              <w:rPr>
                <w:rFonts w:ascii="Calibri" w:hAnsi="Calibri"/>
                <w:color w:val="000000"/>
                <w:szCs w:val="22"/>
              </w:rPr>
              <w:t>3.0</w:t>
            </w:r>
            <w:r w:rsidR="004F1231">
              <w:rPr>
                <w:rFonts w:ascii="Calibri" w:hAnsi="Calibri"/>
                <w:color w:val="000000"/>
                <w:szCs w:val="22"/>
              </w:rPr>
              <w:t>%</w:t>
            </w:r>
          </w:p>
          <w:p w:rsidR="004F1231" w:rsidRDefault="004F1231" w:rsidP="00D86226">
            <w:pPr>
              <w:jc w:val="center"/>
              <w:rPr>
                <w:rFonts w:ascii="Calibri" w:hAnsi="Calibri"/>
                <w:color w:val="000000"/>
                <w:szCs w:val="22"/>
              </w:rPr>
            </w:pPr>
            <w:r>
              <w:rPr>
                <w:rFonts w:ascii="Calibri" w:hAnsi="Calibri"/>
                <w:color w:val="000000"/>
                <w:szCs w:val="22"/>
              </w:rPr>
              <w:t>1.1%</w:t>
            </w:r>
          </w:p>
          <w:p w:rsidR="004F1231" w:rsidRDefault="004F1231" w:rsidP="00D86226">
            <w:pPr>
              <w:jc w:val="center"/>
              <w:rPr>
                <w:rFonts w:ascii="Calibri" w:hAnsi="Calibri"/>
                <w:color w:val="000000"/>
                <w:szCs w:val="22"/>
              </w:rPr>
            </w:pPr>
            <w:r>
              <w:rPr>
                <w:rFonts w:ascii="Calibri" w:hAnsi="Calibri"/>
                <w:color w:val="000000"/>
                <w:szCs w:val="22"/>
              </w:rPr>
              <w:t>2.3%</w:t>
            </w:r>
          </w:p>
          <w:p w:rsidR="004F1231" w:rsidRDefault="004F1231" w:rsidP="00D86226">
            <w:pPr>
              <w:jc w:val="center"/>
              <w:rPr>
                <w:rFonts w:ascii="Calibri" w:hAnsi="Calibri"/>
                <w:color w:val="000000"/>
                <w:szCs w:val="22"/>
              </w:rPr>
            </w:pPr>
            <w:r>
              <w:rPr>
                <w:rFonts w:ascii="Calibri" w:hAnsi="Calibri"/>
                <w:color w:val="000000"/>
                <w:szCs w:val="22"/>
              </w:rPr>
              <w:t>0.6%</w:t>
            </w:r>
          </w:p>
          <w:p w:rsidR="004F1231" w:rsidRPr="00127F7C" w:rsidRDefault="004F1231" w:rsidP="00D86226">
            <w:pPr>
              <w:jc w:val="center"/>
              <w:rPr>
                <w:rFonts w:ascii="Calibri" w:hAnsi="Calibri"/>
                <w:color w:val="000000"/>
                <w:szCs w:val="22"/>
              </w:rPr>
            </w:pPr>
            <w:r>
              <w:rPr>
                <w:rFonts w:ascii="Calibri" w:hAnsi="Calibri"/>
                <w:color w:val="000000"/>
                <w:szCs w:val="22"/>
              </w:rPr>
              <w:t>0.2%</w:t>
            </w:r>
          </w:p>
        </w:tc>
      </w:tr>
      <w:tr w:rsidR="004668E4" w:rsidTr="004668E4">
        <w:tc>
          <w:tcPr>
            <w:tcW w:w="4678" w:type="dxa"/>
            <w:tcBorders>
              <w:top w:val="single" w:sz="4" w:space="0" w:color="auto"/>
              <w:left w:val="single" w:sz="4" w:space="0" w:color="auto"/>
              <w:bottom w:val="single" w:sz="4" w:space="0" w:color="auto"/>
              <w:right w:val="single" w:sz="4" w:space="0" w:color="auto"/>
            </w:tcBorders>
            <w:vAlign w:val="bottom"/>
            <w:hideMark/>
          </w:tcPr>
          <w:p w:rsidR="004668E4" w:rsidRDefault="004668E4" w:rsidP="00D86226">
            <w:pPr>
              <w:rPr>
                <w:rFonts w:ascii="Calibri" w:hAnsi="Calibri" w:cs="Calibri"/>
                <w:color w:val="000000"/>
                <w:szCs w:val="22"/>
              </w:rPr>
            </w:pPr>
            <w:r>
              <w:rPr>
                <w:rFonts w:cs="Arial"/>
                <w:b/>
                <w:szCs w:val="22"/>
              </w:rPr>
              <w:t>Other/unknown health service</w:t>
            </w:r>
          </w:p>
        </w:tc>
        <w:tc>
          <w:tcPr>
            <w:tcW w:w="2268" w:type="dxa"/>
            <w:tcBorders>
              <w:top w:val="single" w:sz="4" w:space="0" w:color="auto"/>
              <w:left w:val="single" w:sz="4" w:space="0" w:color="auto"/>
              <w:bottom w:val="single" w:sz="4" w:space="0" w:color="auto"/>
              <w:right w:val="single" w:sz="4" w:space="0" w:color="auto"/>
            </w:tcBorders>
            <w:vAlign w:val="center"/>
          </w:tcPr>
          <w:p w:rsidR="004668E4" w:rsidRPr="004668E4" w:rsidRDefault="004668E4" w:rsidP="00D86226">
            <w:pPr>
              <w:jc w:val="center"/>
              <w:rPr>
                <w:rFonts w:ascii="Calibri" w:hAnsi="Calibri"/>
                <w:b/>
                <w:color w:val="000000"/>
                <w:szCs w:val="22"/>
                <w:highlight w:val="yellow"/>
              </w:rPr>
            </w:pPr>
            <w:r w:rsidRPr="004668E4">
              <w:rPr>
                <w:rFonts w:ascii="Calibri" w:hAnsi="Calibri"/>
                <w:b/>
                <w:color w:val="000000"/>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4668E4" w:rsidRPr="000D30A8" w:rsidRDefault="004F1231" w:rsidP="00D86226">
            <w:pPr>
              <w:jc w:val="center"/>
              <w:rPr>
                <w:rFonts w:ascii="Calibri" w:hAnsi="Calibri"/>
                <w:b/>
                <w:color w:val="000000"/>
                <w:szCs w:val="22"/>
              </w:rPr>
            </w:pPr>
            <w:r>
              <w:rPr>
                <w:rFonts w:ascii="Calibri" w:hAnsi="Calibri"/>
                <w:b/>
                <w:color w:val="000000"/>
                <w:szCs w:val="22"/>
              </w:rPr>
              <w:t>0.6%</w:t>
            </w:r>
          </w:p>
        </w:tc>
      </w:tr>
      <w:tr w:rsidR="004668E4" w:rsidTr="004668E4">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68E4" w:rsidRDefault="004668E4" w:rsidP="00D86226">
            <w:pPr>
              <w:rPr>
                <w:rFonts w:cs="Arial"/>
                <w:b/>
                <w:szCs w:val="22"/>
              </w:rPr>
            </w:pPr>
            <w:r>
              <w:rPr>
                <w:rFonts w:ascii="Calibri" w:hAnsi="Calibri"/>
                <w:b/>
                <w:szCs w:val="22"/>
              </w:rPr>
              <w:t>TOTAL</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68E4" w:rsidRPr="004668E4" w:rsidRDefault="004668E4" w:rsidP="00D86226">
            <w:pPr>
              <w:jc w:val="center"/>
              <w:rPr>
                <w:rFonts w:ascii="Calibri" w:hAnsi="Calibri"/>
                <w:b/>
                <w:color w:val="000000"/>
                <w:szCs w:val="22"/>
                <w:highlight w:val="yellow"/>
              </w:rPr>
            </w:pPr>
            <w:r w:rsidRPr="004668E4">
              <w:rPr>
                <w:rFonts w:ascii="Calibri" w:hAnsi="Calibri"/>
                <w:b/>
                <w:color w:val="000000"/>
                <w:szCs w:val="22"/>
              </w:rPr>
              <w:t>47</w:t>
            </w:r>
            <w:r w:rsidR="00BB0A8A">
              <w:rPr>
                <w:rFonts w:ascii="Calibri" w:hAnsi="Calibri"/>
                <w:b/>
                <w:color w:val="000000"/>
                <w:szCs w:val="22"/>
              </w:rPr>
              <w:t>2</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68E4" w:rsidRDefault="004668E4" w:rsidP="00D86226">
            <w:pPr>
              <w:jc w:val="center"/>
              <w:rPr>
                <w:rFonts w:ascii="Calibri" w:hAnsi="Calibri"/>
                <w:b/>
                <w:color w:val="000000"/>
                <w:szCs w:val="22"/>
              </w:rPr>
            </w:pPr>
          </w:p>
        </w:tc>
      </w:tr>
    </w:tbl>
    <w:p w:rsidR="00D86226" w:rsidRDefault="00D86226" w:rsidP="00D86226">
      <w:bookmarkStart w:id="59" w:name="_Toc426462632"/>
    </w:p>
    <w:p w:rsidR="00D86226" w:rsidRDefault="00D86226" w:rsidP="00D86226">
      <w:pPr>
        <w:pStyle w:val="Heading2"/>
        <w:rPr>
          <w:lang w:val="en-NZ"/>
        </w:rPr>
      </w:pPr>
      <w:bookmarkStart w:id="60" w:name="_Toc443992227"/>
      <w:bookmarkStart w:id="61" w:name="_Toc445910051"/>
      <w:bookmarkStart w:id="62" w:name="_Toc447291335"/>
      <w:bookmarkStart w:id="63" w:name="_Toc447291473"/>
      <w:bookmarkStart w:id="64" w:name="_Toc447527530"/>
      <w:bookmarkStart w:id="65" w:name="_Toc493684128"/>
      <w:bookmarkStart w:id="66" w:name="_Toc516741374"/>
      <w:r>
        <w:rPr>
          <w:lang w:val="en-NZ"/>
        </w:rPr>
        <w:lastRenderedPageBreak/>
        <w:t>3.0</w:t>
      </w:r>
      <w:r>
        <w:rPr>
          <w:lang w:val="en-NZ"/>
        </w:rPr>
        <w:tab/>
        <w:t>Issues complained about</w:t>
      </w:r>
      <w:bookmarkEnd w:id="59"/>
      <w:bookmarkEnd w:id="60"/>
      <w:bookmarkEnd w:id="61"/>
      <w:bookmarkEnd w:id="62"/>
      <w:bookmarkEnd w:id="63"/>
      <w:bookmarkEnd w:id="64"/>
      <w:bookmarkEnd w:id="65"/>
      <w:bookmarkEnd w:id="66"/>
      <w:r>
        <w:rPr>
          <w:lang w:val="en-NZ"/>
        </w:rPr>
        <w:t xml:space="preserve"> </w:t>
      </w:r>
    </w:p>
    <w:p w:rsidR="00D86226" w:rsidRDefault="00D86226" w:rsidP="00D86226">
      <w:pPr>
        <w:pStyle w:val="Heading3"/>
        <w:spacing w:before="120" w:after="120"/>
      </w:pPr>
      <w:bookmarkStart w:id="67" w:name="_Toc426462633"/>
      <w:bookmarkStart w:id="68" w:name="_Toc443992228"/>
      <w:bookmarkStart w:id="69" w:name="_Toc445910052"/>
      <w:bookmarkStart w:id="70" w:name="_Toc447291336"/>
      <w:bookmarkStart w:id="71" w:name="_Toc447291474"/>
      <w:bookmarkStart w:id="72" w:name="_Toc447527531"/>
      <w:bookmarkStart w:id="73" w:name="_Toc493684129"/>
      <w:bookmarkStart w:id="74" w:name="_Toc516741375"/>
      <w:r>
        <w:t>3.1</w:t>
      </w:r>
      <w:r>
        <w:tab/>
        <w:t>Primary complaint issues</w:t>
      </w:r>
      <w:bookmarkEnd w:id="67"/>
      <w:bookmarkEnd w:id="68"/>
      <w:bookmarkEnd w:id="69"/>
      <w:bookmarkEnd w:id="70"/>
      <w:bookmarkEnd w:id="71"/>
      <w:bookmarkEnd w:id="72"/>
      <w:bookmarkEnd w:id="73"/>
      <w:bookmarkEnd w:id="74"/>
    </w:p>
    <w:p w:rsidR="00D86226" w:rsidRDefault="00D86226" w:rsidP="00D86226">
      <w:r>
        <w:t>For each complaint received by HDC, one primar</w:t>
      </w:r>
      <w:r w:rsidR="004E4C2C">
        <w:t>y complaint issue is identified</w:t>
      </w:r>
      <w:r>
        <w:t xml:space="preserve">. The primary issues identified in complaints received in </w:t>
      </w:r>
      <w:r w:rsidR="00BA0512">
        <w:rPr>
          <w:lang w:eastAsia="en-NZ" w:bidi="ar-SA"/>
        </w:rPr>
        <w:t>Jan–Jun 2018</w:t>
      </w:r>
      <w:r>
        <w:rPr>
          <w:lang w:eastAsia="en-NZ" w:bidi="ar-SA"/>
        </w:rPr>
        <w:t xml:space="preserve"> </w:t>
      </w:r>
      <w:r>
        <w:t xml:space="preserve">are listed in Table 6. </w:t>
      </w:r>
      <w:r w:rsidR="004A5036">
        <w:t xml:space="preserve">It should be noted that </w:t>
      </w:r>
      <w:r w:rsidR="004A5036" w:rsidRPr="00666BAC">
        <w:t>the issues included are as articul</w:t>
      </w:r>
      <w:r w:rsidR="004A5036">
        <w:t>ated by the complainant to HDC.</w:t>
      </w:r>
      <w:r w:rsidR="004A5036" w:rsidRPr="00666BAC">
        <w:t xml:space="preserve"> While not all issues raised in complaints are subsequently factually and/or clinically subst</w:t>
      </w:r>
      <w:r w:rsidR="00ED23D0">
        <w:t>antiated, those issues</w:t>
      </w:r>
      <w:r w:rsidR="004A5036" w:rsidRPr="00666BAC">
        <w:t xml:space="preserve"> provide a valuable insight into the consumer’s experience of the services provided and the issues they care most about</w:t>
      </w:r>
      <w:r w:rsidR="00C84CA1">
        <w:t>.</w:t>
      </w:r>
    </w:p>
    <w:p w:rsidR="00D86226" w:rsidRDefault="00D86226" w:rsidP="00D86226"/>
    <w:p w:rsidR="00D86226" w:rsidRDefault="00D86226" w:rsidP="00D86226">
      <w:pPr>
        <w:spacing w:after="120"/>
        <w:rPr>
          <w:b/>
        </w:rPr>
      </w:pPr>
      <w:proofErr w:type="gramStart"/>
      <w:r>
        <w:rPr>
          <w:b/>
        </w:rPr>
        <w:t>Table 6.</w:t>
      </w:r>
      <w:proofErr w:type="gramEnd"/>
      <w:r>
        <w:rPr>
          <w:b/>
        </w:rPr>
        <w:t xml:space="preserve"> </w:t>
      </w:r>
      <w:r>
        <w:t>Primary issues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D86226" w:rsidTr="00D86226">
        <w:trPr>
          <w:tblHeader/>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spacing w:before="120"/>
              <w:jc w:val="left"/>
              <w:outlineLvl w:val="0"/>
              <w:rPr>
                <w:rFonts w:ascii="Calibri" w:hAnsi="Calibri"/>
                <w:b/>
                <w:szCs w:val="22"/>
              </w:rPr>
            </w:pPr>
            <w:r>
              <w:rPr>
                <w:rFonts w:ascii="Calibri" w:hAnsi="Calibri"/>
                <w:b/>
                <w:szCs w:val="22"/>
              </w:rPr>
              <w:t xml:space="preserve">Primary issue in complaints </w:t>
            </w:r>
          </w:p>
        </w:tc>
        <w:tc>
          <w:tcPr>
            <w:tcW w:w="170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spacing w:before="120"/>
              <w:jc w:val="center"/>
              <w:outlineLvl w:val="0"/>
              <w:rPr>
                <w:rFonts w:ascii="Calibri" w:hAnsi="Calibri"/>
                <w:b/>
                <w:szCs w:val="22"/>
              </w:rPr>
            </w:pPr>
            <w:r>
              <w:rPr>
                <w:rFonts w:ascii="Calibri" w:hAnsi="Calibri"/>
                <w:b/>
                <w:szCs w:val="22"/>
              </w:rPr>
              <w:t xml:space="preserve">Number of complaints </w:t>
            </w:r>
          </w:p>
        </w:tc>
        <w:tc>
          <w:tcPr>
            <w:tcW w:w="1418"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spacing w:before="120"/>
              <w:jc w:val="center"/>
              <w:outlineLvl w:val="0"/>
              <w:rPr>
                <w:rFonts w:ascii="Calibri" w:hAnsi="Calibri"/>
                <w:b/>
                <w:szCs w:val="22"/>
              </w:rPr>
            </w:pPr>
            <w:r>
              <w:rPr>
                <w:rFonts w:ascii="Calibri" w:hAnsi="Calibri"/>
                <w:b/>
                <w:szCs w:val="22"/>
              </w:rPr>
              <w:t>Percentage</w:t>
            </w:r>
          </w:p>
        </w:tc>
      </w:tr>
      <w:tr w:rsidR="00D86226" w:rsidTr="00D86226">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86226" w:rsidRDefault="00D86226" w:rsidP="00D86226">
            <w:pPr>
              <w:keepNext/>
              <w:keepLines/>
              <w:rPr>
                <w:rFonts w:ascii="Calibri" w:hAnsi="Calibri" w:cs="Calibri"/>
                <w:b/>
                <w:i/>
                <w:color w:val="000000"/>
                <w:szCs w:val="22"/>
              </w:rPr>
            </w:pPr>
            <w:r>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B6146C" w:rsidP="00B6146C">
            <w:pPr>
              <w:keepNext/>
              <w:keepLines/>
              <w:jc w:val="center"/>
              <w:rPr>
                <w:rFonts w:ascii="Calibri" w:hAnsi="Calibri" w:cs="Calibri"/>
                <w:b/>
                <w:i/>
                <w:color w:val="000000"/>
                <w:szCs w:val="22"/>
              </w:rPr>
            </w:pPr>
            <w:r>
              <w:rPr>
                <w:rFonts w:ascii="Calibri" w:hAnsi="Calibri" w:cs="Calibri"/>
                <w:b/>
                <w:i/>
                <w:color w:val="000000"/>
                <w:szCs w:val="22"/>
              </w:rPr>
              <w:t>8</w:t>
            </w:r>
            <w:r w:rsidR="00A03405">
              <w:rPr>
                <w:rFonts w:ascii="Calibri" w:hAnsi="Calibri" w:cs="Calibri"/>
                <w:b/>
                <w:i/>
                <w:color w:val="000000"/>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A03405" w:rsidP="00D86226">
            <w:pPr>
              <w:keepNext/>
              <w:keepLines/>
              <w:jc w:val="center"/>
              <w:rPr>
                <w:rFonts w:ascii="Calibri" w:hAnsi="Calibri" w:cs="Calibri"/>
                <w:b/>
                <w:i/>
                <w:color w:val="000000"/>
                <w:szCs w:val="22"/>
              </w:rPr>
            </w:pPr>
            <w:r>
              <w:rPr>
                <w:rFonts w:ascii="Calibri" w:hAnsi="Calibri" w:cs="Calibri"/>
                <w:b/>
                <w:i/>
                <w:color w:val="000000"/>
                <w:szCs w:val="22"/>
              </w:rPr>
              <w:t>17.8</w:t>
            </w:r>
            <w:r w:rsidR="00563472">
              <w:rPr>
                <w:rFonts w:ascii="Calibri" w:hAnsi="Calibri" w:cs="Calibri"/>
                <w:b/>
                <w:i/>
                <w:color w:val="000000"/>
                <w:szCs w:val="22"/>
              </w:rPr>
              <w:t>%</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keepNext/>
              <w:keepLines/>
              <w:tabs>
                <w:tab w:val="left" w:pos="176"/>
              </w:tabs>
              <w:ind w:left="176"/>
              <w:jc w:val="left"/>
              <w:rPr>
                <w:rFonts w:ascii="Calibri" w:hAnsi="Calibri" w:cs="Calibri"/>
                <w:color w:val="000000"/>
                <w:szCs w:val="22"/>
              </w:rPr>
            </w:pPr>
            <w:r>
              <w:rPr>
                <w:rFonts w:ascii="Calibri" w:hAnsi="Calibri" w:cs="Calibri"/>
                <w:color w:val="000000"/>
                <w:szCs w:val="22"/>
              </w:rPr>
              <w:t>Lack of access to services</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A03405" w:rsidP="00D86226">
            <w:pPr>
              <w:keepNext/>
              <w:keepLines/>
              <w:jc w:val="center"/>
              <w:rPr>
                <w:rFonts w:ascii="Calibri" w:hAnsi="Calibri" w:cs="Calibri"/>
                <w:color w:val="000000"/>
                <w:szCs w:val="22"/>
              </w:rPr>
            </w:pPr>
            <w:r>
              <w:rPr>
                <w:rFonts w:ascii="Calibri" w:hAnsi="Calibri" w:cs="Calibri"/>
                <w:color w:val="000000"/>
                <w:szCs w:val="22"/>
              </w:rPr>
              <w:t>29</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A03405" w:rsidP="00D86226">
            <w:pPr>
              <w:keepNext/>
              <w:keepLines/>
              <w:jc w:val="center"/>
              <w:rPr>
                <w:rFonts w:ascii="Calibri" w:hAnsi="Calibri" w:cs="Calibri"/>
                <w:color w:val="000000"/>
                <w:szCs w:val="22"/>
              </w:rPr>
            </w:pPr>
            <w:r>
              <w:rPr>
                <w:rFonts w:ascii="Calibri" w:hAnsi="Calibri" w:cs="Calibri"/>
                <w:color w:val="000000"/>
                <w:szCs w:val="22"/>
              </w:rPr>
              <w:t>6.4</w:t>
            </w:r>
            <w:r w:rsidR="00563472">
              <w:rPr>
                <w:rFonts w:ascii="Calibri" w:hAnsi="Calibri" w:cs="Calibri"/>
                <w:color w:val="000000"/>
                <w:szCs w:val="22"/>
              </w:rPr>
              <w:t>%</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keepNext/>
              <w:keepLines/>
              <w:ind w:left="720" w:hanging="544"/>
              <w:rPr>
                <w:rFonts w:ascii="Calibri" w:hAnsi="Calibri" w:cs="Calibri"/>
                <w:color w:val="000000"/>
                <w:szCs w:val="22"/>
              </w:rPr>
            </w:pPr>
            <w:r>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keepNext/>
              <w:keepLines/>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563472" w:rsidP="00D86226">
            <w:pPr>
              <w:keepNext/>
              <w:keepLines/>
              <w:jc w:val="center"/>
              <w:rPr>
                <w:rFonts w:ascii="Calibri" w:hAnsi="Calibri" w:cs="Calibri"/>
                <w:color w:val="000000"/>
                <w:szCs w:val="22"/>
              </w:rPr>
            </w:pPr>
            <w:r>
              <w:rPr>
                <w:rFonts w:ascii="Calibri" w:hAnsi="Calibri" w:cs="Calibri"/>
                <w:color w:val="000000"/>
                <w:szCs w:val="22"/>
              </w:rPr>
              <w:t>0.7%</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keepNext/>
              <w:keepLines/>
              <w:tabs>
                <w:tab w:val="left" w:pos="176"/>
              </w:tabs>
              <w:ind w:left="176"/>
              <w:rPr>
                <w:rFonts w:ascii="Calibri" w:hAnsi="Calibri" w:cs="Calibri"/>
                <w:color w:val="000000"/>
                <w:szCs w:val="22"/>
              </w:rPr>
            </w:pPr>
            <w:r>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keepNext/>
              <w:keepLines/>
              <w:jc w:val="center"/>
              <w:rPr>
                <w:rFonts w:ascii="Calibri" w:hAnsi="Calibri" w:cs="Calibri"/>
                <w:color w:val="000000"/>
                <w:szCs w:val="22"/>
              </w:rPr>
            </w:pPr>
            <w:r>
              <w:rPr>
                <w:rFonts w:ascii="Calibri" w:hAnsi="Calibri" w:cs="Calibri"/>
                <w:color w:val="000000"/>
                <w:szCs w:val="22"/>
              </w:rPr>
              <w:t>48</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A03405" w:rsidP="00D86226">
            <w:pPr>
              <w:keepNext/>
              <w:keepLines/>
              <w:jc w:val="center"/>
              <w:rPr>
                <w:rFonts w:ascii="Calibri" w:hAnsi="Calibri" w:cs="Calibri"/>
                <w:color w:val="000000"/>
                <w:szCs w:val="22"/>
              </w:rPr>
            </w:pPr>
            <w:r>
              <w:rPr>
                <w:rFonts w:ascii="Calibri" w:hAnsi="Calibri" w:cs="Calibri"/>
                <w:color w:val="000000"/>
                <w:szCs w:val="22"/>
              </w:rPr>
              <w:t>10.7</w:t>
            </w:r>
            <w:r w:rsidR="00563472">
              <w:rPr>
                <w:rFonts w:ascii="Calibri" w:hAnsi="Calibri" w:cs="Calibri"/>
                <w:color w:val="000000"/>
                <w:szCs w:val="22"/>
              </w:rPr>
              <w:t>%</w:t>
            </w:r>
          </w:p>
        </w:tc>
      </w:tr>
      <w:tr w:rsidR="00D86226" w:rsidTr="00D86226">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86226" w:rsidRDefault="00D86226" w:rsidP="00D86226">
            <w:pPr>
              <w:keepNext/>
              <w:keepLines/>
              <w:rPr>
                <w:rFonts w:ascii="Calibri" w:hAnsi="Calibri" w:cs="Calibri"/>
                <w:b/>
                <w:i/>
                <w:color w:val="000000"/>
                <w:szCs w:val="22"/>
              </w:rPr>
            </w:pPr>
            <w:r>
              <w:rPr>
                <w:rFonts w:ascii="Calibri" w:hAnsi="Calibri" w:cs="Calibri"/>
                <w:b/>
                <w:i/>
                <w:color w:val="000000"/>
                <w:szCs w:val="22"/>
              </w:rPr>
              <w:t>Boundary violation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BA0512" w:rsidP="00D86226">
            <w:pPr>
              <w:keepNext/>
              <w:keepLines/>
              <w:jc w:val="center"/>
              <w:rPr>
                <w:rFonts w:ascii="Calibri" w:hAnsi="Calibri" w:cs="Calibri"/>
                <w:b/>
                <w:i/>
                <w:color w:val="000000"/>
                <w:szCs w:val="22"/>
              </w:rPr>
            </w:pPr>
            <w:r>
              <w:rPr>
                <w:rFonts w:ascii="Calibri" w:hAnsi="Calibri" w:cs="Calibri"/>
                <w:b/>
                <w:i/>
                <w:color w:val="000000"/>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563472" w:rsidP="00D86226">
            <w:pPr>
              <w:keepNext/>
              <w:keepLines/>
              <w:jc w:val="center"/>
              <w:rPr>
                <w:rFonts w:ascii="Calibri" w:hAnsi="Calibri" w:cs="Calibri"/>
                <w:b/>
                <w:i/>
                <w:color w:val="000000"/>
                <w:szCs w:val="22"/>
              </w:rPr>
            </w:pPr>
            <w:r>
              <w:rPr>
                <w:rFonts w:ascii="Calibri" w:hAnsi="Calibri" w:cs="Calibri"/>
                <w:b/>
                <w:i/>
                <w:color w:val="000000"/>
                <w:szCs w:val="22"/>
              </w:rPr>
              <w:t>0.2%</w:t>
            </w:r>
          </w:p>
        </w:tc>
      </w:tr>
      <w:tr w:rsidR="00D86226" w:rsidTr="00D86226">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86226" w:rsidRDefault="00D86226" w:rsidP="00D86226">
            <w:pPr>
              <w:keepNext/>
              <w:keepLines/>
              <w:tabs>
                <w:tab w:val="left" w:pos="176"/>
              </w:tabs>
              <w:jc w:val="left"/>
              <w:rPr>
                <w:rFonts w:ascii="Calibri" w:hAnsi="Calibri" w:cs="Calibri"/>
                <w:b/>
                <w:i/>
                <w:color w:val="000000"/>
                <w:szCs w:val="22"/>
              </w:rPr>
            </w:pPr>
            <w:r>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B6146C" w:rsidP="00D86226">
            <w:pPr>
              <w:keepNext/>
              <w:keepLines/>
              <w:jc w:val="center"/>
              <w:rPr>
                <w:rFonts w:ascii="Calibri" w:hAnsi="Calibri" w:cs="Calibri"/>
                <w:b/>
                <w:i/>
                <w:color w:val="000000"/>
                <w:szCs w:val="22"/>
              </w:rPr>
            </w:pPr>
            <w:r>
              <w:rPr>
                <w:rFonts w:ascii="Calibri" w:hAnsi="Calibri" w:cs="Calibri"/>
                <w:b/>
                <w:i/>
                <w:color w:val="000000"/>
                <w:szCs w:val="22"/>
              </w:rPr>
              <w:t>21</w:t>
            </w:r>
            <w:r w:rsidR="00563472">
              <w:rPr>
                <w:rFonts w:ascii="Calibri" w:hAnsi="Calibri" w:cs="Calibri"/>
                <w:b/>
                <w:i/>
                <w:color w:val="000000"/>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A03405" w:rsidP="00D86226">
            <w:pPr>
              <w:keepNext/>
              <w:keepLines/>
              <w:jc w:val="center"/>
              <w:rPr>
                <w:rFonts w:ascii="Calibri" w:hAnsi="Calibri" w:cs="Calibri"/>
                <w:b/>
                <w:i/>
                <w:color w:val="000000"/>
                <w:szCs w:val="22"/>
              </w:rPr>
            </w:pPr>
            <w:r>
              <w:rPr>
                <w:rFonts w:ascii="Calibri" w:hAnsi="Calibri" w:cs="Calibri"/>
                <w:b/>
                <w:i/>
                <w:color w:val="000000"/>
                <w:szCs w:val="22"/>
              </w:rPr>
              <w:t>47.6</w:t>
            </w:r>
            <w:r w:rsidR="00563472">
              <w:rPr>
                <w:rFonts w:ascii="Calibri" w:hAnsi="Calibri" w:cs="Calibri"/>
                <w:b/>
                <w:i/>
                <w:color w:val="000000"/>
                <w:szCs w:val="22"/>
              </w:rPr>
              <w:t>%</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keepNext/>
              <w:keepLines/>
              <w:tabs>
                <w:tab w:val="left" w:pos="176"/>
              </w:tabs>
              <w:ind w:left="176"/>
              <w:rPr>
                <w:rFonts w:ascii="Calibri" w:hAnsi="Calibri" w:cs="Calibri"/>
                <w:color w:val="000000"/>
                <w:szCs w:val="22"/>
              </w:rPr>
            </w:pPr>
            <w:r>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keepNext/>
              <w:keepLines/>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563472" w:rsidP="00D86226">
            <w:pPr>
              <w:keepNext/>
              <w:keepLines/>
              <w:jc w:val="center"/>
              <w:rPr>
                <w:rFonts w:ascii="Calibri" w:hAnsi="Calibri" w:cs="Calibri"/>
                <w:color w:val="000000"/>
                <w:szCs w:val="22"/>
              </w:rPr>
            </w:pPr>
            <w:r>
              <w:rPr>
                <w:rFonts w:ascii="Calibri" w:hAnsi="Calibri" w:cs="Calibri"/>
                <w:color w:val="000000"/>
                <w:szCs w:val="22"/>
              </w:rPr>
              <w:t>2.4%</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keepNext/>
              <w:keepLines/>
              <w:tabs>
                <w:tab w:val="left" w:pos="176"/>
              </w:tabs>
              <w:ind w:left="176"/>
              <w:rPr>
                <w:rFonts w:ascii="Calibri" w:hAnsi="Calibri" w:cs="Calibri"/>
                <w:color w:val="000000"/>
                <w:szCs w:val="22"/>
              </w:rPr>
            </w:pPr>
            <w:r>
              <w:rPr>
                <w:rFonts w:ascii="Calibri" w:hAnsi="Calibri" w:cs="Calibri"/>
                <w:color w:val="000000"/>
                <w:szCs w:val="22"/>
              </w:rPr>
              <w:t>Delayed/inadequate/inappropriate referral</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keepNext/>
              <w:keepLines/>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563472" w:rsidP="00D86226">
            <w:pPr>
              <w:keepNext/>
              <w:keepLines/>
              <w:jc w:val="center"/>
              <w:rPr>
                <w:rFonts w:ascii="Calibri" w:hAnsi="Calibri" w:cs="Calibri"/>
                <w:color w:val="000000"/>
                <w:szCs w:val="22"/>
              </w:rPr>
            </w:pPr>
            <w:r>
              <w:rPr>
                <w:rFonts w:ascii="Calibri" w:hAnsi="Calibri" w:cs="Calibri"/>
                <w:color w:val="000000"/>
                <w:szCs w:val="22"/>
              </w:rPr>
              <w:t>0.7%</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tabs>
                <w:tab w:val="left" w:pos="204"/>
              </w:tabs>
              <w:ind w:firstLine="176"/>
              <w:rPr>
                <w:rFonts w:ascii="Calibri" w:hAnsi="Calibri" w:cs="Calibri"/>
                <w:color w:val="000000"/>
                <w:szCs w:val="22"/>
              </w:rPr>
            </w:pPr>
            <w:r>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A03405" w:rsidP="00D86226">
            <w:pPr>
              <w:jc w:val="center"/>
              <w:rPr>
                <w:rFonts w:ascii="Calibri" w:hAnsi="Calibri" w:cs="Calibri"/>
                <w:color w:val="000000"/>
                <w:szCs w:val="22"/>
              </w:rPr>
            </w:pPr>
            <w:r>
              <w:rPr>
                <w:rFonts w:ascii="Calibri" w:hAnsi="Calibri" w:cs="Calibri"/>
                <w:color w:val="000000"/>
                <w:szCs w:val="22"/>
              </w:rPr>
              <w:t>1.6</w:t>
            </w:r>
            <w:r w:rsidR="00563472">
              <w:rPr>
                <w:rFonts w:ascii="Calibri" w:hAnsi="Calibri" w:cs="Calibri"/>
                <w:color w:val="000000"/>
                <w:szCs w:val="22"/>
              </w:rPr>
              <w:t>%</w:t>
            </w:r>
          </w:p>
        </w:tc>
      </w:tr>
      <w:tr w:rsidR="00D86226" w:rsidTr="00D86226">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jc w:val="center"/>
              <w:rPr>
                <w:rFonts w:ascii="Calibri" w:hAnsi="Calibri" w:cs="Calibri"/>
                <w:color w:val="000000"/>
                <w:szCs w:val="22"/>
              </w:rPr>
            </w:pPr>
            <w:r>
              <w:rPr>
                <w:rFonts w:ascii="Calibri" w:hAnsi="Calibri" w:cs="Calibri"/>
                <w:color w:val="000000"/>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jc w:val="center"/>
              <w:rPr>
                <w:rFonts w:ascii="Calibri" w:hAnsi="Calibri" w:cs="Calibri"/>
                <w:color w:val="000000"/>
                <w:szCs w:val="22"/>
              </w:rPr>
            </w:pPr>
            <w:r>
              <w:rPr>
                <w:rFonts w:ascii="Calibri" w:hAnsi="Calibri" w:cs="Calibri"/>
                <w:color w:val="000000"/>
                <w:szCs w:val="22"/>
              </w:rPr>
              <w:t>4.4%</w:t>
            </w:r>
          </w:p>
        </w:tc>
      </w:tr>
      <w:tr w:rsidR="00D86226" w:rsidTr="00D86226">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jc w:val="center"/>
              <w:rPr>
                <w:rFonts w:ascii="Calibri" w:hAnsi="Calibri" w:cs="Calibri"/>
                <w:color w:val="000000"/>
                <w:szCs w:val="22"/>
              </w:rPr>
            </w:pPr>
            <w:r>
              <w:rPr>
                <w:rFonts w:ascii="Calibri" w:hAnsi="Calibri" w:cs="Calibri"/>
                <w:color w:val="000000"/>
                <w:szCs w:val="22"/>
              </w:rPr>
              <w:t>2.2%</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tabs>
                <w:tab w:val="left" w:pos="176"/>
              </w:tabs>
              <w:ind w:left="176"/>
              <w:rPr>
                <w:rFonts w:ascii="Calibri" w:hAnsi="Calibri" w:cs="Calibri"/>
                <w:color w:val="000000"/>
                <w:szCs w:val="22"/>
              </w:rPr>
            </w:pPr>
            <w:r>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jc w:val="center"/>
              <w:rPr>
                <w:rFonts w:ascii="Calibri" w:hAnsi="Calibri" w:cs="Calibri"/>
                <w:color w:val="000000"/>
                <w:szCs w:val="22"/>
              </w:rPr>
            </w:pPr>
            <w:r>
              <w:rPr>
                <w:rFonts w:ascii="Calibri" w:hAnsi="Calibri" w:cs="Calibri"/>
                <w:color w:val="000000"/>
                <w:szCs w:val="22"/>
              </w:rPr>
              <w:t>1.1%</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tabs>
                <w:tab w:val="left" w:pos="176"/>
              </w:tabs>
              <w:ind w:left="176"/>
              <w:rPr>
                <w:rFonts w:ascii="Calibri" w:hAnsi="Calibri" w:cs="Calibri"/>
                <w:color w:val="000000"/>
                <w:szCs w:val="22"/>
              </w:rPr>
            </w:pPr>
            <w:r>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jc w:val="center"/>
              <w:rPr>
                <w:rFonts w:ascii="Calibri" w:hAnsi="Calibri" w:cs="Calibri"/>
                <w:color w:val="000000"/>
                <w:szCs w:val="22"/>
              </w:rPr>
            </w:pPr>
            <w:r>
              <w:rPr>
                <w:rFonts w:ascii="Calibri" w:hAnsi="Calibri" w:cs="Calibri"/>
                <w:color w:val="000000"/>
                <w:szCs w:val="22"/>
              </w:rPr>
              <w:t>1.1%</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tabs>
                <w:tab w:val="left" w:pos="176"/>
              </w:tabs>
              <w:ind w:left="176"/>
              <w:rPr>
                <w:rFonts w:ascii="Calibri" w:hAnsi="Calibri" w:cs="Calibri"/>
                <w:color w:val="000000"/>
                <w:szCs w:val="22"/>
              </w:rPr>
            </w:pPr>
            <w:r>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jc w:val="center"/>
              <w:rPr>
                <w:rFonts w:ascii="Calibri" w:hAnsi="Calibri" w:cs="Calibri"/>
                <w:color w:val="000000"/>
                <w:szCs w:val="22"/>
              </w:rPr>
            </w:pPr>
            <w:r>
              <w:rPr>
                <w:rFonts w:ascii="Calibri" w:hAnsi="Calibri" w:cs="Calibri"/>
                <w:color w:val="000000"/>
                <w:szCs w:val="22"/>
              </w:rPr>
              <w:t>1.8%</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tcPr>
          <w:p w:rsidR="00D86226" w:rsidRDefault="00D86226" w:rsidP="00D86226">
            <w:pPr>
              <w:tabs>
                <w:tab w:val="left" w:pos="176"/>
              </w:tabs>
              <w:ind w:left="176"/>
              <w:rPr>
                <w:rFonts w:ascii="Calibri" w:hAnsi="Calibri" w:cs="Calibri"/>
                <w:color w:val="000000"/>
                <w:szCs w:val="22"/>
              </w:rPr>
            </w:pPr>
            <w:r>
              <w:rPr>
                <w:rFonts w:ascii="Calibri" w:hAnsi="Calibri" w:cs="Calibri"/>
                <w:color w:val="000000"/>
                <w:szCs w:val="22"/>
              </w:rPr>
              <w:t>Inadequate/inappropriate testing</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jc w:val="center"/>
              <w:rPr>
                <w:rFonts w:ascii="Calibri" w:hAnsi="Calibri" w:cs="Calibri"/>
                <w:color w:val="000000"/>
                <w:szCs w:val="22"/>
              </w:rPr>
            </w:pPr>
            <w:r>
              <w:rPr>
                <w:rFonts w:ascii="Calibri" w:hAnsi="Calibri" w:cs="Calibri"/>
                <w:color w:val="000000"/>
                <w:szCs w:val="22"/>
              </w:rPr>
              <w:t>0.2%</w:t>
            </w:r>
          </w:p>
        </w:tc>
      </w:tr>
      <w:tr w:rsidR="00D86226" w:rsidTr="00D86226">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widowControl w:val="0"/>
              <w:jc w:val="center"/>
              <w:rPr>
                <w:rFonts w:ascii="Calibri" w:hAnsi="Calibri" w:cs="Calibri"/>
                <w:color w:val="000000"/>
                <w:szCs w:val="22"/>
              </w:rPr>
            </w:pPr>
            <w:r>
              <w:rPr>
                <w:rFonts w:ascii="Calibri" w:hAnsi="Calibri" w:cs="Calibri"/>
                <w:color w:val="000000"/>
                <w:szCs w:val="22"/>
              </w:rPr>
              <w:t>2.4%</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tabs>
                <w:tab w:val="left" w:pos="176"/>
              </w:tabs>
              <w:ind w:left="176"/>
              <w:rPr>
                <w:rFonts w:ascii="Calibri" w:hAnsi="Calibri" w:cs="Calibri"/>
                <w:color w:val="000000"/>
                <w:szCs w:val="22"/>
              </w:rPr>
            </w:pPr>
            <w:r>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563472" w:rsidP="00D86226">
            <w:pPr>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jc w:val="center"/>
              <w:rPr>
                <w:rFonts w:ascii="Calibri" w:hAnsi="Calibri" w:cs="Calibri"/>
                <w:color w:val="000000"/>
                <w:szCs w:val="22"/>
              </w:rPr>
            </w:pPr>
            <w:r>
              <w:rPr>
                <w:rFonts w:ascii="Calibri" w:hAnsi="Calibri" w:cs="Calibri"/>
                <w:color w:val="000000"/>
                <w:szCs w:val="22"/>
              </w:rPr>
              <w:t>0.7%</w:t>
            </w:r>
          </w:p>
        </w:tc>
      </w:tr>
      <w:tr w:rsidR="00D86226" w:rsidTr="00D86226">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widowControl w:val="0"/>
              <w:jc w:val="center"/>
              <w:rPr>
                <w:rFonts w:ascii="Calibri" w:hAnsi="Calibri" w:cs="Calibri"/>
                <w:color w:val="000000"/>
                <w:szCs w:val="22"/>
              </w:rPr>
            </w:pPr>
            <w:r>
              <w:rPr>
                <w:rFonts w:ascii="Calibri" w:hAnsi="Calibri" w:cs="Calibri"/>
                <w:color w:val="000000"/>
                <w:szCs w:val="22"/>
              </w:rPr>
              <w:t>59</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widowControl w:val="0"/>
              <w:jc w:val="center"/>
              <w:rPr>
                <w:rFonts w:ascii="Calibri" w:hAnsi="Calibri" w:cs="Calibri"/>
                <w:color w:val="000000"/>
                <w:szCs w:val="22"/>
              </w:rPr>
            </w:pPr>
            <w:r>
              <w:rPr>
                <w:rFonts w:ascii="Calibri" w:hAnsi="Calibri" w:cs="Calibri"/>
                <w:color w:val="000000"/>
                <w:szCs w:val="22"/>
              </w:rPr>
              <w:t>13.1%</w:t>
            </w:r>
          </w:p>
        </w:tc>
      </w:tr>
      <w:tr w:rsidR="00BA0512" w:rsidTr="00D86226">
        <w:tc>
          <w:tcPr>
            <w:tcW w:w="5670" w:type="dxa"/>
            <w:tcBorders>
              <w:top w:val="single" w:sz="4" w:space="0" w:color="auto"/>
              <w:left w:val="single" w:sz="4" w:space="0" w:color="auto"/>
              <w:bottom w:val="single" w:sz="4" w:space="0" w:color="auto"/>
              <w:right w:val="single" w:sz="4" w:space="0" w:color="auto"/>
            </w:tcBorders>
          </w:tcPr>
          <w:p w:rsidR="00BA0512" w:rsidRDefault="00BA0512"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Refusal to assist/attend</w:t>
            </w:r>
          </w:p>
        </w:tc>
        <w:tc>
          <w:tcPr>
            <w:tcW w:w="1701" w:type="dxa"/>
            <w:tcBorders>
              <w:top w:val="single" w:sz="4" w:space="0" w:color="auto"/>
              <w:left w:val="single" w:sz="4" w:space="0" w:color="auto"/>
              <w:bottom w:val="single" w:sz="4" w:space="0" w:color="auto"/>
              <w:right w:val="single" w:sz="4" w:space="0" w:color="auto"/>
            </w:tcBorders>
            <w:vAlign w:val="center"/>
          </w:tcPr>
          <w:p w:rsidR="00BA0512" w:rsidRDefault="00BA0512" w:rsidP="00D86226">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BA0512" w:rsidRDefault="00CF6822" w:rsidP="00D86226">
            <w:pPr>
              <w:widowControl w:val="0"/>
              <w:jc w:val="center"/>
              <w:rPr>
                <w:rFonts w:ascii="Calibri" w:hAnsi="Calibri" w:cs="Calibri"/>
                <w:color w:val="000000"/>
                <w:szCs w:val="22"/>
              </w:rPr>
            </w:pPr>
            <w:r>
              <w:rPr>
                <w:rFonts w:ascii="Calibri" w:hAnsi="Calibri" w:cs="Calibri"/>
                <w:color w:val="000000"/>
                <w:szCs w:val="22"/>
              </w:rPr>
              <w:t>0.2%</w:t>
            </w:r>
          </w:p>
        </w:tc>
      </w:tr>
      <w:tr w:rsidR="00D86226" w:rsidTr="00D86226">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563472">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Refusal to treat</w:t>
            </w:r>
            <w:r w:rsidR="00563472">
              <w:rPr>
                <w:rFonts w:ascii="Calibri" w:hAnsi="Calibri"/>
                <w:szCs w:val="22"/>
              </w:rPr>
              <w:tab/>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widowControl w:val="0"/>
              <w:jc w:val="center"/>
              <w:rPr>
                <w:rFonts w:ascii="Calibri" w:hAnsi="Calibri" w:cs="Calibri"/>
                <w:color w:val="000000"/>
                <w:szCs w:val="22"/>
              </w:rPr>
            </w:pPr>
            <w:r>
              <w:rPr>
                <w:rFonts w:ascii="Calibri" w:hAnsi="Calibri" w:cs="Calibri"/>
                <w:color w:val="000000"/>
                <w:szCs w:val="22"/>
              </w:rPr>
              <w:t>2.0%</w:t>
            </w:r>
          </w:p>
        </w:tc>
      </w:tr>
      <w:tr w:rsidR="00D86226" w:rsidTr="00D86226">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widowControl w:val="0"/>
              <w:jc w:val="center"/>
              <w:rPr>
                <w:rFonts w:ascii="Calibri" w:hAnsi="Calibri" w:cs="Calibri"/>
                <w:color w:val="000000"/>
                <w:szCs w:val="22"/>
              </w:rPr>
            </w:pPr>
            <w:r>
              <w:rPr>
                <w:rFonts w:ascii="Calibri" w:hAnsi="Calibri" w:cs="Calibri"/>
                <w:color w:val="000000"/>
                <w:szCs w:val="22"/>
              </w:rPr>
              <w:t>0.7%</w:t>
            </w:r>
          </w:p>
        </w:tc>
      </w:tr>
      <w:tr w:rsidR="00D86226" w:rsidTr="00D86226">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widowControl w:val="0"/>
              <w:jc w:val="center"/>
              <w:rPr>
                <w:rFonts w:ascii="Calibri" w:hAnsi="Calibri" w:cs="Calibri"/>
                <w:color w:val="000000"/>
                <w:szCs w:val="22"/>
              </w:rPr>
            </w:pPr>
            <w:r>
              <w:rPr>
                <w:rFonts w:ascii="Calibri" w:hAnsi="Calibri" w:cs="Calibri"/>
                <w:color w:val="000000"/>
                <w:szCs w:val="22"/>
              </w:rPr>
              <w:t>54</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A03405" w:rsidP="00D86226">
            <w:pPr>
              <w:widowControl w:val="0"/>
              <w:jc w:val="center"/>
              <w:rPr>
                <w:rFonts w:ascii="Calibri" w:hAnsi="Calibri" w:cs="Calibri"/>
                <w:color w:val="000000"/>
                <w:szCs w:val="22"/>
              </w:rPr>
            </w:pPr>
            <w:r>
              <w:rPr>
                <w:rFonts w:ascii="Calibri" w:hAnsi="Calibri" w:cs="Calibri"/>
                <w:color w:val="000000"/>
                <w:szCs w:val="22"/>
              </w:rPr>
              <w:t>12.0</w:t>
            </w:r>
            <w:r w:rsidR="00CF6822">
              <w:rPr>
                <w:rFonts w:ascii="Calibri" w:hAnsi="Calibri" w:cs="Calibri"/>
                <w:color w:val="000000"/>
                <w:szCs w:val="22"/>
              </w:rPr>
              <w:t>%</w:t>
            </w:r>
          </w:p>
        </w:tc>
      </w:tr>
      <w:tr w:rsidR="00BA0512" w:rsidTr="00D86226">
        <w:tc>
          <w:tcPr>
            <w:tcW w:w="5670" w:type="dxa"/>
            <w:tcBorders>
              <w:top w:val="single" w:sz="4" w:space="0" w:color="auto"/>
              <w:left w:val="single" w:sz="4" w:space="0" w:color="auto"/>
              <w:bottom w:val="single" w:sz="4" w:space="0" w:color="auto"/>
              <w:right w:val="single" w:sz="4" w:space="0" w:color="auto"/>
            </w:tcBorders>
          </w:tcPr>
          <w:p w:rsidR="00BA0512" w:rsidRDefault="00BA0512"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Unnecessary treatment/over-servicing</w:t>
            </w:r>
          </w:p>
        </w:tc>
        <w:tc>
          <w:tcPr>
            <w:tcW w:w="1701" w:type="dxa"/>
            <w:tcBorders>
              <w:top w:val="single" w:sz="4" w:space="0" w:color="auto"/>
              <w:left w:val="single" w:sz="4" w:space="0" w:color="auto"/>
              <w:bottom w:val="single" w:sz="4" w:space="0" w:color="auto"/>
              <w:right w:val="single" w:sz="4" w:space="0" w:color="auto"/>
            </w:tcBorders>
            <w:vAlign w:val="center"/>
          </w:tcPr>
          <w:p w:rsidR="00BA0512" w:rsidRDefault="00BA0512" w:rsidP="00D86226">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BA0512" w:rsidRDefault="00CF6822" w:rsidP="00D86226">
            <w:pPr>
              <w:widowControl w:val="0"/>
              <w:jc w:val="center"/>
              <w:rPr>
                <w:rFonts w:ascii="Calibri" w:hAnsi="Calibri" w:cs="Calibri"/>
                <w:color w:val="000000"/>
                <w:szCs w:val="22"/>
              </w:rPr>
            </w:pPr>
            <w:r>
              <w:rPr>
                <w:rFonts w:ascii="Calibri" w:hAnsi="Calibri" w:cs="Calibri"/>
                <w:color w:val="000000"/>
                <w:szCs w:val="22"/>
              </w:rPr>
              <w:t>0.9%</w:t>
            </w:r>
          </w:p>
        </w:tc>
      </w:tr>
      <w:tr w:rsidR="00D86226" w:rsidTr="00D86226">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B6146C" w:rsidP="00D86226">
            <w:pPr>
              <w:widowControl w:val="0"/>
              <w:jc w:val="center"/>
              <w:rPr>
                <w:rFonts w:ascii="Calibri" w:hAnsi="Calibri" w:cs="Calibri"/>
                <w:b/>
                <w:i/>
                <w:color w:val="000000"/>
                <w:szCs w:val="22"/>
              </w:rPr>
            </w:pPr>
            <w:r>
              <w:rPr>
                <w:rFonts w:ascii="Calibri" w:hAnsi="Calibri" w:cs="Calibri"/>
                <w:b/>
                <w:i/>
                <w:color w:val="000000"/>
                <w:szCs w:val="22"/>
              </w:rPr>
              <w:t>38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CF6822" w:rsidP="00D86226">
            <w:pPr>
              <w:widowControl w:val="0"/>
              <w:jc w:val="center"/>
              <w:rPr>
                <w:rFonts w:ascii="Calibri" w:hAnsi="Calibri" w:cs="Calibri"/>
                <w:b/>
                <w:i/>
                <w:color w:val="000000"/>
                <w:szCs w:val="22"/>
              </w:rPr>
            </w:pPr>
            <w:r>
              <w:rPr>
                <w:rFonts w:ascii="Calibri" w:hAnsi="Calibri" w:cs="Calibri"/>
                <w:b/>
                <w:i/>
                <w:color w:val="000000"/>
                <w:szCs w:val="22"/>
              </w:rPr>
              <w:t>8.4%</w:t>
            </w:r>
          </w:p>
        </w:tc>
      </w:tr>
      <w:tr w:rsidR="00D86226" w:rsidTr="00D86226">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widowControl w:val="0"/>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widowControl w:val="0"/>
              <w:jc w:val="center"/>
              <w:rPr>
                <w:rFonts w:ascii="Calibri" w:hAnsi="Calibri" w:cs="Calibri"/>
                <w:color w:val="000000"/>
                <w:szCs w:val="22"/>
              </w:rPr>
            </w:pPr>
            <w:r>
              <w:rPr>
                <w:rFonts w:ascii="Calibri" w:hAnsi="Calibri" w:cs="Calibri"/>
                <w:color w:val="000000"/>
                <w:szCs w:val="22"/>
              </w:rPr>
              <w:t>2.7%</w:t>
            </w:r>
          </w:p>
        </w:tc>
      </w:tr>
      <w:tr w:rsidR="00BA0512" w:rsidTr="00D86226">
        <w:tc>
          <w:tcPr>
            <w:tcW w:w="5670" w:type="dxa"/>
            <w:tcBorders>
              <w:top w:val="single" w:sz="4" w:space="0" w:color="auto"/>
              <w:left w:val="single" w:sz="4" w:space="0" w:color="auto"/>
              <w:bottom w:val="single" w:sz="4" w:space="0" w:color="auto"/>
              <w:right w:val="single" w:sz="4" w:space="0" w:color="auto"/>
            </w:tcBorders>
          </w:tcPr>
          <w:p w:rsidR="00BA0512" w:rsidRDefault="00BA0512"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accommodate language/cultural needs</w:t>
            </w:r>
          </w:p>
        </w:tc>
        <w:tc>
          <w:tcPr>
            <w:tcW w:w="1701" w:type="dxa"/>
            <w:tcBorders>
              <w:top w:val="single" w:sz="4" w:space="0" w:color="auto"/>
              <w:left w:val="single" w:sz="4" w:space="0" w:color="auto"/>
              <w:bottom w:val="single" w:sz="4" w:space="0" w:color="auto"/>
              <w:right w:val="single" w:sz="4" w:space="0" w:color="auto"/>
            </w:tcBorders>
            <w:vAlign w:val="center"/>
          </w:tcPr>
          <w:p w:rsidR="00BA0512" w:rsidRDefault="00BA0512" w:rsidP="00D86226">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BA0512" w:rsidRDefault="00CF6822" w:rsidP="00D86226">
            <w:pPr>
              <w:widowControl w:val="0"/>
              <w:jc w:val="center"/>
              <w:rPr>
                <w:rFonts w:ascii="Calibri" w:hAnsi="Calibri" w:cs="Calibri"/>
                <w:color w:val="000000"/>
                <w:szCs w:val="22"/>
              </w:rPr>
            </w:pPr>
            <w:r>
              <w:rPr>
                <w:rFonts w:ascii="Calibri" w:hAnsi="Calibri" w:cs="Calibri"/>
                <w:color w:val="000000"/>
                <w:szCs w:val="22"/>
              </w:rPr>
              <w:t>0.4%</w:t>
            </w:r>
          </w:p>
        </w:tc>
      </w:tr>
      <w:tr w:rsidR="00D86226" w:rsidTr="00D86226">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A03405" w:rsidP="00D86226">
            <w:pPr>
              <w:widowControl w:val="0"/>
              <w:jc w:val="center"/>
              <w:rPr>
                <w:rFonts w:ascii="Calibri" w:hAnsi="Calibri" w:cs="Calibri"/>
                <w:color w:val="000000"/>
                <w:szCs w:val="22"/>
              </w:rPr>
            </w:pPr>
            <w:r>
              <w:rPr>
                <w:rFonts w:ascii="Calibri" w:hAnsi="Calibri" w:cs="Calibri"/>
                <w:color w:val="000000"/>
                <w:szCs w:val="22"/>
              </w:rPr>
              <w:t>1.6</w:t>
            </w:r>
            <w:r w:rsidR="00CF6822">
              <w:rPr>
                <w:rFonts w:ascii="Calibri" w:hAnsi="Calibri" w:cs="Calibri"/>
                <w:color w:val="000000"/>
                <w:szCs w:val="22"/>
              </w:rPr>
              <w:t>%</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family</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widowControl w:val="0"/>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widowControl w:val="0"/>
              <w:jc w:val="center"/>
              <w:rPr>
                <w:rFonts w:ascii="Calibri" w:hAnsi="Calibri" w:cs="Calibri"/>
                <w:color w:val="000000"/>
                <w:szCs w:val="22"/>
              </w:rPr>
            </w:pPr>
            <w:r>
              <w:rPr>
                <w:rFonts w:ascii="Calibri" w:hAnsi="Calibri" w:cs="Calibri"/>
                <w:color w:val="000000"/>
                <w:szCs w:val="22"/>
              </w:rPr>
              <w:t>2.7%</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Insensitive/inappropriate comments</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widowControl w:val="0"/>
              <w:jc w:val="center"/>
              <w:rPr>
                <w:rFonts w:ascii="Calibri" w:hAnsi="Calibri" w:cs="Calibri"/>
                <w:color w:val="000000"/>
                <w:szCs w:val="22"/>
              </w:rPr>
            </w:pPr>
            <w:r>
              <w:rPr>
                <w:rFonts w:ascii="Calibri" w:hAnsi="Calibri" w:cs="Calibri"/>
                <w:color w:val="000000"/>
                <w:szCs w:val="22"/>
              </w:rPr>
              <w:t>1.1%</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B6146C" w:rsidP="00D86226">
            <w:pPr>
              <w:widowControl w:val="0"/>
              <w:jc w:val="center"/>
              <w:rPr>
                <w:rFonts w:ascii="Calibri" w:hAnsi="Calibri" w:cs="Calibri"/>
                <w:b/>
                <w:i/>
                <w:color w:val="000000"/>
                <w:szCs w:val="22"/>
              </w:rPr>
            </w:pPr>
            <w:r>
              <w:rPr>
                <w:rFonts w:ascii="Calibri" w:hAnsi="Calibri" w:cs="Calibri"/>
                <w:b/>
                <w:i/>
                <w:color w:val="000000"/>
                <w:szCs w:val="22"/>
              </w:rPr>
              <w:t>13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CF6822" w:rsidP="00D86226">
            <w:pPr>
              <w:widowControl w:val="0"/>
              <w:jc w:val="center"/>
              <w:rPr>
                <w:rFonts w:ascii="Calibri" w:hAnsi="Calibri" w:cs="Calibri"/>
                <w:b/>
                <w:i/>
                <w:color w:val="000000"/>
                <w:szCs w:val="22"/>
              </w:rPr>
            </w:pPr>
            <w:r>
              <w:rPr>
                <w:rFonts w:ascii="Calibri" w:hAnsi="Calibri" w:cs="Calibri"/>
                <w:b/>
                <w:i/>
                <w:color w:val="000000"/>
                <w:szCs w:val="22"/>
              </w:rPr>
              <w:t>2.9%</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response to complaint</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widowControl w:val="0"/>
              <w:jc w:val="center"/>
              <w:rPr>
                <w:rFonts w:ascii="Calibri" w:hAnsi="Calibri" w:cs="Calibri"/>
                <w:color w:val="000000"/>
                <w:szCs w:val="22"/>
              </w:rPr>
            </w:pPr>
            <w:r>
              <w:rPr>
                <w:rFonts w:ascii="Calibri" w:hAnsi="Calibri" w:cs="Calibri"/>
                <w:color w:val="000000"/>
                <w:szCs w:val="22"/>
              </w:rPr>
              <w:t>13</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widowControl w:val="0"/>
              <w:jc w:val="center"/>
              <w:rPr>
                <w:rFonts w:ascii="Calibri" w:hAnsi="Calibri" w:cs="Calibri"/>
                <w:color w:val="000000"/>
                <w:szCs w:val="22"/>
              </w:rPr>
            </w:pPr>
            <w:r>
              <w:rPr>
                <w:rFonts w:ascii="Calibri" w:hAnsi="Calibri" w:cs="Calibri"/>
                <w:color w:val="000000"/>
                <w:szCs w:val="22"/>
              </w:rPr>
              <w:t>2.9%</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B6146C" w:rsidP="00D86226">
            <w:pPr>
              <w:widowControl w:val="0"/>
              <w:jc w:val="center"/>
              <w:rPr>
                <w:rFonts w:ascii="Calibri" w:hAnsi="Calibri" w:cs="Calibri"/>
                <w:b/>
                <w:i/>
                <w:color w:val="000000"/>
                <w:szCs w:val="22"/>
              </w:rPr>
            </w:pPr>
            <w:r>
              <w:rPr>
                <w:rFonts w:ascii="Calibri" w:hAnsi="Calibri" w:cs="Calibri"/>
                <w:b/>
                <w:i/>
                <w:color w:val="000000"/>
                <w:szCs w:val="22"/>
              </w:rPr>
              <w:t>42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CF6822" w:rsidP="00D86226">
            <w:pPr>
              <w:widowControl w:val="0"/>
              <w:jc w:val="center"/>
              <w:rPr>
                <w:rFonts w:ascii="Calibri" w:hAnsi="Calibri" w:cs="Calibri"/>
                <w:b/>
                <w:i/>
                <w:color w:val="000000"/>
                <w:szCs w:val="22"/>
              </w:rPr>
            </w:pPr>
            <w:r>
              <w:rPr>
                <w:rFonts w:ascii="Calibri" w:hAnsi="Calibri" w:cs="Calibri"/>
                <w:b/>
                <w:i/>
                <w:color w:val="000000"/>
                <w:szCs w:val="22"/>
              </w:rPr>
              <w:t>9.3%</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widowControl w:val="0"/>
              <w:jc w:val="center"/>
              <w:rPr>
                <w:rFonts w:ascii="Calibri" w:hAnsi="Calibri" w:cs="Calibri"/>
                <w:color w:val="000000"/>
                <w:szCs w:val="22"/>
              </w:rPr>
            </w:pPr>
            <w:r>
              <w:rPr>
                <w:rFonts w:ascii="Calibri" w:hAnsi="Calibri" w:cs="Calibri"/>
                <w:color w:val="000000"/>
                <w:szCs w:val="22"/>
              </w:rPr>
              <w:t>2.2%</w:t>
            </w:r>
          </w:p>
        </w:tc>
      </w:tr>
      <w:tr w:rsidR="00BA0512" w:rsidTr="00D86226">
        <w:trPr>
          <w:trHeight w:val="281"/>
        </w:trPr>
        <w:tc>
          <w:tcPr>
            <w:tcW w:w="5670" w:type="dxa"/>
            <w:tcBorders>
              <w:top w:val="single" w:sz="4" w:space="0" w:color="auto"/>
              <w:left w:val="single" w:sz="4" w:space="0" w:color="auto"/>
              <w:bottom w:val="single" w:sz="4" w:space="0" w:color="auto"/>
              <w:right w:val="single" w:sz="4" w:space="0" w:color="auto"/>
            </w:tcBorders>
          </w:tcPr>
          <w:p w:rsidR="00BA0512" w:rsidRDefault="00BA0512"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adverse event</w:t>
            </w:r>
          </w:p>
        </w:tc>
        <w:tc>
          <w:tcPr>
            <w:tcW w:w="1701" w:type="dxa"/>
            <w:tcBorders>
              <w:top w:val="single" w:sz="4" w:space="0" w:color="auto"/>
              <w:left w:val="single" w:sz="4" w:space="0" w:color="auto"/>
              <w:bottom w:val="single" w:sz="4" w:space="0" w:color="auto"/>
              <w:right w:val="single" w:sz="4" w:space="0" w:color="auto"/>
            </w:tcBorders>
            <w:vAlign w:val="center"/>
          </w:tcPr>
          <w:p w:rsidR="00BA0512" w:rsidRDefault="00BA0512" w:rsidP="00D86226">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BA0512" w:rsidRDefault="00CF6822" w:rsidP="00D86226">
            <w:pPr>
              <w:jc w:val="center"/>
            </w:pPr>
            <w:r>
              <w:t>0,2%</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condition</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tcPr>
          <w:p w:rsidR="00D86226" w:rsidRDefault="00CF6822" w:rsidP="00D86226">
            <w:pPr>
              <w:jc w:val="center"/>
            </w:pPr>
            <w:r>
              <w:t>0.9%</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fees/costs</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D86226" w:rsidRDefault="00CF6822" w:rsidP="00D86226">
            <w:pPr>
              <w:jc w:val="center"/>
            </w:pPr>
            <w:r>
              <w:t>0.4%</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D86226" w:rsidRDefault="00CF6822" w:rsidP="00D86226">
            <w:pPr>
              <w:jc w:val="center"/>
            </w:pPr>
            <w:r>
              <w:t>0.4%</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lastRenderedPageBreak/>
              <w:t>Inadequate information provided regarding treatment</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tcPr>
          <w:p w:rsidR="00D86226" w:rsidRDefault="00CF6822" w:rsidP="00D86226">
            <w:pPr>
              <w:jc w:val="center"/>
            </w:pPr>
            <w:r>
              <w:t>0.9%</w:t>
            </w:r>
          </w:p>
        </w:tc>
      </w:tr>
      <w:tr w:rsidR="00BA0512" w:rsidTr="00D86226">
        <w:trPr>
          <w:trHeight w:val="281"/>
        </w:trPr>
        <w:tc>
          <w:tcPr>
            <w:tcW w:w="5670" w:type="dxa"/>
            <w:tcBorders>
              <w:top w:val="single" w:sz="4" w:space="0" w:color="auto"/>
              <w:left w:val="single" w:sz="4" w:space="0" w:color="auto"/>
              <w:bottom w:val="single" w:sz="4" w:space="0" w:color="auto"/>
              <w:right w:val="single" w:sz="4" w:space="0" w:color="auto"/>
            </w:tcBorders>
          </w:tcPr>
          <w:p w:rsidR="00BA0512" w:rsidRDefault="00BA0512"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regarding consent when consumer not competent</w:t>
            </w:r>
          </w:p>
        </w:tc>
        <w:tc>
          <w:tcPr>
            <w:tcW w:w="1701" w:type="dxa"/>
            <w:tcBorders>
              <w:top w:val="single" w:sz="4" w:space="0" w:color="auto"/>
              <w:left w:val="single" w:sz="4" w:space="0" w:color="auto"/>
              <w:bottom w:val="single" w:sz="4" w:space="0" w:color="auto"/>
              <w:right w:val="single" w:sz="4" w:space="0" w:color="auto"/>
            </w:tcBorders>
            <w:vAlign w:val="center"/>
          </w:tcPr>
          <w:p w:rsidR="00BA0512" w:rsidRDefault="00BA0512" w:rsidP="00D86226">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BA0512" w:rsidRDefault="00CF6822" w:rsidP="00D86226">
            <w:pPr>
              <w:widowControl w:val="0"/>
              <w:jc w:val="center"/>
              <w:rPr>
                <w:rFonts w:ascii="Calibri" w:hAnsi="Calibri" w:cs="Calibri"/>
                <w:color w:val="000000"/>
                <w:szCs w:val="22"/>
              </w:rPr>
            </w:pPr>
            <w:r>
              <w:rPr>
                <w:rFonts w:ascii="Calibri" w:hAnsi="Calibri" w:cs="Calibri"/>
                <w:color w:val="000000"/>
                <w:szCs w:val="22"/>
              </w:rPr>
              <w:t>0.4%</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widowControl w:val="0"/>
              <w:jc w:val="center"/>
              <w:rPr>
                <w:rFonts w:ascii="Calibri" w:hAnsi="Calibri" w:cs="Calibri"/>
                <w:color w:val="000000"/>
                <w:szCs w:val="22"/>
              </w:rPr>
            </w:pPr>
            <w:r>
              <w:rPr>
                <w:rFonts w:ascii="Calibri" w:hAnsi="Calibri" w:cs="Calibri"/>
                <w:color w:val="000000"/>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widowControl w:val="0"/>
              <w:jc w:val="center"/>
              <w:rPr>
                <w:rFonts w:ascii="Calibri" w:hAnsi="Calibri" w:cs="Calibri"/>
                <w:color w:val="000000"/>
                <w:szCs w:val="22"/>
              </w:rPr>
            </w:pPr>
            <w:r>
              <w:rPr>
                <w:rFonts w:ascii="Calibri" w:hAnsi="Calibri" w:cs="Calibri"/>
                <w:color w:val="000000"/>
                <w:szCs w:val="22"/>
              </w:rPr>
              <w:t>3.8%</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B6146C" w:rsidP="00D86226">
            <w:pPr>
              <w:widowControl w:val="0"/>
              <w:jc w:val="center"/>
              <w:rPr>
                <w:rFonts w:ascii="Calibri" w:hAnsi="Calibri" w:cs="Calibri"/>
                <w:b/>
                <w:i/>
                <w:color w:val="000000"/>
                <w:szCs w:val="22"/>
              </w:rPr>
            </w:pPr>
            <w:r>
              <w:rPr>
                <w:rFonts w:ascii="Calibri" w:hAnsi="Calibri" w:cs="Calibri"/>
                <w:b/>
                <w:i/>
                <w:color w:val="000000"/>
                <w:szCs w:val="22"/>
              </w:rPr>
              <w:t>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CF6822" w:rsidP="00D86226">
            <w:pPr>
              <w:widowControl w:val="0"/>
              <w:jc w:val="center"/>
              <w:rPr>
                <w:rFonts w:ascii="Calibri" w:hAnsi="Calibri" w:cs="Calibri"/>
                <w:b/>
                <w:i/>
                <w:color w:val="000000"/>
                <w:szCs w:val="22"/>
              </w:rPr>
            </w:pPr>
            <w:r>
              <w:rPr>
                <w:rFonts w:ascii="Calibri" w:hAnsi="Calibri" w:cs="Calibri"/>
                <w:b/>
                <w:i/>
                <w:color w:val="000000"/>
                <w:szCs w:val="22"/>
              </w:rPr>
              <w:t>1.5%</w:t>
            </w:r>
          </w:p>
        </w:tc>
      </w:tr>
      <w:tr w:rsidR="00BA0512" w:rsidTr="00D86226">
        <w:trPr>
          <w:trHeight w:val="281"/>
        </w:trPr>
        <w:tc>
          <w:tcPr>
            <w:tcW w:w="5670" w:type="dxa"/>
            <w:tcBorders>
              <w:top w:val="single" w:sz="4" w:space="0" w:color="auto"/>
              <w:left w:val="single" w:sz="4" w:space="0" w:color="auto"/>
              <w:bottom w:val="single" w:sz="4" w:space="0" w:color="auto"/>
              <w:right w:val="single" w:sz="4" w:space="0" w:color="auto"/>
            </w:tcBorders>
          </w:tcPr>
          <w:p w:rsidR="00BA0512" w:rsidRDefault="00BA0512"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Delay/failure to disclose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BA0512" w:rsidRDefault="00BA0512" w:rsidP="00D86226">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BA0512" w:rsidRDefault="00CF6822" w:rsidP="00D86226">
            <w:pPr>
              <w:widowControl w:val="0"/>
              <w:jc w:val="center"/>
              <w:rPr>
                <w:rFonts w:ascii="Calibri" w:hAnsi="Calibri" w:cs="Calibri"/>
                <w:color w:val="000000"/>
                <w:szCs w:val="22"/>
              </w:rPr>
            </w:pPr>
            <w:r>
              <w:rPr>
                <w:rFonts w:ascii="Calibri" w:hAnsi="Calibri" w:cs="Calibri"/>
                <w:color w:val="000000"/>
                <w:szCs w:val="22"/>
              </w:rPr>
              <w:t>0.2%</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A0512" w:rsidP="00D86226">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widowControl w:val="0"/>
              <w:jc w:val="center"/>
              <w:rPr>
                <w:rFonts w:ascii="Calibri" w:hAnsi="Calibri" w:cs="Calibri"/>
                <w:color w:val="000000"/>
                <w:szCs w:val="22"/>
              </w:rPr>
            </w:pPr>
            <w:r>
              <w:rPr>
                <w:rFonts w:ascii="Calibri" w:hAnsi="Calibri" w:cs="Calibri"/>
                <w:color w:val="000000"/>
                <w:szCs w:val="22"/>
              </w:rPr>
              <w:t>1.3%</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B6146C" w:rsidP="00D86226">
            <w:pPr>
              <w:widowControl w:val="0"/>
              <w:jc w:val="center"/>
              <w:rPr>
                <w:rFonts w:ascii="Calibri" w:hAnsi="Calibri" w:cs="Calibri"/>
                <w:b/>
                <w:i/>
                <w:color w:val="000000"/>
                <w:szCs w:val="22"/>
              </w:rPr>
            </w:pPr>
            <w:r>
              <w:rPr>
                <w:rFonts w:ascii="Calibri" w:hAnsi="Calibri" w:cs="Calibri"/>
                <w:b/>
                <w:i/>
                <w:color w:val="000000"/>
                <w:szCs w:val="22"/>
              </w:rPr>
              <w:t>18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CF6822" w:rsidP="00D86226">
            <w:pPr>
              <w:widowControl w:val="0"/>
              <w:jc w:val="center"/>
              <w:rPr>
                <w:rFonts w:ascii="Calibri" w:hAnsi="Calibri" w:cs="Calibri"/>
                <w:b/>
                <w:i/>
                <w:color w:val="000000"/>
                <w:szCs w:val="22"/>
              </w:rPr>
            </w:pPr>
            <w:r>
              <w:rPr>
                <w:rFonts w:ascii="Calibri" w:hAnsi="Calibri" w:cs="Calibri"/>
                <w:b/>
                <w:i/>
                <w:color w:val="000000"/>
                <w:szCs w:val="22"/>
              </w:rPr>
              <w:t>4.0%</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6146C" w:rsidP="00D86226">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tcPr>
          <w:p w:rsidR="00D86226" w:rsidRDefault="00CF6822" w:rsidP="00D86226">
            <w:pPr>
              <w:jc w:val="center"/>
            </w:pPr>
            <w:r>
              <w:t>2.4%</w:t>
            </w:r>
          </w:p>
        </w:tc>
      </w:tr>
      <w:tr w:rsidR="00ED018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ED0186" w:rsidRDefault="00ED018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Waiting times</w:t>
            </w:r>
          </w:p>
        </w:tc>
        <w:tc>
          <w:tcPr>
            <w:tcW w:w="1701" w:type="dxa"/>
            <w:tcBorders>
              <w:top w:val="single" w:sz="4" w:space="0" w:color="auto"/>
              <w:left w:val="single" w:sz="4" w:space="0" w:color="auto"/>
              <w:bottom w:val="single" w:sz="4" w:space="0" w:color="auto"/>
              <w:right w:val="single" w:sz="4" w:space="0" w:color="auto"/>
            </w:tcBorders>
            <w:vAlign w:val="center"/>
          </w:tcPr>
          <w:p w:rsidR="00ED0186" w:rsidRDefault="00B6146C" w:rsidP="00D86226">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ED0186" w:rsidRDefault="00A03405" w:rsidP="00ED0186">
            <w:pPr>
              <w:jc w:val="center"/>
            </w:pPr>
            <w:r>
              <w:t>0.4</w:t>
            </w:r>
            <w:r w:rsidR="00CF6822">
              <w:t>%</w:t>
            </w:r>
          </w:p>
        </w:tc>
      </w:tr>
      <w:tr w:rsidR="004E4C2C" w:rsidTr="00D86226">
        <w:trPr>
          <w:trHeight w:val="281"/>
        </w:trPr>
        <w:tc>
          <w:tcPr>
            <w:tcW w:w="5670" w:type="dxa"/>
            <w:tcBorders>
              <w:top w:val="single" w:sz="4" w:space="0" w:color="auto"/>
              <w:left w:val="single" w:sz="4" w:space="0" w:color="auto"/>
              <w:bottom w:val="single" w:sz="4" w:space="0" w:color="auto"/>
              <w:right w:val="single" w:sz="4" w:space="0" w:color="auto"/>
            </w:tcBorders>
          </w:tcPr>
          <w:p w:rsidR="004E4C2C" w:rsidRDefault="004E4C2C"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B6146C" w:rsidP="00D86226">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rsidR="004E4C2C" w:rsidRDefault="00CF6822" w:rsidP="00D86226">
            <w:pPr>
              <w:jc w:val="center"/>
            </w:pPr>
            <w:r>
              <w:t>1.1%</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B6146C" w:rsidP="00D86226">
            <w:pPr>
              <w:widowControl w:val="0"/>
              <w:jc w:val="center"/>
              <w:rPr>
                <w:rFonts w:ascii="Calibri" w:hAnsi="Calibri" w:cs="Calibri"/>
                <w:b/>
                <w:i/>
                <w:color w:val="000000"/>
                <w:szCs w:val="22"/>
              </w:rPr>
            </w:pPr>
            <w:r>
              <w:rPr>
                <w:rFonts w:ascii="Calibri" w:hAnsi="Calibri" w:cs="Calibri"/>
                <w:b/>
                <w:i/>
                <w:color w:val="000000"/>
                <w:szCs w:val="22"/>
              </w:rPr>
              <w:t>1</w:t>
            </w:r>
            <w:r w:rsidR="00563472">
              <w:rPr>
                <w:rFonts w:ascii="Calibri" w:hAnsi="Calibri" w:cs="Calibri"/>
                <w:b/>
                <w:i/>
                <w:color w:val="000000"/>
                <w:szCs w:val="22"/>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CF6822" w:rsidP="00D86226">
            <w:pPr>
              <w:widowControl w:val="0"/>
              <w:jc w:val="center"/>
              <w:rPr>
                <w:rFonts w:ascii="Calibri" w:hAnsi="Calibri" w:cs="Calibri"/>
                <w:b/>
                <w:i/>
                <w:color w:val="000000"/>
                <w:szCs w:val="22"/>
              </w:rPr>
            </w:pPr>
            <w:r>
              <w:rPr>
                <w:rFonts w:ascii="Calibri" w:hAnsi="Calibri" w:cs="Calibri"/>
                <w:b/>
                <w:i/>
                <w:color w:val="000000"/>
                <w:szCs w:val="22"/>
              </w:rPr>
              <w:t>4.2%</w:t>
            </w:r>
          </w:p>
        </w:tc>
      </w:tr>
      <w:tr w:rsidR="00ED0186" w:rsidTr="00ED0186">
        <w:trPr>
          <w:trHeight w:val="281"/>
        </w:trPr>
        <w:tc>
          <w:tcPr>
            <w:tcW w:w="5670" w:type="dxa"/>
            <w:tcBorders>
              <w:top w:val="single" w:sz="4" w:space="0" w:color="auto"/>
              <w:left w:val="single" w:sz="4" w:space="0" w:color="auto"/>
              <w:bottom w:val="single" w:sz="4" w:space="0" w:color="auto"/>
              <w:right w:val="single" w:sz="4" w:space="0" w:color="auto"/>
            </w:tcBorders>
            <w:hideMark/>
          </w:tcPr>
          <w:p w:rsidR="00ED0186" w:rsidRDefault="00ED0186"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Administration error</w:t>
            </w:r>
          </w:p>
        </w:tc>
        <w:tc>
          <w:tcPr>
            <w:tcW w:w="1701" w:type="dxa"/>
            <w:tcBorders>
              <w:top w:val="single" w:sz="4" w:space="0" w:color="auto"/>
              <w:left w:val="single" w:sz="4" w:space="0" w:color="auto"/>
              <w:bottom w:val="single" w:sz="4" w:space="0" w:color="auto"/>
              <w:right w:val="single" w:sz="4" w:space="0" w:color="auto"/>
            </w:tcBorders>
            <w:vAlign w:val="center"/>
          </w:tcPr>
          <w:p w:rsidR="00ED0186" w:rsidRDefault="00B6146C" w:rsidP="00D86226">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ED0186" w:rsidRDefault="00CF6822" w:rsidP="00ED0186">
            <w:pPr>
              <w:jc w:val="center"/>
            </w:pPr>
            <w:r>
              <w:t>0.4%</w:t>
            </w:r>
          </w:p>
        </w:tc>
      </w:tr>
      <w:tr w:rsidR="00ED0186" w:rsidTr="00ED0186">
        <w:trPr>
          <w:trHeight w:val="281"/>
        </w:trPr>
        <w:tc>
          <w:tcPr>
            <w:tcW w:w="5670" w:type="dxa"/>
            <w:tcBorders>
              <w:top w:val="single" w:sz="4" w:space="0" w:color="auto"/>
              <w:left w:val="single" w:sz="4" w:space="0" w:color="auto"/>
              <w:bottom w:val="single" w:sz="4" w:space="0" w:color="auto"/>
              <w:right w:val="single" w:sz="4" w:space="0" w:color="auto"/>
            </w:tcBorders>
          </w:tcPr>
          <w:p w:rsidR="00ED0186" w:rsidRDefault="00B6146C"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Prescribing</w:t>
            </w:r>
            <w:r w:rsidR="00ED0186">
              <w:rPr>
                <w:rFonts w:ascii="Calibri" w:hAnsi="Calibri"/>
                <w:szCs w:val="22"/>
              </w:rPr>
              <w:t xml:space="preserve"> error</w:t>
            </w:r>
          </w:p>
        </w:tc>
        <w:tc>
          <w:tcPr>
            <w:tcW w:w="1701" w:type="dxa"/>
            <w:tcBorders>
              <w:top w:val="single" w:sz="4" w:space="0" w:color="auto"/>
              <w:left w:val="single" w:sz="4" w:space="0" w:color="auto"/>
              <w:bottom w:val="single" w:sz="4" w:space="0" w:color="auto"/>
              <w:right w:val="single" w:sz="4" w:space="0" w:color="auto"/>
            </w:tcBorders>
            <w:vAlign w:val="center"/>
          </w:tcPr>
          <w:p w:rsidR="00ED0186" w:rsidRDefault="00B6146C" w:rsidP="00D86226">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ED0186" w:rsidRDefault="00CF6822" w:rsidP="00ED0186">
            <w:pPr>
              <w:jc w:val="center"/>
            </w:pPr>
            <w:r>
              <w:t>0.4%</w:t>
            </w:r>
          </w:p>
        </w:tc>
      </w:tr>
      <w:tr w:rsidR="00ED0186" w:rsidTr="00ED0186">
        <w:trPr>
          <w:trHeight w:val="281"/>
        </w:trPr>
        <w:tc>
          <w:tcPr>
            <w:tcW w:w="5670" w:type="dxa"/>
            <w:tcBorders>
              <w:top w:val="single" w:sz="4" w:space="0" w:color="auto"/>
              <w:left w:val="single" w:sz="4" w:space="0" w:color="auto"/>
              <w:bottom w:val="single" w:sz="4" w:space="0" w:color="auto"/>
              <w:right w:val="single" w:sz="4" w:space="0" w:color="auto"/>
            </w:tcBorders>
            <w:hideMark/>
          </w:tcPr>
          <w:p w:rsidR="00ED0186" w:rsidRDefault="00ED0186"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administration</w:t>
            </w:r>
          </w:p>
        </w:tc>
        <w:tc>
          <w:tcPr>
            <w:tcW w:w="1701" w:type="dxa"/>
            <w:tcBorders>
              <w:top w:val="single" w:sz="4" w:space="0" w:color="auto"/>
              <w:left w:val="single" w:sz="4" w:space="0" w:color="auto"/>
              <w:bottom w:val="single" w:sz="4" w:space="0" w:color="auto"/>
              <w:right w:val="single" w:sz="4" w:space="0" w:color="auto"/>
            </w:tcBorders>
            <w:vAlign w:val="center"/>
          </w:tcPr>
          <w:p w:rsidR="00ED0186" w:rsidRDefault="00B6146C" w:rsidP="00D86226">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tcPr>
          <w:p w:rsidR="00ED0186" w:rsidRDefault="00CF6822" w:rsidP="00ED0186">
            <w:pPr>
              <w:jc w:val="center"/>
            </w:pPr>
            <w:r>
              <w:t>0.9%</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563472" w:rsidP="00D86226">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widowControl w:val="0"/>
              <w:jc w:val="center"/>
              <w:rPr>
                <w:rFonts w:ascii="Calibri" w:hAnsi="Calibri" w:cs="Calibri"/>
                <w:color w:val="000000"/>
                <w:szCs w:val="22"/>
              </w:rPr>
            </w:pPr>
            <w:r>
              <w:rPr>
                <w:rFonts w:ascii="Calibri" w:hAnsi="Calibri" w:cs="Calibri"/>
                <w:color w:val="000000"/>
                <w:szCs w:val="22"/>
              </w:rPr>
              <w:t>1.8%</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6146C" w:rsidP="00D86226">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rsidR="00D86226" w:rsidRDefault="00CF6822" w:rsidP="00D86226">
            <w:pPr>
              <w:jc w:val="center"/>
            </w:pPr>
            <w:r>
              <w:t>0.7%</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Reports/Certificates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B6146C" w:rsidP="00D86226">
            <w:pPr>
              <w:widowControl w:val="0"/>
              <w:jc w:val="center"/>
              <w:rPr>
                <w:rFonts w:ascii="Calibri" w:hAnsi="Calibri" w:cs="Calibri"/>
                <w:b/>
                <w:i/>
                <w:color w:val="000000"/>
                <w:szCs w:val="22"/>
              </w:rPr>
            </w:pPr>
            <w:r>
              <w:rPr>
                <w:rFonts w:ascii="Calibri" w:hAnsi="Calibri" w:cs="Calibri"/>
                <w:b/>
                <w: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CF6822" w:rsidP="00D86226">
            <w:pPr>
              <w:widowControl w:val="0"/>
              <w:jc w:val="center"/>
              <w:rPr>
                <w:rFonts w:ascii="Calibri" w:hAnsi="Calibri" w:cs="Calibri"/>
                <w:b/>
                <w:i/>
                <w:color w:val="000000"/>
                <w:szCs w:val="22"/>
              </w:rPr>
            </w:pPr>
            <w:r>
              <w:rPr>
                <w:rFonts w:ascii="Calibri" w:hAnsi="Calibri" w:cs="Calibri"/>
                <w:b/>
                <w:i/>
                <w:color w:val="000000"/>
                <w:szCs w:val="22"/>
              </w:rPr>
              <w:t>0.7%</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Inaccurate report/certificate</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6146C" w:rsidP="00D86226">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widowControl w:val="0"/>
              <w:jc w:val="center"/>
              <w:rPr>
                <w:rFonts w:ascii="Calibri" w:hAnsi="Calibri" w:cs="Calibri"/>
                <w:color w:val="000000"/>
                <w:szCs w:val="22"/>
              </w:rPr>
            </w:pPr>
            <w:r>
              <w:rPr>
                <w:rFonts w:ascii="Calibri" w:hAnsi="Calibri" w:cs="Calibri"/>
                <w:color w:val="000000"/>
                <w:szCs w:val="22"/>
              </w:rPr>
              <w:t>0.7%</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Other professional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B6146C" w:rsidP="00D86226">
            <w:pPr>
              <w:widowControl w:val="0"/>
              <w:jc w:val="center"/>
              <w:rPr>
                <w:rFonts w:ascii="Calibri" w:hAnsi="Calibri" w:cs="Calibri"/>
                <w:b/>
                <w:i/>
                <w:color w:val="000000"/>
                <w:szCs w:val="22"/>
              </w:rPr>
            </w:pPr>
            <w:r>
              <w:rPr>
                <w:rFonts w:ascii="Calibri" w:hAnsi="Calibri" w:cs="Calibri"/>
                <w:b/>
                <w:i/>
                <w:color w:val="000000"/>
                <w:szCs w:val="22"/>
              </w:rPr>
              <w:t>1</w:t>
            </w:r>
            <w:r w:rsidR="00A03405">
              <w:rPr>
                <w:rFonts w:ascii="Calibri" w:hAnsi="Calibri" w:cs="Calibri"/>
                <w:b/>
                <w:i/>
                <w:color w:val="000000"/>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A03405" w:rsidP="00D86226">
            <w:pPr>
              <w:widowControl w:val="0"/>
              <w:jc w:val="center"/>
              <w:rPr>
                <w:rFonts w:ascii="Calibri" w:hAnsi="Calibri" w:cs="Calibri"/>
                <w:b/>
                <w:i/>
                <w:color w:val="000000"/>
                <w:szCs w:val="22"/>
              </w:rPr>
            </w:pPr>
            <w:r>
              <w:rPr>
                <w:rFonts w:ascii="Calibri" w:hAnsi="Calibri" w:cs="Calibri"/>
                <w:b/>
                <w:i/>
                <w:color w:val="000000"/>
                <w:szCs w:val="22"/>
              </w:rPr>
              <w:t>2.4</w:t>
            </w:r>
            <w:r w:rsidR="00CF6822">
              <w:rPr>
                <w:rFonts w:ascii="Calibri" w:hAnsi="Calibri" w:cs="Calibri"/>
                <w:b/>
                <w:i/>
                <w:color w:val="000000"/>
                <w:szCs w:val="22"/>
              </w:rPr>
              <w:t>%</w:t>
            </w:r>
          </w:p>
        </w:tc>
      </w:tr>
      <w:tr w:rsidR="00B6146C" w:rsidTr="00D86226">
        <w:trPr>
          <w:trHeight w:val="281"/>
        </w:trPr>
        <w:tc>
          <w:tcPr>
            <w:tcW w:w="5670" w:type="dxa"/>
            <w:tcBorders>
              <w:top w:val="single" w:sz="4" w:space="0" w:color="auto"/>
              <w:left w:val="single" w:sz="4" w:space="0" w:color="auto"/>
              <w:bottom w:val="single" w:sz="4" w:space="0" w:color="auto"/>
              <w:right w:val="single" w:sz="4" w:space="0" w:color="auto"/>
            </w:tcBorders>
          </w:tcPr>
          <w:p w:rsidR="00B6146C" w:rsidRDefault="00B6146C"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behaviour</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B6146C" w:rsidP="00D86226">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03405" w:rsidP="00D86226">
            <w:pPr>
              <w:widowControl w:val="0"/>
              <w:jc w:val="center"/>
              <w:rPr>
                <w:rFonts w:ascii="Calibri" w:hAnsi="Calibri" w:cs="Calibri"/>
                <w:color w:val="000000"/>
                <w:szCs w:val="22"/>
              </w:rPr>
            </w:pPr>
            <w:r>
              <w:rPr>
                <w:rFonts w:ascii="Calibri" w:hAnsi="Calibri" w:cs="Calibri"/>
                <w:color w:val="000000"/>
                <w:szCs w:val="22"/>
              </w:rPr>
              <w:t>1.6</w:t>
            </w:r>
            <w:r w:rsidR="00CF6822">
              <w:rPr>
                <w:rFonts w:ascii="Calibri" w:hAnsi="Calibri" w:cs="Calibri"/>
                <w:color w:val="000000"/>
                <w:szCs w:val="22"/>
              </w:rPr>
              <w:t>%</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B6146C" w:rsidP="00D86226">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CF6822" w:rsidP="00D86226">
            <w:pPr>
              <w:widowControl w:val="0"/>
              <w:jc w:val="center"/>
              <w:rPr>
                <w:rFonts w:ascii="Calibri" w:hAnsi="Calibri" w:cs="Calibri"/>
                <w:color w:val="000000"/>
                <w:szCs w:val="22"/>
              </w:rPr>
            </w:pPr>
            <w:r>
              <w:rPr>
                <w:rFonts w:ascii="Calibri" w:hAnsi="Calibri" w:cs="Calibri"/>
                <w:color w:val="000000"/>
                <w:szCs w:val="22"/>
              </w:rPr>
              <w:t>0.9%</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4E4C2C" w:rsidP="00B6146C">
            <w:pPr>
              <w:widowControl w:val="0"/>
              <w:tabs>
                <w:tab w:val="left" w:pos="176"/>
                <w:tab w:val="left" w:pos="1440"/>
                <w:tab w:val="decimal" w:pos="4320"/>
              </w:tabs>
              <w:outlineLvl w:val="0"/>
              <w:rPr>
                <w:rFonts w:ascii="Calibri" w:hAnsi="Calibri"/>
                <w:b/>
                <w:i/>
                <w:szCs w:val="22"/>
              </w:rPr>
            </w:pPr>
            <w:r>
              <w:rPr>
                <w:rFonts w:ascii="Calibri" w:hAnsi="Calibri"/>
                <w:b/>
                <w:i/>
                <w:szCs w:val="22"/>
              </w:rPr>
              <w:t>Disability-related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BA0512" w:rsidP="00B6146C">
            <w:pPr>
              <w:widowControl w:val="0"/>
              <w:jc w:val="center"/>
              <w:rPr>
                <w:rFonts w:ascii="Calibri" w:hAnsi="Calibri" w:cs="Calibri"/>
                <w:b/>
                <w:i/>
                <w:color w:val="000000"/>
                <w:szCs w:val="22"/>
              </w:rPr>
            </w:pPr>
            <w:r>
              <w:rPr>
                <w:rFonts w:ascii="Calibri" w:hAnsi="Calibri" w:cs="Calibri"/>
                <w:b/>
                <w: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CF6822" w:rsidP="00CF6822">
            <w:pPr>
              <w:widowControl w:val="0"/>
              <w:jc w:val="center"/>
              <w:rPr>
                <w:rFonts w:ascii="Calibri" w:hAnsi="Calibri" w:cs="Calibri"/>
                <w:b/>
                <w:i/>
                <w:color w:val="000000"/>
                <w:szCs w:val="22"/>
              </w:rPr>
            </w:pPr>
            <w:r>
              <w:rPr>
                <w:rFonts w:ascii="Calibri" w:hAnsi="Calibri" w:cs="Calibri"/>
                <w:b/>
                <w:i/>
                <w:color w:val="000000"/>
                <w:szCs w:val="22"/>
              </w:rPr>
              <w:t>0.7%</w:t>
            </w:r>
          </w:p>
        </w:tc>
      </w:tr>
      <w:tr w:rsidR="00B6146C" w:rsidTr="00D86226">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146C" w:rsidRDefault="00B6146C" w:rsidP="00B6146C">
            <w:pPr>
              <w:widowControl w:val="0"/>
              <w:tabs>
                <w:tab w:val="left" w:pos="176"/>
                <w:tab w:val="left" w:pos="1440"/>
                <w:tab w:val="decimal" w:pos="4320"/>
              </w:tabs>
              <w:outlineLvl w:val="0"/>
              <w:rPr>
                <w:rFonts w:ascii="Calibri" w:hAnsi="Calibri"/>
                <w:b/>
                <w:i/>
                <w:szCs w:val="22"/>
              </w:rPr>
            </w:pPr>
            <w:r>
              <w:rPr>
                <w:rFonts w:ascii="Calibri" w:hAnsi="Calibri"/>
                <w:b/>
                <w:i/>
                <w:szCs w:val="22"/>
              </w:rPr>
              <w:t>Other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B6146C" w:rsidP="00B6146C">
            <w:pPr>
              <w:widowControl w:val="0"/>
              <w:jc w:val="center"/>
              <w:rPr>
                <w:rFonts w:ascii="Calibri" w:hAnsi="Calibri" w:cs="Calibri"/>
                <w:b/>
                <w:i/>
                <w:color w:val="000000"/>
                <w:szCs w:val="22"/>
              </w:rPr>
            </w:pPr>
            <w:r>
              <w:rPr>
                <w:rFonts w:ascii="Calibri" w:hAnsi="Calibri" w:cs="Calibri"/>
                <w:b/>
                <w:i/>
                <w:color w:val="000000"/>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CF6822" w:rsidP="00CF6822">
            <w:pPr>
              <w:widowControl w:val="0"/>
              <w:jc w:val="center"/>
              <w:rPr>
                <w:rFonts w:ascii="Calibri" w:hAnsi="Calibri" w:cs="Calibri"/>
                <w:b/>
                <w:i/>
                <w:color w:val="000000"/>
                <w:szCs w:val="22"/>
              </w:rPr>
            </w:pPr>
            <w:r>
              <w:rPr>
                <w:rFonts w:ascii="Calibri" w:hAnsi="Calibri" w:cs="Calibri"/>
                <w:b/>
                <w:i/>
                <w:color w:val="000000"/>
                <w:szCs w:val="22"/>
              </w:rPr>
              <w:t>0.2%</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widowControl w:val="0"/>
              <w:tabs>
                <w:tab w:val="left" w:pos="176"/>
                <w:tab w:val="left" w:pos="1440"/>
                <w:tab w:val="decimal" w:pos="4320"/>
              </w:tabs>
              <w:jc w:val="left"/>
              <w:outlineLvl w:val="0"/>
              <w:rPr>
                <w:rFonts w:ascii="Calibri" w:hAnsi="Calibri"/>
                <w:b/>
                <w:szCs w:val="22"/>
              </w:rPr>
            </w:pPr>
            <w:r>
              <w:rPr>
                <w:rFonts w:ascii="Calibri" w:hAnsi="Calibri"/>
                <w:b/>
                <w:szCs w:val="22"/>
              </w:rPr>
              <w:t>TOTAL</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B6146C" w:rsidP="00D86226">
            <w:pPr>
              <w:widowControl w:val="0"/>
              <w:jc w:val="center"/>
              <w:rPr>
                <w:rFonts w:ascii="Calibri" w:hAnsi="Calibri" w:cs="Calibri"/>
                <w:b/>
                <w:color w:val="000000"/>
                <w:szCs w:val="22"/>
              </w:rPr>
            </w:pPr>
            <w:r>
              <w:rPr>
                <w:rFonts w:ascii="Calibri" w:hAnsi="Calibri" w:cs="Calibri"/>
                <w:b/>
                <w:color w:val="000000"/>
                <w:szCs w:val="22"/>
              </w:rPr>
              <w:t>4</w:t>
            </w:r>
            <w:r w:rsidR="00563472">
              <w:rPr>
                <w:rFonts w:ascii="Calibri" w:hAnsi="Calibri" w:cs="Calibri"/>
                <w:b/>
                <w:color w:val="000000"/>
                <w:szCs w:val="22"/>
              </w:rPr>
              <w:t>5</w:t>
            </w:r>
            <w:r w:rsidR="00A03405">
              <w:rPr>
                <w:rFonts w:ascii="Calibri" w:hAnsi="Calibri" w:cs="Calibri"/>
                <w:b/>
                <w:color w:val="000000"/>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D86226" w:rsidP="00D86226">
            <w:pPr>
              <w:widowControl w:val="0"/>
              <w:jc w:val="center"/>
              <w:rPr>
                <w:rFonts w:ascii="Calibri" w:hAnsi="Calibri" w:cs="Calibri"/>
                <w:b/>
                <w:color w:val="000000"/>
                <w:szCs w:val="22"/>
              </w:rPr>
            </w:pPr>
          </w:p>
        </w:tc>
      </w:tr>
    </w:tbl>
    <w:p w:rsidR="00D86226" w:rsidRDefault="00D86226" w:rsidP="00D86226"/>
    <w:p w:rsidR="00064B53" w:rsidRDefault="00D86226" w:rsidP="00160606">
      <w:pPr>
        <w:spacing w:before="240"/>
      </w:pPr>
      <w:r>
        <w:t>The most common primary issue categorie</w:t>
      </w:r>
      <w:r w:rsidR="00B7094E">
        <w:t>s were</w:t>
      </w:r>
      <w:r w:rsidR="00064B53">
        <w:t>:</w:t>
      </w:r>
      <w:r w:rsidR="00557BF7">
        <w:t xml:space="preserve"> </w:t>
      </w:r>
    </w:p>
    <w:p w:rsidR="00064B53" w:rsidRDefault="00064B53" w:rsidP="008565E0">
      <w:pPr>
        <w:pStyle w:val="ListParagraph"/>
        <w:numPr>
          <w:ilvl w:val="0"/>
          <w:numId w:val="19"/>
        </w:numPr>
      </w:pPr>
      <w:r>
        <w:t>C</w:t>
      </w:r>
      <w:r w:rsidR="00557BF7">
        <w:t>a</w:t>
      </w:r>
      <w:r w:rsidR="001E30A9">
        <w:t>re/treatment (47.6</w:t>
      </w:r>
      <w:r>
        <w:t>%)</w:t>
      </w:r>
      <w:r w:rsidR="00D86226">
        <w:t xml:space="preserve"> </w:t>
      </w:r>
    </w:p>
    <w:p w:rsidR="00064B53" w:rsidRDefault="00064B53" w:rsidP="008565E0">
      <w:pPr>
        <w:pStyle w:val="ListParagraph"/>
        <w:numPr>
          <w:ilvl w:val="0"/>
          <w:numId w:val="19"/>
        </w:numPr>
        <w:ind w:left="714" w:hanging="357"/>
      </w:pPr>
      <w:r>
        <w:t>A</w:t>
      </w:r>
      <w:r w:rsidR="00D86226">
        <w:t>ccess/funding (1</w:t>
      </w:r>
      <w:r w:rsidR="001E30A9">
        <w:t>7.8</w:t>
      </w:r>
      <w:r>
        <w:t xml:space="preserve">%) </w:t>
      </w:r>
    </w:p>
    <w:p w:rsidR="00064B53" w:rsidRDefault="00064B53" w:rsidP="008565E0">
      <w:pPr>
        <w:pStyle w:val="ListParagraph"/>
        <w:numPr>
          <w:ilvl w:val="0"/>
          <w:numId w:val="19"/>
        </w:numPr>
        <w:ind w:left="714" w:hanging="357"/>
      </w:pPr>
      <w:r>
        <w:t>C</w:t>
      </w:r>
      <w:r w:rsidR="00D86226">
        <w:t>onsent/informatio</w:t>
      </w:r>
      <w:r w:rsidR="008E7481">
        <w:t>n (</w:t>
      </w:r>
      <w:r w:rsidR="00CF6822">
        <w:t>9.3</w:t>
      </w:r>
      <w:r w:rsidR="00450394">
        <w:t>%)</w:t>
      </w:r>
      <w:r>
        <w:t xml:space="preserve"> </w:t>
      </w:r>
    </w:p>
    <w:p w:rsidR="00064B53" w:rsidRDefault="00064B53" w:rsidP="008565E0">
      <w:pPr>
        <w:pStyle w:val="ListParagraph"/>
        <w:numPr>
          <w:ilvl w:val="0"/>
          <w:numId w:val="19"/>
        </w:numPr>
        <w:ind w:left="714" w:hanging="357"/>
      </w:pPr>
      <w:r>
        <w:t>C</w:t>
      </w:r>
      <w:r w:rsidR="00450394">
        <w:t>ommunication (</w:t>
      </w:r>
      <w:r w:rsidR="00CF6822">
        <w:t>8.4</w:t>
      </w:r>
      <w:r w:rsidR="008565E0">
        <w:t>%)</w:t>
      </w:r>
    </w:p>
    <w:p w:rsidR="00064B53" w:rsidRDefault="00064B53" w:rsidP="00064B53">
      <w:pPr>
        <w:spacing w:before="120"/>
      </w:pPr>
      <w:r>
        <w:t>T</w:t>
      </w:r>
      <w:r w:rsidR="00D86226">
        <w:t>he most common specific primary issues</w:t>
      </w:r>
      <w:r w:rsidR="008565E0">
        <w:t xml:space="preserve"> complained about</w:t>
      </w:r>
      <w:r w:rsidR="00D86226">
        <w:t xml:space="preserve"> in complaints about DHBs were</w:t>
      </w:r>
      <w:r>
        <w:t>:</w:t>
      </w:r>
      <w:r w:rsidR="00D86226">
        <w:t xml:space="preserve"> </w:t>
      </w:r>
    </w:p>
    <w:p w:rsidR="00064B53" w:rsidRDefault="00064B53" w:rsidP="008565E0">
      <w:pPr>
        <w:pStyle w:val="ListParagraph"/>
        <w:numPr>
          <w:ilvl w:val="0"/>
          <w:numId w:val="20"/>
        </w:numPr>
        <w:ind w:left="714" w:hanging="357"/>
      </w:pPr>
      <w:r>
        <w:t>M</w:t>
      </w:r>
      <w:r w:rsidR="00D86226">
        <w:t>issed/in</w:t>
      </w:r>
      <w:r w:rsidR="008E7481">
        <w:t>correct/delayed diagnosis</w:t>
      </w:r>
      <w:r w:rsidR="00CF6822">
        <w:t xml:space="preserve"> (13.1</w:t>
      </w:r>
      <w:r>
        <w:t>%)</w:t>
      </w:r>
    </w:p>
    <w:p w:rsidR="00064B53" w:rsidRDefault="00064B53" w:rsidP="008565E0">
      <w:pPr>
        <w:pStyle w:val="ListParagraph"/>
        <w:numPr>
          <w:ilvl w:val="0"/>
          <w:numId w:val="20"/>
        </w:numPr>
        <w:ind w:left="714" w:hanging="357"/>
      </w:pPr>
      <w:r>
        <w:t>U</w:t>
      </w:r>
      <w:r w:rsidR="00CF6822">
        <w:t>nexpec</w:t>
      </w:r>
      <w:r w:rsidR="008565E0">
        <w:t>ted treatment outcome</w:t>
      </w:r>
      <w:r>
        <w:t xml:space="preserve"> (</w:t>
      </w:r>
      <w:r w:rsidR="001E30A9">
        <w:t>12.0</w:t>
      </w:r>
      <w:r>
        <w:t>%)</w:t>
      </w:r>
    </w:p>
    <w:p w:rsidR="00064B53" w:rsidRDefault="00064B53" w:rsidP="008565E0">
      <w:pPr>
        <w:pStyle w:val="ListParagraph"/>
        <w:numPr>
          <w:ilvl w:val="0"/>
          <w:numId w:val="20"/>
        </w:numPr>
        <w:ind w:left="714" w:hanging="357"/>
      </w:pPr>
      <w:r>
        <w:t>W</w:t>
      </w:r>
      <w:r w:rsidR="00D86226">
        <w:t>aiting</w:t>
      </w:r>
      <w:r w:rsidR="00450394">
        <w:t xml:space="preserve"> list/prioritisation issue (</w:t>
      </w:r>
      <w:r w:rsidR="001E30A9">
        <w:t>10.7</w:t>
      </w:r>
      <w:r>
        <w:t>%)</w:t>
      </w:r>
    </w:p>
    <w:p w:rsidR="00064B53" w:rsidRDefault="00064B53" w:rsidP="008565E0">
      <w:pPr>
        <w:pStyle w:val="ListParagraph"/>
        <w:numPr>
          <w:ilvl w:val="0"/>
          <w:numId w:val="20"/>
        </w:numPr>
        <w:ind w:left="714" w:hanging="357"/>
      </w:pPr>
      <w:r>
        <w:t>L</w:t>
      </w:r>
      <w:r w:rsidR="00D86226">
        <w:t>ack of access to services (</w:t>
      </w:r>
      <w:r w:rsidR="001E30A9">
        <w:t>6.4</w:t>
      </w:r>
      <w:r w:rsidR="008565E0">
        <w:t>%)</w:t>
      </w:r>
    </w:p>
    <w:p w:rsidR="00D86226" w:rsidRDefault="00D86226" w:rsidP="00D86226"/>
    <w:p w:rsidR="008565E0" w:rsidRDefault="008565E0" w:rsidP="00D86226"/>
    <w:p w:rsidR="00064B53" w:rsidRDefault="00064B53" w:rsidP="00D86226"/>
    <w:p w:rsidR="00064B53" w:rsidRDefault="00064B53" w:rsidP="00D86226"/>
    <w:p w:rsidR="00064B53" w:rsidRDefault="00064B53" w:rsidP="00D86226"/>
    <w:p w:rsidR="008565E0" w:rsidRDefault="008565E0" w:rsidP="00D86226"/>
    <w:p w:rsidR="008565E0" w:rsidRDefault="008565E0" w:rsidP="00D86226"/>
    <w:p w:rsidR="008565E0" w:rsidRDefault="008565E0" w:rsidP="00D86226"/>
    <w:p w:rsidR="008565E0" w:rsidRDefault="008565E0" w:rsidP="00D86226"/>
    <w:p w:rsidR="00064B53" w:rsidRDefault="00064B53" w:rsidP="00D86226"/>
    <w:p w:rsidR="001E30A9" w:rsidRDefault="001E30A9" w:rsidP="00D86226"/>
    <w:p w:rsidR="00064B53" w:rsidRDefault="00064B53" w:rsidP="00D86226"/>
    <w:p w:rsidR="00D86226" w:rsidRDefault="00D86226" w:rsidP="00D86226">
      <w:r>
        <w:lastRenderedPageBreak/>
        <w:t xml:space="preserve">Table 7 shows a comparison over time for the top five primary issues complained about. The top five primary issues have remained broadly consistent </w:t>
      </w:r>
      <w:r w:rsidR="00D7088B">
        <w:t xml:space="preserve">over time, with the exception of “unexpected treatment outcome” which increased from </w:t>
      </w:r>
      <w:r w:rsidR="008565E0">
        <w:t xml:space="preserve">being the primary issue in </w:t>
      </w:r>
      <w:r w:rsidR="00D7088B">
        <w:t>around 8%</w:t>
      </w:r>
      <w:r w:rsidR="008565E0">
        <w:t xml:space="preserve"> of complaints in previous periods to 12% </w:t>
      </w:r>
      <w:r w:rsidR="00D7088B">
        <w:t>in Jan-Jun 2018</w:t>
      </w:r>
      <w:r w:rsidR="008565E0">
        <w:t>,</w:t>
      </w:r>
      <w:r w:rsidR="00D7088B">
        <w:t xml:space="preserve"> and “inadequate/inappropriate treatment” which decreased from</w:t>
      </w:r>
      <w:r w:rsidR="008565E0">
        <w:t xml:space="preserve"> being the primary issue in</w:t>
      </w:r>
      <w:r w:rsidR="00D7088B">
        <w:t xml:space="preserve"> around 7-8%</w:t>
      </w:r>
      <w:r w:rsidR="008565E0">
        <w:t xml:space="preserve"> of complaints</w:t>
      </w:r>
      <w:r w:rsidR="00D7088B">
        <w:t xml:space="preserve"> in previous periods to 4% in Jan-Jun 2018.</w:t>
      </w:r>
    </w:p>
    <w:p w:rsidR="00CF6822" w:rsidRDefault="00CF6822" w:rsidP="00D86226">
      <w:pPr>
        <w:spacing w:after="120"/>
        <w:rPr>
          <w:b/>
        </w:rPr>
      </w:pPr>
    </w:p>
    <w:p w:rsidR="00D86226" w:rsidRDefault="00D86226" w:rsidP="00D86226">
      <w:pPr>
        <w:spacing w:after="120"/>
        <w:rPr>
          <w:b/>
        </w:rPr>
      </w:pPr>
      <w:proofErr w:type="gramStart"/>
      <w:r>
        <w:rPr>
          <w:b/>
        </w:rPr>
        <w:t>Table 7.</w:t>
      </w:r>
      <w:proofErr w:type="gramEnd"/>
      <w:r>
        <w:rPr>
          <w:b/>
        </w:rPr>
        <w:t xml:space="preserve"> </w:t>
      </w:r>
      <w:r>
        <w:t>Top five primary issues in complaints received over the last four six</w:t>
      </w:r>
      <w:r w:rsidR="001D7E02">
        <w:t>-</w:t>
      </w:r>
      <w:r>
        <w:t>month periods</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65"/>
        <w:gridCol w:w="1685"/>
        <w:gridCol w:w="565"/>
        <w:gridCol w:w="1690"/>
        <w:gridCol w:w="563"/>
        <w:gridCol w:w="1738"/>
        <w:gridCol w:w="709"/>
      </w:tblGrid>
      <w:tr w:rsidR="00D86226" w:rsidTr="00D86226">
        <w:trPr>
          <w:tblHead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tabs>
                <w:tab w:val="left" w:pos="1440"/>
                <w:tab w:val="decimal" w:pos="4320"/>
              </w:tabs>
              <w:spacing w:before="120" w:after="120"/>
              <w:jc w:val="center"/>
              <w:outlineLvl w:val="0"/>
              <w:rPr>
                <w:rFonts w:ascii="Calibri" w:hAnsi="Calibri"/>
                <w:b/>
              </w:rPr>
            </w:pPr>
            <w:r>
              <w:rPr>
                <w:rFonts w:ascii="Calibri" w:hAnsi="Calibri"/>
                <w:b/>
                <w:szCs w:val="22"/>
              </w:rPr>
              <w:t xml:space="preserve">Top five primary issues in all complaints </w:t>
            </w:r>
            <w:r>
              <w:rPr>
                <w:rFonts w:ascii="Calibri" w:hAnsi="Calibri"/>
                <w:szCs w:val="22"/>
              </w:rPr>
              <w:t>(%)</w:t>
            </w:r>
          </w:p>
        </w:tc>
      </w:tr>
      <w:tr w:rsidR="00D86226" w:rsidTr="00D86226">
        <w:tc>
          <w:tcPr>
            <w:tcW w:w="1225" w:type="pct"/>
            <w:gridSpan w:val="2"/>
            <w:tcBorders>
              <w:top w:val="single" w:sz="4" w:space="0" w:color="auto"/>
              <w:left w:val="single" w:sz="4" w:space="0" w:color="auto"/>
              <w:bottom w:val="single" w:sz="4" w:space="0" w:color="auto"/>
              <w:right w:val="single" w:sz="4" w:space="0" w:color="auto"/>
            </w:tcBorders>
            <w:hideMark/>
          </w:tcPr>
          <w:p w:rsidR="00D7088B" w:rsidRDefault="00D7088B" w:rsidP="00D7088B">
            <w:pPr>
              <w:keepNext/>
              <w:keepLines/>
              <w:tabs>
                <w:tab w:val="left" w:pos="1440"/>
                <w:tab w:val="decimal" w:pos="4320"/>
              </w:tabs>
              <w:ind w:firstLine="152"/>
              <w:jc w:val="center"/>
              <w:outlineLvl w:val="0"/>
              <w:rPr>
                <w:rFonts w:ascii="Calibri" w:hAnsi="Calibri"/>
                <w:b/>
              </w:rPr>
            </w:pPr>
            <w:r>
              <w:rPr>
                <w:rFonts w:ascii="Calibri" w:hAnsi="Calibri"/>
                <w:b/>
                <w:szCs w:val="22"/>
              </w:rPr>
              <w:t>Jul–Dec 16</w:t>
            </w:r>
          </w:p>
          <w:p w:rsidR="00D86226" w:rsidRDefault="00D7088B" w:rsidP="00D7088B">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n=386</w:t>
            </w:r>
          </w:p>
        </w:tc>
        <w:tc>
          <w:tcPr>
            <w:tcW w:w="1222" w:type="pct"/>
            <w:gridSpan w:val="2"/>
            <w:tcBorders>
              <w:top w:val="single" w:sz="4" w:space="0" w:color="auto"/>
              <w:left w:val="single" w:sz="4" w:space="0" w:color="auto"/>
              <w:bottom w:val="single" w:sz="4" w:space="0" w:color="auto"/>
              <w:right w:val="single" w:sz="4" w:space="0" w:color="auto"/>
            </w:tcBorders>
            <w:hideMark/>
          </w:tcPr>
          <w:p w:rsidR="00D7088B" w:rsidRDefault="00D7088B" w:rsidP="00D7088B">
            <w:pPr>
              <w:keepNext/>
              <w:keepLines/>
              <w:tabs>
                <w:tab w:val="left" w:pos="1440"/>
                <w:tab w:val="decimal" w:pos="4320"/>
              </w:tabs>
              <w:ind w:firstLine="152"/>
              <w:jc w:val="center"/>
              <w:outlineLvl w:val="0"/>
              <w:rPr>
                <w:rFonts w:ascii="Calibri" w:hAnsi="Calibri"/>
                <w:b/>
              </w:rPr>
            </w:pPr>
            <w:r>
              <w:rPr>
                <w:rFonts w:ascii="Calibri" w:hAnsi="Calibri"/>
                <w:b/>
                <w:szCs w:val="22"/>
              </w:rPr>
              <w:t>Jan–Jun 17</w:t>
            </w:r>
          </w:p>
          <w:p w:rsidR="00D86226" w:rsidRDefault="00D7088B" w:rsidP="00D7088B">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n=477</w:t>
            </w:r>
          </w:p>
        </w:tc>
        <w:tc>
          <w:tcPr>
            <w:tcW w:w="1224" w:type="pct"/>
            <w:gridSpan w:val="2"/>
            <w:tcBorders>
              <w:top w:val="single" w:sz="4" w:space="0" w:color="auto"/>
              <w:left w:val="single" w:sz="4" w:space="0" w:color="auto"/>
              <w:bottom w:val="single" w:sz="4" w:space="0" w:color="auto"/>
              <w:right w:val="single" w:sz="4" w:space="0" w:color="auto"/>
            </w:tcBorders>
            <w:hideMark/>
          </w:tcPr>
          <w:p w:rsidR="00D7088B" w:rsidRDefault="00D7088B" w:rsidP="00D7088B">
            <w:pPr>
              <w:keepNext/>
              <w:keepLines/>
              <w:tabs>
                <w:tab w:val="left" w:pos="1440"/>
                <w:tab w:val="decimal" w:pos="4320"/>
              </w:tabs>
              <w:ind w:firstLine="152"/>
              <w:jc w:val="center"/>
              <w:outlineLvl w:val="0"/>
              <w:rPr>
                <w:rFonts w:ascii="Calibri" w:hAnsi="Calibri"/>
                <w:b/>
              </w:rPr>
            </w:pPr>
            <w:r>
              <w:rPr>
                <w:rFonts w:ascii="Calibri" w:hAnsi="Calibri"/>
                <w:b/>
                <w:szCs w:val="22"/>
              </w:rPr>
              <w:t>Jul–Dec 17</w:t>
            </w:r>
          </w:p>
          <w:p w:rsidR="00D86226" w:rsidRDefault="00D7088B" w:rsidP="00D7088B">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n=439</w:t>
            </w:r>
          </w:p>
        </w:tc>
        <w:tc>
          <w:tcPr>
            <w:tcW w:w="1329" w:type="pct"/>
            <w:gridSpan w:val="2"/>
            <w:tcBorders>
              <w:top w:val="single" w:sz="4" w:space="0" w:color="auto"/>
              <w:left w:val="single" w:sz="4" w:space="0" w:color="auto"/>
              <w:bottom w:val="single" w:sz="4" w:space="0" w:color="auto"/>
              <w:right w:val="single" w:sz="4" w:space="0" w:color="auto"/>
            </w:tcBorders>
            <w:hideMark/>
          </w:tcPr>
          <w:p w:rsidR="00D7088B" w:rsidRDefault="00D7088B" w:rsidP="00D7088B">
            <w:pPr>
              <w:keepNext/>
              <w:keepLines/>
              <w:tabs>
                <w:tab w:val="left" w:pos="1440"/>
                <w:tab w:val="decimal" w:pos="4320"/>
              </w:tabs>
              <w:ind w:firstLine="152"/>
              <w:jc w:val="center"/>
              <w:outlineLvl w:val="0"/>
              <w:rPr>
                <w:rFonts w:ascii="Calibri" w:hAnsi="Calibri"/>
                <w:b/>
              </w:rPr>
            </w:pPr>
            <w:r>
              <w:rPr>
                <w:rFonts w:ascii="Calibri" w:hAnsi="Calibri"/>
                <w:b/>
                <w:szCs w:val="22"/>
              </w:rPr>
              <w:t>Jan–Jun 18</w:t>
            </w:r>
          </w:p>
          <w:p w:rsidR="00D86226" w:rsidRDefault="00D7088B" w:rsidP="00D7088B">
            <w:pPr>
              <w:jc w:val="center"/>
              <w:rPr>
                <w:rFonts w:ascii="Calibri" w:hAnsi="Calibri"/>
                <w:b/>
                <w:szCs w:val="22"/>
              </w:rPr>
            </w:pPr>
            <w:r>
              <w:rPr>
                <w:rFonts w:ascii="Calibri" w:hAnsi="Calibri"/>
                <w:b/>
                <w:szCs w:val="22"/>
              </w:rPr>
              <w:t>n=45</w:t>
            </w:r>
            <w:r w:rsidR="001E30A9">
              <w:rPr>
                <w:rFonts w:ascii="Calibri" w:hAnsi="Calibri"/>
                <w:b/>
                <w:szCs w:val="22"/>
              </w:rPr>
              <w:t>0</w:t>
            </w:r>
          </w:p>
        </w:tc>
      </w:tr>
      <w:tr w:rsidR="00D7088B" w:rsidTr="00D7088B">
        <w:trPr>
          <w:trHeight w:val="450"/>
        </w:trPr>
        <w:tc>
          <w:tcPr>
            <w:tcW w:w="918" w:type="pct"/>
            <w:tcBorders>
              <w:top w:val="single" w:sz="4" w:space="0" w:color="auto"/>
              <w:left w:val="single" w:sz="4" w:space="0" w:color="auto"/>
              <w:bottom w:val="single" w:sz="4" w:space="0" w:color="auto"/>
              <w:right w:val="single" w:sz="4" w:space="0" w:color="auto"/>
            </w:tcBorders>
            <w:vAlign w:val="center"/>
            <w:hideMark/>
          </w:tcPr>
          <w:p w:rsidR="00D7088B" w:rsidRDefault="00D7088B" w:rsidP="00D7088B">
            <w:pPr>
              <w:jc w:val="left"/>
              <w:rPr>
                <w:rFonts w:ascii="Calibri" w:hAnsi="Calibri"/>
                <w:sz w:val="20"/>
                <w:szCs w:val="20"/>
              </w:rPr>
            </w:pPr>
            <w:r>
              <w:rPr>
                <w:rFonts w:ascii="Calibri" w:hAnsi="Calibri"/>
                <w:sz w:val="20"/>
                <w:szCs w:val="20"/>
              </w:rPr>
              <w:t>Misdiagnosis</w:t>
            </w:r>
          </w:p>
        </w:tc>
        <w:tc>
          <w:tcPr>
            <w:tcW w:w="307" w:type="pct"/>
            <w:tcBorders>
              <w:top w:val="single" w:sz="4" w:space="0" w:color="auto"/>
              <w:left w:val="single" w:sz="4" w:space="0" w:color="auto"/>
              <w:bottom w:val="single" w:sz="4" w:space="0" w:color="auto"/>
              <w:right w:val="single" w:sz="4" w:space="0" w:color="auto"/>
            </w:tcBorders>
            <w:vAlign w:val="center"/>
            <w:hideMark/>
          </w:tcPr>
          <w:p w:rsidR="00D7088B" w:rsidRDefault="00D7088B" w:rsidP="00D7088B">
            <w:pPr>
              <w:jc w:val="center"/>
              <w:rPr>
                <w:rFonts w:ascii="Calibri" w:hAnsi="Calibri"/>
                <w:sz w:val="20"/>
                <w:szCs w:val="20"/>
              </w:rPr>
            </w:pPr>
            <w:r>
              <w:rPr>
                <w:rFonts w:ascii="Calibri" w:hAnsi="Calibri"/>
                <w:sz w:val="20"/>
                <w:szCs w:val="20"/>
              </w:rPr>
              <w:t>15%</w:t>
            </w:r>
          </w:p>
        </w:tc>
        <w:tc>
          <w:tcPr>
            <w:tcW w:w="915"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left"/>
              <w:rPr>
                <w:rFonts w:ascii="Calibri" w:hAnsi="Calibri"/>
                <w:sz w:val="20"/>
                <w:szCs w:val="20"/>
              </w:rPr>
            </w:pPr>
            <w:r>
              <w:rPr>
                <w:rFonts w:ascii="Calibri" w:hAnsi="Calibri"/>
                <w:sz w:val="20"/>
                <w:szCs w:val="20"/>
              </w:rPr>
              <w:t>Misdiagnosis</w:t>
            </w:r>
          </w:p>
        </w:tc>
        <w:tc>
          <w:tcPr>
            <w:tcW w:w="307"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center"/>
              <w:rPr>
                <w:rFonts w:ascii="Calibri" w:hAnsi="Calibri"/>
                <w:sz w:val="20"/>
                <w:szCs w:val="20"/>
              </w:rPr>
            </w:pPr>
            <w:r>
              <w:rPr>
                <w:rFonts w:ascii="Calibri" w:hAnsi="Calibri"/>
                <w:sz w:val="20"/>
                <w:szCs w:val="20"/>
              </w:rPr>
              <w:t>15%</w:t>
            </w:r>
          </w:p>
        </w:tc>
        <w:tc>
          <w:tcPr>
            <w:tcW w:w="918"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left"/>
              <w:rPr>
                <w:rFonts w:ascii="Calibri" w:hAnsi="Calibri"/>
                <w:sz w:val="20"/>
                <w:szCs w:val="20"/>
              </w:rPr>
            </w:pPr>
            <w:r>
              <w:rPr>
                <w:rFonts w:ascii="Calibri" w:hAnsi="Calibri"/>
                <w:sz w:val="20"/>
                <w:szCs w:val="20"/>
              </w:rPr>
              <w:t>Misdiagnosis</w:t>
            </w:r>
          </w:p>
        </w:tc>
        <w:tc>
          <w:tcPr>
            <w:tcW w:w="306"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center"/>
              <w:rPr>
                <w:rFonts w:ascii="Calibri" w:hAnsi="Calibri"/>
                <w:sz w:val="20"/>
                <w:szCs w:val="20"/>
              </w:rPr>
            </w:pPr>
            <w:r>
              <w:rPr>
                <w:rFonts w:ascii="Calibri" w:hAnsi="Calibri"/>
                <w:sz w:val="20"/>
                <w:szCs w:val="20"/>
              </w:rPr>
              <w:t>12%</w:t>
            </w:r>
          </w:p>
        </w:tc>
        <w:tc>
          <w:tcPr>
            <w:tcW w:w="944" w:type="pct"/>
            <w:tcBorders>
              <w:top w:val="single" w:sz="4" w:space="0" w:color="auto"/>
              <w:left w:val="single" w:sz="4" w:space="0" w:color="auto"/>
              <w:bottom w:val="single" w:sz="4" w:space="0" w:color="auto"/>
              <w:right w:val="single" w:sz="4" w:space="0" w:color="auto"/>
            </w:tcBorders>
            <w:vAlign w:val="center"/>
          </w:tcPr>
          <w:p w:rsidR="00D7088B" w:rsidRDefault="00D7088B" w:rsidP="00D86226">
            <w:pPr>
              <w:jc w:val="left"/>
              <w:rPr>
                <w:rFonts w:ascii="Calibri" w:hAnsi="Calibri"/>
                <w:sz w:val="20"/>
                <w:szCs w:val="20"/>
              </w:rPr>
            </w:pPr>
            <w:r>
              <w:rPr>
                <w:rFonts w:ascii="Calibri" w:hAnsi="Calibri"/>
                <w:sz w:val="20"/>
                <w:szCs w:val="20"/>
              </w:rPr>
              <w:t>Misdiagnosis</w:t>
            </w:r>
          </w:p>
        </w:tc>
        <w:tc>
          <w:tcPr>
            <w:tcW w:w="385" w:type="pct"/>
            <w:tcBorders>
              <w:top w:val="single" w:sz="4" w:space="0" w:color="auto"/>
              <w:left w:val="single" w:sz="4" w:space="0" w:color="auto"/>
              <w:bottom w:val="single" w:sz="4" w:space="0" w:color="auto"/>
              <w:right w:val="single" w:sz="4" w:space="0" w:color="auto"/>
            </w:tcBorders>
            <w:vAlign w:val="center"/>
          </w:tcPr>
          <w:p w:rsidR="00D7088B" w:rsidRDefault="00D7088B" w:rsidP="00D86226">
            <w:pPr>
              <w:jc w:val="center"/>
              <w:rPr>
                <w:rFonts w:ascii="Calibri" w:hAnsi="Calibri"/>
                <w:sz w:val="20"/>
                <w:szCs w:val="20"/>
              </w:rPr>
            </w:pPr>
            <w:r>
              <w:rPr>
                <w:rFonts w:ascii="Calibri" w:hAnsi="Calibri"/>
                <w:sz w:val="20"/>
                <w:szCs w:val="20"/>
              </w:rPr>
              <w:t>13%</w:t>
            </w:r>
          </w:p>
        </w:tc>
      </w:tr>
      <w:tr w:rsidR="00D7088B" w:rsidTr="00D7088B">
        <w:trPr>
          <w:trHeight w:val="400"/>
        </w:trPr>
        <w:tc>
          <w:tcPr>
            <w:tcW w:w="918" w:type="pct"/>
            <w:tcBorders>
              <w:top w:val="single" w:sz="4" w:space="0" w:color="auto"/>
              <w:left w:val="single" w:sz="4" w:space="0" w:color="auto"/>
              <w:bottom w:val="single" w:sz="4" w:space="0" w:color="auto"/>
              <w:right w:val="single" w:sz="4" w:space="0" w:color="auto"/>
            </w:tcBorders>
            <w:vAlign w:val="center"/>
            <w:hideMark/>
          </w:tcPr>
          <w:p w:rsidR="00D7088B" w:rsidRDefault="00D7088B" w:rsidP="00D7088B">
            <w:pPr>
              <w:jc w:val="left"/>
              <w:rPr>
                <w:rFonts w:ascii="Calibri" w:hAnsi="Calibri"/>
                <w:sz w:val="20"/>
                <w:szCs w:val="20"/>
              </w:rPr>
            </w:pPr>
            <w:r>
              <w:rPr>
                <w:rFonts w:ascii="Calibri" w:hAnsi="Calibri"/>
                <w:sz w:val="20"/>
                <w:szCs w:val="20"/>
              </w:rPr>
              <w:t>Unexpected treatment outcome</w:t>
            </w:r>
          </w:p>
        </w:tc>
        <w:tc>
          <w:tcPr>
            <w:tcW w:w="307" w:type="pct"/>
            <w:tcBorders>
              <w:top w:val="single" w:sz="4" w:space="0" w:color="auto"/>
              <w:left w:val="single" w:sz="4" w:space="0" w:color="auto"/>
              <w:bottom w:val="single" w:sz="4" w:space="0" w:color="auto"/>
              <w:right w:val="single" w:sz="4" w:space="0" w:color="auto"/>
            </w:tcBorders>
            <w:vAlign w:val="center"/>
            <w:hideMark/>
          </w:tcPr>
          <w:p w:rsidR="00D7088B" w:rsidRDefault="00D7088B" w:rsidP="00D7088B">
            <w:pPr>
              <w:jc w:val="center"/>
              <w:rPr>
                <w:rFonts w:ascii="Calibri" w:hAnsi="Calibri"/>
                <w:sz w:val="20"/>
                <w:szCs w:val="20"/>
              </w:rPr>
            </w:pPr>
            <w:r>
              <w:rPr>
                <w:rFonts w:ascii="Calibri" w:hAnsi="Calibri"/>
                <w:sz w:val="20"/>
                <w:szCs w:val="20"/>
              </w:rPr>
              <w:t>8%</w:t>
            </w:r>
          </w:p>
        </w:tc>
        <w:tc>
          <w:tcPr>
            <w:tcW w:w="915"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left"/>
              <w:rPr>
                <w:rFonts w:ascii="Calibri" w:hAnsi="Calibri"/>
                <w:sz w:val="20"/>
                <w:szCs w:val="20"/>
              </w:rPr>
            </w:pPr>
            <w:r>
              <w:rPr>
                <w:rFonts w:ascii="Calibri" w:hAnsi="Calibri"/>
                <w:sz w:val="20"/>
                <w:szCs w:val="20"/>
              </w:rPr>
              <w:t>Waiting list/</w:t>
            </w:r>
          </w:p>
          <w:p w:rsidR="00D7088B" w:rsidRDefault="00D7088B" w:rsidP="00D7088B">
            <w:pPr>
              <w:jc w:val="left"/>
              <w:rPr>
                <w:rFonts w:ascii="Calibri" w:hAnsi="Calibri"/>
                <w:sz w:val="20"/>
                <w:szCs w:val="20"/>
              </w:rPr>
            </w:pPr>
            <w:r>
              <w:rPr>
                <w:rFonts w:ascii="Calibri" w:hAnsi="Calibri"/>
                <w:sz w:val="20"/>
                <w:szCs w:val="20"/>
              </w:rPr>
              <w:t>Prioritisation</w:t>
            </w:r>
          </w:p>
        </w:tc>
        <w:tc>
          <w:tcPr>
            <w:tcW w:w="307"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center"/>
              <w:rPr>
                <w:rFonts w:ascii="Calibri" w:hAnsi="Calibri"/>
                <w:sz w:val="20"/>
                <w:szCs w:val="20"/>
              </w:rPr>
            </w:pPr>
            <w:r>
              <w:rPr>
                <w:rFonts w:ascii="Calibri" w:hAnsi="Calibri"/>
                <w:sz w:val="20"/>
                <w:szCs w:val="20"/>
              </w:rPr>
              <w:t>10%</w:t>
            </w:r>
          </w:p>
        </w:tc>
        <w:tc>
          <w:tcPr>
            <w:tcW w:w="918"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left"/>
              <w:rPr>
                <w:rFonts w:ascii="Calibri" w:hAnsi="Calibri"/>
                <w:sz w:val="20"/>
                <w:szCs w:val="20"/>
              </w:rPr>
            </w:pPr>
            <w:r>
              <w:rPr>
                <w:rFonts w:ascii="Calibri" w:hAnsi="Calibri"/>
                <w:sz w:val="20"/>
                <w:szCs w:val="20"/>
              </w:rPr>
              <w:t>Waiting list/</w:t>
            </w:r>
          </w:p>
          <w:p w:rsidR="00D7088B" w:rsidRDefault="00D7088B" w:rsidP="00D7088B">
            <w:pPr>
              <w:jc w:val="left"/>
              <w:rPr>
                <w:rFonts w:ascii="Calibri" w:hAnsi="Calibri"/>
                <w:sz w:val="20"/>
                <w:szCs w:val="20"/>
              </w:rPr>
            </w:pPr>
            <w:r>
              <w:rPr>
                <w:rFonts w:ascii="Calibri" w:hAnsi="Calibri"/>
                <w:sz w:val="20"/>
                <w:szCs w:val="20"/>
              </w:rPr>
              <w:t>prioritisation</w:t>
            </w:r>
          </w:p>
        </w:tc>
        <w:tc>
          <w:tcPr>
            <w:tcW w:w="306"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center"/>
              <w:rPr>
                <w:rFonts w:ascii="Calibri" w:hAnsi="Calibri"/>
                <w:sz w:val="20"/>
                <w:szCs w:val="20"/>
              </w:rPr>
            </w:pPr>
            <w:r>
              <w:rPr>
                <w:rFonts w:ascii="Calibri" w:hAnsi="Calibri"/>
                <w:sz w:val="20"/>
                <w:szCs w:val="20"/>
              </w:rPr>
              <w:t>10%</w:t>
            </w:r>
          </w:p>
        </w:tc>
        <w:tc>
          <w:tcPr>
            <w:tcW w:w="944" w:type="pct"/>
            <w:tcBorders>
              <w:top w:val="single" w:sz="4" w:space="0" w:color="auto"/>
              <w:left w:val="single" w:sz="4" w:space="0" w:color="auto"/>
              <w:bottom w:val="single" w:sz="4" w:space="0" w:color="auto"/>
              <w:right w:val="single" w:sz="4" w:space="0" w:color="auto"/>
            </w:tcBorders>
            <w:vAlign w:val="center"/>
          </w:tcPr>
          <w:p w:rsidR="00D7088B" w:rsidRDefault="00D7088B" w:rsidP="00D86226">
            <w:pPr>
              <w:jc w:val="left"/>
              <w:rPr>
                <w:rFonts w:ascii="Calibri" w:hAnsi="Calibri"/>
                <w:sz w:val="20"/>
                <w:szCs w:val="20"/>
              </w:rPr>
            </w:pPr>
            <w:r>
              <w:rPr>
                <w:rFonts w:ascii="Calibri" w:hAnsi="Calibri"/>
                <w:sz w:val="20"/>
                <w:szCs w:val="20"/>
              </w:rPr>
              <w:t>Unexpected treatment outcome</w:t>
            </w:r>
          </w:p>
        </w:tc>
        <w:tc>
          <w:tcPr>
            <w:tcW w:w="385" w:type="pct"/>
            <w:tcBorders>
              <w:top w:val="single" w:sz="4" w:space="0" w:color="auto"/>
              <w:left w:val="single" w:sz="4" w:space="0" w:color="auto"/>
              <w:bottom w:val="single" w:sz="4" w:space="0" w:color="auto"/>
              <w:right w:val="single" w:sz="4" w:space="0" w:color="auto"/>
            </w:tcBorders>
            <w:vAlign w:val="center"/>
          </w:tcPr>
          <w:p w:rsidR="00D7088B" w:rsidRDefault="00D7088B" w:rsidP="00D86226">
            <w:pPr>
              <w:jc w:val="center"/>
              <w:rPr>
                <w:rFonts w:ascii="Calibri" w:hAnsi="Calibri"/>
                <w:sz w:val="20"/>
                <w:szCs w:val="20"/>
              </w:rPr>
            </w:pPr>
            <w:r>
              <w:rPr>
                <w:rFonts w:ascii="Calibri" w:hAnsi="Calibri"/>
                <w:sz w:val="20"/>
                <w:szCs w:val="20"/>
              </w:rPr>
              <w:t>12%</w:t>
            </w:r>
          </w:p>
        </w:tc>
      </w:tr>
      <w:tr w:rsidR="00D7088B" w:rsidTr="00D7088B">
        <w:tc>
          <w:tcPr>
            <w:tcW w:w="918" w:type="pct"/>
            <w:tcBorders>
              <w:top w:val="single" w:sz="4" w:space="0" w:color="auto"/>
              <w:left w:val="single" w:sz="4" w:space="0" w:color="auto"/>
              <w:bottom w:val="single" w:sz="4" w:space="0" w:color="auto"/>
              <w:right w:val="single" w:sz="4" w:space="0" w:color="auto"/>
            </w:tcBorders>
            <w:vAlign w:val="center"/>
            <w:hideMark/>
          </w:tcPr>
          <w:p w:rsidR="00D7088B" w:rsidRDefault="00D7088B" w:rsidP="00D7088B">
            <w:pPr>
              <w:jc w:val="left"/>
              <w:rPr>
                <w:rFonts w:ascii="Calibri" w:hAnsi="Calibri"/>
                <w:sz w:val="20"/>
                <w:szCs w:val="20"/>
              </w:rPr>
            </w:pPr>
            <w:r>
              <w:rPr>
                <w:rFonts w:ascii="Calibri" w:hAnsi="Calibri"/>
                <w:sz w:val="20"/>
                <w:szCs w:val="20"/>
              </w:rPr>
              <w:t>Inadequate treatment</w:t>
            </w:r>
          </w:p>
        </w:tc>
        <w:tc>
          <w:tcPr>
            <w:tcW w:w="307" w:type="pct"/>
            <w:tcBorders>
              <w:top w:val="single" w:sz="4" w:space="0" w:color="auto"/>
              <w:left w:val="single" w:sz="4" w:space="0" w:color="auto"/>
              <w:bottom w:val="single" w:sz="4" w:space="0" w:color="auto"/>
              <w:right w:val="single" w:sz="4" w:space="0" w:color="auto"/>
            </w:tcBorders>
            <w:vAlign w:val="center"/>
            <w:hideMark/>
          </w:tcPr>
          <w:p w:rsidR="00D7088B" w:rsidRDefault="00D7088B" w:rsidP="00D7088B">
            <w:pPr>
              <w:jc w:val="center"/>
              <w:rPr>
                <w:rFonts w:ascii="Calibri" w:hAnsi="Calibri"/>
                <w:sz w:val="20"/>
                <w:szCs w:val="20"/>
              </w:rPr>
            </w:pPr>
            <w:r>
              <w:rPr>
                <w:rFonts w:ascii="Calibri" w:hAnsi="Calibri"/>
                <w:sz w:val="20"/>
                <w:szCs w:val="20"/>
              </w:rPr>
              <w:t>8%</w:t>
            </w:r>
          </w:p>
        </w:tc>
        <w:tc>
          <w:tcPr>
            <w:tcW w:w="915"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left"/>
              <w:rPr>
                <w:rFonts w:ascii="Calibri" w:hAnsi="Calibri"/>
                <w:sz w:val="20"/>
                <w:szCs w:val="20"/>
              </w:rPr>
            </w:pPr>
            <w:r>
              <w:rPr>
                <w:rFonts w:ascii="Calibri" w:hAnsi="Calibri"/>
                <w:sz w:val="20"/>
                <w:szCs w:val="20"/>
              </w:rPr>
              <w:t>Unexpected treatment outcome</w:t>
            </w:r>
          </w:p>
        </w:tc>
        <w:tc>
          <w:tcPr>
            <w:tcW w:w="307"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center"/>
              <w:rPr>
                <w:rFonts w:ascii="Calibri" w:hAnsi="Calibri"/>
                <w:sz w:val="20"/>
                <w:szCs w:val="20"/>
              </w:rPr>
            </w:pPr>
            <w:r>
              <w:rPr>
                <w:rFonts w:ascii="Calibri" w:hAnsi="Calibri"/>
                <w:sz w:val="20"/>
                <w:szCs w:val="20"/>
              </w:rPr>
              <w:t>9%</w:t>
            </w:r>
          </w:p>
        </w:tc>
        <w:tc>
          <w:tcPr>
            <w:tcW w:w="918"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left"/>
              <w:rPr>
                <w:rFonts w:ascii="Calibri" w:hAnsi="Calibri"/>
                <w:sz w:val="20"/>
                <w:szCs w:val="20"/>
              </w:rPr>
            </w:pPr>
            <w:r>
              <w:rPr>
                <w:rFonts w:ascii="Calibri" w:hAnsi="Calibri"/>
                <w:sz w:val="20"/>
                <w:szCs w:val="20"/>
              </w:rPr>
              <w:t>Unexpected treatment outcome</w:t>
            </w:r>
          </w:p>
        </w:tc>
        <w:tc>
          <w:tcPr>
            <w:tcW w:w="306"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center"/>
              <w:rPr>
                <w:rFonts w:ascii="Calibri" w:hAnsi="Calibri"/>
                <w:sz w:val="20"/>
                <w:szCs w:val="20"/>
              </w:rPr>
            </w:pPr>
            <w:r>
              <w:rPr>
                <w:rFonts w:ascii="Calibri" w:hAnsi="Calibri"/>
                <w:sz w:val="20"/>
                <w:szCs w:val="20"/>
              </w:rPr>
              <w:t>8%</w:t>
            </w:r>
          </w:p>
        </w:tc>
        <w:tc>
          <w:tcPr>
            <w:tcW w:w="944"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left"/>
              <w:rPr>
                <w:rFonts w:ascii="Calibri" w:hAnsi="Calibri"/>
                <w:sz w:val="20"/>
                <w:szCs w:val="20"/>
              </w:rPr>
            </w:pPr>
            <w:r>
              <w:rPr>
                <w:rFonts w:ascii="Calibri" w:hAnsi="Calibri"/>
                <w:sz w:val="20"/>
                <w:szCs w:val="20"/>
              </w:rPr>
              <w:t>Waiting list/</w:t>
            </w:r>
          </w:p>
          <w:p w:rsidR="00D7088B" w:rsidRDefault="00D7088B" w:rsidP="00D7088B">
            <w:pPr>
              <w:jc w:val="left"/>
              <w:rPr>
                <w:rFonts w:ascii="Calibri" w:hAnsi="Calibri"/>
                <w:sz w:val="20"/>
                <w:szCs w:val="20"/>
              </w:rPr>
            </w:pPr>
            <w:r>
              <w:rPr>
                <w:rFonts w:ascii="Calibri" w:hAnsi="Calibri"/>
                <w:sz w:val="20"/>
                <w:szCs w:val="20"/>
              </w:rPr>
              <w:t>prioritisation</w:t>
            </w:r>
          </w:p>
        </w:tc>
        <w:tc>
          <w:tcPr>
            <w:tcW w:w="385" w:type="pct"/>
            <w:tcBorders>
              <w:top w:val="single" w:sz="4" w:space="0" w:color="auto"/>
              <w:left w:val="single" w:sz="4" w:space="0" w:color="auto"/>
              <w:bottom w:val="single" w:sz="4" w:space="0" w:color="auto"/>
              <w:right w:val="single" w:sz="4" w:space="0" w:color="auto"/>
            </w:tcBorders>
            <w:vAlign w:val="center"/>
          </w:tcPr>
          <w:p w:rsidR="00D7088B" w:rsidRDefault="00D7088B" w:rsidP="00D86226">
            <w:pPr>
              <w:jc w:val="center"/>
              <w:rPr>
                <w:rFonts w:ascii="Calibri" w:hAnsi="Calibri"/>
                <w:sz w:val="20"/>
                <w:szCs w:val="20"/>
              </w:rPr>
            </w:pPr>
            <w:r>
              <w:rPr>
                <w:rFonts w:ascii="Calibri" w:hAnsi="Calibri"/>
                <w:sz w:val="20"/>
                <w:szCs w:val="20"/>
              </w:rPr>
              <w:t>11%</w:t>
            </w:r>
          </w:p>
        </w:tc>
      </w:tr>
      <w:tr w:rsidR="00D7088B" w:rsidTr="00D7088B">
        <w:trPr>
          <w:trHeight w:val="639"/>
        </w:trPr>
        <w:tc>
          <w:tcPr>
            <w:tcW w:w="918" w:type="pct"/>
            <w:tcBorders>
              <w:top w:val="single" w:sz="4" w:space="0" w:color="auto"/>
              <w:left w:val="single" w:sz="4" w:space="0" w:color="auto"/>
              <w:bottom w:val="single" w:sz="4" w:space="0" w:color="auto"/>
              <w:right w:val="single" w:sz="4" w:space="0" w:color="auto"/>
            </w:tcBorders>
            <w:vAlign w:val="center"/>
            <w:hideMark/>
          </w:tcPr>
          <w:p w:rsidR="00D7088B" w:rsidRDefault="00D7088B" w:rsidP="00D7088B">
            <w:pPr>
              <w:jc w:val="left"/>
              <w:rPr>
                <w:rFonts w:ascii="Calibri" w:hAnsi="Calibri"/>
                <w:sz w:val="20"/>
                <w:szCs w:val="20"/>
              </w:rPr>
            </w:pPr>
            <w:r>
              <w:rPr>
                <w:rFonts w:ascii="Calibri" w:hAnsi="Calibri"/>
                <w:sz w:val="20"/>
                <w:szCs w:val="20"/>
              </w:rPr>
              <w:t>Lack of access to services</w:t>
            </w:r>
          </w:p>
        </w:tc>
        <w:tc>
          <w:tcPr>
            <w:tcW w:w="307" w:type="pct"/>
            <w:tcBorders>
              <w:top w:val="single" w:sz="4" w:space="0" w:color="auto"/>
              <w:left w:val="single" w:sz="4" w:space="0" w:color="auto"/>
              <w:bottom w:val="single" w:sz="4" w:space="0" w:color="auto"/>
              <w:right w:val="single" w:sz="4" w:space="0" w:color="auto"/>
            </w:tcBorders>
            <w:vAlign w:val="center"/>
            <w:hideMark/>
          </w:tcPr>
          <w:p w:rsidR="00D7088B" w:rsidRDefault="00D7088B" w:rsidP="00D7088B">
            <w:pPr>
              <w:jc w:val="center"/>
              <w:rPr>
                <w:rFonts w:ascii="Calibri" w:hAnsi="Calibri"/>
                <w:sz w:val="20"/>
                <w:szCs w:val="20"/>
              </w:rPr>
            </w:pPr>
            <w:r>
              <w:rPr>
                <w:rFonts w:ascii="Calibri" w:hAnsi="Calibri"/>
                <w:sz w:val="20"/>
                <w:szCs w:val="20"/>
              </w:rPr>
              <w:t xml:space="preserve">8% </w:t>
            </w:r>
          </w:p>
        </w:tc>
        <w:tc>
          <w:tcPr>
            <w:tcW w:w="915"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left"/>
              <w:rPr>
                <w:rFonts w:ascii="Calibri" w:hAnsi="Calibri"/>
                <w:sz w:val="20"/>
                <w:szCs w:val="20"/>
              </w:rPr>
            </w:pPr>
            <w:r>
              <w:rPr>
                <w:rFonts w:ascii="Calibri" w:hAnsi="Calibri"/>
                <w:sz w:val="20"/>
                <w:szCs w:val="20"/>
              </w:rPr>
              <w:t>Inadequate treatment</w:t>
            </w:r>
          </w:p>
        </w:tc>
        <w:tc>
          <w:tcPr>
            <w:tcW w:w="307"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center"/>
              <w:rPr>
                <w:rFonts w:ascii="Calibri" w:hAnsi="Calibri"/>
                <w:sz w:val="20"/>
                <w:szCs w:val="20"/>
              </w:rPr>
            </w:pPr>
            <w:r>
              <w:rPr>
                <w:rFonts w:ascii="Calibri" w:hAnsi="Calibri"/>
                <w:sz w:val="20"/>
                <w:szCs w:val="20"/>
              </w:rPr>
              <w:t xml:space="preserve">6% </w:t>
            </w:r>
          </w:p>
        </w:tc>
        <w:tc>
          <w:tcPr>
            <w:tcW w:w="918"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left"/>
              <w:rPr>
                <w:rFonts w:ascii="Calibri" w:hAnsi="Calibri"/>
                <w:sz w:val="20"/>
                <w:szCs w:val="20"/>
              </w:rPr>
            </w:pPr>
            <w:r>
              <w:rPr>
                <w:rFonts w:ascii="Calibri" w:hAnsi="Calibri"/>
                <w:sz w:val="20"/>
                <w:szCs w:val="20"/>
              </w:rPr>
              <w:t>Inadequate treatment</w:t>
            </w:r>
          </w:p>
        </w:tc>
        <w:tc>
          <w:tcPr>
            <w:tcW w:w="306"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center"/>
              <w:rPr>
                <w:rFonts w:ascii="Calibri" w:hAnsi="Calibri"/>
                <w:sz w:val="20"/>
                <w:szCs w:val="20"/>
              </w:rPr>
            </w:pPr>
            <w:r>
              <w:rPr>
                <w:rFonts w:ascii="Calibri" w:hAnsi="Calibri"/>
                <w:sz w:val="20"/>
                <w:szCs w:val="20"/>
              </w:rPr>
              <w:t xml:space="preserve">7% </w:t>
            </w:r>
          </w:p>
        </w:tc>
        <w:tc>
          <w:tcPr>
            <w:tcW w:w="944" w:type="pct"/>
            <w:tcBorders>
              <w:top w:val="single" w:sz="4" w:space="0" w:color="auto"/>
              <w:left w:val="single" w:sz="4" w:space="0" w:color="auto"/>
              <w:bottom w:val="single" w:sz="4" w:space="0" w:color="auto"/>
              <w:right w:val="single" w:sz="4" w:space="0" w:color="auto"/>
            </w:tcBorders>
            <w:vAlign w:val="center"/>
          </w:tcPr>
          <w:p w:rsidR="00D7088B" w:rsidRDefault="00D7088B" w:rsidP="00D86226">
            <w:pPr>
              <w:jc w:val="left"/>
              <w:rPr>
                <w:rFonts w:ascii="Calibri" w:hAnsi="Calibri"/>
                <w:sz w:val="20"/>
                <w:szCs w:val="20"/>
              </w:rPr>
            </w:pPr>
            <w:r>
              <w:rPr>
                <w:rFonts w:ascii="Calibri" w:hAnsi="Calibri"/>
                <w:sz w:val="20"/>
                <w:szCs w:val="20"/>
              </w:rPr>
              <w:t>Lack of access to services</w:t>
            </w:r>
          </w:p>
        </w:tc>
        <w:tc>
          <w:tcPr>
            <w:tcW w:w="385" w:type="pct"/>
            <w:tcBorders>
              <w:top w:val="single" w:sz="4" w:space="0" w:color="auto"/>
              <w:left w:val="single" w:sz="4" w:space="0" w:color="auto"/>
              <w:bottom w:val="single" w:sz="4" w:space="0" w:color="auto"/>
              <w:right w:val="single" w:sz="4" w:space="0" w:color="auto"/>
            </w:tcBorders>
            <w:vAlign w:val="center"/>
          </w:tcPr>
          <w:p w:rsidR="00D7088B" w:rsidRDefault="001E30A9" w:rsidP="00D86226">
            <w:pPr>
              <w:jc w:val="center"/>
              <w:rPr>
                <w:rFonts w:ascii="Calibri" w:hAnsi="Calibri"/>
                <w:sz w:val="20"/>
                <w:szCs w:val="20"/>
              </w:rPr>
            </w:pPr>
            <w:r>
              <w:rPr>
                <w:rFonts w:ascii="Calibri" w:hAnsi="Calibri"/>
                <w:sz w:val="20"/>
                <w:szCs w:val="20"/>
              </w:rPr>
              <w:t>6</w:t>
            </w:r>
            <w:r w:rsidR="00D7088B">
              <w:rPr>
                <w:rFonts w:ascii="Calibri" w:hAnsi="Calibri"/>
                <w:sz w:val="20"/>
                <w:szCs w:val="20"/>
              </w:rPr>
              <w:t>%</w:t>
            </w:r>
          </w:p>
        </w:tc>
      </w:tr>
      <w:tr w:rsidR="00D7088B" w:rsidTr="00D7088B">
        <w:trPr>
          <w:trHeight w:val="561"/>
        </w:trPr>
        <w:tc>
          <w:tcPr>
            <w:tcW w:w="918" w:type="pct"/>
            <w:tcBorders>
              <w:top w:val="single" w:sz="4" w:space="0" w:color="auto"/>
              <w:left w:val="single" w:sz="4" w:space="0" w:color="auto"/>
              <w:bottom w:val="single" w:sz="4" w:space="0" w:color="auto"/>
              <w:right w:val="single" w:sz="4" w:space="0" w:color="auto"/>
            </w:tcBorders>
            <w:vAlign w:val="center"/>
            <w:hideMark/>
          </w:tcPr>
          <w:p w:rsidR="00D7088B" w:rsidRDefault="00D7088B" w:rsidP="00D7088B">
            <w:pPr>
              <w:jc w:val="left"/>
              <w:rPr>
                <w:rFonts w:ascii="Calibri" w:hAnsi="Calibri"/>
                <w:sz w:val="20"/>
                <w:szCs w:val="20"/>
              </w:rPr>
            </w:pPr>
            <w:r>
              <w:rPr>
                <w:rFonts w:ascii="Calibri" w:hAnsi="Calibri"/>
                <w:sz w:val="20"/>
                <w:szCs w:val="20"/>
              </w:rPr>
              <w:t>Waiting list/</w:t>
            </w:r>
          </w:p>
          <w:p w:rsidR="00D7088B" w:rsidRDefault="001117AA" w:rsidP="00D7088B">
            <w:pPr>
              <w:jc w:val="left"/>
              <w:rPr>
                <w:rFonts w:ascii="Calibri" w:hAnsi="Calibri"/>
                <w:sz w:val="20"/>
                <w:szCs w:val="20"/>
              </w:rPr>
            </w:pPr>
            <w:r>
              <w:rPr>
                <w:rFonts w:ascii="Calibri" w:hAnsi="Calibri"/>
                <w:sz w:val="20"/>
                <w:szCs w:val="20"/>
              </w:rPr>
              <w:t>P</w:t>
            </w:r>
            <w:r w:rsidR="00D7088B">
              <w:rPr>
                <w:rFonts w:ascii="Calibri" w:hAnsi="Calibri"/>
                <w:sz w:val="20"/>
                <w:szCs w:val="20"/>
              </w:rPr>
              <w:t>rioritisation</w:t>
            </w:r>
          </w:p>
        </w:tc>
        <w:tc>
          <w:tcPr>
            <w:tcW w:w="307" w:type="pct"/>
            <w:tcBorders>
              <w:top w:val="single" w:sz="4" w:space="0" w:color="auto"/>
              <w:left w:val="single" w:sz="4" w:space="0" w:color="auto"/>
              <w:bottom w:val="single" w:sz="4" w:space="0" w:color="auto"/>
              <w:right w:val="single" w:sz="4" w:space="0" w:color="auto"/>
            </w:tcBorders>
            <w:vAlign w:val="center"/>
            <w:hideMark/>
          </w:tcPr>
          <w:p w:rsidR="00D7088B" w:rsidRDefault="00D7088B" w:rsidP="00D7088B">
            <w:pPr>
              <w:jc w:val="center"/>
              <w:rPr>
                <w:rFonts w:ascii="Calibri" w:hAnsi="Calibri"/>
                <w:sz w:val="20"/>
                <w:szCs w:val="20"/>
              </w:rPr>
            </w:pPr>
            <w:r>
              <w:rPr>
                <w:rFonts w:ascii="Calibri" w:hAnsi="Calibri"/>
                <w:sz w:val="20"/>
                <w:szCs w:val="20"/>
              </w:rPr>
              <w:t xml:space="preserve">7% </w:t>
            </w:r>
          </w:p>
        </w:tc>
        <w:tc>
          <w:tcPr>
            <w:tcW w:w="915"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left"/>
              <w:rPr>
                <w:rFonts w:ascii="Calibri" w:hAnsi="Calibri"/>
                <w:sz w:val="20"/>
                <w:szCs w:val="20"/>
              </w:rPr>
            </w:pPr>
            <w:r>
              <w:rPr>
                <w:rFonts w:ascii="Calibri" w:hAnsi="Calibri"/>
                <w:sz w:val="20"/>
                <w:szCs w:val="20"/>
              </w:rPr>
              <w:t>Lack of access to services</w:t>
            </w:r>
          </w:p>
        </w:tc>
        <w:tc>
          <w:tcPr>
            <w:tcW w:w="307"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center"/>
              <w:rPr>
                <w:rFonts w:ascii="Calibri" w:hAnsi="Calibri"/>
                <w:sz w:val="20"/>
                <w:szCs w:val="20"/>
              </w:rPr>
            </w:pPr>
            <w:r>
              <w:rPr>
                <w:rFonts w:ascii="Calibri" w:hAnsi="Calibri"/>
                <w:sz w:val="20"/>
                <w:szCs w:val="20"/>
              </w:rPr>
              <w:t xml:space="preserve">6% </w:t>
            </w:r>
          </w:p>
        </w:tc>
        <w:tc>
          <w:tcPr>
            <w:tcW w:w="918"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left"/>
              <w:rPr>
                <w:rFonts w:ascii="Calibri" w:hAnsi="Calibri"/>
                <w:sz w:val="20"/>
                <w:szCs w:val="20"/>
              </w:rPr>
            </w:pPr>
            <w:r>
              <w:rPr>
                <w:rFonts w:ascii="Calibri" w:hAnsi="Calibri"/>
                <w:sz w:val="20"/>
                <w:szCs w:val="20"/>
              </w:rPr>
              <w:t>Lack of access to services</w:t>
            </w:r>
          </w:p>
        </w:tc>
        <w:tc>
          <w:tcPr>
            <w:tcW w:w="306" w:type="pct"/>
            <w:tcBorders>
              <w:top w:val="single" w:sz="4" w:space="0" w:color="auto"/>
              <w:left w:val="single" w:sz="4" w:space="0" w:color="auto"/>
              <w:bottom w:val="single" w:sz="4" w:space="0" w:color="auto"/>
              <w:right w:val="single" w:sz="4" w:space="0" w:color="auto"/>
            </w:tcBorders>
            <w:vAlign w:val="center"/>
          </w:tcPr>
          <w:p w:rsidR="00D7088B" w:rsidRDefault="00D7088B" w:rsidP="00D7088B">
            <w:pPr>
              <w:jc w:val="center"/>
              <w:rPr>
                <w:rFonts w:ascii="Calibri" w:hAnsi="Calibri"/>
                <w:sz w:val="20"/>
                <w:szCs w:val="20"/>
              </w:rPr>
            </w:pPr>
            <w:r>
              <w:rPr>
                <w:rFonts w:ascii="Calibri" w:hAnsi="Calibri"/>
                <w:sz w:val="20"/>
                <w:szCs w:val="20"/>
              </w:rPr>
              <w:t xml:space="preserve">6% </w:t>
            </w:r>
          </w:p>
        </w:tc>
        <w:tc>
          <w:tcPr>
            <w:tcW w:w="944" w:type="pct"/>
            <w:tcBorders>
              <w:top w:val="single" w:sz="4" w:space="0" w:color="auto"/>
              <w:left w:val="single" w:sz="4" w:space="0" w:color="auto"/>
              <w:bottom w:val="single" w:sz="4" w:space="0" w:color="auto"/>
              <w:right w:val="single" w:sz="4" w:space="0" w:color="auto"/>
            </w:tcBorders>
            <w:vAlign w:val="center"/>
          </w:tcPr>
          <w:p w:rsidR="00D7088B" w:rsidRDefault="00D7088B" w:rsidP="00D86226">
            <w:pPr>
              <w:jc w:val="left"/>
              <w:rPr>
                <w:rFonts w:ascii="Calibri" w:hAnsi="Calibri"/>
                <w:sz w:val="20"/>
                <w:szCs w:val="20"/>
              </w:rPr>
            </w:pPr>
            <w:r>
              <w:rPr>
                <w:rFonts w:ascii="Calibri" w:hAnsi="Calibri"/>
                <w:sz w:val="20"/>
                <w:szCs w:val="20"/>
              </w:rPr>
              <w:t>Inadequate treatment</w:t>
            </w:r>
          </w:p>
        </w:tc>
        <w:tc>
          <w:tcPr>
            <w:tcW w:w="385" w:type="pct"/>
            <w:tcBorders>
              <w:top w:val="single" w:sz="4" w:space="0" w:color="auto"/>
              <w:left w:val="single" w:sz="4" w:space="0" w:color="auto"/>
              <w:bottom w:val="single" w:sz="4" w:space="0" w:color="auto"/>
              <w:right w:val="single" w:sz="4" w:space="0" w:color="auto"/>
            </w:tcBorders>
            <w:vAlign w:val="center"/>
          </w:tcPr>
          <w:p w:rsidR="00D7088B" w:rsidRDefault="00D7088B" w:rsidP="00D86226">
            <w:pPr>
              <w:jc w:val="center"/>
              <w:rPr>
                <w:rFonts w:ascii="Calibri" w:hAnsi="Calibri"/>
                <w:sz w:val="20"/>
                <w:szCs w:val="20"/>
              </w:rPr>
            </w:pPr>
            <w:r>
              <w:rPr>
                <w:rFonts w:ascii="Calibri" w:hAnsi="Calibri"/>
                <w:sz w:val="20"/>
                <w:szCs w:val="20"/>
              </w:rPr>
              <w:t>4%</w:t>
            </w:r>
          </w:p>
        </w:tc>
      </w:tr>
    </w:tbl>
    <w:p w:rsidR="00D86226" w:rsidRDefault="00D86226" w:rsidP="00D86226"/>
    <w:p w:rsidR="00D86226" w:rsidRDefault="00D86226" w:rsidP="00D86226"/>
    <w:p w:rsidR="00D86226" w:rsidRDefault="00D86226" w:rsidP="00D86226">
      <w:pPr>
        <w:rPr>
          <w:rFonts w:ascii="Calibri" w:hAnsi="Calibri"/>
          <w:szCs w:val="22"/>
        </w:rPr>
      </w:pPr>
    </w:p>
    <w:p w:rsidR="008E7481" w:rsidRDefault="008E7481"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B6146C" w:rsidRDefault="00B6146C"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8565E0" w:rsidRDefault="008565E0" w:rsidP="00D86226">
      <w:pPr>
        <w:widowControl w:val="0"/>
        <w:rPr>
          <w:rFonts w:ascii="Calibri" w:hAnsi="Calibri"/>
          <w:b/>
          <w:szCs w:val="22"/>
        </w:rPr>
      </w:pPr>
    </w:p>
    <w:p w:rsidR="008565E0" w:rsidRDefault="008565E0" w:rsidP="00D86226">
      <w:pPr>
        <w:widowControl w:val="0"/>
        <w:rPr>
          <w:rFonts w:ascii="Calibri" w:hAnsi="Calibri"/>
          <w:b/>
          <w:szCs w:val="22"/>
        </w:rPr>
      </w:pPr>
    </w:p>
    <w:p w:rsidR="008565E0" w:rsidRDefault="008565E0" w:rsidP="00D86226">
      <w:pPr>
        <w:widowControl w:val="0"/>
        <w:rPr>
          <w:rFonts w:ascii="Calibri" w:hAnsi="Calibri"/>
          <w:b/>
          <w:szCs w:val="22"/>
        </w:rPr>
      </w:pPr>
    </w:p>
    <w:p w:rsidR="00FE7D99" w:rsidRDefault="00FE7D99" w:rsidP="00D86226">
      <w:pPr>
        <w:widowControl w:val="0"/>
        <w:rPr>
          <w:rFonts w:ascii="Calibri" w:hAnsi="Calibri"/>
          <w:b/>
          <w:szCs w:val="22"/>
        </w:rPr>
      </w:pPr>
    </w:p>
    <w:p w:rsidR="008565E0" w:rsidRDefault="008565E0" w:rsidP="008565E0">
      <w:pPr>
        <w:pStyle w:val="Heading3"/>
      </w:pPr>
      <w:bookmarkStart w:id="75" w:name="_Toc426462634"/>
      <w:bookmarkStart w:id="76" w:name="_Toc443992229"/>
      <w:bookmarkStart w:id="77" w:name="_Toc445910053"/>
      <w:bookmarkStart w:id="78" w:name="_Toc447291337"/>
      <w:bookmarkStart w:id="79" w:name="_Toc447291475"/>
      <w:bookmarkStart w:id="80" w:name="_Toc447527532"/>
      <w:bookmarkStart w:id="81" w:name="_Toc493684130"/>
      <w:bookmarkStart w:id="82" w:name="_Toc516741376"/>
      <w:r>
        <w:lastRenderedPageBreak/>
        <w:t>3.2</w:t>
      </w:r>
      <w:r>
        <w:tab/>
        <w:t xml:space="preserve">All </w:t>
      </w:r>
      <w:proofErr w:type="gramStart"/>
      <w:r>
        <w:t>complaint  issues</w:t>
      </w:r>
      <w:bookmarkEnd w:id="75"/>
      <w:bookmarkEnd w:id="76"/>
      <w:bookmarkEnd w:id="77"/>
      <w:bookmarkEnd w:id="78"/>
      <w:bookmarkEnd w:id="79"/>
      <w:bookmarkEnd w:id="80"/>
      <w:bookmarkEnd w:id="81"/>
      <w:bookmarkEnd w:id="82"/>
      <w:proofErr w:type="gramEnd"/>
    </w:p>
    <w:p w:rsidR="008565E0" w:rsidRPr="00B7094E" w:rsidRDefault="008565E0" w:rsidP="00B7094E">
      <w:pPr>
        <w:spacing w:after="240"/>
        <w:rPr>
          <w:rFonts w:ascii="Calibri" w:hAnsi="Calibri"/>
          <w:szCs w:val="22"/>
        </w:rPr>
      </w:pPr>
      <w:r>
        <w:rPr>
          <w:rFonts w:ascii="Calibri" w:hAnsi="Calibri"/>
          <w:szCs w:val="22"/>
        </w:rPr>
        <w:t xml:space="preserve">As well as the primary complaint issue, up to six additional other complaint issues are identified for each complaint received by HDC. Table 8 includes these additional complaint issues, as well as the primary complaint issues, to show all issues identified in complaints received. </w:t>
      </w:r>
    </w:p>
    <w:p w:rsidR="00D86226" w:rsidRDefault="00D86226" w:rsidP="00D86226">
      <w:pPr>
        <w:widowControl w:val="0"/>
        <w:spacing w:after="120"/>
        <w:rPr>
          <w:rFonts w:ascii="Calibri" w:hAnsi="Calibri"/>
          <w:szCs w:val="22"/>
        </w:rPr>
      </w:pPr>
      <w:proofErr w:type="gramStart"/>
      <w:r>
        <w:rPr>
          <w:rFonts w:ascii="Calibri" w:hAnsi="Calibri"/>
          <w:b/>
          <w:szCs w:val="22"/>
        </w:rPr>
        <w:t>Table 8.</w:t>
      </w:r>
      <w:proofErr w:type="gramEnd"/>
      <w:r>
        <w:rPr>
          <w:rFonts w:ascii="Calibri" w:hAnsi="Calibri"/>
          <w:b/>
          <w:szCs w:val="22"/>
        </w:rPr>
        <w:t xml:space="preserve"> </w:t>
      </w:r>
      <w:r>
        <w:rPr>
          <w:rFonts w:ascii="Calibri" w:hAnsi="Calibri"/>
          <w:szCs w:val="22"/>
        </w:rPr>
        <w:t>All issues identified in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B6146C" w:rsidTr="00B6146C">
        <w:trPr>
          <w:tblHeader/>
        </w:trPr>
        <w:tc>
          <w:tcPr>
            <w:tcW w:w="5670" w:type="dxa"/>
            <w:tcBorders>
              <w:top w:val="single" w:sz="4" w:space="0" w:color="auto"/>
              <w:left w:val="single" w:sz="4" w:space="0" w:color="auto"/>
              <w:bottom w:val="single" w:sz="4" w:space="0" w:color="auto"/>
              <w:right w:val="single" w:sz="4" w:space="0" w:color="auto"/>
            </w:tcBorders>
            <w:hideMark/>
          </w:tcPr>
          <w:p w:rsidR="00B6146C" w:rsidRDefault="00496B49" w:rsidP="00B6146C">
            <w:pPr>
              <w:keepNext/>
              <w:keepLines/>
              <w:tabs>
                <w:tab w:val="left" w:pos="1440"/>
                <w:tab w:val="decimal" w:pos="4320"/>
              </w:tabs>
              <w:spacing w:before="120"/>
              <w:jc w:val="left"/>
              <w:outlineLvl w:val="0"/>
              <w:rPr>
                <w:rFonts w:ascii="Calibri" w:hAnsi="Calibri"/>
                <w:b/>
                <w:szCs w:val="22"/>
              </w:rPr>
            </w:pPr>
            <w:r>
              <w:rPr>
                <w:rFonts w:ascii="Calibri" w:hAnsi="Calibri"/>
                <w:b/>
                <w:szCs w:val="22"/>
              </w:rPr>
              <w:t xml:space="preserve">All issues </w:t>
            </w:r>
            <w:r w:rsidR="00B6146C">
              <w:rPr>
                <w:rFonts w:ascii="Calibri" w:hAnsi="Calibri"/>
                <w:b/>
                <w:szCs w:val="22"/>
              </w:rPr>
              <w:t xml:space="preserve"> in complaints </w:t>
            </w:r>
          </w:p>
        </w:tc>
        <w:tc>
          <w:tcPr>
            <w:tcW w:w="1701" w:type="dxa"/>
            <w:tcBorders>
              <w:top w:val="single" w:sz="4" w:space="0" w:color="auto"/>
              <w:left w:val="single" w:sz="4" w:space="0" w:color="auto"/>
              <w:bottom w:val="single" w:sz="4" w:space="0" w:color="auto"/>
              <w:right w:val="single" w:sz="4" w:space="0" w:color="auto"/>
            </w:tcBorders>
            <w:hideMark/>
          </w:tcPr>
          <w:p w:rsidR="00B6146C" w:rsidRDefault="00B6146C" w:rsidP="00B6146C">
            <w:pPr>
              <w:keepNext/>
              <w:keepLines/>
              <w:tabs>
                <w:tab w:val="left" w:pos="1440"/>
                <w:tab w:val="decimal" w:pos="4320"/>
              </w:tabs>
              <w:spacing w:before="120"/>
              <w:jc w:val="center"/>
              <w:outlineLvl w:val="0"/>
              <w:rPr>
                <w:rFonts w:ascii="Calibri" w:hAnsi="Calibri"/>
                <w:b/>
                <w:szCs w:val="22"/>
              </w:rPr>
            </w:pPr>
            <w:r>
              <w:rPr>
                <w:rFonts w:ascii="Calibri" w:hAnsi="Calibri"/>
                <w:b/>
                <w:szCs w:val="22"/>
              </w:rPr>
              <w:t xml:space="preserve">Number of complaints </w:t>
            </w:r>
          </w:p>
        </w:tc>
        <w:tc>
          <w:tcPr>
            <w:tcW w:w="1418" w:type="dxa"/>
            <w:tcBorders>
              <w:top w:val="single" w:sz="4" w:space="0" w:color="auto"/>
              <w:left w:val="single" w:sz="4" w:space="0" w:color="auto"/>
              <w:bottom w:val="single" w:sz="4" w:space="0" w:color="auto"/>
              <w:right w:val="single" w:sz="4" w:space="0" w:color="auto"/>
            </w:tcBorders>
            <w:hideMark/>
          </w:tcPr>
          <w:p w:rsidR="00B6146C" w:rsidRDefault="00B6146C" w:rsidP="00B6146C">
            <w:pPr>
              <w:keepNext/>
              <w:keepLines/>
              <w:tabs>
                <w:tab w:val="left" w:pos="1440"/>
                <w:tab w:val="decimal" w:pos="4320"/>
              </w:tabs>
              <w:spacing w:before="120"/>
              <w:jc w:val="center"/>
              <w:outlineLvl w:val="0"/>
              <w:rPr>
                <w:rFonts w:ascii="Calibri" w:hAnsi="Calibri"/>
                <w:b/>
                <w:szCs w:val="22"/>
              </w:rPr>
            </w:pPr>
            <w:r>
              <w:rPr>
                <w:rFonts w:ascii="Calibri" w:hAnsi="Calibri"/>
                <w:b/>
                <w:szCs w:val="22"/>
              </w:rPr>
              <w:t>Percentage</w:t>
            </w:r>
          </w:p>
        </w:tc>
      </w:tr>
      <w:tr w:rsidR="00B6146C" w:rsidTr="00B6146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6146C" w:rsidRDefault="00B6146C" w:rsidP="00B6146C">
            <w:pPr>
              <w:keepNext/>
              <w:keepLines/>
              <w:rPr>
                <w:rFonts w:ascii="Calibri" w:hAnsi="Calibri" w:cs="Calibri"/>
                <w:b/>
                <w:i/>
                <w:color w:val="000000"/>
                <w:szCs w:val="22"/>
              </w:rPr>
            </w:pPr>
            <w:r>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894029" w:rsidP="00B6146C">
            <w:pPr>
              <w:keepNext/>
              <w:keepLines/>
              <w:jc w:val="center"/>
              <w:rPr>
                <w:rFonts w:ascii="Calibri" w:hAnsi="Calibri" w:cs="Calibri"/>
                <w:b/>
                <w:i/>
                <w:color w:val="000000"/>
                <w:szCs w:val="22"/>
              </w:rPr>
            </w:pPr>
            <w:r>
              <w:rPr>
                <w:rFonts w:ascii="Calibri" w:hAnsi="Calibri" w:cs="Calibri"/>
                <w:b/>
                <w:i/>
                <w:color w:val="000000"/>
                <w:szCs w:val="22"/>
              </w:rPr>
              <w:t>11</w:t>
            </w:r>
            <w:r w:rsidR="001E30A9">
              <w:rPr>
                <w:rFonts w:ascii="Calibri" w:hAnsi="Calibri" w:cs="Calibri"/>
                <w:b/>
                <w:i/>
                <w:color w:val="000000"/>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1E30A9" w:rsidP="00B6146C">
            <w:pPr>
              <w:keepNext/>
              <w:keepLines/>
              <w:jc w:val="center"/>
              <w:rPr>
                <w:rFonts w:ascii="Calibri" w:hAnsi="Calibri" w:cs="Calibri"/>
                <w:b/>
                <w:i/>
                <w:color w:val="000000"/>
                <w:szCs w:val="22"/>
              </w:rPr>
            </w:pPr>
            <w:r>
              <w:rPr>
                <w:rFonts w:ascii="Calibri" w:hAnsi="Calibri" w:cs="Calibri"/>
                <w:b/>
                <w:i/>
                <w:color w:val="000000"/>
                <w:szCs w:val="22"/>
              </w:rPr>
              <w:t>24.7</w:t>
            </w:r>
            <w:r w:rsidR="00AB06AB">
              <w:rPr>
                <w:rFonts w:ascii="Calibri" w:hAnsi="Calibri" w:cs="Calibri"/>
                <w:b/>
                <w:i/>
                <w:color w:val="000000"/>
                <w:szCs w:val="22"/>
              </w:rPr>
              <w:t>%</w:t>
            </w:r>
          </w:p>
        </w:tc>
      </w:tr>
      <w:tr w:rsidR="00B6146C" w:rsidTr="00B6146C">
        <w:tc>
          <w:tcPr>
            <w:tcW w:w="5670" w:type="dxa"/>
            <w:tcBorders>
              <w:top w:val="single" w:sz="4" w:space="0" w:color="auto"/>
              <w:left w:val="single" w:sz="4" w:space="0" w:color="auto"/>
              <w:bottom w:val="single" w:sz="4" w:space="0" w:color="auto"/>
              <w:right w:val="single" w:sz="4" w:space="0" w:color="auto"/>
            </w:tcBorders>
            <w:vAlign w:val="bottom"/>
            <w:hideMark/>
          </w:tcPr>
          <w:p w:rsidR="00B6146C" w:rsidRDefault="00B6146C" w:rsidP="00B6146C">
            <w:pPr>
              <w:keepNext/>
              <w:keepLines/>
              <w:tabs>
                <w:tab w:val="left" w:pos="176"/>
              </w:tabs>
              <w:ind w:left="176"/>
              <w:jc w:val="left"/>
              <w:rPr>
                <w:rFonts w:ascii="Calibri" w:hAnsi="Calibri" w:cs="Calibri"/>
                <w:color w:val="000000"/>
                <w:szCs w:val="22"/>
              </w:rPr>
            </w:pPr>
            <w:r>
              <w:rPr>
                <w:rFonts w:ascii="Calibri" w:hAnsi="Calibri" w:cs="Calibri"/>
                <w:color w:val="000000"/>
                <w:szCs w:val="22"/>
              </w:rPr>
              <w:t>Lack of access to services</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1E30A9" w:rsidP="00B6146C">
            <w:pPr>
              <w:keepNext/>
              <w:keepLines/>
              <w:jc w:val="center"/>
              <w:rPr>
                <w:rFonts w:ascii="Calibri" w:hAnsi="Calibri" w:cs="Calibri"/>
                <w:color w:val="000000"/>
                <w:szCs w:val="22"/>
              </w:rPr>
            </w:pPr>
            <w:r>
              <w:rPr>
                <w:rFonts w:ascii="Calibri" w:hAnsi="Calibri" w:cs="Calibri"/>
                <w:color w:val="000000"/>
                <w:szCs w:val="22"/>
              </w:rPr>
              <w:t>49</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1E30A9" w:rsidP="00B6146C">
            <w:pPr>
              <w:keepNext/>
              <w:keepLines/>
              <w:jc w:val="center"/>
              <w:rPr>
                <w:rFonts w:ascii="Calibri" w:hAnsi="Calibri" w:cs="Calibri"/>
                <w:color w:val="000000"/>
                <w:szCs w:val="22"/>
              </w:rPr>
            </w:pPr>
            <w:r>
              <w:rPr>
                <w:rFonts w:ascii="Calibri" w:hAnsi="Calibri" w:cs="Calibri"/>
                <w:color w:val="000000"/>
                <w:szCs w:val="22"/>
              </w:rPr>
              <w:t>10.9</w:t>
            </w:r>
            <w:r w:rsidR="00AD3CFE">
              <w:rPr>
                <w:rFonts w:ascii="Calibri" w:hAnsi="Calibri" w:cs="Calibri"/>
                <w:color w:val="000000"/>
                <w:szCs w:val="22"/>
              </w:rPr>
              <w:t>%</w:t>
            </w:r>
          </w:p>
        </w:tc>
      </w:tr>
      <w:tr w:rsidR="00B6146C" w:rsidTr="00B6146C">
        <w:tc>
          <w:tcPr>
            <w:tcW w:w="5670" w:type="dxa"/>
            <w:tcBorders>
              <w:top w:val="single" w:sz="4" w:space="0" w:color="auto"/>
              <w:left w:val="single" w:sz="4" w:space="0" w:color="auto"/>
              <w:bottom w:val="single" w:sz="4" w:space="0" w:color="auto"/>
              <w:right w:val="single" w:sz="4" w:space="0" w:color="auto"/>
            </w:tcBorders>
            <w:vAlign w:val="bottom"/>
            <w:hideMark/>
          </w:tcPr>
          <w:p w:rsidR="00B6146C" w:rsidRDefault="00B6146C" w:rsidP="00B6146C">
            <w:pPr>
              <w:keepNext/>
              <w:keepLines/>
              <w:ind w:left="720" w:hanging="544"/>
              <w:rPr>
                <w:rFonts w:ascii="Calibri" w:hAnsi="Calibri" w:cs="Calibri"/>
                <w:color w:val="000000"/>
                <w:szCs w:val="22"/>
              </w:rPr>
            </w:pPr>
            <w:r>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496B49" w:rsidP="00B6146C">
            <w:pPr>
              <w:keepNext/>
              <w:keepLines/>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D3CFE" w:rsidP="00B6146C">
            <w:pPr>
              <w:keepNext/>
              <w:keepLines/>
              <w:jc w:val="center"/>
              <w:rPr>
                <w:rFonts w:ascii="Calibri" w:hAnsi="Calibri" w:cs="Calibri"/>
                <w:color w:val="000000"/>
                <w:szCs w:val="22"/>
              </w:rPr>
            </w:pPr>
            <w:r>
              <w:rPr>
                <w:rFonts w:ascii="Calibri" w:hAnsi="Calibri" w:cs="Calibri"/>
                <w:color w:val="000000"/>
                <w:szCs w:val="22"/>
              </w:rPr>
              <w:t>1.8%</w:t>
            </w:r>
          </w:p>
        </w:tc>
      </w:tr>
      <w:tr w:rsidR="00B6146C" w:rsidTr="00B6146C">
        <w:tc>
          <w:tcPr>
            <w:tcW w:w="5670" w:type="dxa"/>
            <w:tcBorders>
              <w:top w:val="single" w:sz="4" w:space="0" w:color="auto"/>
              <w:left w:val="single" w:sz="4" w:space="0" w:color="auto"/>
              <w:bottom w:val="single" w:sz="4" w:space="0" w:color="auto"/>
              <w:right w:val="single" w:sz="4" w:space="0" w:color="auto"/>
            </w:tcBorders>
            <w:vAlign w:val="bottom"/>
            <w:hideMark/>
          </w:tcPr>
          <w:p w:rsidR="00B6146C" w:rsidRDefault="00B6146C" w:rsidP="00B6146C">
            <w:pPr>
              <w:keepNext/>
              <w:keepLines/>
              <w:tabs>
                <w:tab w:val="left" w:pos="176"/>
              </w:tabs>
              <w:ind w:left="176"/>
              <w:rPr>
                <w:rFonts w:ascii="Calibri" w:hAnsi="Calibri" w:cs="Calibri"/>
                <w:color w:val="000000"/>
                <w:szCs w:val="22"/>
              </w:rPr>
            </w:pPr>
            <w:r>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D934A9" w:rsidP="00B6146C">
            <w:pPr>
              <w:keepNext/>
              <w:keepLines/>
              <w:jc w:val="center"/>
              <w:rPr>
                <w:rFonts w:ascii="Calibri" w:hAnsi="Calibri" w:cs="Calibri"/>
                <w:color w:val="000000"/>
                <w:szCs w:val="22"/>
              </w:rPr>
            </w:pPr>
            <w:r>
              <w:rPr>
                <w:rFonts w:ascii="Calibri" w:hAnsi="Calibri" w:cs="Calibri"/>
                <w:color w:val="000000"/>
                <w:szCs w:val="22"/>
              </w:rPr>
              <w:t>61</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1E30A9" w:rsidP="00B6146C">
            <w:pPr>
              <w:keepNext/>
              <w:keepLines/>
              <w:jc w:val="center"/>
              <w:rPr>
                <w:rFonts w:ascii="Calibri" w:hAnsi="Calibri" w:cs="Calibri"/>
                <w:color w:val="000000"/>
                <w:szCs w:val="22"/>
              </w:rPr>
            </w:pPr>
            <w:r>
              <w:rPr>
                <w:rFonts w:ascii="Calibri" w:hAnsi="Calibri" w:cs="Calibri"/>
                <w:color w:val="000000"/>
                <w:szCs w:val="22"/>
              </w:rPr>
              <w:t>13.6</w:t>
            </w:r>
            <w:r w:rsidR="00AD3CFE">
              <w:rPr>
                <w:rFonts w:ascii="Calibri" w:hAnsi="Calibri" w:cs="Calibri"/>
                <w:color w:val="000000"/>
                <w:szCs w:val="22"/>
              </w:rPr>
              <w:t>%</w:t>
            </w:r>
          </w:p>
        </w:tc>
      </w:tr>
      <w:tr w:rsidR="00D934A9" w:rsidTr="00B6146C">
        <w:tc>
          <w:tcPr>
            <w:tcW w:w="5670" w:type="dxa"/>
            <w:tcBorders>
              <w:top w:val="single" w:sz="4" w:space="0" w:color="auto"/>
              <w:left w:val="single" w:sz="4" w:space="0" w:color="auto"/>
              <w:bottom w:val="single" w:sz="4" w:space="0" w:color="auto"/>
              <w:right w:val="single" w:sz="4" w:space="0" w:color="auto"/>
            </w:tcBorders>
            <w:vAlign w:val="bottom"/>
          </w:tcPr>
          <w:p w:rsidR="00D934A9" w:rsidRDefault="00D934A9" w:rsidP="00B6146C">
            <w:pPr>
              <w:keepNext/>
              <w:keepLines/>
              <w:tabs>
                <w:tab w:val="left" w:pos="176"/>
              </w:tabs>
              <w:ind w:left="176"/>
              <w:rPr>
                <w:rFonts w:ascii="Calibri" w:hAnsi="Calibri" w:cs="Calibri"/>
                <w:color w:val="000000"/>
                <w:szCs w:val="22"/>
              </w:rPr>
            </w:pPr>
            <w:r>
              <w:rPr>
                <w:rFonts w:ascii="Calibri" w:hAnsi="Calibri" w:cs="Calibri"/>
                <w:color w:val="000000"/>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D934A9" w:rsidRDefault="00D934A9" w:rsidP="00B6146C">
            <w:pPr>
              <w:keepNext/>
              <w:keepLines/>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D934A9" w:rsidRDefault="00BC31C5" w:rsidP="00B6146C">
            <w:pPr>
              <w:keepNext/>
              <w:keepLines/>
              <w:jc w:val="center"/>
              <w:rPr>
                <w:rFonts w:ascii="Calibri" w:hAnsi="Calibri" w:cs="Calibri"/>
                <w:color w:val="000000"/>
                <w:szCs w:val="22"/>
              </w:rPr>
            </w:pPr>
            <w:r>
              <w:rPr>
                <w:rFonts w:ascii="Calibri" w:hAnsi="Calibri" w:cs="Calibri"/>
                <w:color w:val="000000"/>
                <w:szCs w:val="22"/>
              </w:rPr>
              <w:t>0.2%</w:t>
            </w:r>
          </w:p>
        </w:tc>
      </w:tr>
      <w:tr w:rsidR="00B6146C" w:rsidTr="00B6146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6146C" w:rsidRDefault="00B6146C" w:rsidP="00B6146C">
            <w:pPr>
              <w:keepNext/>
              <w:keepLines/>
              <w:rPr>
                <w:rFonts w:ascii="Calibri" w:hAnsi="Calibri" w:cs="Calibri"/>
                <w:b/>
                <w:i/>
                <w:color w:val="000000"/>
                <w:szCs w:val="22"/>
              </w:rPr>
            </w:pPr>
            <w:r>
              <w:rPr>
                <w:rFonts w:ascii="Calibri" w:hAnsi="Calibri" w:cs="Calibri"/>
                <w:b/>
                <w:i/>
                <w:color w:val="000000"/>
                <w:szCs w:val="22"/>
              </w:rPr>
              <w:t>Boundary violation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D934A9" w:rsidP="00B6146C">
            <w:pPr>
              <w:keepNext/>
              <w:keepLines/>
              <w:jc w:val="center"/>
              <w:rPr>
                <w:rFonts w:ascii="Calibri" w:hAnsi="Calibri" w:cs="Calibri"/>
                <w:b/>
                <w:i/>
                <w:color w:val="000000"/>
                <w:szCs w:val="22"/>
              </w:rPr>
            </w:pPr>
            <w:r>
              <w:rPr>
                <w:rFonts w:ascii="Calibri" w:hAnsi="Calibri" w:cs="Calibri"/>
                <w:b/>
                <w: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AB06AB" w:rsidP="00B6146C">
            <w:pPr>
              <w:keepNext/>
              <w:keepLines/>
              <w:jc w:val="center"/>
              <w:rPr>
                <w:rFonts w:ascii="Calibri" w:hAnsi="Calibri" w:cs="Calibri"/>
                <w:b/>
                <w:i/>
                <w:color w:val="000000"/>
                <w:szCs w:val="22"/>
              </w:rPr>
            </w:pPr>
            <w:r>
              <w:rPr>
                <w:rFonts w:ascii="Calibri" w:hAnsi="Calibri" w:cs="Calibri"/>
                <w:b/>
                <w:i/>
                <w:color w:val="000000"/>
                <w:szCs w:val="22"/>
              </w:rPr>
              <w:t>0.4%</w:t>
            </w:r>
          </w:p>
        </w:tc>
      </w:tr>
      <w:tr w:rsidR="00B6146C" w:rsidTr="00B6146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6146C" w:rsidRDefault="00B6146C" w:rsidP="00B6146C">
            <w:pPr>
              <w:keepNext/>
              <w:keepLines/>
              <w:tabs>
                <w:tab w:val="left" w:pos="176"/>
              </w:tabs>
              <w:jc w:val="left"/>
              <w:rPr>
                <w:rFonts w:ascii="Calibri" w:hAnsi="Calibri" w:cs="Calibri"/>
                <w:b/>
                <w:i/>
                <w:color w:val="000000"/>
                <w:szCs w:val="22"/>
              </w:rPr>
            </w:pPr>
            <w:r>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2D496D" w:rsidP="00B6146C">
            <w:pPr>
              <w:keepNext/>
              <w:keepLines/>
              <w:jc w:val="center"/>
              <w:rPr>
                <w:rFonts w:ascii="Calibri" w:hAnsi="Calibri" w:cs="Calibri"/>
                <w:b/>
                <w:i/>
                <w:color w:val="000000"/>
                <w:szCs w:val="22"/>
              </w:rPr>
            </w:pPr>
            <w:r>
              <w:rPr>
                <w:rFonts w:ascii="Calibri" w:hAnsi="Calibri" w:cs="Calibri"/>
                <w:b/>
                <w:i/>
                <w:color w:val="000000"/>
                <w:szCs w:val="22"/>
              </w:rPr>
              <w:t>35</w:t>
            </w:r>
            <w:r w:rsidR="001E30A9">
              <w:rPr>
                <w:rFonts w:ascii="Calibri" w:hAnsi="Calibri" w:cs="Calibri"/>
                <w:b/>
                <w:i/>
                <w:color w:val="000000"/>
                <w:szCs w:val="22"/>
              </w:rPr>
              <w:t>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1E30A9" w:rsidP="00B6146C">
            <w:pPr>
              <w:keepNext/>
              <w:keepLines/>
              <w:jc w:val="center"/>
              <w:rPr>
                <w:rFonts w:ascii="Calibri" w:hAnsi="Calibri" w:cs="Calibri"/>
                <w:b/>
                <w:i/>
                <w:color w:val="000000"/>
                <w:szCs w:val="22"/>
              </w:rPr>
            </w:pPr>
            <w:r>
              <w:rPr>
                <w:rFonts w:ascii="Calibri" w:hAnsi="Calibri" w:cs="Calibri"/>
                <w:b/>
                <w:i/>
                <w:color w:val="000000"/>
                <w:szCs w:val="22"/>
              </w:rPr>
              <w:t>79.3</w:t>
            </w:r>
            <w:r w:rsidR="00AB06AB">
              <w:rPr>
                <w:rFonts w:ascii="Calibri" w:hAnsi="Calibri" w:cs="Calibri"/>
                <w:b/>
                <w:i/>
                <w:color w:val="000000"/>
                <w:szCs w:val="22"/>
              </w:rPr>
              <w:t>%</w:t>
            </w:r>
          </w:p>
        </w:tc>
      </w:tr>
      <w:tr w:rsidR="00B6146C" w:rsidTr="00B6146C">
        <w:tc>
          <w:tcPr>
            <w:tcW w:w="5670" w:type="dxa"/>
            <w:tcBorders>
              <w:top w:val="single" w:sz="4" w:space="0" w:color="auto"/>
              <w:left w:val="single" w:sz="4" w:space="0" w:color="auto"/>
              <w:bottom w:val="single" w:sz="4" w:space="0" w:color="auto"/>
              <w:right w:val="single" w:sz="4" w:space="0" w:color="auto"/>
            </w:tcBorders>
            <w:vAlign w:val="bottom"/>
            <w:hideMark/>
          </w:tcPr>
          <w:p w:rsidR="00B6146C" w:rsidRDefault="00B6146C" w:rsidP="00B6146C">
            <w:pPr>
              <w:keepNext/>
              <w:keepLines/>
              <w:tabs>
                <w:tab w:val="left" w:pos="176"/>
              </w:tabs>
              <w:ind w:left="176"/>
              <w:rPr>
                <w:rFonts w:ascii="Calibri" w:hAnsi="Calibri" w:cs="Calibri"/>
                <w:color w:val="000000"/>
                <w:szCs w:val="22"/>
              </w:rPr>
            </w:pPr>
            <w:r>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496B49" w:rsidP="00B6146C">
            <w:pPr>
              <w:keepNext/>
              <w:keepLines/>
              <w:jc w:val="center"/>
              <w:rPr>
                <w:rFonts w:ascii="Calibri" w:hAnsi="Calibri" w:cs="Calibri"/>
                <w:color w:val="000000"/>
                <w:szCs w:val="22"/>
              </w:rPr>
            </w:pPr>
            <w:r>
              <w:rPr>
                <w:rFonts w:ascii="Calibri" w:hAnsi="Calibri" w:cs="Calibri"/>
                <w:color w:val="000000"/>
                <w:szCs w:val="22"/>
              </w:rPr>
              <w:t>86</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C08C7" w:rsidP="00B6146C">
            <w:pPr>
              <w:keepNext/>
              <w:keepLines/>
              <w:jc w:val="center"/>
              <w:rPr>
                <w:rFonts w:ascii="Calibri" w:hAnsi="Calibri" w:cs="Calibri"/>
                <w:color w:val="000000"/>
                <w:szCs w:val="22"/>
              </w:rPr>
            </w:pPr>
            <w:r>
              <w:rPr>
                <w:rFonts w:ascii="Calibri" w:hAnsi="Calibri" w:cs="Calibri"/>
                <w:color w:val="000000"/>
                <w:szCs w:val="22"/>
              </w:rPr>
              <w:t>19.1</w:t>
            </w:r>
            <w:r w:rsidR="00AD3CFE">
              <w:rPr>
                <w:rFonts w:ascii="Calibri" w:hAnsi="Calibri" w:cs="Calibri"/>
                <w:color w:val="000000"/>
                <w:szCs w:val="22"/>
              </w:rPr>
              <w:t>%</w:t>
            </w:r>
          </w:p>
        </w:tc>
      </w:tr>
      <w:tr w:rsidR="00B6146C" w:rsidTr="00B6146C">
        <w:tc>
          <w:tcPr>
            <w:tcW w:w="5670" w:type="dxa"/>
            <w:tcBorders>
              <w:top w:val="single" w:sz="4" w:space="0" w:color="auto"/>
              <w:left w:val="single" w:sz="4" w:space="0" w:color="auto"/>
              <w:bottom w:val="single" w:sz="4" w:space="0" w:color="auto"/>
              <w:right w:val="single" w:sz="4" w:space="0" w:color="auto"/>
            </w:tcBorders>
            <w:vAlign w:val="bottom"/>
            <w:hideMark/>
          </w:tcPr>
          <w:p w:rsidR="00B6146C" w:rsidRDefault="00B6146C" w:rsidP="00B6146C">
            <w:pPr>
              <w:keepNext/>
              <w:keepLines/>
              <w:tabs>
                <w:tab w:val="left" w:pos="176"/>
              </w:tabs>
              <w:ind w:left="176"/>
              <w:rPr>
                <w:rFonts w:ascii="Calibri" w:hAnsi="Calibri" w:cs="Calibri"/>
                <w:color w:val="000000"/>
                <w:szCs w:val="22"/>
              </w:rPr>
            </w:pPr>
            <w:r>
              <w:rPr>
                <w:rFonts w:ascii="Calibri" w:hAnsi="Calibri" w:cs="Calibri"/>
                <w:color w:val="000000"/>
                <w:szCs w:val="22"/>
              </w:rPr>
              <w:t>Delayed/inadequate/inappropriate referral</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1E30A9" w:rsidP="00B6146C">
            <w:pPr>
              <w:keepNext/>
              <w:keepLines/>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C08C7" w:rsidP="00B6146C">
            <w:pPr>
              <w:keepNext/>
              <w:keepLines/>
              <w:jc w:val="center"/>
              <w:rPr>
                <w:rFonts w:ascii="Calibri" w:hAnsi="Calibri" w:cs="Calibri"/>
                <w:color w:val="000000"/>
                <w:szCs w:val="22"/>
              </w:rPr>
            </w:pPr>
            <w:r>
              <w:rPr>
                <w:rFonts w:ascii="Calibri" w:hAnsi="Calibri" w:cs="Calibri"/>
                <w:color w:val="000000"/>
                <w:szCs w:val="22"/>
              </w:rPr>
              <w:t>1.6</w:t>
            </w:r>
            <w:r w:rsidR="00AD3CFE">
              <w:rPr>
                <w:rFonts w:ascii="Calibri" w:hAnsi="Calibri" w:cs="Calibri"/>
                <w:color w:val="000000"/>
                <w:szCs w:val="22"/>
              </w:rPr>
              <w:t>%</w:t>
            </w:r>
          </w:p>
        </w:tc>
      </w:tr>
      <w:tr w:rsidR="00B6146C" w:rsidTr="00B6146C">
        <w:tc>
          <w:tcPr>
            <w:tcW w:w="5670" w:type="dxa"/>
            <w:tcBorders>
              <w:top w:val="single" w:sz="4" w:space="0" w:color="auto"/>
              <w:left w:val="single" w:sz="4" w:space="0" w:color="auto"/>
              <w:bottom w:val="single" w:sz="4" w:space="0" w:color="auto"/>
              <w:right w:val="single" w:sz="4" w:space="0" w:color="auto"/>
            </w:tcBorders>
            <w:vAlign w:val="bottom"/>
            <w:hideMark/>
          </w:tcPr>
          <w:p w:rsidR="00B6146C" w:rsidRDefault="00B6146C" w:rsidP="00B6146C">
            <w:pPr>
              <w:tabs>
                <w:tab w:val="left" w:pos="204"/>
              </w:tabs>
              <w:ind w:firstLine="176"/>
              <w:rPr>
                <w:rFonts w:ascii="Calibri" w:hAnsi="Calibri" w:cs="Calibri"/>
                <w:color w:val="000000"/>
                <w:szCs w:val="22"/>
              </w:rPr>
            </w:pPr>
            <w:r>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496B49" w:rsidP="00B6146C">
            <w:pPr>
              <w:jc w:val="center"/>
              <w:rPr>
                <w:rFonts w:ascii="Calibri" w:hAnsi="Calibri" w:cs="Calibri"/>
                <w:color w:val="000000"/>
                <w:szCs w:val="22"/>
              </w:rPr>
            </w:pPr>
            <w:r>
              <w:rPr>
                <w:rFonts w:ascii="Calibri" w:hAnsi="Calibri" w:cs="Calibri"/>
                <w:color w:val="000000"/>
                <w:szCs w:val="22"/>
              </w:rPr>
              <w:t>71</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C08C7" w:rsidP="00B6146C">
            <w:pPr>
              <w:jc w:val="center"/>
              <w:rPr>
                <w:rFonts w:ascii="Calibri" w:hAnsi="Calibri" w:cs="Calibri"/>
                <w:color w:val="000000"/>
                <w:szCs w:val="22"/>
              </w:rPr>
            </w:pPr>
            <w:r>
              <w:rPr>
                <w:rFonts w:ascii="Calibri" w:hAnsi="Calibri" w:cs="Calibri"/>
                <w:color w:val="000000"/>
                <w:szCs w:val="22"/>
              </w:rPr>
              <w:t>15.8</w:t>
            </w:r>
            <w:r w:rsidR="00AD3CFE">
              <w:rPr>
                <w:rFonts w:ascii="Calibri" w:hAnsi="Calibri" w:cs="Calibri"/>
                <w:color w:val="000000"/>
                <w:szCs w:val="22"/>
              </w:rPr>
              <w:t>%</w:t>
            </w:r>
          </w:p>
        </w:tc>
      </w:tr>
      <w:tr w:rsidR="00B6146C" w:rsidTr="00B6146C">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496B49" w:rsidP="00B6146C">
            <w:pPr>
              <w:jc w:val="center"/>
              <w:rPr>
                <w:rFonts w:ascii="Calibri" w:hAnsi="Calibri" w:cs="Calibri"/>
                <w:color w:val="000000"/>
                <w:szCs w:val="22"/>
              </w:rPr>
            </w:pPr>
            <w:r>
              <w:rPr>
                <w:rFonts w:ascii="Calibri" w:hAnsi="Calibri" w:cs="Calibri"/>
                <w:color w:val="000000"/>
                <w:szCs w:val="22"/>
              </w:rPr>
              <w:t>1</w:t>
            </w:r>
            <w:r w:rsidR="00152E5B">
              <w:rPr>
                <w:rFonts w:ascii="Calibri" w:hAnsi="Calibri" w:cs="Calibri"/>
                <w:color w:val="000000"/>
                <w:szCs w:val="22"/>
              </w:rPr>
              <w:t>71</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C08C7" w:rsidP="00B6146C">
            <w:pPr>
              <w:jc w:val="center"/>
              <w:rPr>
                <w:rFonts w:ascii="Calibri" w:hAnsi="Calibri" w:cs="Calibri"/>
                <w:color w:val="000000"/>
                <w:szCs w:val="22"/>
              </w:rPr>
            </w:pPr>
            <w:r>
              <w:rPr>
                <w:rFonts w:ascii="Calibri" w:hAnsi="Calibri" w:cs="Calibri"/>
                <w:color w:val="000000"/>
                <w:szCs w:val="22"/>
              </w:rPr>
              <w:t>38.0</w:t>
            </w:r>
            <w:r w:rsidR="00AD3CFE">
              <w:rPr>
                <w:rFonts w:ascii="Calibri" w:hAnsi="Calibri" w:cs="Calibri"/>
                <w:color w:val="000000"/>
                <w:szCs w:val="22"/>
              </w:rPr>
              <w:t>%</w:t>
            </w:r>
          </w:p>
        </w:tc>
      </w:tr>
      <w:tr w:rsidR="00B6146C" w:rsidTr="00B6146C">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496B49" w:rsidP="00B6146C">
            <w:pPr>
              <w:jc w:val="center"/>
              <w:rPr>
                <w:rFonts w:ascii="Calibri" w:hAnsi="Calibri" w:cs="Calibri"/>
                <w:color w:val="000000"/>
                <w:szCs w:val="22"/>
              </w:rPr>
            </w:pPr>
            <w:r>
              <w:rPr>
                <w:rFonts w:ascii="Calibri" w:hAnsi="Calibri" w:cs="Calibri"/>
                <w:color w:val="000000"/>
                <w:szCs w:val="22"/>
              </w:rPr>
              <w:t>1</w:t>
            </w:r>
            <w:r w:rsidR="001E30A9">
              <w:rPr>
                <w:rFonts w:ascii="Calibri" w:hAnsi="Calibri" w:cs="Calibri"/>
                <w:color w:val="000000"/>
                <w:szCs w:val="22"/>
              </w:rPr>
              <w:t>19</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C08C7" w:rsidP="00B6146C">
            <w:pPr>
              <w:jc w:val="center"/>
              <w:rPr>
                <w:rFonts w:ascii="Calibri" w:hAnsi="Calibri" w:cs="Calibri"/>
                <w:color w:val="000000"/>
                <w:szCs w:val="22"/>
              </w:rPr>
            </w:pPr>
            <w:r>
              <w:rPr>
                <w:rFonts w:ascii="Calibri" w:hAnsi="Calibri" w:cs="Calibri"/>
                <w:color w:val="000000"/>
                <w:szCs w:val="22"/>
              </w:rPr>
              <w:t>26.4</w:t>
            </w:r>
            <w:r w:rsidR="00AD3CFE">
              <w:rPr>
                <w:rFonts w:ascii="Calibri" w:hAnsi="Calibri" w:cs="Calibri"/>
                <w:color w:val="000000"/>
                <w:szCs w:val="22"/>
              </w:rPr>
              <w:t>%</w:t>
            </w:r>
          </w:p>
        </w:tc>
      </w:tr>
      <w:tr w:rsidR="00B6146C" w:rsidTr="00B6146C">
        <w:tc>
          <w:tcPr>
            <w:tcW w:w="5670" w:type="dxa"/>
            <w:tcBorders>
              <w:top w:val="single" w:sz="4" w:space="0" w:color="auto"/>
              <w:left w:val="single" w:sz="4" w:space="0" w:color="auto"/>
              <w:bottom w:val="single" w:sz="4" w:space="0" w:color="auto"/>
              <w:right w:val="single" w:sz="4" w:space="0" w:color="auto"/>
            </w:tcBorders>
            <w:vAlign w:val="bottom"/>
            <w:hideMark/>
          </w:tcPr>
          <w:p w:rsidR="00B6146C" w:rsidRDefault="00B6146C" w:rsidP="00B6146C">
            <w:pPr>
              <w:tabs>
                <w:tab w:val="left" w:pos="176"/>
              </w:tabs>
              <w:ind w:left="176"/>
              <w:rPr>
                <w:rFonts w:ascii="Calibri" w:hAnsi="Calibri" w:cs="Calibri"/>
                <w:color w:val="000000"/>
                <w:szCs w:val="22"/>
              </w:rPr>
            </w:pPr>
            <w:r>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3E3265" w:rsidP="00B6146C">
            <w:pPr>
              <w:jc w:val="center"/>
              <w:rPr>
                <w:rFonts w:ascii="Calibri" w:hAnsi="Calibri" w:cs="Calibri"/>
                <w:color w:val="000000"/>
                <w:szCs w:val="22"/>
              </w:rPr>
            </w:pPr>
            <w:r>
              <w:rPr>
                <w:rFonts w:ascii="Calibri" w:hAnsi="Calibri" w:cs="Calibri"/>
                <w:color w:val="000000"/>
                <w:szCs w:val="22"/>
              </w:rPr>
              <w:t>4</w:t>
            </w:r>
            <w:r w:rsidR="001E30A9">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C08C7" w:rsidP="00B6146C">
            <w:pPr>
              <w:jc w:val="center"/>
              <w:rPr>
                <w:rFonts w:ascii="Calibri" w:hAnsi="Calibri" w:cs="Calibri"/>
                <w:color w:val="000000"/>
                <w:szCs w:val="22"/>
              </w:rPr>
            </w:pPr>
            <w:r>
              <w:rPr>
                <w:rFonts w:ascii="Calibri" w:hAnsi="Calibri" w:cs="Calibri"/>
                <w:color w:val="000000"/>
                <w:szCs w:val="22"/>
              </w:rPr>
              <w:t>10.7</w:t>
            </w:r>
            <w:r w:rsidR="00AD3CFE">
              <w:rPr>
                <w:rFonts w:ascii="Calibri" w:hAnsi="Calibri" w:cs="Calibri"/>
                <w:color w:val="000000"/>
                <w:szCs w:val="22"/>
              </w:rPr>
              <w:t>%</w:t>
            </w:r>
          </w:p>
        </w:tc>
      </w:tr>
      <w:tr w:rsidR="00B6146C" w:rsidTr="00B6146C">
        <w:tc>
          <w:tcPr>
            <w:tcW w:w="5670" w:type="dxa"/>
            <w:tcBorders>
              <w:top w:val="single" w:sz="4" w:space="0" w:color="auto"/>
              <w:left w:val="single" w:sz="4" w:space="0" w:color="auto"/>
              <w:bottom w:val="single" w:sz="4" w:space="0" w:color="auto"/>
              <w:right w:val="single" w:sz="4" w:space="0" w:color="auto"/>
            </w:tcBorders>
            <w:vAlign w:val="bottom"/>
            <w:hideMark/>
          </w:tcPr>
          <w:p w:rsidR="00B6146C" w:rsidRDefault="00B6146C" w:rsidP="00B6146C">
            <w:pPr>
              <w:tabs>
                <w:tab w:val="left" w:pos="176"/>
              </w:tabs>
              <w:ind w:left="176"/>
              <w:rPr>
                <w:rFonts w:ascii="Calibri" w:hAnsi="Calibri" w:cs="Calibri"/>
                <w:color w:val="000000"/>
                <w:szCs w:val="22"/>
              </w:rPr>
            </w:pPr>
            <w:r>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3E3265" w:rsidP="00B6146C">
            <w:pPr>
              <w:jc w:val="center"/>
              <w:rPr>
                <w:rFonts w:ascii="Calibri" w:hAnsi="Calibri" w:cs="Calibri"/>
                <w:color w:val="000000"/>
                <w:szCs w:val="22"/>
              </w:rPr>
            </w:pPr>
            <w:r>
              <w:rPr>
                <w:rFonts w:ascii="Calibri" w:hAnsi="Calibri" w:cs="Calibri"/>
                <w:color w:val="000000"/>
                <w:szCs w:val="22"/>
              </w:rPr>
              <w:t>31</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D3CFE" w:rsidP="00B6146C">
            <w:pPr>
              <w:jc w:val="center"/>
              <w:rPr>
                <w:rFonts w:ascii="Calibri" w:hAnsi="Calibri" w:cs="Calibri"/>
                <w:color w:val="000000"/>
                <w:szCs w:val="22"/>
              </w:rPr>
            </w:pPr>
            <w:r>
              <w:rPr>
                <w:rFonts w:ascii="Calibri" w:hAnsi="Calibri" w:cs="Calibri"/>
                <w:color w:val="000000"/>
                <w:szCs w:val="22"/>
              </w:rPr>
              <w:t>6.9%</w:t>
            </w:r>
          </w:p>
        </w:tc>
      </w:tr>
      <w:tr w:rsidR="00B6146C" w:rsidTr="00B6146C">
        <w:tc>
          <w:tcPr>
            <w:tcW w:w="5670" w:type="dxa"/>
            <w:tcBorders>
              <w:top w:val="single" w:sz="4" w:space="0" w:color="auto"/>
              <w:left w:val="single" w:sz="4" w:space="0" w:color="auto"/>
              <w:bottom w:val="single" w:sz="4" w:space="0" w:color="auto"/>
              <w:right w:val="single" w:sz="4" w:space="0" w:color="auto"/>
            </w:tcBorders>
            <w:vAlign w:val="bottom"/>
            <w:hideMark/>
          </w:tcPr>
          <w:p w:rsidR="00B6146C" w:rsidRDefault="00B6146C" w:rsidP="00B6146C">
            <w:pPr>
              <w:tabs>
                <w:tab w:val="left" w:pos="176"/>
              </w:tabs>
              <w:ind w:left="176"/>
              <w:rPr>
                <w:rFonts w:ascii="Calibri" w:hAnsi="Calibri" w:cs="Calibri"/>
                <w:color w:val="000000"/>
                <w:szCs w:val="22"/>
              </w:rPr>
            </w:pPr>
            <w:r>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3E3265" w:rsidP="00B6146C">
            <w:pPr>
              <w:jc w:val="center"/>
              <w:rPr>
                <w:rFonts w:ascii="Calibri" w:hAnsi="Calibri" w:cs="Calibri"/>
                <w:color w:val="000000"/>
                <w:szCs w:val="22"/>
              </w:rPr>
            </w:pPr>
            <w:r>
              <w:rPr>
                <w:rFonts w:ascii="Calibri" w:hAnsi="Calibri" w:cs="Calibri"/>
                <w:color w:val="000000"/>
                <w:szCs w:val="22"/>
              </w:rPr>
              <w:t>43</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2E658C" w:rsidP="00B6146C">
            <w:pPr>
              <w:jc w:val="center"/>
              <w:rPr>
                <w:rFonts w:ascii="Calibri" w:hAnsi="Calibri" w:cs="Calibri"/>
                <w:color w:val="000000"/>
                <w:szCs w:val="22"/>
              </w:rPr>
            </w:pPr>
            <w:r>
              <w:rPr>
                <w:rFonts w:ascii="Calibri" w:hAnsi="Calibri" w:cs="Calibri"/>
                <w:color w:val="000000"/>
                <w:szCs w:val="22"/>
              </w:rPr>
              <w:t>9.6</w:t>
            </w:r>
            <w:r w:rsidR="00AD3CFE">
              <w:rPr>
                <w:rFonts w:ascii="Calibri" w:hAnsi="Calibri" w:cs="Calibri"/>
                <w:color w:val="000000"/>
                <w:szCs w:val="22"/>
              </w:rPr>
              <w:t>%</w:t>
            </w:r>
          </w:p>
        </w:tc>
      </w:tr>
      <w:tr w:rsidR="00B6146C" w:rsidTr="00B6146C">
        <w:tc>
          <w:tcPr>
            <w:tcW w:w="5670" w:type="dxa"/>
            <w:tcBorders>
              <w:top w:val="single" w:sz="4" w:space="0" w:color="auto"/>
              <w:left w:val="single" w:sz="4" w:space="0" w:color="auto"/>
              <w:bottom w:val="single" w:sz="4" w:space="0" w:color="auto"/>
              <w:right w:val="single" w:sz="4" w:space="0" w:color="auto"/>
            </w:tcBorders>
            <w:vAlign w:val="bottom"/>
          </w:tcPr>
          <w:p w:rsidR="00B6146C" w:rsidRDefault="00B6146C" w:rsidP="00B6146C">
            <w:pPr>
              <w:tabs>
                <w:tab w:val="left" w:pos="176"/>
              </w:tabs>
              <w:ind w:left="176"/>
              <w:rPr>
                <w:rFonts w:ascii="Calibri" w:hAnsi="Calibri" w:cs="Calibri"/>
                <w:color w:val="000000"/>
                <w:szCs w:val="22"/>
              </w:rPr>
            </w:pPr>
            <w:r>
              <w:rPr>
                <w:rFonts w:ascii="Calibri" w:hAnsi="Calibri" w:cs="Calibri"/>
                <w:color w:val="000000"/>
                <w:szCs w:val="22"/>
              </w:rPr>
              <w:t>Inadequate/inappropriate testing</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3E3265" w:rsidP="00B6146C">
            <w:pPr>
              <w:jc w:val="center"/>
              <w:rPr>
                <w:rFonts w:ascii="Calibri" w:hAnsi="Calibri" w:cs="Calibri"/>
                <w:color w:val="000000"/>
                <w:szCs w:val="22"/>
              </w:rPr>
            </w:pPr>
            <w:r>
              <w:rPr>
                <w:rFonts w:ascii="Calibri" w:hAnsi="Calibri" w:cs="Calibri"/>
                <w:color w:val="000000"/>
                <w:szCs w:val="22"/>
              </w:rPr>
              <w:t>48</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2E658C" w:rsidP="00B6146C">
            <w:pPr>
              <w:jc w:val="center"/>
              <w:rPr>
                <w:rFonts w:ascii="Calibri" w:hAnsi="Calibri" w:cs="Calibri"/>
                <w:color w:val="000000"/>
                <w:szCs w:val="22"/>
              </w:rPr>
            </w:pPr>
            <w:r>
              <w:rPr>
                <w:rFonts w:ascii="Calibri" w:hAnsi="Calibri" w:cs="Calibri"/>
                <w:color w:val="000000"/>
                <w:szCs w:val="22"/>
              </w:rPr>
              <w:t>10.7</w:t>
            </w:r>
            <w:r w:rsidR="00AD3CFE">
              <w:rPr>
                <w:rFonts w:ascii="Calibri" w:hAnsi="Calibri" w:cs="Calibri"/>
                <w:color w:val="000000"/>
                <w:szCs w:val="22"/>
              </w:rPr>
              <w:t>%</w:t>
            </w:r>
          </w:p>
        </w:tc>
      </w:tr>
      <w:tr w:rsidR="00D934A9" w:rsidTr="00B6146C">
        <w:tc>
          <w:tcPr>
            <w:tcW w:w="5670" w:type="dxa"/>
            <w:tcBorders>
              <w:top w:val="single" w:sz="4" w:space="0" w:color="auto"/>
              <w:left w:val="single" w:sz="4" w:space="0" w:color="auto"/>
              <w:bottom w:val="single" w:sz="4" w:space="0" w:color="auto"/>
              <w:right w:val="single" w:sz="4" w:space="0" w:color="auto"/>
            </w:tcBorders>
          </w:tcPr>
          <w:p w:rsidR="00D934A9" w:rsidRDefault="00D934A9"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 admission/failure to admit</w:t>
            </w:r>
          </w:p>
        </w:tc>
        <w:tc>
          <w:tcPr>
            <w:tcW w:w="1701" w:type="dxa"/>
            <w:tcBorders>
              <w:top w:val="single" w:sz="4" w:space="0" w:color="auto"/>
              <w:left w:val="single" w:sz="4" w:space="0" w:color="auto"/>
              <w:bottom w:val="single" w:sz="4" w:space="0" w:color="auto"/>
              <w:right w:val="single" w:sz="4" w:space="0" w:color="auto"/>
            </w:tcBorders>
            <w:vAlign w:val="center"/>
          </w:tcPr>
          <w:p w:rsidR="00D934A9" w:rsidRDefault="00152E5B" w:rsidP="00B6146C">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rsidR="00D934A9" w:rsidRDefault="00AD3CFE" w:rsidP="00B6146C">
            <w:pPr>
              <w:widowControl w:val="0"/>
              <w:jc w:val="center"/>
              <w:rPr>
                <w:rFonts w:ascii="Calibri" w:hAnsi="Calibri" w:cs="Calibri"/>
                <w:color w:val="000000"/>
                <w:szCs w:val="22"/>
              </w:rPr>
            </w:pPr>
            <w:r>
              <w:rPr>
                <w:rFonts w:ascii="Calibri" w:hAnsi="Calibri" w:cs="Calibri"/>
                <w:color w:val="000000"/>
                <w:szCs w:val="22"/>
              </w:rPr>
              <w:t>2.4%</w:t>
            </w:r>
          </w:p>
        </w:tc>
      </w:tr>
      <w:tr w:rsidR="00B6146C" w:rsidTr="00B6146C">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152E5B" w:rsidP="00B6146C">
            <w:pPr>
              <w:widowControl w:val="0"/>
              <w:jc w:val="center"/>
              <w:rPr>
                <w:rFonts w:ascii="Calibri" w:hAnsi="Calibri" w:cs="Calibri"/>
                <w:color w:val="000000"/>
                <w:szCs w:val="22"/>
              </w:rPr>
            </w:pPr>
            <w:r>
              <w:rPr>
                <w:rFonts w:ascii="Calibri" w:hAnsi="Calibri" w:cs="Calibri"/>
                <w:color w:val="000000"/>
                <w:szCs w:val="22"/>
              </w:rPr>
              <w:t>46</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D3CFE" w:rsidP="00B6146C">
            <w:pPr>
              <w:widowControl w:val="0"/>
              <w:jc w:val="center"/>
              <w:rPr>
                <w:rFonts w:ascii="Calibri" w:hAnsi="Calibri" w:cs="Calibri"/>
                <w:color w:val="000000"/>
                <w:szCs w:val="22"/>
              </w:rPr>
            </w:pPr>
            <w:r>
              <w:rPr>
                <w:rFonts w:ascii="Calibri" w:hAnsi="Calibri" w:cs="Calibri"/>
                <w:color w:val="000000"/>
                <w:szCs w:val="22"/>
              </w:rPr>
              <w:t>10.2%</w:t>
            </w:r>
          </w:p>
        </w:tc>
      </w:tr>
      <w:tr w:rsidR="00B6146C" w:rsidTr="00B6146C">
        <w:tc>
          <w:tcPr>
            <w:tcW w:w="5670" w:type="dxa"/>
            <w:tcBorders>
              <w:top w:val="single" w:sz="4" w:space="0" w:color="auto"/>
              <w:left w:val="single" w:sz="4" w:space="0" w:color="auto"/>
              <w:bottom w:val="single" w:sz="4" w:space="0" w:color="auto"/>
              <w:right w:val="single" w:sz="4" w:space="0" w:color="auto"/>
            </w:tcBorders>
            <w:vAlign w:val="bottom"/>
            <w:hideMark/>
          </w:tcPr>
          <w:p w:rsidR="00B6146C" w:rsidRDefault="00B6146C" w:rsidP="00B6146C">
            <w:pPr>
              <w:tabs>
                <w:tab w:val="left" w:pos="176"/>
              </w:tabs>
              <w:ind w:left="176"/>
              <w:rPr>
                <w:rFonts w:ascii="Calibri" w:hAnsi="Calibri" w:cs="Calibri"/>
                <w:color w:val="000000"/>
                <w:szCs w:val="22"/>
              </w:rPr>
            </w:pPr>
            <w:r>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9B0889" w:rsidP="00B6146C">
            <w:pPr>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D3CFE" w:rsidP="00B6146C">
            <w:pPr>
              <w:jc w:val="center"/>
              <w:rPr>
                <w:rFonts w:ascii="Calibri" w:hAnsi="Calibri" w:cs="Calibri"/>
                <w:color w:val="000000"/>
                <w:szCs w:val="22"/>
              </w:rPr>
            </w:pPr>
            <w:r>
              <w:rPr>
                <w:rFonts w:ascii="Calibri" w:hAnsi="Calibri" w:cs="Calibri"/>
                <w:color w:val="000000"/>
                <w:szCs w:val="22"/>
              </w:rPr>
              <w:t>0.7%</w:t>
            </w:r>
          </w:p>
        </w:tc>
      </w:tr>
      <w:tr w:rsidR="00B6146C" w:rsidTr="00B6146C">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152E5B" w:rsidP="00B6146C">
            <w:pPr>
              <w:widowControl w:val="0"/>
              <w:jc w:val="center"/>
              <w:rPr>
                <w:rFonts w:ascii="Calibri" w:hAnsi="Calibri" w:cs="Calibri"/>
                <w:color w:val="000000"/>
                <w:szCs w:val="22"/>
              </w:rPr>
            </w:pPr>
            <w:r>
              <w:rPr>
                <w:rFonts w:ascii="Calibri" w:hAnsi="Calibri" w:cs="Calibri"/>
                <w:color w:val="000000"/>
                <w:szCs w:val="22"/>
              </w:rPr>
              <w:t>9</w:t>
            </w:r>
            <w:r w:rsidR="00E358D8">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2E658C" w:rsidP="00B6146C">
            <w:pPr>
              <w:widowControl w:val="0"/>
              <w:jc w:val="center"/>
              <w:rPr>
                <w:rFonts w:ascii="Calibri" w:hAnsi="Calibri" w:cs="Calibri"/>
                <w:color w:val="000000"/>
                <w:szCs w:val="22"/>
              </w:rPr>
            </w:pPr>
            <w:r>
              <w:rPr>
                <w:rFonts w:ascii="Calibri" w:hAnsi="Calibri" w:cs="Calibri"/>
                <w:color w:val="000000"/>
                <w:szCs w:val="22"/>
              </w:rPr>
              <w:t>20.9</w:t>
            </w:r>
            <w:r w:rsidR="00AD3CFE">
              <w:rPr>
                <w:rFonts w:ascii="Calibri" w:hAnsi="Calibri" w:cs="Calibri"/>
                <w:color w:val="000000"/>
                <w:szCs w:val="22"/>
              </w:rPr>
              <w:t>%</w:t>
            </w:r>
          </w:p>
        </w:tc>
      </w:tr>
      <w:tr w:rsidR="00B6146C" w:rsidTr="00B6146C">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Personal privacy not respected</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D934A9" w:rsidP="00B6146C">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D3CFE" w:rsidP="00B6146C">
            <w:pPr>
              <w:widowControl w:val="0"/>
              <w:jc w:val="center"/>
              <w:rPr>
                <w:rFonts w:ascii="Calibri" w:hAnsi="Calibri" w:cs="Calibri"/>
                <w:color w:val="000000"/>
                <w:szCs w:val="22"/>
              </w:rPr>
            </w:pPr>
            <w:r>
              <w:rPr>
                <w:rFonts w:ascii="Calibri" w:hAnsi="Calibri" w:cs="Calibri"/>
                <w:color w:val="000000"/>
                <w:szCs w:val="22"/>
              </w:rPr>
              <w:t>0.4%</w:t>
            </w:r>
          </w:p>
        </w:tc>
      </w:tr>
      <w:tr w:rsidR="00B6146C" w:rsidTr="00B6146C">
        <w:tc>
          <w:tcPr>
            <w:tcW w:w="5670" w:type="dxa"/>
            <w:tcBorders>
              <w:top w:val="single" w:sz="4" w:space="0" w:color="auto"/>
              <w:left w:val="single" w:sz="4" w:space="0" w:color="auto"/>
              <w:bottom w:val="single" w:sz="4" w:space="0" w:color="auto"/>
              <w:right w:val="single" w:sz="4" w:space="0" w:color="auto"/>
            </w:tcBorders>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Refusal to assist/attend</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3E3265" w:rsidP="00B6146C">
            <w:pPr>
              <w:widowControl w:val="0"/>
              <w:jc w:val="center"/>
              <w:rPr>
                <w:rFonts w:ascii="Calibri" w:hAnsi="Calibri" w:cs="Calibri"/>
                <w:color w:val="000000"/>
                <w:szCs w:val="22"/>
              </w:rPr>
            </w:pPr>
            <w:r>
              <w:rPr>
                <w:rFonts w:ascii="Calibri" w:hAnsi="Calibri" w:cs="Calibri"/>
                <w:color w:val="000000"/>
                <w:szCs w:val="22"/>
              </w:rPr>
              <w:t>1</w:t>
            </w:r>
            <w:r w:rsidR="00152E5B">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D3CFE" w:rsidP="00B6146C">
            <w:pPr>
              <w:widowControl w:val="0"/>
              <w:jc w:val="center"/>
              <w:rPr>
                <w:rFonts w:ascii="Calibri" w:hAnsi="Calibri" w:cs="Calibri"/>
                <w:color w:val="000000"/>
                <w:szCs w:val="22"/>
              </w:rPr>
            </w:pPr>
            <w:r>
              <w:rPr>
                <w:rFonts w:ascii="Calibri" w:hAnsi="Calibri" w:cs="Calibri"/>
                <w:color w:val="000000"/>
                <w:szCs w:val="22"/>
              </w:rPr>
              <w:t>2.9%</w:t>
            </w:r>
          </w:p>
        </w:tc>
      </w:tr>
      <w:tr w:rsidR="00B6146C" w:rsidTr="00B6146C">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Refusal to treat</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D934A9" w:rsidP="00B6146C">
            <w:pPr>
              <w:widowControl w:val="0"/>
              <w:jc w:val="center"/>
              <w:rPr>
                <w:rFonts w:ascii="Calibri" w:hAnsi="Calibri" w:cs="Calibri"/>
                <w:color w:val="000000"/>
                <w:szCs w:val="22"/>
              </w:rPr>
            </w:pPr>
            <w:r>
              <w:rPr>
                <w:rFonts w:ascii="Calibri" w:hAnsi="Calibri" w:cs="Calibri"/>
                <w:color w:val="000000"/>
                <w:szCs w:val="22"/>
              </w:rPr>
              <w:t>1</w:t>
            </w:r>
            <w:r w:rsidR="003E3265">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D3CFE" w:rsidP="00B6146C">
            <w:pPr>
              <w:widowControl w:val="0"/>
              <w:jc w:val="center"/>
              <w:rPr>
                <w:rFonts w:ascii="Calibri" w:hAnsi="Calibri" w:cs="Calibri"/>
                <w:color w:val="000000"/>
                <w:szCs w:val="22"/>
              </w:rPr>
            </w:pPr>
            <w:r>
              <w:rPr>
                <w:rFonts w:ascii="Calibri" w:hAnsi="Calibri" w:cs="Calibri"/>
                <w:color w:val="000000"/>
                <w:szCs w:val="22"/>
              </w:rPr>
              <w:t>2.9%</w:t>
            </w:r>
          </w:p>
        </w:tc>
      </w:tr>
      <w:tr w:rsidR="00B6146C" w:rsidTr="00B6146C">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152E5B" w:rsidP="00B6146C">
            <w:pPr>
              <w:widowControl w:val="0"/>
              <w:jc w:val="center"/>
              <w:rPr>
                <w:rFonts w:ascii="Calibri" w:hAnsi="Calibri" w:cs="Calibri"/>
                <w:color w:val="000000"/>
                <w:szCs w:val="22"/>
              </w:rPr>
            </w:pPr>
            <w:r>
              <w:rPr>
                <w:rFonts w:ascii="Calibri" w:hAnsi="Calibri" w:cs="Calibri"/>
                <w:color w:val="000000"/>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D3CFE" w:rsidP="00B6146C">
            <w:pPr>
              <w:widowControl w:val="0"/>
              <w:jc w:val="center"/>
              <w:rPr>
                <w:rFonts w:ascii="Calibri" w:hAnsi="Calibri" w:cs="Calibri"/>
                <w:color w:val="000000"/>
                <w:szCs w:val="22"/>
              </w:rPr>
            </w:pPr>
            <w:r>
              <w:rPr>
                <w:rFonts w:ascii="Calibri" w:hAnsi="Calibri" w:cs="Calibri"/>
                <w:color w:val="000000"/>
                <w:szCs w:val="22"/>
              </w:rPr>
              <w:t>4.4%</w:t>
            </w:r>
          </w:p>
        </w:tc>
      </w:tr>
      <w:tr w:rsidR="00B6146C" w:rsidTr="00B6146C">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152E5B" w:rsidP="00B6146C">
            <w:pPr>
              <w:widowControl w:val="0"/>
              <w:jc w:val="center"/>
              <w:rPr>
                <w:rFonts w:ascii="Calibri" w:hAnsi="Calibri" w:cs="Calibri"/>
                <w:color w:val="000000"/>
                <w:szCs w:val="22"/>
              </w:rPr>
            </w:pPr>
            <w:r>
              <w:rPr>
                <w:rFonts w:ascii="Calibri" w:hAnsi="Calibri" w:cs="Calibri"/>
                <w:color w:val="000000"/>
                <w:szCs w:val="22"/>
              </w:rPr>
              <w:t>78</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D3CFE" w:rsidP="00B6146C">
            <w:pPr>
              <w:widowControl w:val="0"/>
              <w:jc w:val="center"/>
              <w:rPr>
                <w:rFonts w:ascii="Calibri" w:hAnsi="Calibri" w:cs="Calibri"/>
                <w:color w:val="000000"/>
                <w:szCs w:val="22"/>
              </w:rPr>
            </w:pPr>
            <w:r>
              <w:rPr>
                <w:rFonts w:ascii="Calibri" w:hAnsi="Calibri" w:cs="Calibri"/>
                <w:color w:val="000000"/>
                <w:szCs w:val="22"/>
              </w:rPr>
              <w:t>17.3%</w:t>
            </w:r>
          </w:p>
        </w:tc>
      </w:tr>
      <w:tr w:rsidR="00B6146C" w:rsidTr="00B6146C">
        <w:tc>
          <w:tcPr>
            <w:tcW w:w="5670" w:type="dxa"/>
            <w:tcBorders>
              <w:top w:val="single" w:sz="4" w:space="0" w:color="auto"/>
              <w:left w:val="single" w:sz="4" w:space="0" w:color="auto"/>
              <w:bottom w:val="single" w:sz="4" w:space="0" w:color="auto"/>
              <w:right w:val="single" w:sz="4" w:space="0" w:color="auto"/>
            </w:tcBorders>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Unnecessary treatment/over-servicing</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152E5B" w:rsidP="00B6146C">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D3CFE" w:rsidP="00B6146C">
            <w:pPr>
              <w:widowControl w:val="0"/>
              <w:jc w:val="center"/>
              <w:rPr>
                <w:rFonts w:ascii="Calibri" w:hAnsi="Calibri" w:cs="Calibri"/>
                <w:color w:val="000000"/>
                <w:szCs w:val="22"/>
              </w:rPr>
            </w:pPr>
            <w:r>
              <w:rPr>
                <w:rFonts w:ascii="Calibri" w:hAnsi="Calibri" w:cs="Calibri"/>
                <w:color w:val="000000"/>
                <w:szCs w:val="22"/>
              </w:rPr>
              <w:t>2.2%</w:t>
            </w:r>
          </w:p>
        </w:tc>
      </w:tr>
      <w:tr w:rsidR="00B6146C" w:rsidTr="00B6146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146C" w:rsidRDefault="00B6146C" w:rsidP="00B6146C">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5039C0" w:rsidP="00B6146C">
            <w:pPr>
              <w:widowControl w:val="0"/>
              <w:jc w:val="center"/>
              <w:rPr>
                <w:rFonts w:ascii="Calibri" w:hAnsi="Calibri" w:cs="Calibri"/>
                <w:b/>
                <w:i/>
                <w:color w:val="000000"/>
                <w:szCs w:val="22"/>
              </w:rPr>
            </w:pPr>
            <w:r>
              <w:rPr>
                <w:rFonts w:ascii="Calibri" w:hAnsi="Calibri" w:cs="Calibri"/>
                <w:b/>
                <w:i/>
                <w:color w:val="000000"/>
                <w:szCs w:val="22"/>
              </w:rPr>
              <w:t>292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2E658C" w:rsidP="00B6146C">
            <w:pPr>
              <w:widowControl w:val="0"/>
              <w:jc w:val="center"/>
              <w:rPr>
                <w:rFonts w:ascii="Calibri" w:hAnsi="Calibri" w:cs="Calibri"/>
                <w:b/>
                <w:i/>
                <w:color w:val="000000"/>
                <w:szCs w:val="22"/>
              </w:rPr>
            </w:pPr>
            <w:r>
              <w:rPr>
                <w:rFonts w:ascii="Calibri" w:hAnsi="Calibri" w:cs="Calibri"/>
                <w:b/>
                <w:i/>
                <w:color w:val="000000"/>
                <w:szCs w:val="22"/>
              </w:rPr>
              <w:t>64.9</w:t>
            </w:r>
            <w:r w:rsidR="00AB06AB">
              <w:rPr>
                <w:rFonts w:ascii="Calibri" w:hAnsi="Calibri" w:cs="Calibri"/>
                <w:b/>
                <w:i/>
                <w:color w:val="000000"/>
                <w:szCs w:val="22"/>
              </w:rPr>
              <w:t>%</w:t>
            </w:r>
          </w:p>
        </w:tc>
      </w:tr>
      <w:tr w:rsidR="00B6146C" w:rsidTr="00B6146C">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152E5B" w:rsidP="00B6146C">
            <w:pPr>
              <w:widowControl w:val="0"/>
              <w:jc w:val="center"/>
              <w:rPr>
                <w:rFonts w:ascii="Calibri" w:hAnsi="Calibri" w:cs="Calibri"/>
                <w:color w:val="000000"/>
                <w:szCs w:val="22"/>
              </w:rPr>
            </w:pPr>
            <w:r>
              <w:rPr>
                <w:rFonts w:ascii="Calibri" w:hAnsi="Calibri" w:cs="Calibri"/>
                <w:color w:val="000000"/>
                <w:szCs w:val="22"/>
              </w:rPr>
              <w:t>7</w:t>
            </w:r>
            <w:r w:rsidR="00E358D8">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2E658C" w:rsidP="00B6146C">
            <w:pPr>
              <w:widowControl w:val="0"/>
              <w:jc w:val="center"/>
              <w:rPr>
                <w:rFonts w:ascii="Calibri" w:hAnsi="Calibri" w:cs="Calibri"/>
                <w:color w:val="000000"/>
                <w:szCs w:val="22"/>
              </w:rPr>
            </w:pPr>
            <w:r>
              <w:rPr>
                <w:rFonts w:ascii="Calibri" w:hAnsi="Calibri" w:cs="Calibri"/>
                <w:color w:val="000000"/>
                <w:szCs w:val="22"/>
              </w:rPr>
              <w:t>15.8</w:t>
            </w:r>
            <w:r w:rsidR="00AD3CFE">
              <w:rPr>
                <w:rFonts w:ascii="Calibri" w:hAnsi="Calibri" w:cs="Calibri"/>
                <w:color w:val="000000"/>
                <w:szCs w:val="22"/>
              </w:rPr>
              <w:t>%</w:t>
            </w:r>
          </w:p>
        </w:tc>
      </w:tr>
      <w:tr w:rsidR="00B6146C" w:rsidTr="00B6146C">
        <w:tc>
          <w:tcPr>
            <w:tcW w:w="5670" w:type="dxa"/>
            <w:tcBorders>
              <w:top w:val="single" w:sz="4" w:space="0" w:color="auto"/>
              <w:left w:val="single" w:sz="4" w:space="0" w:color="auto"/>
              <w:bottom w:val="single" w:sz="4" w:space="0" w:color="auto"/>
              <w:right w:val="single" w:sz="4" w:space="0" w:color="auto"/>
            </w:tcBorders>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accommodate language/cultural needs</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496B49" w:rsidP="00B6146C">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D3CFE" w:rsidP="00B6146C">
            <w:pPr>
              <w:widowControl w:val="0"/>
              <w:jc w:val="center"/>
              <w:rPr>
                <w:rFonts w:ascii="Calibri" w:hAnsi="Calibri" w:cs="Calibri"/>
                <w:color w:val="000000"/>
                <w:szCs w:val="22"/>
              </w:rPr>
            </w:pPr>
            <w:r>
              <w:rPr>
                <w:rFonts w:ascii="Calibri" w:hAnsi="Calibri" w:cs="Calibri"/>
                <w:color w:val="000000"/>
                <w:szCs w:val="22"/>
              </w:rPr>
              <w:t>0.9%</w:t>
            </w:r>
          </w:p>
        </w:tc>
      </w:tr>
      <w:tr w:rsidR="00B6146C" w:rsidTr="00B6146C">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3E3265" w:rsidP="00E358D8">
            <w:pPr>
              <w:widowControl w:val="0"/>
              <w:jc w:val="center"/>
              <w:rPr>
                <w:rFonts w:ascii="Calibri" w:hAnsi="Calibri" w:cs="Calibri"/>
                <w:color w:val="000000"/>
                <w:szCs w:val="22"/>
              </w:rPr>
            </w:pPr>
            <w:r>
              <w:rPr>
                <w:rFonts w:ascii="Calibri" w:hAnsi="Calibri" w:cs="Calibri"/>
                <w:color w:val="000000"/>
                <w:szCs w:val="22"/>
              </w:rPr>
              <w:t>1</w:t>
            </w:r>
            <w:r w:rsidR="00E358D8">
              <w:rPr>
                <w:rFonts w:ascii="Calibri" w:hAnsi="Calibri" w:cs="Calibri"/>
                <w:color w:val="000000"/>
                <w:szCs w:val="22"/>
              </w:rPr>
              <w:t>67</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2E658C" w:rsidP="00B6146C">
            <w:pPr>
              <w:widowControl w:val="0"/>
              <w:jc w:val="center"/>
              <w:rPr>
                <w:rFonts w:ascii="Calibri" w:hAnsi="Calibri" w:cs="Calibri"/>
                <w:color w:val="000000"/>
                <w:szCs w:val="22"/>
              </w:rPr>
            </w:pPr>
            <w:r>
              <w:rPr>
                <w:rFonts w:ascii="Calibri" w:hAnsi="Calibri" w:cs="Calibri"/>
                <w:color w:val="000000"/>
                <w:szCs w:val="22"/>
              </w:rPr>
              <w:t>37.1</w:t>
            </w:r>
            <w:r w:rsidR="00AD3CFE">
              <w:rPr>
                <w:rFonts w:ascii="Calibri" w:hAnsi="Calibri" w:cs="Calibri"/>
                <w:color w:val="000000"/>
                <w:szCs w:val="22"/>
              </w:rPr>
              <w:t>%</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family</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103</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2E658C" w:rsidP="00B6146C">
            <w:pPr>
              <w:widowControl w:val="0"/>
              <w:jc w:val="center"/>
              <w:rPr>
                <w:rFonts w:ascii="Calibri" w:hAnsi="Calibri" w:cs="Calibri"/>
                <w:color w:val="000000"/>
                <w:szCs w:val="22"/>
              </w:rPr>
            </w:pPr>
            <w:r>
              <w:rPr>
                <w:rFonts w:ascii="Calibri" w:hAnsi="Calibri" w:cs="Calibri"/>
                <w:color w:val="000000"/>
                <w:szCs w:val="22"/>
              </w:rPr>
              <w:t>22.9</w:t>
            </w:r>
            <w:r w:rsidR="00AD3CFE">
              <w:rPr>
                <w:rFonts w:ascii="Calibri" w:hAnsi="Calibri" w:cs="Calibri"/>
                <w:color w:val="000000"/>
                <w:szCs w:val="22"/>
              </w:rPr>
              <w:t>%</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Insensitive/inappropriate comments</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496B49" w:rsidP="00B6146C">
            <w:pPr>
              <w:widowControl w:val="0"/>
              <w:jc w:val="center"/>
              <w:rPr>
                <w:rFonts w:ascii="Calibri" w:hAnsi="Calibri" w:cs="Calibri"/>
                <w:color w:val="000000"/>
                <w:szCs w:val="22"/>
              </w:rPr>
            </w:pPr>
            <w:r>
              <w:rPr>
                <w:rFonts w:ascii="Calibri" w:hAnsi="Calibri" w:cs="Calibri"/>
                <w:color w:val="000000"/>
                <w:szCs w:val="22"/>
              </w:rPr>
              <w:t>1</w:t>
            </w:r>
            <w:r w:rsidR="00E358D8">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D3CFE" w:rsidP="00B6146C">
            <w:pPr>
              <w:widowControl w:val="0"/>
              <w:jc w:val="center"/>
              <w:rPr>
                <w:rFonts w:ascii="Calibri" w:hAnsi="Calibri" w:cs="Calibri"/>
                <w:color w:val="000000"/>
                <w:szCs w:val="22"/>
              </w:rPr>
            </w:pPr>
            <w:r>
              <w:rPr>
                <w:rFonts w:ascii="Calibri" w:hAnsi="Calibri" w:cs="Calibri"/>
                <w:color w:val="000000"/>
                <w:szCs w:val="22"/>
              </w:rPr>
              <w:t>3.3%</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146C" w:rsidRDefault="00B6146C" w:rsidP="00B6146C">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5039C0" w:rsidP="00B6146C">
            <w:pPr>
              <w:widowControl w:val="0"/>
              <w:jc w:val="center"/>
              <w:rPr>
                <w:rFonts w:ascii="Calibri" w:hAnsi="Calibri" w:cs="Calibri"/>
                <w:b/>
                <w:i/>
                <w:color w:val="000000"/>
                <w:szCs w:val="22"/>
              </w:rPr>
            </w:pPr>
            <w:r>
              <w:rPr>
                <w:rFonts w:ascii="Calibri" w:hAnsi="Calibri" w:cs="Calibri"/>
                <w:b/>
                <w:i/>
                <w:color w:val="000000"/>
                <w:szCs w:val="22"/>
              </w:rPr>
              <w:t>68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2E658C" w:rsidP="00B6146C">
            <w:pPr>
              <w:widowControl w:val="0"/>
              <w:jc w:val="center"/>
              <w:rPr>
                <w:rFonts w:ascii="Calibri" w:hAnsi="Calibri" w:cs="Calibri"/>
                <w:b/>
                <w:i/>
                <w:color w:val="000000"/>
                <w:szCs w:val="22"/>
              </w:rPr>
            </w:pPr>
            <w:r>
              <w:rPr>
                <w:rFonts w:ascii="Calibri" w:hAnsi="Calibri" w:cs="Calibri"/>
                <w:b/>
                <w:i/>
                <w:color w:val="000000"/>
                <w:szCs w:val="22"/>
              </w:rPr>
              <w:t>15.1</w:t>
            </w:r>
            <w:r w:rsidR="00AB06AB">
              <w:rPr>
                <w:rFonts w:ascii="Calibri" w:hAnsi="Calibri" w:cs="Calibri"/>
                <w:b/>
                <w:i/>
                <w:color w:val="000000"/>
                <w:szCs w:val="22"/>
              </w:rPr>
              <w:t>%</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response to complaint</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68</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2E658C" w:rsidP="00B6146C">
            <w:pPr>
              <w:widowControl w:val="0"/>
              <w:jc w:val="center"/>
              <w:rPr>
                <w:rFonts w:ascii="Calibri" w:hAnsi="Calibri" w:cs="Calibri"/>
                <w:color w:val="000000"/>
                <w:szCs w:val="22"/>
              </w:rPr>
            </w:pPr>
            <w:r>
              <w:rPr>
                <w:rFonts w:ascii="Calibri" w:hAnsi="Calibri" w:cs="Calibri"/>
                <w:color w:val="000000"/>
                <w:szCs w:val="22"/>
              </w:rPr>
              <w:t>15.1</w:t>
            </w:r>
            <w:r w:rsidR="00AD3CFE">
              <w:rPr>
                <w:rFonts w:ascii="Calibri" w:hAnsi="Calibri" w:cs="Calibri"/>
                <w:color w:val="000000"/>
                <w:szCs w:val="22"/>
              </w:rPr>
              <w:t>%</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146C" w:rsidRDefault="00B6146C" w:rsidP="00B6146C">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5039C0" w:rsidP="00B6146C">
            <w:pPr>
              <w:widowControl w:val="0"/>
              <w:jc w:val="center"/>
              <w:rPr>
                <w:rFonts w:ascii="Calibri" w:hAnsi="Calibri" w:cs="Calibri"/>
                <w:b/>
                <w:i/>
                <w:color w:val="000000"/>
                <w:szCs w:val="22"/>
              </w:rPr>
            </w:pPr>
            <w:r>
              <w:rPr>
                <w:rFonts w:ascii="Calibri" w:hAnsi="Calibri" w:cs="Calibri"/>
                <w:b/>
                <w:i/>
                <w:color w:val="000000"/>
                <w:szCs w:val="22"/>
              </w:rPr>
              <w:t>102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2E658C" w:rsidP="00B6146C">
            <w:pPr>
              <w:widowControl w:val="0"/>
              <w:jc w:val="center"/>
              <w:rPr>
                <w:rFonts w:ascii="Calibri" w:hAnsi="Calibri" w:cs="Calibri"/>
                <w:b/>
                <w:i/>
                <w:color w:val="000000"/>
                <w:szCs w:val="22"/>
              </w:rPr>
            </w:pPr>
            <w:r>
              <w:rPr>
                <w:rFonts w:ascii="Calibri" w:hAnsi="Calibri" w:cs="Calibri"/>
                <w:b/>
                <w:i/>
                <w:color w:val="000000"/>
                <w:szCs w:val="22"/>
              </w:rPr>
              <w:t>22.7</w:t>
            </w:r>
            <w:r w:rsidR="00AB06AB">
              <w:rPr>
                <w:rFonts w:ascii="Calibri" w:hAnsi="Calibri" w:cs="Calibri"/>
                <w:b/>
                <w:i/>
                <w:color w:val="000000"/>
                <w:szCs w:val="22"/>
              </w:rPr>
              <w:t>%</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3E3265" w:rsidP="00B6146C">
            <w:pPr>
              <w:widowControl w:val="0"/>
              <w:jc w:val="center"/>
              <w:rPr>
                <w:rFonts w:ascii="Calibri" w:hAnsi="Calibri" w:cs="Calibri"/>
                <w:color w:val="000000"/>
                <w:szCs w:val="22"/>
              </w:rPr>
            </w:pPr>
            <w:r>
              <w:rPr>
                <w:rFonts w:ascii="Calibri" w:hAnsi="Calibri" w:cs="Calibri"/>
                <w:color w:val="000000"/>
                <w:szCs w:val="22"/>
              </w:rPr>
              <w:t>2</w:t>
            </w:r>
            <w:r w:rsidR="00E358D8">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D3CFE" w:rsidP="00B6146C">
            <w:pPr>
              <w:widowControl w:val="0"/>
              <w:jc w:val="center"/>
              <w:rPr>
                <w:rFonts w:ascii="Calibri" w:hAnsi="Calibri" w:cs="Calibri"/>
                <w:color w:val="000000"/>
                <w:szCs w:val="22"/>
              </w:rPr>
            </w:pPr>
            <w:r>
              <w:rPr>
                <w:rFonts w:ascii="Calibri" w:hAnsi="Calibri" w:cs="Calibri"/>
                <w:color w:val="000000"/>
                <w:szCs w:val="22"/>
              </w:rPr>
              <w:t>5.8%</w:t>
            </w:r>
          </w:p>
        </w:tc>
      </w:tr>
      <w:tr w:rsidR="009B0889" w:rsidTr="00B6146C">
        <w:trPr>
          <w:trHeight w:val="281"/>
        </w:trPr>
        <w:tc>
          <w:tcPr>
            <w:tcW w:w="5670" w:type="dxa"/>
            <w:tcBorders>
              <w:top w:val="single" w:sz="4" w:space="0" w:color="auto"/>
              <w:left w:val="single" w:sz="4" w:space="0" w:color="auto"/>
              <w:bottom w:val="single" w:sz="4" w:space="0" w:color="auto"/>
              <w:right w:val="single" w:sz="4" w:space="0" w:color="auto"/>
            </w:tcBorders>
          </w:tcPr>
          <w:p w:rsidR="009B0889" w:rsidRDefault="009B0889"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assess capacity to consent</w:t>
            </w:r>
          </w:p>
        </w:tc>
        <w:tc>
          <w:tcPr>
            <w:tcW w:w="1701" w:type="dxa"/>
            <w:tcBorders>
              <w:top w:val="single" w:sz="4" w:space="0" w:color="auto"/>
              <w:left w:val="single" w:sz="4" w:space="0" w:color="auto"/>
              <w:bottom w:val="single" w:sz="4" w:space="0" w:color="auto"/>
              <w:right w:val="single" w:sz="4" w:space="0" w:color="auto"/>
            </w:tcBorders>
            <w:vAlign w:val="center"/>
          </w:tcPr>
          <w:p w:rsidR="009B0889" w:rsidRDefault="00E358D8" w:rsidP="00B6146C">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rsidR="009B0889" w:rsidRDefault="002E658C" w:rsidP="00B6146C">
            <w:pPr>
              <w:jc w:val="center"/>
            </w:pPr>
            <w:r>
              <w:t>1.6</w:t>
            </w:r>
            <w:r w:rsidR="00AD3CFE">
              <w:t>%</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adverse event</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rsidR="00B6146C" w:rsidRDefault="002E658C" w:rsidP="00B6146C">
            <w:pPr>
              <w:jc w:val="center"/>
            </w:pPr>
            <w:r>
              <w:t>1.6</w:t>
            </w:r>
            <w:r w:rsidR="00AD3CFE">
              <w:t>%</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condition</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tcPr>
          <w:p w:rsidR="00B6146C" w:rsidRDefault="00AD3CFE" w:rsidP="00B6146C">
            <w:pPr>
              <w:jc w:val="center"/>
            </w:pPr>
            <w:r>
              <w:t>2.7%</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fees/costs</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B6146C" w:rsidP="00B6146C">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B6146C" w:rsidRDefault="00AD3CFE" w:rsidP="00B6146C">
            <w:pPr>
              <w:jc w:val="center"/>
            </w:pPr>
            <w:r>
              <w:t>0.4%</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options</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152E5B" w:rsidP="00B6146C">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rsidR="00B6146C" w:rsidRDefault="00AD3CFE" w:rsidP="00B6146C">
            <w:pPr>
              <w:jc w:val="center"/>
            </w:pPr>
            <w:r>
              <w:t>1.3%</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lastRenderedPageBreak/>
              <w:t>Inadequate information provided regarding provider</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152E5B" w:rsidP="00B6146C">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rsidR="00B6146C" w:rsidRDefault="00AD3CFE" w:rsidP="00B6146C">
            <w:pPr>
              <w:jc w:val="center"/>
            </w:pPr>
            <w:r>
              <w:t>0.7%</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tcPr>
          <w:p w:rsidR="00B6146C" w:rsidRDefault="00AD3CFE" w:rsidP="00B6146C">
            <w:pPr>
              <w:jc w:val="center"/>
            </w:pPr>
            <w:r>
              <w:t>2.2%</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treatment</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26</w:t>
            </w:r>
          </w:p>
        </w:tc>
        <w:tc>
          <w:tcPr>
            <w:tcW w:w="1418" w:type="dxa"/>
            <w:tcBorders>
              <w:top w:val="single" w:sz="4" w:space="0" w:color="auto"/>
              <w:left w:val="single" w:sz="4" w:space="0" w:color="auto"/>
              <w:bottom w:val="single" w:sz="4" w:space="0" w:color="auto"/>
              <w:right w:val="single" w:sz="4" w:space="0" w:color="auto"/>
            </w:tcBorders>
          </w:tcPr>
          <w:p w:rsidR="00B6146C" w:rsidRDefault="00AD3CFE" w:rsidP="00B6146C">
            <w:pPr>
              <w:jc w:val="center"/>
            </w:pPr>
            <w:r>
              <w:t>5.8%</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Incorrect/misleading information provided</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D3CFE" w:rsidP="00B6146C">
            <w:pPr>
              <w:widowControl w:val="0"/>
              <w:jc w:val="center"/>
              <w:rPr>
                <w:rFonts w:ascii="Calibri" w:hAnsi="Calibri" w:cs="Calibri"/>
                <w:color w:val="000000"/>
                <w:szCs w:val="22"/>
              </w:rPr>
            </w:pPr>
            <w:r>
              <w:rPr>
                <w:rFonts w:ascii="Calibri" w:hAnsi="Calibri" w:cs="Calibri"/>
                <w:color w:val="000000"/>
                <w:szCs w:val="22"/>
              </w:rPr>
              <w:t>2.7%</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regarding consent when consumer not competent</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D3CFE" w:rsidP="00B6146C">
            <w:pPr>
              <w:widowControl w:val="0"/>
              <w:jc w:val="center"/>
              <w:rPr>
                <w:rFonts w:ascii="Calibri" w:hAnsi="Calibri" w:cs="Calibri"/>
                <w:color w:val="000000"/>
                <w:szCs w:val="22"/>
              </w:rPr>
            </w:pPr>
            <w:r>
              <w:rPr>
                <w:rFonts w:ascii="Calibri" w:hAnsi="Calibri" w:cs="Calibri"/>
                <w:color w:val="000000"/>
                <w:szCs w:val="22"/>
              </w:rPr>
              <w:t>0.9%</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496B49" w:rsidP="00B6146C">
            <w:pPr>
              <w:widowControl w:val="0"/>
              <w:jc w:val="center"/>
              <w:rPr>
                <w:rFonts w:ascii="Calibri" w:hAnsi="Calibri" w:cs="Calibri"/>
                <w:color w:val="000000"/>
                <w:szCs w:val="22"/>
              </w:rPr>
            </w:pPr>
            <w:r>
              <w:rPr>
                <w:rFonts w:ascii="Calibri" w:hAnsi="Calibri" w:cs="Calibri"/>
                <w:color w:val="000000"/>
                <w:szCs w:val="22"/>
              </w:rPr>
              <w:t>2</w:t>
            </w:r>
            <w:r w:rsidR="00E358D8">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AD3CFE" w:rsidP="00B6146C">
            <w:pPr>
              <w:widowControl w:val="0"/>
              <w:jc w:val="center"/>
              <w:rPr>
                <w:rFonts w:ascii="Calibri" w:hAnsi="Calibri" w:cs="Calibri"/>
                <w:color w:val="000000"/>
                <w:szCs w:val="22"/>
              </w:rPr>
            </w:pPr>
            <w:r>
              <w:rPr>
                <w:rFonts w:ascii="Calibri" w:hAnsi="Calibri" w:cs="Calibri"/>
                <w:color w:val="000000"/>
                <w:szCs w:val="22"/>
              </w:rPr>
              <w:t>5.1%</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146C" w:rsidRDefault="00B6146C" w:rsidP="00B6146C">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717DF6" w:rsidP="00B6146C">
            <w:pPr>
              <w:widowControl w:val="0"/>
              <w:jc w:val="center"/>
              <w:rPr>
                <w:rFonts w:ascii="Calibri" w:hAnsi="Calibri" w:cs="Calibri"/>
                <w:b/>
                <w:i/>
                <w:color w:val="000000"/>
                <w:szCs w:val="22"/>
              </w:rPr>
            </w:pPr>
            <w:r>
              <w:rPr>
                <w:rFonts w:ascii="Calibri" w:hAnsi="Calibri" w:cs="Calibri"/>
                <w:b/>
                <w:i/>
                <w:color w:val="000000"/>
                <w:szCs w:val="22"/>
              </w:rPr>
              <w:t>3</w:t>
            </w:r>
            <w:r w:rsidR="001E30A9">
              <w:rPr>
                <w:rFonts w:ascii="Calibri" w:hAnsi="Calibri" w:cs="Calibri"/>
                <w:b/>
                <w: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2E658C" w:rsidP="00B6146C">
            <w:pPr>
              <w:widowControl w:val="0"/>
              <w:jc w:val="center"/>
              <w:rPr>
                <w:rFonts w:ascii="Calibri" w:hAnsi="Calibri" w:cs="Calibri"/>
                <w:b/>
                <w:i/>
                <w:color w:val="000000"/>
                <w:szCs w:val="22"/>
              </w:rPr>
            </w:pPr>
            <w:r>
              <w:rPr>
                <w:rFonts w:ascii="Calibri" w:hAnsi="Calibri" w:cs="Calibri"/>
                <w:b/>
                <w:i/>
                <w:color w:val="000000"/>
                <w:szCs w:val="22"/>
              </w:rPr>
              <w:t>7.1</w:t>
            </w:r>
            <w:r w:rsidR="00AB06AB">
              <w:rPr>
                <w:rFonts w:ascii="Calibri" w:hAnsi="Calibri" w:cs="Calibri"/>
                <w:b/>
                <w:i/>
                <w:color w:val="000000"/>
                <w:szCs w:val="22"/>
              </w:rPr>
              <w:t>%</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Delay/failure to disclose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2E658C" w:rsidP="00B6146C">
            <w:pPr>
              <w:widowControl w:val="0"/>
              <w:jc w:val="center"/>
              <w:rPr>
                <w:rFonts w:ascii="Calibri" w:hAnsi="Calibri" w:cs="Calibri"/>
                <w:color w:val="000000"/>
                <w:szCs w:val="22"/>
              </w:rPr>
            </w:pPr>
            <w:r>
              <w:rPr>
                <w:rFonts w:ascii="Calibri" w:hAnsi="Calibri" w:cs="Calibri"/>
                <w:color w:val="000000"/>
                <w:szCs w:val="22"/>
              </w:rPr>
              <w:t>1.6</w:t>
            </w:r>
            <w:r w:rsidR="00AD3CFE">
              <w:rPr>
                <w:rFonts w:ascii="Calibri" w:hAnsi="Calibri" w:cs="Calibri"/>
                <w:color w:val="000000"/>
                <w:szCs w:val="22"/>
              </w:rPr>
              <w:t>%</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152E5B" w:rsidP="00B6146C">
            <w:pPr>
              <w:widowControl w:val="0"/>
              <w:jc w:val="center"/>
              <w:rPr>
                <w:rFonts w:ascii="Calibri" w:hAnsi="Calibri" w:cs="Calibri"/>
                <w:color w:val="000000"/>
                <w:szCs w:val="22"/>
              </w:rPr>
            </w:pPr>
            <w:r>
              <w:rPr>
                <w:rFonts w:ascii="Calibri" w:hAnsi="Calibri" w:cs="Calibri"/>
                <w:color w:val="000000"/>
                <w:szCs w:val="22"/>
              </w:rPr>
              <w:t>2</w:t>
            </w:r>
            <w:r w:rsidR="001E30A9">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2E658C" w:rsidP="00B6146C">
            <w:pPr>
              <w:widowControl w:val="0"/>
              <w:jc w:val="center"/>
              <w:rPr>
                <w:rFonts w:ascii="Calibri" w:hAnsi="Calibri" w:cs="Calibri"/>
                <w:color w:val="000000"/>
                <w:szCs w:val="22"/>
              </w:rPr>
            </w:pPr>
            <w:r>
              <w:rPr>
                <w:rFonts w:ascii="Calibri" w:hAnsi="Calibri" w:cs="Calibri"/>
                <w:color w:val="000000"/>
                <w:szCs w:val="22"/>
              </w:rPr>
              <w:t>5.3</w:t>
            </w:r>
            <w:r w:rsidR="00AD3CFE">
              <w:rPr>
                <w:rFonts w:ascii="Calibri" w:hAnsi="Calibri" w:cs="Calibri"/>
                <w:color w:val="000000"/>
                <w:szCs w:val="22"/>
              </w:rPr>
              <w:t>%</w:t>
            </w:r>
          </w:p>
        </w:tc>
      </w:tr>
      <w:tr w:rsidR="00152E5B" w:rsidTr="00B6146C">
        <w:trPr>
          <w:trHeight w:val="281"/>
        </w:trPr>
        <w:tc>
          <w:tcPr>
            <w:tcW w:w="5670" w:type="dxa"/>
            <w:tcBorders>
              <w:top w:val="single" w:sz="4" w:space="0" w:color="auto"/>
              <w:left w:val="single" w:sz="4" w:space="0" w:color="auto"/>
              <w:bottom w:val="single" w:sz="4" w:space="0" w:color="auto"/>
              <w:right w:val="single" w:sz="4" w:space="0" w:color="auto"/>
            </w:tcBorders>
          </w:tcPr>
          <w:p w:rsidR="00152E5B" w:rsidRDefault="00152E5B"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Intentionally misleading/altered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152E5B" w:rsidRDefault="001E30A9" w:rsidP="00B6146C">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152E5B" w:rsidRDefault="002E658C" w:rsidP="00B6146C">
            <w:pPr>
              <w:widowControl w:val="0"/>
              <w:jc w:val="center"/>
              <w:rPr>
                <w:rFonts w:ascii="Calibri" w:hAnsi="Calibri" w:cs="Calibri"/>
                <w:color w:val="000000"/>
                <w:szCs w:val="22"/>
              </w:rPr>
            </w:pPr>
            <w:r>
              <w:rPr>
                <w:rFonts w:ascii="Calibri" w:hAnsi="Calibri" w:cs="Calibri"/>
                <w:color w:val="000000"/>
                <w:szCs w:val="22"/>
              </w:rPr>
              <w:t>0.2</w:t>
            </w:r>
            <w:r w:rsidR="00AD3CFE">
              <w:rPr>
                <w:rFonts w:ascii="Calibri" w:hAnsi="Calibri" w:cs="Calibri"/>
                <w:color w:val="000000"/>
                <w:szCs w:val="22"/>
              </w:rPr>
              <w:t>%</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146C" w:rsidRDefault="00B6146C" w:rsidP="00B6146C">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5039C0" w:rsidP="00B6146C">
            <w:pPr>
              <w:widowControl w:val="0"/>
              <w:jc w:val="center"/>
              <w:rPr>
                <w:rFonts w:ascii="Calibri" w:hAnsi="Calibri" w:cs="Calibri"/>
                <w:b/>
                <w:i/>
                <w:color w:val="000000"/>
                <w:szCs w:val="22"/>
              </w:rPr>
            </w:pPr>
            <w:r>
              <w:rPr>
                <w:rFonts w:ascii="Calibri" w:hAnsi="Calibri" w:cs="Calibri"/>
                <w:b/>
                <w:i/>
                <w:color w:val="000000"/>
                <w:szCs w:val="22"/>
              </w:rPr>
              <w:t>71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2E658C" w:rsidP="00B6146C">
            <w:pPr>
              <w:widowControl w:val="0"/>
              <w:jc w:val="center"/>
              <w:rPr>
                <w:rFonts w:ascii="Calibri" w:hAnsi="Calibri" w:cs="Calibri"/>
                <w:b/>
                <w:i/>
                <w:color w:val="000000"/>
                <w:szCs w:val="22"/>
              </w:rPr>
            </w:pPr>
            <w:r>
              <w:rPr>
                <w:rFonts w:ascii="Calibri" w:hAnsi="Calibri" w:cs="Calibri"/>
                <w:b/>
                <w:i/>
                <w:color w:val="000000"/>
                <w:szCs w:val="22"/>
              </w:rPr>
              <w:t>15.8</w:t>
            </w:r>
            <w:r w:rsidR="00AB06AB">
              <w:rPr>
                <w:rFonts w:ascii="Calibri" w:hAnsi="Calibri" w:cs="Calibri"/>
                <w:b/>
                <w:i/>
                <w:color w:val="000000"/>
                <w:szCs w:val="22"/>
              </w:rPr>
              <w:t>%</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Accreditation standards/statutory obligations not met</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B6146C" w:rsidRDefault="00AD3CFE" w:rsidP="00B6146C">
            <w:pPr>
              <w:jc w:val="center"/>
            </w:pPr>
            <w:r>
              <w:t>0.4%</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Cleanliness/hygiene issue</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rsidR="00B6146C" w:rsidRDefault="00AD3CFE" w:rsidP="00B6146C">
            <w:pPr>
              <w:jc w:val="center"/>
            </w:pPr>
            <w:r>
              <w:t>1.3%</w:t>
            </w:r>
          </w:p>
        </w:tc>
      </w:tr>
      <w:tr w:rsidR="009B0889" w:rsidTr="00B6146C">
        <w:trPr>
          <w:trHeight w:val="281"/>
        </w:trPr>
        <w:tc>
          <w:tcPr>
            <w:tcW w:w="5670" w:type="dxa"/>
            <w:tcBorders>
              <w:top w:val="single" w:sz="4" w:space="0" w:color="auto"/>
              <w:left w:val="single" w:sz="4" w:space="0" w:color="auto"/>
              <w:bottom w:val="single" w:sz="4" w:space="0" w:color="auto"/>
              <w:right w:val="single" w:sz="4" w:space="0" w:color="auto"/>
            </w:tcBorders>
          </w:tcPr>
          <w:p w:rsidR="009B0889" w:rsidRDefault="009B0889"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follow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rsidR="009B0889" w:rsidRDefault="00496B49" w:rsidP="00B6146C">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9B0889" w:rsidRDefault="00AD3CFE" w:rsidP="00B6146C">
            <w:pPr>
              <w:jc w:val="center"/>
            </w:pPr>
            <w:r>
              <w:t>0.4%</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3E3265" w:rsidP="00B6146C">
            <w:pPr>
              <w:widowControl w:val="0"/>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tcPr>
          <w:p w:rsidR="00B6146C" w:rsidRDefault="009478AE" w:rsidP="00B6146C">
            <w:pPr>
              <w:jc w:val="center"/>
            </w:pPr>
            <w:r>
              <w:t>2.7%</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152E5B" w:rsidP="00B6146C">
            <w:pPr>
              <w:widowControl w:val="0"/>
              <w:jc w:val="center"/>
              <w:rPr>
                <w:rFonts w:ascii="Calibri" w:hAnsi="Calibri" w:cs="Calibri"/>
                <w:color w:val="000000"/>
                <w:szCs w:val="22"/>
              </w:rPr>
            </w:pPr>
            <w:r>
              <w:rPr>
                <w:rFonts w:ascii="Calibri" w:hAnsi="Calibri" w:cs="Calibri"/>
                <w:color w:val="000000"/>
                <w:szCs w:val="22"/>
              </w:rPr>
              <w:t>2</w:t>
            </w:r>
            <w:r w:rsidR="00E358D8">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rsidR="00B6146C" w:rsidRDefault="002E658C" w:rsidP="00B6146C">
            <w:pPr>
              <w:jc w:val="center"/>
            </w:pPr>
            <w:r>
              <w:t>5.6</w:t>
            </w:r>
            <w:r w:rsidR="009478AE">
              <w:t>%</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quality of aids/equipment</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tcPr>
          <w:p w:rsidR="00B6146C" w:rsidRDefault="009478AE" w:rsidP="00B6146C">
            <w:pPr>
              <w:jc w:val="center"/>
            </w:pPr>
            <w:r>
              <w:t>2.7%</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sharing facility with other consumers</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rsidR="00B6146C" w:rsidRDefault="009478AE" w:rsidP="00B6146C">
            <w:pPr>
              <w:jc w:val="center"/>
            </w:pPr>
            <w:r>
              <w:t>1.3%</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Staffing/rostering/other HR issue</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rsidR="00B6146C" w:rsidRDefault="002E658C" w:rsidP="00B6146C">
            <w:pPr>
              <w:jc w:val="center"/>
            </w:pPr>
            <w:r>
              <w:t>1.6</w:t>
            </w:r>
            <w:r w:rsidR="009478AE">
              <w:t>%</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Waiting times</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tcPr>
          <w:p w:rsidR="00B6146C" w:rsidRDefault="009478AE" w:rsidP="00B6146C">
            <w:pPr>
              <w:jc w:val="center"/>
            </w:pPr>
            <w:r>
              <w:t>2.0%</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146C" w:rsidRDefault="00B6146C" w:rsidP="00B6146C">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717DF6" w:rsidP="00B6146C">
            <w:pPr>
              <w:widowControl w:val="0"/>
              <w:jc w:val="center"/>
              <w:rPr>
                <w:rFonts w:ascii="Calibri" w:hAnsi="Calibri" w:cs="Calibri"/>
                <w:b/>
                <w:i/>
                <w:color w:val="000000"/>
                <w:szCs w:val="22"/>
              </w:rPr>
            </w:pPr>
            <w:r>
              <w:rPr>
                <w:rFonts w:ascii="Calibri" w:hAnsi="Calibri" w:cs="Calibri"/>
                <w:b/>
                <w:i/>
                <w:color w:val="000000"/>
                <w:szCs w:val="22"/>
              </w:rPr>
              <w:t>44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2E658C" w:rsidP="00B6146C">
            <w:pPr>
              <w:widowControl w:val="0"/>
              <w:jc w:val="center"/>
              <w:rPr>
                <w:rFonts w:ascii="Calibri" w:hAnsi="Calibri" w:cs="Calibri"/>
                <w:b/>
                <w:i/>
                <w:color w:val="000000"/>
                <w:szCs w:val="22"/>
              </w:rPr>
            </w:pPr>
            <w:r>
              <w:rPr>
                <w:rFonts w:ascii="Calibri" w:hAnsi="Calibri" w:cs="Calibri"/>
                <w:b/>
                <w:i/>
                <w:color w:val="000000"/>
                <w:szCs w:val="22"/>
              </w:rPr>
              <w:t>9.8</w:t>
            </w:r>
            <w:r w:rsidR="00AB06AB">
              <w:rPr>
                <w:rFonts w:ascii="Calibri" w:hAnsi="Calibri" w:cs="Calibri"/>
                <w:b/>
                <w:i/>
                <w:color w:val="000000"/>
                <w:szCs w:val="22"/>
              </w:rPr>
              <w:t>%</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Administration error</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tcPr>
          <w:p w:rsidR="00B6146C" w:rsidRDefault="009478AE" w:rsidP="00B6146C">
            <w:pPr>
              <w:jc w:val="center"/>
            </w:pPr>
            <w:r>
              <w:t>0.9%</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tcPr>
          <w:p w:rsidR="00B6146C" w:rsidRDefault="00B6146C" w:rsidP="00B6146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Prescribing error</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tcPr>
          <w:p w:rsidR="00B6146C" w:rsidRDefault="009478AE" w:rsidP="00B6146C">
            <w:pPr>
              <w:jc w:val="center"/>
            </w:pPr>
            <w:r>
              <w:t>0.9%</w:t>
            </w:r>
          </w:p>
        </w:tc>
      </w:tr>
      <w:tr w:rsidR="009B0889" w:rsidTr="00B6146C">
        <w:trPr>
          <w:trHeight w:val="281"/>
        </w:trPr>
        <w:tc>
          <w:tcPr>
            <w:tcW w:w="5670" w:type="dxa"/>
            <w:tcBorders>
              <w:top w:val="single" w:sz="4" w:space="0" w:color="auto"/>
              <w:left w:val="single" w:sz="4" w:space="0" w:color="auto"/>
              <w:bottom w:val="single" w:sz="4" w:space="0" w:color="auto"/>
              <w:right w:val="single" w:sz="4" w:space="0" w:color="auto"/>
            </w:tcBorders>
          </w:tcPr>
          <w:p w:rsidR="009B0889" w:rsidRDefault="009B0889" w:rsidP="00B6146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storage/security</w:t>
            </w:r>
          </w:p>
        </w:tc>
        <w:tc>
          <w:tcPr>
            <w:tcW w:w="1701" w:type="dxa"/>
            <w:tcBorders>
              <w:top w:val="single" w:sz="4" w:space="0" w:color="auto"/>
              <w:left w:val="single" w:sz="4" w:space="0" w:color="auto"/>
              <w:bottom w:val="single" w:sz="4" w:space="0" w:color="auto"/>
              <w:right w:val="single" w:sz="4" w:space="0" w:color="auto"/>
            </w:tcBorders>
            <w:vAlign w:val="center"/>
          </w:tcPr>
          <w:p w:rsidR="009B0889" w:rsidRDefault="009B0889" w:rsidP="00B6146C">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9B0889" w:rsidRDefault="009478AE" w:rsidP="00B6146C">
            <w:pPr>
              <w:jc w:val="center"/>
            </w:pPr>
            <w:r>
              <w:t>0.2%</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administration</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tcPr>
          <w:p w:rsidR="00B6146C" w:rsidRDefault="009478AE" w:rsidP="00B6146C">
            <w:pPr>
              <w:jc w:val="center"/>
            </w:pPr>
            <w:r>
              <w:t>1.8%</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22</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9478AE" w:rsidP="00B6146C">
            <w:pPr>
              <w:widowControl w:val="0"/>
              <w:jc w:val="center"/>
              <w:rPr>
                <w:rFonts w:ascii="Calibri" w:hAnsi="Calibri" w:cs="Calibri"/>
                <w:color w:val="000000"/>
                <w:szCs w:val="22"/>
              </w:rPr>
            </w:pPr>
            <w:r>
              <w:rPr>
                <w:rFonts w:ascii="Calibri" w:hAnsi="Calibri" w:cs="Calibri"/>
                <w:color w:val="000000"/>
                <w:szCs w:val="22"/>
              </w:rPr>
              <w:t>4.9%</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rsidR="00B6146C" w:rsidRDefault="009478AE" w:rsidP="00B6146C">
            <w:pPr>
              <w:jc w:val="center"/>
            </w:pPr>
            <w:r>
              <w:t>1.3%</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146C" w:rsidRDefault="00B6146C" w:rsidP="00B6146C">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Reports/Certificates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717DF6" w:rsidP="00B6146C">
            <w:pPr>
              <w:widowControl w:val="0"/>
              <w:jc w:val="center"/>
              <w:rPr>
                <w:rFonts w:ascii="Calibri" w:hAnsi="Calibri" w:cs="Calibri"/>
                <w:b/>
                <w:i/>
                <w:color w:val="000000"/>
                <w:szCs w:val="22"/>
              </w:rPr>
            </w:pPr>
            <w:r>
              <w:rPr>
                <w:rFonts w:ascii="Calibri" w:hAnsi="Calibri" w:cs="Calibri"/>
                <w:b/>
                <w:i/>
                <w:color w:val="000000"/>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146C" w:rsidRDefault="00AB06AB" w:rsidP="00B6146C">
            <w:pPr>
              <w:widowControl w:val="0"/>
              <w:jc w:val="center"/>
              <w:rPr>
                <w:rFonts w:ascii="Calibri" w:hAnsi="Calibri" w:cs="Calibri"/>
                <w:b/>
                <w:i/>
                <w:color w:val="000000"/>
                <w:szCs w:val="22"/>
              </w:rPr>
            </w:pPr>
            <w:r>
              <w:rPr>
                <w:rFonts w:ascii="Calibri" w:hAnsi="Calibri" w:cs="Calibri"/>
                <w:b/>
                <w:i/>
                <w:color w:val="000000"/>
                <w:szCs w:val="22"/>
              </w:rPr>
              <w:t>2.2%</w:t>
            </w:r>
          </w:p>
        </w:tc>
      </w:tr>
      <w:tr w:rsidR="00B6146C"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B6146C" w:rsidRDefault="00B6146C" w:rsidP="00B6146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Inaccurate report/certificate</w:t>
            </w:r>
          </w:p>
        </w:tc>
        <w:tc>
          <w:tcPr>
            <w:tcW w:w="1701" w:type="dxa"/>
            <w:tcBorders>
              <w:top w:val="single" w:sz="4" w:space="0" w:color="auto"/>
              <w:left w:val="single" w:sz="4" w:space="0" w:color="auto"/>
              <w:bottom w:val="single" w:sz="4" w:space="0" w:color="auto"/>
              <w:right w:val="single" w:sz="4" w:space="0" w:color="auto"/>
            </w:tcBorders>
            <w:vAlign w:val="center"/>
          </w:tcPr>
          <w:p w:rsidR="00B6146C" w:rsidRDefault="00E358D8" w:rsidP="00B6146C">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B6146C" w:rsidRDefault="002E658C" w:rsidP="00B6146C">
            <w:pPr>
              <w:widowControl w:val="0"/>
              <w:jc w:val="center"/>
              <w:rPr>
                <w:rFonts w:ascii="Calibri" w:hAnsi="Calibri" w:cs="Calibri"/>
                <w:color w:val="000000"/>
                <w:szCs w:val="22"/>
              </w:rPr>
            </w:pPr>
            <w:r>
              <w:rPr>
                <w:rFonts w:ascii="Calibri" w:hAnsi="Calibri" w:cs="Calibri"/>
                <w:color w:val="000000"/>
                <w:szCs w:val="22"/>
              </w:rPr>
              <w:t>1.6</w:t>
            </w:r>
            <w:r w:rsidR="009478AE">
              <w:rPr>
                <w:rFonts w:ascii="Calibri" w:hAnsi="Calibri" w:cs="Calibri"/>
                <w:color w:val="000000"/>
                <w:szCs w:val="22"/>
              </w:rPr>
              <w:t>%</w:t>
            </w:r>
          </w:p>
        </w:tc>
      </w:tr>
      <w:tr w:rsidR="00496B49" w:rsidTr="00B6146C">
        <w:trPr>
          <w:trHeight w:val="281"/>
        </w:trPr>
        <w:tc>
          <w:tcPr>
            <w:tcW w:w="5670" w:type="dxa"/>
            <w:tcBorders>
              <w:top w:val="single" w:sz="4" w:space="0" w:color="auto"/>
              <w:left w:val="single" w:sz="4" w:space="0" w:color="auto"/>
              <w:bottom w:val="single" w:sz="4" w:space="0" w:color="auto"/>
              <w:right w:val="single" w:sz="4" w:space="0" w:color="auto"/>
            </w:tcBorders>
          </w:tcPr>
          <w:p w:rsidR="00496B49" w:rsidRDefault="00496B49" w:rsidP="00B6146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complete report/certificate</w:t>
            </w:r>
          </w:p>
        </w:tc>
        <w:tc>
          <w:tcPr>
            <w:tcW w:w="1701" w:type="dxa"/>
            <w:tcBorders>
              <w:top w:val="single" w:sz="4" w:space="0" w:color="auto"/>
              <w:left w:val="single" w:sz="4" w:space="0" w:color="auto"/>
              <w:bottom w:val="single" w:sz="4" w:space="0" w:color="auto"/>
              <w:right w:val="single" w:sz="4" w:space="0" w:color="auto"/>
            </w:tcBorders>
            <w:vAlign w:val="center"/>
          </w:tcPr>
          <w:p w:rsidR="00496B49" w:rsidRDefault="003E3265" w:rsidP="00B6146C">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496B49" w:rsidRDefault="009478AE" w:rsidP="00B6146C">
            <w:pPr>
              <w:widowControl w:val="0"/>
              <w:jc w:val="center"/>
              <w:rPr>
                <w:rFonts w:ascii="Calibri" w:hAnsi="Calibri" w:cs="Calibri"/>
                <w:color w:val="000000"/>
                <w:szCs w:val="22"/>
              </w:rPr>
            </w:pPr>
            <w:r>
              <w:rPr>
                <w:rFonts w:ascii="Calibri" w:hAnsi="Calibri" w:cs="Calibri"/>
                <w:color w:val="000000"/>
                <w:szCs w:val="22"/>
              </w:rPr>
              <w:t>0.7%</w:t>
            </w:r>
          </w:p>
        </w:tc>
      </w:tr>
      <w:tr w:rsidR="00496B49" w:rsidTr="00B6146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B49" w:rsidRDefault="00496B49" w:rsidP="00496B49">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Teamwork/supervision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B49" w:rsidRDefault="00717DF6" w:rsidP="00B6146C">
            <w:pPr>
              <w:widowControl w:val="0"/>
              <w:jc w:val="center"/>
              <w:rPr>
                <w:rFonts w:ascii="Calibri" w:hAnsi="Calibri" w:cs="Calibri"/>
                <w:b/>
                <w:i/>
                <w:color w:val="000000"/>
                <w:szCs w:val="22"/>
              </w:rPr>
            </w:pPr>
            <w:r>
              <w:rPr>
                <w:rFonts w:ascii="Calibri" w:hAnsi="Calibri" w:cs="Calibri"/>
                <w:b/>
                <w:i/>
                <w:color w:val="000000"/>
                <w:szCs w:val="22"/>
              </w:rPr>
              <w:t>1</w:t>
            </w:r>
            <w:r w:rsidR="001E30A9">
              <w:rPr>
                <w:rFonts w:ascii="Calibri" w:hAnsi="Calibri" w:cs="Calibri"/>
                <w:b/>
                <w: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B49" w:rsidRDefault="002E658C" w:rsidP="00B6146C">
            <w:pPr>
              <w:widowControl w:val="0"/>
              <w:jc w:val="center"/>
              <w:rPr>
                <w:rFonts w:ascii="Calibri" w:hAnsi="Calibri" w:cs="Calibri"/>
                <w:b/>
                <w:i/>
                <w:color w:val="000000"/>
                <w:szCs w:val="22"/>
              </w:rPr>
            </w:pPr>
            <w:r>
              <w:rPr>
                <w:rFonts w:ascii="Calibri" w:hAnsi="Calibri" w:cs="Calibri"/>
                <w:b/>
                <w:i/>
                <w:color w:val="000000"/>
                <w:szCs w:val="22"/>
              </w:rPr>
              <w:t>2.7</w:t>
            </w:r>
            <w:r w:rsidR="00AB06AB">
              <w:rPr>
                <w:rFonts w:ascii="Calibri" w:hAnsi="Calibri" w:cs="Calibri"/>
                <w:b/>
                <w:i/>
                <w:color w:val="000000"/>
                <w:szCs w:val="22"/>
              </w:rPr>
              <w:t>%</w:t>
            </w:r>
          </w:p>
        </w:tc>
      </w:tr>
      <w:tr w:rsidR="00496B49" w:rsidTr="00496B49">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496B49" w:rsidRDefault="00496B49" w:rsidP="00496B49">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supervision/oversight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6B49" w:rsidRPr="00496B49" w:rsidRDefault="00E358D8" w:rsidP="00B6146C">
            <w:pPr>
              <w:widowControl w:val="0"/>
              <w:jc w:val="center"/>
              <w:rPr>
                <w:rFonts w:ascii="Calibri" w:hAnsi="Calibri" w:cs="Calibri"/>
                <w:color w:val="000000"/>
                <w:szCs w:val="22"/>
              </w:rPr>
            </w:pPr>
            <w:r>
              <w:rPr>
                <w:rFonts w:ascii="Calibri" w:hAnsi="Calibri" w:cs="Calibri"/>
                <w:color w:val="000000"/>
                <w:szCs w:val="22"/>
              </w:rPr>
              <w:t>1</w:t>
            </w:r>
            <w:r w:rsidR="001E30A9">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96B49" w:rsidRPr="00496B49" w:rsidRDefault="002E658C" w:rsidP="00B6146C">
            <w:pPr>
              <w:widowControl w:val="0"/>
              <w:jc w:val="center"/>
              <w:rPr>
                <w:rFonts w:ascii="Calibri" w:hAnsi="Calibri" w:cs="Calibri"/>
                <w:color w:val="000000"/>
                <w:szCs w:val="22"/>
              </w:rPr>
            </w:pPr>
            <w:r>
              <w:rPr>
                <w:rFonts w:ascii="Calibri" w:hAnsi="Calibri" w:cs="Calibri"/>
                <w:color w:val="000000"/>
                <w:szCs w:val="22"/>
              </w:rPr>
              <w:t>2.7</w:t>
            </w:r>
            <w:r w:rsidR="009478AE">
              <w:rPr>
                <w:rFonts w:ascii="Calibri" w:hAnsi="Calibri" w:cs="Calibri"/>
                <w:color w:val="000000"/>
                <w:szCs w:val="22"/>
              </w:rPr>
              <w:t>%</w:t>
            </w:r>
          </w:p>
        </w:tc>
      </w:tr>
      <w:tr w:rsidR="00496B49" w:rsidTr="00B6146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6B49" w:rsidRDefault="00496B49" w:rsidP="00B6146C">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Other professional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B49" w:rsidRDefault="00717DF6" w:rsidP="00B6146C">
            <w:pPr>
              <w:widowControl w:val="0"/>
              <w:jc w:val="center"/>
              <w:rPr>
                <w:rFonts w:ascii="Calibri" w:hAnsi="Calibri" w:cs="Calibri"/>
                <w:b/>
                <w:i/>
                <w:color w:val="000000"/>
                <w:szCs w:val="22"/>
              </w:rPr>
            </w:pPr>
            <w:r>
              <w:rPr>
                <w:rFonts w:ascii="Calibri" w:hAnsi="Calibri" w:cs="Calibri"/>
                <w:b/>
                <w:i/>
                <w:color w:val="000000"/>
                <w:szCs w:val="22"/>
              </w:rPr>
              <w:t>2</w:t>
            </w:r>
            <w:r w:rsidR="002E658C">
              <w:rPr>
                <w:rFonts w:ascii="Calibri" w:hAnsi="Calibri" w:cs="Calibri"/>
                <w:b/>
                <w: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B49" w:rsidRDefault="002E658C" w:rsidP="00B6146C">
            <w:pPr>
              <w:widowControl w:val="0"/>
              <w:jc w:val="center"/>
              <w:rPr>
                <w:rFonts w:ascii="Calibri" w:hAnsi="Calibri" w:cs="Calibri"/>
                <w:b/>
                <w:i/>
                <w:color w:val="000000"/>
                <w:szCs w:val="22"/>
              </w:rPr>
            </w:pPr>
            <w:r>
              <w:rPr>
                <w:rFonts w:ascii="Calibri" w:hAnsi="Calibri" w:cs="Calibri"/>
                <w:b/>
                <w:i/>
                <w:color w:val="000000"/>
                <w:szCs w:val="22"/>
              </w:rPr>
              <w:t>5.1</w:t>
            </w:r>
            <w:r w:rsidR="00AB06AB">
              <w:rPr>
                <w:rFonts w:ascii="Calibri" w:hAnsi="Calibri" w:cs="Calibri"/>
                <w:b/>
                <w:i/>
                <w:color w:val="000000"/>
                <w:szCs w:val="22"/>
              </w:rPr>
              <w:t>%</w:t>
            </w:r>
          </w:p>
        </w:tc>
      </w:tr>
      <w:tr w:rsidR="00496B49" w:rsidTr="00B6146C">
        <w:trPr>
          <w:trHeight w:val="281"/>
        </w:trPr>
        <w:tc>
          <w:tcPr>
            <w:tcW w:w="5670" w:type="dxa"/>
            <w:tcBorders>
              <w:top w:val="single" w:sz="4" w:space="0" w:color="auto"/>
              <w:left w:val="single" w:sz="4" w:space="0" w:color="auto"/>
              <w:bottom w:val="single" w:sz="4" w:space="0" w:color="auto"/>
              <w:right w:val="single" w:sz="4" w:space="0" w:color="auto"/>
            </w:tcBorders>
          </w:tcPr>
          <w:p w:rsidR="00496B49" w:rsidRDefault="00496B49" w:rsidP="00B6146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behaviour</w:t>
            </w:r>
          </w:p>
        </w:tc>
        <w:tc>
          <w:tcPr>
            <w:tcW w:w="1701" w:type="dxa"/>
            <w:tcBorders>
              <w:top w:val="single" w:sz="4" w:space="0" w:color="auto"/>
              <w:left w:val="single" w:sz="4" w:space="0" w:color="auto"/>
              <w:bottom w:val="single" w:sz="4" w:space="0" w:color="auto"/>
              <w:right w:val="single" w:sz="4" w:space="0" w:color="auto"/>
            </w:tcBorders>
            <w:vAlign w:val="center"/>
          </w:tcPr>
          <w:p w:rsidR="00496B49" w:rsidRDefault="00E358D8" w:rsidP="00B6146C">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rsidR="00496B49" w:rsidRDefault="009478AE" w:rsidP="00B6146C">
            <w:pPr>
              <w:widowControl w:val="0"/>
              <w:jc w:val="center"/>
              <w:rPr>
                <w:rFonts w:ascii="Calibri" w:hAnsi="Calibri" w:cs="Calibri"/>
                <w:color w:val="000000"/>
                <w:szCs w:val="22"/>
              </w:rPr>
            </w:pPr>
            <w:r>
              <w:rPr>
                <w:rFonts w:ascii="Calibri" w:hAnsi="Calibri" w:cs="Calibri"/>
                <w:color w:val="000000"/>
                <w:szCs w:val="22"/>
              </w:rPr>
              <w:t>2.2%</w:t>
            </w:r>
          </w:p>
        </w:tc>
      </w:tr>
      <w:tr w:rsidR="00496B49"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496B49" w:rsidRDefault="00496B49" w:rsidP="00B6146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vAlign w:val="center"/>
          </w:tcPr>
          <w:p w:rsidR="00496B49" w:rsidRDefault="00E358D8" w:rsidP="00B6146C">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496B49" w:rsidRDefault="009478AE" w:rsidP="00B6146C">
            <w:pPr>
              <w:widowControl w:val="0"/>
              <w:jc w:val="center"/>
              <w:rPr>
                <w:rFonts w:ascii="Calibri" w:hAnsi="Calibri" w:cs="Calibri"/>
                <w:color w:val="000000"/>
                <w:szCs w:val="22"/>
              </w:rPr>
            </w:pPr>
            <w:r>
              <w:rPr>
                <w:rFonts w:ascii="Calibri" w:hAnsi="Calibri" w:cs="Calibri"/>
                <w:color w:val="000000"/>
                <w:szCs w:val="22"/>
              </w:rPr>
              <w:t>2.0%</w:t>
            </w:r>
          </w:p>
        </w:tc>
      </w:tr>
      <w:tr w:rsidR="00496B49" w:rsidTr="00B6146C">
        <w:trPr>
          <w:trHeight w:val="281"/>
        </w:trPr>
        <w:tc>
          <w:tcPr>
            <w:tcW w:w="5670" w:type="dxa"/>
            <w:tcBorders>
              <w:top w:val="single" w:sz="4" w:space="0" w:color="auto"/>
              <w:left w:val="single" w:sz="4" w:space="0" w:color="auto"/>
              <w:bottom w:val="single" w:sz="4" w:space="0" w:color="auto"/>
              <w:right w:val="single" w:sz="4" w:space="0" w:color="auto"/>
            </w:tcBorders>
            <w:hideMark/>
          </w:tcPr>
          <w:p w:rsidR="00496B49" w:rsidRDefault="00496B49" w:rsidP="00B6146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496B49" w:rsidRDefault="002E658C" w:rsidP="00B6146C">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496B49" w:rsidRDefault="002E658C" w:rsidP="00B6146C">
            <w:pPr>
              <w:widowControl w:val="0"/>
              <w:jc w:val="center"/>
              <w:rPr>
                <w:rFonts w:ascii="Calibri" w:hAnsi="Calibri" w:cs="Calibri"/>
                <w:color w:val="000000"/>
                <w:szCs w:val="22"/>
              </w:rPr>
            </w:pPr>
            <w:r>
              <w:rPr>
                <w:rFonts w:ascii="Calibri" w:hAnsi="Calibri" w:cs="Calibri"/>
                <w:color w:val="000000"/>
                <w:szCs w:val="22"/>
              </w:rPr>
              <w:t>0.9</w:t>
            </w:r>
            <w:r w:rsidR="009478AE">
              <w:rPr>
                <w:rFonts w:ascii="Calibri" w:hAnsi="Calibri" w:cs="Calibri"/>
                <w:color w:val="000000"/>
                <w:szCs w:val="22"/>
              </w:rPr>
              <w:t>%</w:t>
            </w:r>
          </w:p>
        </w:tc>
      </w:tr>
      <w:tr w:rsidR="00496B49" w:rsidTr="00B6146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6B49" w:rsidRDefault="00496B49" w:rsidP="00B6146C">
            <w:pPr>
              <w:widowControl w:val="0"/>
              <w:tabs>
                <w:tab w:val="left" w:pos="176"/>
                <w:tab w:val="left" w:pos="1440"/>
                <w:tab w:val="decimal" w:pos="4320"/>
              </w:tabs>
              <w:outlineLvl w:val="0"/>
              <w:rPr>
                <w:rFonts w:ascii="Calibri" w:hAnsi="Calibri"/>
                <w:b/>
                <w:i/>
                <w:szCs w:val="22"/>
              </w:rPr>
            </w:pPr>
            <w:r>
              <w:rPr>
                <w:rFonts w:ascii="Calibri" w:hAnsi="Calibri"/>
                <w:b/>
                <w:i/>
                <w:szCs w:val="22"/>
              </w:rPr>
              <w:t>Disability-related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B49" w:rsidRDefault="00E358D8" w:rsidP="00B6146C">
            <w:pPr>
              <w:widowControl w:val="0"/>
              <w:jc w:val="center"/>
              <w:rPr>
                <w:rFonts w:ascii="Calibri" w:hAnsi="Calibri" w:cs="Calibri"/>
                <w:b/>
                <w:i/>
                <w:color w:val="000000"/>
                <w:szCs w:val="22"/>
              </w:rPr>
            </w:pPr>
            <w:r>
              <w:rPr>
                <w:rFonts w:ascii="Calibri" w:hAnsi="Calibri" w:cs="Calibri"/>
                <w:b/>
                <w:i/>
                <w:color w:val="000000"/>
                <w:szCs w:val="22"/>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B49" w:rsidRDefault="00496B49" w:rsidP="00AB06AB">
            <w:pPr>
              <w:widowControl w:val="0"/>
              <w:jc w:val="center"/>
              <w:rPr>
                <w:rFonts w:ascii="Calibri" w:hAnsi="Calibri" w:cs="Calibri"/>
                <w:b/>
                <w:i/>
                <w:color w:val="000000"/>
                <w:szCs w:val="22"/>
              </w:rPr>
            </w:pPr>
          </w:p>
        </w:tc>
      </w:tr>
      <w:tr w:rsidR="00496B49" w:rsidTr="00B6146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B49" w:rsidRDefault="00496B49" w:rsidP="00B6146C">
            <w:pPr>
              <w:widowControl w:val="0"/>
              <w:tabs>
                <w:tab w:val="left" w:pos="176"/>
                <w:tab w:val="left" w:pos="1440"/>
                <w:tab w:val="decimal" w:pos="4320"/>
              </w:tabs>
              <w:outlineLvl w:val="0"/>
              <w:rPr>
                <w:rFonts w:ascii="Calibri" w:hAnsi="Calibri"/>
                <w:b/>
                <w:i/>
                <w:szCs w:val="22"/>
              </w:rPr>
            </w:pPr>
            <w:r>
              <w:rPr>
                <w:rFonts w:ascii="Calibri" w:hAnsi="Calibri"/>
                <w:b/>
                <w:i/>
                <w:szCs w:val="22"/>
              </w:rPr>
              <w:t>Other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B49" w:rsidRDefault="00E358D8" w:rsidP="00B6146C">
            <w:pPr>
              <w:widowControl w:val="0"/>
              <w:jc w:val="center"/>
              <w:rPr>
                <w:rFonts w:ascii="Calibri" w:hAnsi="Calibri" w:cs="Calibri"/>
                <w:b/>
                <w:i/>
                <w:color w:val="000000"/>
                <w:szCs w:val="22"/>
              </w:rPr>
            </w:pPr>
            <w:r>
              <w:rPr>
                <w:rFonts w:ascii="Calibri" w:hAnsi="Calibri" w:cs="Calibri"/>
                <w:b/>
                <w:i/>
                <w:color w:val="000000"/>
                <w:szCs w:val="22"/>
              </w:rPr>
              <w:t>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B49" w:rsidRDefault="00496B49" w:rsidP="00B6146C">
            <w:pPr>
              <w:widowControl w:val="0"/>
              <w:rPr>
                <w:rFonts w:ascii="Calibri" w:hAnsi="Calibri" w:cs="Calibri"/>
                <w:b/>
                <w:i/>
                <w:color w:val="000000"/>
                <w:szCs w:val="22"/>
              </w:rPr>
            </w:pPr>
          </w:p>
        </w:tc>
      </w:tr>
    </w:tbl>
    <w:p w:rsidR="00D86226" w:rsidRDefault="00D86226" w:rsidP="00D86226">
      <w:pPr>
        <w:widowControl w:val="0"/>
        <w:spacing w:after="120"/>
        <w:rPr>
          <w:rFonts w:ascii="Calibri" w:hAnsi="Calibri"/>
          <w:szCs w:val="22"/>
        </w:rPr>
      </w:pPr>
    </w:p>
    <w:p w:rsidR="009E605E" w:rsidRDefault="009E605E" w:rsidP="00D86226">
      <w:pPr>
        <w:widowControl w:val="0"/>
        <w:spacing w:after="120"/>
        <w:rPr>
          <w:rFonts w:ascii="Calibri" w:hAnsi="Calibri"/>
          <w:szCs w:val="22"/>
        </w:rPr>
      </w:pPr>
    </w:p>
    <w:p w:rsidR="009E605E" w:rsidRDefault="009E605E" w:rsidP="00D86226">
      <w:pPr>
        <w:widowControl w:val="0"/>
        <w:spacing w:after="120"/>
        <w:rPr>
          <w:rFonts w:ascii="Calibri" w:hAnsi="Calibri"/>
          <w:szCs w:val="22"/>
        </w:rPr>
      </w:pPr>
    </w:p>
    <w:p w:rsidR="009E605E" w:rsidRDefault="009E605E" w:rsidP="00D86226">
      <w:pPr>
        <w:widowControl w:val="0"/>
        <w:spacing w:after="120"/>
        <w:rPr>
          <w:rFonts w:ascii="Calibri" w:hAnsi="Calibri"/>
          <w:szCs w:val="22"/>
        </w:rPr>
      </w:pPr>
    </w:p>
    <w:p w:rsidR="009E605E" w:rsidRDefault="009E605E" w:rsidP="00D86226">
      <w:pPr>
        <w:widowControl w:val="0"/>
        <w:spacing w:after="120"/>
        <w:rPr>
          <w:rFonts w:ascii="Calibri" w:hAnsi="Calibri"/>
          <w:szCs w:val="22"/>
        </w:rPr>
      </w:pPr>
    </w:p>
    <w:p w:rsidR="009E605E" w:rsidRPr="001F7765" w:rsidRDefault="009E605E" w:rsidP="00D86226">
      <w:pPr>
        <w:widowControl w:val="0"/>
        <w:spacing w:after="120"/>
        <w:rPr>
          <w:rFonts w:ascii="Calibri" w:hAnsi="Calibri"/>
          <w:szCs w:val="22"/>
        </w:rPr>
      </w:pPr>
    </w:p>
    <w:p w:rsidR="00FE7D99" w:rsidRDefault="00FE7D99" w:rsidP="00FE7D99">
      <w:pPr>
        <w:rPr>
          <w:rFonts w:ascii="Calibri" w:hAnsi="Calibri"/>
          <w:szCs w:val="22"/>
        </w:rPr>
      </w:pPr>
      <w:r>
        <w:rPr>
          <w:rFonts w:ascii="Calibri" w:hAnsi="Calibri"/>
          <w:szCs w:val="22"/>
        </w:rPr>
        <w:lastRenderedPageBreak/>
        <w:t xml:space="preserve">On analysis of all issues identified in complaints about DHBs, the most common complaint issue categories were: </w:t>
      </w:r>
    </w:p>
    <w:p w:rsidR="00FE7D99" w:rsidRDefault="002E658C" w:rsidP="00FE7D99">
      <w:pPr>
        <w:pStyle w:val="ListParagraph"/>
        <w:numPr>
          <w:ilvl w:val="0"/>
          <w:numId w:val="21"/>
        </w:numPr>
        <w:rPr>
          <w:rFonts w:ascii="Calibri" w:hAnsi="Calibri"/>
          <w:szCs w:val="22"/>
        </w:rPr>
      </w:pPr>
      <w:r>
        <w:rPr>
          <w:rFonts w:ascii="Calibri" w:hAnsi="Calibri"/>
          <w:szCs w:val="22"/>
        </w:rPr>
        <w:t>Care/treatment (present for 79.3</w:t>
      </w:r>
      <w:r w:rsidR="00FE7D99" w:rsidRPr="00064B53">
        <w:rPr>
          <w:rFonts w:ascii="Calibri" w:hAnsi="Calibri"/>
          <w:szCs w:val="22"/>
        </w:rPr>
        <w:t>% of all complaints</w:t>
      </w:r>
      <w:r w:rsidR="00FE7D99">
        <w:rPr>
          <w:rFonts w:ascii="Calibri" w:hAnsi="Calibri"/>
          <w:szCs w:val="22"/>
        </w:rPr>
        <w:t xml:space="preserve">) </w:t>
      </w:r>
    </w:p>
    <w:p w:rsidR="00FE7D99" w:rsidRDefault="00FE7D99" w:rsidP="00FE7D99">
      <w:pPr>
        <w:pStyle w:val="ListParagraph"/>
        <w:numPr>
          <w:ilvl w:val="0"/>
          <w:numId w:val="21"/>
        </w:numPr>
        <w:rPr>
          <w:rFonts w:ascii="Calibri" w:hAnsi="Calibri"/>
          <w:szCs w:val="22"/>
        </w:rPr>
      </w:pPr>
      <w:r>
        <w:rPr>
          <w:rFonts w:ascii="Calibri" w:hAnsi="Calibri"/>
          <w:szCs w:val="22"/>
        </w:rPr>
        <w:t>C</w:t>
      </w:r>
      <w:r w:rsidR="002E658C">
        <w:rPr>
          <w:rFonts w:ascii="Calibri" w:hAnsi="Calibri"/>
          <w:szCs w:val="22"/>
        </w:rPr>
        <w:t>ommunication (present for 64.9</w:t>
      </w:r>
      <w:r>
        <w:rPr>
          <w:rFonts w:ascii="Calibri" w:hAnsi="Calibri"/>
          <w:szCs w:val="22"/>
        </w:rPr>
        <w:t xml:space="preserve">% of all complaints) </w:t>
      </w:r>
    </w:p>
    <w:p w:rsidR="00FE7D99" w:rsidRDefault="00FE7D99" w:rsidP="00FE7D99">
      <w:pPr>
        <w:pStyle w:val="ListParagraph"/>
        <w:numPr>
          <w:ilvl w:val="0"/>
          <w:numId w:val="21"/>
        </w:numPr>
        <w:rPr>
          <w:rFonts w:ascii="Calibri" w:hAnsi="Calibri"/>
          <w:szCs w:val="22"/>
        </w:rPr>
      </w:pPr>
      <w:r>
        <w:rPr>
          <w:rFonts w:ascii="Calibri" w:hAnsi="Calibri"/>
          <w:szCs w:val="22"/>
        </w:rPr>
        <w:t>A</w:t>
      </w:r>
      <w:r w:rsidRPr="00064B53">
        <w:rPr>
          <w:rFonts w:ascii="Calibri" w:hAnsi="Calibri"/>
          <w:szCs w:val="22"/>
        </w:rPr>
        <w:t xml:space="preserve">ccess/funding (present </w:t>
      </w:r>
      <w:r w:rsidR="002E658C">
        <w:rPr>
          <w:rFonts w:ascii="Calibri" w:hAnsi="Calibri"/>
          <w:szCs w:val="22"/>
        </w:rPr>
        <w:t>for 24.7</w:t>
      </w:r>
      <w:r>
        <w:rPr>
          <w:rFonts w:ascii="Calibri" w:hAnsi="Calibri"/>
          <w:szCs w:val="22"/>
        </w:rPr>
        <w:t xml:space="preserve">% of all complaints) </w:t>
      </w:r>
    </w:p>
    <w:p w:rsidR="00FE7D99" w:rsidRPr="00064B53" w:rsidRDefault="00FE7D99" w:rsidP="00FE7D99">
      <w:pPr>
        <w:pStyle w:val="ListParagraph"/>
        <w:numPr>
          <w:ilvl w:val="0"/>
          <w:numId w:val="21"/>
        </w:numPr>
        <w:rPr>
          <w:rFonts w:ascii="Calibri" w:hAnsi="Calibri"/>
          <w:szCs w:val="22"/>
        </w:rPr>
      </w:pPr>
      <w:r>
        <w:rPr>
          <w:rFonts w:ascii="Calibri" w:hAnsi="Calibri"/>
          <w:szCs w:val="22"/>
        </w:rPr>
        <w:t>C</w:t>
      </w:r>
      <w:r w:rsidRPr="00064B53">
        <w:rPr>
          <w:rFonts w:ascii="Calibri" w:hAnsi="Calibri"/>
          <w:szCs w:val="22"/>
        </w:rPr>
        <w:t>onse</w:t>
      </w:r>
      <w:r w:rsidR="002E658C">
        <w:rPr>
          <w:rFonts w:ascii="Calibri" w:hAnsi="Calibri"/>
          <w:szCs w:val="22"/>
        </w:rPr>
        <w:t>nt/information (present for 22.7</w:t>
      </w:r>
      <w:r w:rsidRPr="00064B53">
        <w:rPr>
          <w:rFonts w:ascii="Calibri" w:hAnsi="Calibri"/>
          <w:szCs w:val="22"/>
        </w:rPr>
        <w:t>% of all complaints).</w:t>
      </w:r>
    </w:p>
    <w:p w:rsidR="00FE7D99" w:rsidRDefault="00FE7D99" w:rsidP="00FE7D99">
      <w:pPr>
        <w:rPr>
          <w:rFonts w:ascii="Calibri" w:hAnsi="Calibri"/>
          <w:szCs w:val="22"/>
        </w:rPr>
      </w:pPr>
    </w:p>
    <w:p w:rsidR="00FE7D99" w:rsidRDefault="00FE7D99" w:rsidP="00FE7D99">
      <w:pPr>
        <w:rPr>
          <w:rFonts w:ascii="Calibri" w:hAnsi="Calibri"/>
          <w:szCs w:val="22"/>
        </w:rPr>
      </w:pPr>
      <w:r>
        <w:rPr>
          <w:rFonts w:ascii="Calibri" w:hAnsi="Calibri"/>
          <w:szCs w:val="22"/>
        </w:rPr>
        <w:t xml:space="preserve">The most common specific issues were: </w:t>
      </w:r>
    </w:p>
    <w:p w:rsidR="00FE7D99" w:rsidRPr="00064B53" w:rsidRDefault="00FE7D99" w:rsidP="00FE7D99">
      <w:pPr>
        <w:pStyle w:val="ListParagraph"/>
        <w:numPr>
          <w:ilvl w:val="0"/>
          <w:numId w:val="22"/>
        </w:numPr>
        <w:rPr>
          <w:lang w:eastAsia="en-NZ" w:bidi="ar-SA"/>
        </w:rPr>
      </w:pPr>
      <w:r w:rsidRPr="00064B53">
        <w:rPr>
          <w:rFonts w:ascii="Calibri" w:hAnsi="Calibri"/>
          <w:szCs w:val="22"/>
        </w:rPr>
        <w:t>Inadequate/i</w:t>
      </w:r>
      <w:r>
        <w:rPr>
          <w:rFonts w:ascii="Calibri" w:hAnsi="Calibri"/>
          <w:szCs w:val="22"/>
        </w:rPr>
        <w:t>nappropriate clinical treatment</w:t>
      </w:r>
      <w:r w:rsidR="002E658C">
        <w:rPr>
          <w:rFonts w:ascii="Calibri" w:hAnsi="Calibri"/>
          <w:szCs w:val="22"/>
        </w:rPr>
        <w:t xml:space="preserve"> (38.0</w:t>
      </w:r>
      <w:r w:rsidRPr="00064B53">
        <w:rPr>
          <w:rFonts w:ascii="Calibri" w:hAnsi="Calibri"/>
          <w:szCs w:val="22"/>
        </w:rPr>
        <w:t xml:space="preserve">%) </w:t>
      </w:r>
    </w:p>
    <w:p w:rsidR="00FE7D99" w:rsidRPr="00064B53" w:rsidRDefault="00FE7D99" w:rsidP="00FE7D99">
      <w:pPr>
        <w:pStyle w:val="ListParagraph"/>
        <w:numPr>
          <w:ilvl w:val="0"/>
          <w:numId w:val="22"/>
        </w:numPr>
        <w:rPr>
          <w:lang w:eastAsia="en-NZ" w:bidi="ar-SA"/>
        </w:rPr>
      </w:pPr>
      <w:r>
        <w:rPr>
          <w:rFonts w:ascii="Calibri" w:hAnsi="Calibri"/>
          <w:szCs w:val="22"/>
        </w:rPr>
        <w:t>F</w:t>
      </w:r>
      <w:r w:rsidRPr="00064B53">
        <w:rPr>
          <w:rFonts w:ascii="Calibri" w:hAnsi="Calibri"/>
          <w:szCs w:val="22"/>
        </w:rPr>
        <w:t>ailure to communicate effectively with consumer (</w:t>
      </w:r>
      <w:r w:rsidR="002E658C">
        <w:rPr>
          <w:rFonts w:ascii="Calibri" w:hAnsi="Calibri"/>
          <w:szCs w:val="22"/>
        </w:rPr>
        <w:t>37.1</w:t>
      </w:r>
      <w:r>
        <w:rPr>
          <w:rFonts w:ascii="Calibri" w:hAnsi="Calibri"/>
          <w:szCs w:val="22"/>
        </w:rPr>
        <w:t xml:space="preserve">%) </w:t>
      </w:r>
    </w:p>
    <w:p w:rsidR="00FE7D99" w:rsidRPr="00064B53" w:rsidRDefault="00FE7D99" w:rsidP="00FE7D99">
      <w:pPr>
        <w:pStyle w:val="ListParagraph"/>
        <w:numPr>
          <w:ilvl w:val="0"/>
          <w:numId w:val="22"/>
        </w:numPr>
        <w:rPr>
          <w:lang w:eastAsia="en-NZ" w:bidi="ar-SA"/>
        </w:rPr>
      </w:pPr>
      <w:r>
        <w:rPr>
          <w:rFonts w:ascii="Calibri" w:hAnsi="Calibri"/>
          <w:szCs w:val="22"/>
        </w:rPr>
        <w:t>I</w:t>
      </w:r>
      <w:r w:rsidRPr="00064B53">
        <w:rPr>
          <w:rFonts w:ascii="Calibri" w:hAnsi="Calibri"/>
          <w:szCs w:val="22"/>
        </w:rPr>
        <w:t>nadequate/inappropriate examination/ a</w:t>
      </w:r>
      <w:r w:rsidR="002E658C">
        <w:rPr>
          <w:rFonts w:ascii="Calibri" w:hAnsi="Calibri"/>
          <w:szCs w:val="22"/>
        </w:rPr>
        <w:t>ssessment (26.4</w:t>
      </w:r>
      <w:r>
        <w:rPr>
          <w:rFonts w:ascii="Calibri" w:hAnsi="Calibri"/>
          <w:szCs w:val="22"/>
        </w:rPr>
        <w:t>%)</w:t>
      </w:r>
    </w:p>
    <w:p w:rsidR="00FE7D99" w:rsidRPr="00064B53" w:rsidRDefault="00FE7D99" w:rsidP="00FE7D99">
      <w:pPr>
        <w:pStyle w:val="ListParagraph"/>
        <w:numPr>
          <w:ilvl w:val="0"/>
          <w:numId w:val="22"/>
        </w:numPr>
        <w:rPr>
          <w:lang w:eastAsia="en-NZ" w:bidi="ar-SA"/>
        </w:rPr>
      </w:pPr>
      <w:r>
        <w:rPr>
          <w:rFonts w:ascii="Calibri" w:hAnsi="Calibri"/>
          <w:szCs w:val="22"/>
        </w:rPr>
        <w:t>F</w:t>
      </w:r>
      <w:r w:rsidRPr="00064B53">
        <w:rPr>
          <w:rFonts w:ascii="Calibri" w:hAnsi="Calibri"/>
          <w:szCs w:val="22"/>
        </w:rPr>
        <w:t>ailure to communicate e</w:t>
      </w:r>
      <w:r w:rsidR="008565E0">
        <w:rPr>
          <w:rFonts w:ascii="Calibri" w:hAnsi="Calibri"/>
          <w:szCs w:val="22"/>
        </w:rPr>
        <w:t xml:space="preserve">ffectively with family </w:t>
      </w:r>
      <w:r w:rsidR="002E658C">
        <w:rPr>
          <w:rFonts w:ascii="Calibri" w:hAnsi="Calibri"/>
          <w:szCs w:val="22"/>
        </w:rPr>
        <w:t>(22.9</w:t>
      </w:r>
      <w:r>
        <w:rPr>
          <w:rFonts w:ascii="Calibri" w:hAnsi="Calibri"/>
          <w:szCs w:val="22"/>
        </w:rPr>
        <w:t xml:space="preserve">%) </w:t>
      </w:r>
    </w:p>
    <w:p w:rsidR="00FE7D99" w:rsidRPr="00064B53" w:rsidRDefault="00FE7D99" w:rsidP="00FE7D99">
      <w:pPr>
        <w:pStyle w:val="ListParagraph"/>
        <w:numPr>
          <w:ilvl w:val="0"/>
          <w:numId w:val="22"/>
        </w:numPr>
        <w:rPr>
          <w:lang w:eastAsia="en-NZ" w:bidi="ar-SA"/>
        </w:rPr>
      </w:pPr>
      <w:r>
        <w:rPr>
          <w:rFonts w:ascii="Calibri" w:hAnsi="Calibri"/>
          <w:szCs w:val="22"/>
        </w:rPr>
        <w:t>M</w:t>
      </w:r>
      <w:r w:rsidRPr="00064B53">
        <w:rPr>
          <w:rFonts w:ascii="Calibri" w:hAnsi="Calibri"/>
          <w:szCs w:val="22"/>
        </w:rPr>
        <w:t>issed/incorrect/delay</w:t>
      </w:r>
      <w:r w:rsidR="008565E0">
        <w:rPr>
          <w:rFonts w:ascii="Calibri" w:hAnsi="Calibri"/>
          <w:szCs w:val="22"/>
        </w:rPr>
        <w:t>ed diagnosis</w:t>
      </w:r>
      <w:r w:rsidR="002E658C">
        <w:rPr>
          <w:rFonts w:ascii="Calibri" w:hAnsi="Calibri"/>
          <w:szCs w:val="22"/>
        </w:rPr>
        <w:t xml:space="preserve"> (20.9</w:t>
      </w:r>
      <w:r>
        <w:rPr>
          <w:rFonts w:ascii="Calibri" w:hAnsi="Calibri"/>
          <w:szCs w:val="22"/>
        </w:rPr>
        <w:t>%)</w:t>
      </w:r>
      <w:r w:rsidRPr="00064B53">
        <w:rPr>
          <w:rFonts w:ascii="Calibri" w:hAnsi="Calibri"/>
          <w:szCs w:val="22"/>
        </w:rPr>
        <w:t xml:space="preserve">   </w:t>
      </w:r>
    </w:p>
    <w:p w:rsidR="00FE7D99" w:rsidRPr="00064B53" w:rsidRDefault="00FE7D99" w:rsidP="00FE7D99">
      <w:pPr>
        <w:pStyle w:val="ListParagraph"/>
        <w:numPr>
          <w:ilvl w:val="0"/>
          <w:numId w:val="22"/>
        </w:numPr>
        <w:rPr>
          <w:lang w:eastAsia="en-NZ" w:bidi="ar-SA"/>
        </w:rPr>
      </w:pPr>
      <w:r>
        <w:rPr>
          <w:rFonts w:ascii="Calibri" w:hAnsi="Calibri"/>
          <w:szCs w:val="22"/>
        </w:rPr>
        <w:t>D</w:t>
      </w:r>
      <w:r w:rsidR="008565E0">
        <w:rPr>
          <w:rFonts w:ascii="Calibri" w:hAnsi="Calibri"/>
          <w:szCs w:val="22"/>
        </w:rPr>
        <w:t>elay in treatment</w:t>
      </w:r>
      <w:r w:rsidR="002E658C">
        <w:rPr>
          <w:rFonts w:ascii="Calibri" w:hAnsi="Calibri"/>
          <w:szCs w:val="22"/>
        </w:rPr>
        <w:t xml:space="preserve"> (19.1</w:t>
      </w:r>
      <w:r>
        <w:rPr>
          <w:rFonts w:ascii="Calibri" w:hAnsi="Calibri"/>
          <w:szCs w:val="22"/>
        </w:rPr>
        <w:t xml:space="preserve">%) </w:t>
      </w:r>
    </w:p>
    <w:p w:rsidR="00FE7D99" w:rsidRPr="00064B53" w:rsidRDefault="00FE7D99" w:rsidP="00FE7D99">
      <w:pPr>
        <w:pStyle w:val="ListParagraph"/>
        <w:numPr>
          <w:ilvl w:val="0"/>
          <w:numId w:val="22"/>
        </w:numPr>
        <w:rPr>
          <w:lang w:eastAsia="en-NZ" w:bidi="ar-SA"/>
        </w:rPr>
      </w:pPr>
      <w:r>
        <w:rPr>
          <w:rFonts w:ascii="Calibri" w:hAnsi="Calibri"/>
          <w:szCs w:val="22"/>
        </w:rPr>
        <w:t>U</w:t>
      </w:r>
      <w:r w:rsidRPr="00064B53">
        <w:rPr>
          <w:rFonts w:ascii="Calibri" w:hAnsi="Calibri"/>
          <w:szCs w:val="22"/>
        </w:rPr>
        <w:t>nexpe</w:t>
      </w:r>
      <w:r w:rsidR="008565E0">
        <w:rPr>
          <w:rFonts w:ascii="Calibri" w:hAnsi="Calibri"/>
          <w:szCs w:val="22"/>
        </w:rPr>
        <w:t>cted treatment outcome</w:t>
      </w:r>
      <w:r>
        <w:rPr>
          <w:rFonts w:ascii="Calibri" w:hAnsi="Calibri"/>
          <w:szCs w:val="22"/>
        </w:rPr>
        <w:t xml:space="preserve"> (17.3%)</w:t>
      </w:r>
      <w:r w:rsidRPr="00064B53">
        <w:rPr>
          <w:rFonts w:ascii="Calibri" w:hAnsi="Calibri"/>
          <w:szCs w:val="22"/>
        </w:rPr>
        <w:t xml:space="preserve">  </w:t>
      </w:r>
    </w:p>
    <w:p w:rsidR="00FE7D99" w:rsidRPr="00064B53" w:rsidRDefault="00FE7D99" w:rsidP="00FE7D99">
      <w:pPr>
        <w:pStyle w:val="ListParagraph"/>
        <w:numPr>
          <w:ilvl w:val="0"/>
          <w:numId w:val="22"/>
        </w:numPr>
        <w:rPr>
          <w:lang w:eastAsia="en-NZ" w:bidi="ar-SA"/>
        </w:rPr>
      </w:pPr>
      <w:r>
        <w:rPr>
          <w:rFonts w:ascii="Calibri" w:hAnsi="Calibri"/>
          <w:szCs w:val="22"/>
        </w:rPr>
        <w:t>D</w:t>
      </w:r>
      <w:r w:rsidRPr="00064B53">
        <w:rPr>
          <w:rFonts w:ascii="Calibri" w:hAnsi="Calibri"/>
          <w:szCs w:val="22"/>
        </w:rPr>
        <w:t>isrespectf</w:t>
      </w:r>
      <w:r>
        <w:rPr>
          <w:rFonts w:ascii="Calibri" w:hAnsi="Calibri"/>
          <w:szCs w:val="22"/>
        </w:rPr>
        <w:t>ul manner/a</w:t>
      </w:r>
      <w:r w:rsidR="008565E0">
        <w:rPr>
          <w:rFonts w:ascii="Calibri" w:hAnsi="Calibri"/>
          <w:szCs w:val="22"/>
        </w:rPr>
        <w:t xml:space="preserve">ttitude </w:t>
      </w:r>
      <w:r w:rsidR="002E658C">
        <w:rPr>
          <w:rFonts w:ascii="Calibri" w:hAnsi="Calibri"/>
          <w:szCs w:val="22"/>
        </w:rPr>
        <w:t>(15.8</w:t>
      </w:r>
      <w:r>
        <w:rPr>
          <w:rFonts w:ascii="Calibri" w:hAnsi="Calibri"/>
          <w:szCs w:val="22"/>
        </w:rPr>
        <w:t xml:space="preserve">%) </w:t>
      </w:r>
    </w:p>
    <w:p w:rsidR="00FE7D99" w:rsidRPr="00064B53" w:rsidRDefault="00FE7D99" w:rsidP="00FE7D99">
      <w:pPr>
        <w:pStyle w:val="ListParagraph"/>
        <w:numPr>
          <w:ilvl w:val="0"/>
          <w:numId w:val="22"/>
        </w:numPr>
        <w:rPr>
          <w:lang w:eastAsia="en-NZ" w:bidi="ar-SA"/>
        </w:rPr>
      </w:pPr>
      <w:r>
        <w:rPr>
          <w:rFonts w:ascii="Calibri" w:hAnsi="Calibri"/>
          <w:szCs w:val="22"/>
        </w:rPr>
        <w:t>I</w:t>
      </w:r>
      <w:r w:rsidRPr="00064B53">
        <w:rPr>
          <w:rFonts w:ascii="Calibri" w:hAnsi="Calibri"/>
          <w:szCs w:val="22"/>
        </w:rPr>
        <w:t>nadequate coordinatio</w:t>
      </w:r>
      <w:r w:rsidR="008565E0">
        <w:rPr>
          <w:rFonts w:ascii="Calibri" w:hAnsi="Calibri"/>
          <w:szCs w:val="22"/>
        </w:rPr>
        <w:t>n of care/treatment</w:t>
      </w:r>
      <w:r w:rsidR="002E658C">
        <w:rPr>
          <w:rFonts w:ascii="Calibri" w:hAnsi="Calibri"/>
          <w:szCs w:val="22"/>
        </w:rPr>
        <w:t xml:space="preserve"> (15.8</w:t>
      </w:r>
      <w:r>
        <w:rPr>
          <w:rFonts w:ascii="Calibri" w:hAnsi="Calibri"/>
          <w:szCs w:val="22"/>
        </w:rPr>
        <w:t>%)</w:t>
      </w:r>
      <w:r w:rsidRPr="00064B53">
        <w:rPr>
          <w:rFonts w:ascii="Calibri" w:hAnsi="Calibri"/>
          <w:szCs w:val="22"/>
        </w:rPr>
        <w:t xml:space="preserve"> </w:t>
      </w:r>
    </w:p>
    <w:p w:rsidR="00FE7D99" w:rsidRPr="00064B53" w:rsidRDefault="00FE7D99" w:rsidP="00FE7D99">
      <w:pPr>
        <w:pStyle w:val="ListParagraph"/>
        <w:numPr>
          <w:ilvl w:val="0"/>
          <w:numId w:val="22"/>
        </w:numPr>
        <w:rPr>
          <w:lang w:eastAsia="en-NZ" w:bidi="ar-SA"/>
        </w:rPr>
      </w:pPr>
      <w:r>
        <w:rPr>
          <w:rFonts w:ascii="Calibri" w:hAnsi="Calibri"/>
          <w:szCs w:val="22"/>
        </w:rPr>
        <w:t>I</w:t>
      </w:r>
      <w:r w:rsidRPr="00064B53">
        <w:rPr>
          <w:rFonts w:ascii="Calibri" w:hAnsi="Calibri"/>
          <w:szCs w:val="22"/>
        </w:rPr>
        <w:t xml:space="preserve">nadequate response to the </w:t>
      </w:r>
      <w:r w:rsidR="008565E0">
        <w:rPr>
          <w:rFonts w:ascii="Calibri" w:hAnsi="Calibri"/>
          <w:szCs w:val="22"/>
        </w:rPr>
        <w:t>consumer’s complaint by the DHB</w:t>
      </w:r>
      <w:r w:rsidR="002E658C">
        <w:rPr>
          <w:rFonts w:ascii="Calibri" w:hAnsi="Calibri"/>
          <w:szCs w:val="22"/>
        </w:rPr>
        <w:t xml:space="preserve"> (15.1</w:t>
      </w:r>
      <w:r w:rsidRPr="00064B53">
        <w:rPr>
          <w:rFonts w:ascii="Calibri" w:hAnsi="Calibri"/>
          <w:szCs w:val="22"/>
        </w:rPr>
        <w:t>%)</w:t>
      </w:r>
    </w:p>
    <w:p w:rsidR="00FE7D99" w:rsidRDefault="00FE7D99" w:rsidP="00FE7D99">
      <w:pPr>
        <w:rPr>
          <w:rFonts w:ascii="Calibri" w:hAnsi="Calibri"/>
          <w:szCs w:val="22"/>
        </w:rPr>
      </w:pPr>
    </w:p>
    <w:p w:rsidR="00FE7D99" w:rsidRDefault="00FE7D99" w:rsidP="00FE7D99">
      <w:pPr>
        <w:rPr>
          <w:lang w:eastAsia="en-NZ" w:bidi="ar-SA"/>
        </w:rPr>
      </w:pPr>
      <w:r>
        <w:rPr>
          <w:rFonts w:ascii="Calibri" w:hAnsi="Calibri"/>
          <w:szCs w:val="22"/>
        </w:rPr>
        <w:t>These issues are</w:t>
      </w:r>
      <w:r w:rsidRPr="00FE7D99">
        <w:rPr>
          <w:rFonts w:ascii="Calibri" w:hAnsi="Calibri"/>
          <w:szCs w:val="22"/>
        </w:rPr>
        <w:t xml:space="preserve"> broadly similar to what was seen last period.</w:t>
      </w:r>
    </w:p>
    <w:p w:rsidR="00FE7D99" w:rsidRDefault="00FE7D99" w:rsidP="00FE7D99">
      <w:pPr>
        <w:rPr>
          <w:rFonts w:ascii="Calibri" w:hAnsi="Calibri"/>
          <w:szCs w:val="22"/>
        </w:rPr>
      </w:pPr>
    </w:p>
    <w:p w:rsidR="00FE7D99" w:rsidRDefault="00FE7D99" w:rsidP="00FE7D99">
      <w:pPr>
        <w:rPr>
          <w:rFonts w:ascii="Calibri" w:hAnsi="Calibri"/>
          <w:szCs w:val="22"/>
        </w:rPr>
      </w:pPr>
      <w:r>
        <w:rPr>
          <w:rFonts w:ascii="Calibri" w:hAnsi="Calibri"/>
          <w:szCs w:val="22"/>
        </w:rPr>
        <w:t xml:space="preserve">Also similar to the last six-month period, many complaints involved issues with a consumer’s care/treatment, </w:t>
      </w:r>
      <w:r w:rsidR="008565E0">
        <w:rPr>
          <w:rFonts w:ascii="Calibri" w:hAnsi="Calibri"/>
          <w:szCs w:val="22"/>
        </w:rPr>
        <w:t>including:</w:t>
      </w:r>
      <w:r>
        <w:rPr>
          <w:rFonts w:ascii="Calibri" w:hAnsi="Calibri"/>
          <w:szCs w:val="22"/>
        </w:rPr>
        <w:t xml:space="preserve"> inadequate/</w:t>
      </w:r>
      <w:r w:rsidR="00E0514D">
        <w:rPr>
          <w:rFonts w:ascii="Calibri" w:hAnsi="Calibri"/>
          <w:szCs w:val="22"/>
        </w:rPr>
        <w:t xml:space="preserve"> inappropriate testing”,</w:t>
      </w:r>
      <w:r>
        <w:rPr>
          <w:rFonts w:ascii="Calibri" w:hAnsi="Calibri"/>
          <w:szCs w:val="22"/>
        </w:rPr>
        <w:t xml:space="preserve"> “inadequate/ina</w:t>
      </w:r>
      <w:r w:rsidR="00E0514D">
        <w:rPr>
          <w:rFonts w:ascii="Calibri" w:hAnsi="Calibri"/>
          <w:szCs w:val="22"/>
        </w:rPr>
        <w:t>ppropriate follow-up”</w:t>
      </w:r>
      <w:r w:rsidR="002A5A11">
        <w:rPr>
          <w:rFonts w:ascii="Calibri" w:hAnsi="Calibri"/>
          <w:szCs w:val="22"/>
        </w:rPr>
        <w:t xml:space="preserve">, </w:t>
      </w:r>
      <w:r>
        <w:rPr>
          <w:rFonts w:ascii="Calibri" w:hAnsi="Calibri"/>
          <w:szCs w:val="22"/>
        </w:rPr>
        <w:t>“inappropriate/dela</w:t>
      </w:r>
      <w:r w:rsidR="00E0514D">
        <w:rPr>
          <w:rFonts w:ascii="Calibri" w:hAnsi="Calibri"/>
          <w:szCs w:val="22"/>
        </w:rPr>
        <w:t xml:space="preserve">yed discharge/transfer” </w:t>
      </w:r>
      <w:r>
        <w:rPr>
          <w:rFonts w:ascii="Calibri" w:hAnsi="Calibri"/>
          <w:szCs w:val="22"/>
        </w:rPr>
        <w:t>and “inadequate/inapprop</w:t>
      </w:r>
      <w:r w:rsidR="00E0514D">
        <w:rPr>
          <w:rFonts w:ascii="Calibri" w:hAnsi="Calibri"/>
          <w:szCs w:val="22"/>
        </w:rPr>
        <w:t>riate non-clinical care”. These issues were each present in around 10% of complaints.</w:t>
      </w:r>
    </w:p>
    <w:p w:rsidR="00BF6ABB" w:rsidRDefault="00BF6ABB" w:rsidP="00D86226"/>
    <w:p w:rsidR="00D86226" w:rsidRDefault="00D86226" w:rsidP="00D86226">
      <w:pPr>
        <w:pStyle w:val="Heading3"/>
        <w:keepNext w:val="0"/>
        <w:widowControl w:val="0"/>
        <w:jc w:val="left"/>
        <w:rPr>
          <w:rFonts w:ascii="Calibri" w:hAnsi="Calibri"/>
          <w:b/>
          <w:vanish/>
          <w:szCs w:val="22"/>
        </w:rPr>
      </w:pPr>
    </w:p>
    <w:p w:rsidR="00D86226" w:rsidRDefault="00D86226" w:rsidP="00D86226">
      <w:pPr>
        <w:pStyle w:val="Heading3"/>
        <w:keepNext w:val="0"/>
        <w:widowControl w:val="0"/>
        <w:jc w:val="left"/>
      </w:pPr>
      <w:r>
        <w:rPr>
          <w:rFonts w:ascii="Calibri" w:hAnsi="Calibri"/>
          <w:b/>
          <w:vanish/>
          <w:szCs w:val="22"/>
          <w:highlight w:val="yellow"/>
        </w:rPr>
        <w:t>nappropriate/unlawful to ommon primary issues were inadequate/inappropriate treatment and missed/incorrect/delayed diagnosis</w:t>
      </w:r>
      <w:bookmarkStart w:id="83" w:name="_Toc426462635"/>
      <w:bookmarkStart w:id="84" w:name="_Toc443992230"/>
      <w:bookmarkStart w:id="85" w:name="_Toc445910054"/>
      <w:bookmarkStart w:id="86" w:name="_Toc447291338"/>
      <w:bookmarkStart w:id="87" w:name="_Toc447291476"/>
      <w:bookmarkStart w:id="88" w:name="_Toc447527533"/>
      <w:bookmarkStart w:id="89" w:name="_Toc493684131"/>
      <w:bookmarkStart w:id="90" w:name="_Toc516741377"/>
      <w:r>
        <w:t>3.3</w:t>
      </w:r>
      <w:r>
        <w:tab/>
        <w:t>Service type and primary issues</w:t>
      </w:r>
      <w:bookmarkEnd w:id="83"/>
      <w:bookmarkEnd w:id="84"/>
      <w:bookmarkEnd w:id="85"/>
      <w:bookmarkEnd w:id="86"/>
      <w:bookmarkEnd w:id="87"/>
      <w:bookmarkEnd w:id="88"/>
      <w:bookmarkEnd w:id="89"/>
      <w:bookmarkEnd w:id="90"/>
    </w:p>
    <w:p w:rsidR="00412EE0" w:rsidRDefault="00D86226" w:rsidP="00D86226">
      <w:pPr>
        <w:keepNext/>
        <w:keepLines/>
        <w:spacing w:after="240"/>
      </w:pPr>
      <w:r>
        <w:t xml:space="preserve">Table 9 shows the top three primary issues in complaints concerning the most commonly complained about service types. This is broadly similar to what was seen in the last six-month period. However, </w:t>
      </w:r>
      <w:r w:rsidR="00E76DA7">
        <w:t>compared to last period, access/prioritisation issues became more prominent for mental health services and less prominen</w:t>
      </w:r>
      <w:r w:rsidR="00327F72">
        <w:t>t for general medicine services.</w:t>
      </w:r>
    </w:p>
    <w:p w:rsidR="00D86226" w:rsidRDefault="00D86226" w:rsidP="00D86226">
      <w:pPr>
        <w:keepNext/>
        <w:keepLines/>
        <w:spacing w:after="120"/>
        <w:rPr>
          <w:szCs w:val="22"/>
        </w:rPr>
      </w:pPr>
      <w:proofErr w:type="gramStart"/>
      <w:r>
        <w:rPr>
          <w:b/>
          <w:szCs w:val="22"/>
        </w:rPr>
        <w:t>Table 9.</w:t>
      </w:r>
      <w:proofErr w:type="gramEnd"/>
      <w:r>
        <w:rPr>
          <w:b/>
          <w:szCs w:val="22"/>
        </w:rPr>
        <w:t xml:space="preserve"> </w:t>
      </w:r>
      <w:r>
        <w:rPr>
          <w:szCs w:val="22"/>
        </w:rPr>
        <w:t>Three most common primary issues in complaints by service type</w:t>
      </w:r>
    </w:p>
    <w:tbl>
      <w:tblPr>
        <w:tblW w:w="54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574"/>
        <w:gridCol w:w="1411"/>
        <w:gridCol w:w="707"/>
        <w:gridCol w:w="1411"/>
        <w:gridCol w:w="707"/>
        <w:gridCol w:w="1411"/>
        <w:gridCol w:w="566"/>
        <w:gridCol w:w="1411"/>
        <w:gridCol w:w="566"/>
      </w:tblGrid>
      <w:tr w:rsidR="00D86226" w:rsidTr="00D86226">
        <w:tc>
          <w:tcPr>
            <w:tcW w:w="960" w:type="pct"/>
            <w:gridSpan w:val="2"/>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Surgery</w:t>
            </w:r>
          </w:p>
          <w:p w:rsidR="00D86226" w:rsidRDefault="00D86226" w:rsidP="00D86226">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n=1</w:t>
            </w:r>
            <w:r w:rsidR="008E7481">
              <w:rPr>
                <w:rFonts w:ascii="Calibri" w:hAnsi="Calibri"/>
                <w:b/>
                <w:sz w:val="20"/>
                <w:szCs w:val="20"/>
              </w:rPr>
              <w:t>4</w:t>
            </w:r>
            <w:r w:rsidR="002E658C">
              <w:rPr>
                <w:rFonts w:ascii="Calibri" w:hAnsi="Calibri"/>
                <w:b/>
                <w:sz w:val="20"/>
                <w:szCs w:val="20"/>
              </w:rPr>
              <w:t>8</w:t>
            </w:r>
          </w:p>
        </w:tc>
        <w:tc>
          <w:tcPr>
            <w:tcW w:w="1045" w:type="pct"/>
            <w:gridSpan w:val="2"/>
            <w:tcBorders>
              <w:top w:val="single" w:sz="4" w:space="0" w:color="auto"/>
              <w:left w:val="single" w:sz="4" w:space="0" w:color="auto"/>
              <w:bottom w:val="single" w:sz="4" w:space="0" w:color="auto"/>
              <w:right w:val="single" w:sz="4" w:space="0" w:color="auto"/>
            </w:tcBorders>
            <w:hideMark/>
          </w:tcPr>
          <w:p w:rsidR="00D86226" w:rsidRDefault="004A2387" w:rsidP="00D86226">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Mental Health</w:t>
            </w:r>
          </w:p>
          <w:p w:rsidR="00D86226" w:rsidRDefault="004A5036" w:rsidP="00D86226">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n=</w:t>
            </w:r>
            <w:r w:rsidR="006131A6">
              <w:rPr>
                <w:rFonts w:ascii="Calibri" w:hAnsi="Calibri"/>
                <w:b/>
                <w:sz w:val="20"/>
                <w:szCs w:val="20"/>
              </w:rPr>
              <w:t>10</w:t>
            </w:r>
            <w:r w:rsidR="00874A3E">
              <w:rPr>
                <w:rFonts w:ascii="Calibri" w:hAnsi="Calibri"/>
                <w:b/>
                <w:sz w:val="20"/>
                <w:szCs w:val="20"/>
              </w:rPr>
              <w:t>0</w:t>
            </w:r>
          </w:p>
        </w:tc>
        <w:tc>
          <w:tcPr>
            <w:tcW w:w="1045" w:type="pct"/>
            <w:gridSpan w:val="2"/>
            <w:tcBorders>
              <w:top w:val="single" w:sz="4" w:space="0" w:color="auto"/>
              <w:left w:val="single" w:sz="4" w:space="0" w:color="auto"/>
              <w:bottom w:val="single" w:sz="4" w:space="0" w:color="auto"/>
              <w:right w:val="single" w:sz="4" w:space="0" w:color="auto"/>
            </w:tcBorders>
            <w:hideMark/>
          </w:tcPr>
          <w:p w:rsidR="004A5036" w:rsidRDefault="004A2387" w:rsidP="004A5036">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General medicine</w:t>
            </w:r>
          </w:p>
          <w:p w:rsidR="00D86226" w:rsidRDefault="004A5036" w:rsidP="004A5036">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n=</w:t>
            </w:r>
            <w:r w:rsidR="004A2387">
              <w:rPr>
                <w:rFonts w:ascii="Calibri" w:hAnsi="Calibri"/>
                <w:b/>
                <w:sz w:val="20"/>
                <w:szCs w:val="20"/>
              </w:rPr>
              <w:t>7</w:t>
            </w:r>
            <w:r w:rsidR="006131A6">
              <w:rPr>
                <w:rFonts w:ascii="Calibri" w:hAnsi="Calibri"/>
                <w:b/>
                <w:sz w:val="20"/>
                <w:szCs w:val="20"/>
              </w:rPr>
              <w:t>7</w:t>
            </w:r>
          </w:p>
        </w:tc>
        <w:tc>
          <w:tcPr>
            <w:tcW w:w="975" w:type="pct"/>
            <w:gridSpan w:val="2"/>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Emergency department</w:t>
            </w:r>
          </w:p>
          <w:p w:rsidR="00D86226" w:rsidRDefault="004A2387" w:rsidP="00D86226">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n=5</w:t>
            </w:r>
            <w:r w:rsidR="00E76DA7">
              <w:rPr>
                <w:rFonts w:ascii="Calibri" w:hAnsi="Calibri"/>
                <w:b/>
                <w:sz w:val="20"/>
                <w:szCs w:val="20"/>
              </w:rPr>
              <w:t>0</w:t>
            </w:r>
          </w:p>
        </w:tc>
        <w:tc>
          <w:tcPr>
            <w:tcW w:w="975" w:type="pct"/>
            <w:gridSpan w:val="2"/>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jc w:val="center"/>
              <w:rPr>
                <w:b/>
                <w:sz w:val="20"/>
                <w:szCs w:val="20"/>
              </w:rPr>
            </w:pPr>
            <w:r>
              <w:rPr>
                <w:b/>
                <w:sz w:val="20"/>
                <w:szCs w:val="20"/>
              </w:rPr>
              <w:t>Maternity</w:t>
            </w:r>
          </w:p>
          <w:p w:rsidR="00D86226" w:rsidRDefault="004A2387" w:rsidP="00D86226">
            <w:pPr>
              <w:keepNext/>
              <w:keepLines/>
              <w:jc w:val="center"/>
              <w:rPr>
                <w:b/>
                <w:sz w:val="20"/>
                <w:szCs w:val="20"/>
              </w:rPr>
            </w:pPr>
            <w:r>
              <w:rPr>
                <w:b/>
                <w:sz w:val="20"/>
                <w:szCs w:val="20"/>
              </w:rPr>
              <w:t>n=3</w:t>
            </w:r>
            <w:r w:rsidR="00E76DA7">
              <w:rPr>
                <w:b/>
                <w:sz w:val="20"/>
                <w:szCs w:val="20"/>
              </w:rPr>
              <w:t>2</w:t>
            </w:r>
          </w:p>
        </w:tc>
      </w:tr>
      <w:tr w:rsidR="004A2387" w:rsidTr="004A2387">
        <w:tc>
          <w:tcPr>
            <w:tcW w:w="677"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D86226">
            <w:pPr>
              <w:keepNext/>
              <w:keepLines/>
              <w:tabs>
                <w:tab w:val="left" w:pos="1440"/>
                <w:tab w:val="decimal" w:pos="4320"/>
              </w:tabs>
              <w:jc w:val="left"/>
              <w:outlineLvl w:val="0"/>
              <w:rPr>
                <w:rFonts w:ascii="Calibri" w:hAnsi="Calibri"/>
                <w:sz w:val="20"/>
                <w:szCs w:val="20"/>
              </w:rPr>
            </w:pPr>
            <w:r>
              <w:rPr>
                <w:rFonts w:ascii="Calibri" w:hAnsi="Calibri"/>
                <w:sz w:val="20"/>
                <w:szCs w:val="20"/>
              </w:rPr>
              <w:t>Unexpected treatment outcome</w:t>
            </w:r>
          </w:p>
        </w:tc>
        <w:tc>
          <w:tcPr>
            <w:tcW w:w="282" w:type="pct"/>
            <w:tcBorders>
              <w:top w:val="single" w:sz="4" w:space="0" w:color="auto"/>
              <w:left w:val="single" w:sz="4" w:space="0" w:color="auto"/>
              <w:bottom w:val="single" w:sz="4" w:space="0" w:color="auto"/>
              <w:right w:val="single" w:sz="4" w:space="0" w:color="auto"/>
            </w:tcBorders>
            <w:vAlign w:val="center"/>
            <w:hideMark/>
          </w:tcPr>
          <w:p w:rsidR="004A2387" w:rsidRDefault="006131A6" w:rsidP="00D86226">
            <w:pPr>
              <w:keepNext/>
              <w:keepLines/>
              <w:tabs>
                <w:tab w:val="left" w:pos="1440"/>
                <w:tab w:val="decimal" w:pos="4320"/>
              </w:tabs>
              <w:jc w:val="center"/>
              <w:outlineLvl w:val="0"/>
              <w:rPr>
                <w:rFonts w:ascii="Calibri" w:hAnsi="Calibri"/>
                <w:sz w:val="20"/>
                <w:szCs w:val="20"/>
              </w:rPr>
            </w:pPr>
            <w:r>
              <w:rPr>
                <w:rFonts w:ascii="Calibri" w:hAnsi="Calibri"/>
                <w:sz w:val="20"/>
                <w:szCs w:val="20"/>
              </w:rPr>
              <w:t>24</w:t>
            </w:r>
            <w:r w:rsidR="004A2387">
              <w:rPr>
                <w:rFonts w:ascii="Calibri" w:hAnsi="Calibri"/>
                <w:sz w:val="20"/>
                <w:szCs w:val="20"/>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Issues with involuntary admission/</w:t>
            </w:r>
          </w:p>
          <w:p w:rsidR="004A2387" w:rsidRDefault="00ED23D0"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T</w:t>
            </w:r>
            <w:r w:rsidR="004A2387">
              <w:rPr>
                <w:rFonts w:ascii="Calibri" w:hAnsi="Calibri"/>
                <w:sz w:val="20"/>
                <w:szCs w:val="20"/>
              </w:rPr>
              <w:t>reatment</w:t>
            </w:r>
          </w:p>
        </w:tc>
        <w:tc>
          <w:tcPr>
            <w:tcW w:w="349" w:type="pct"/>
            <w:tcBorders>
              <w:top w:val="single" w:sz="4" w:space="0" w:color="auto"/>
              <w:left w:val="single" w:sz="4" w:space="0" w:color="auto"/>
              <w:bottom w:val="single" w:sz="4" w:space="0" w:color="auto"/>
              <w:right w:val="single" w:sz="4" w:space="0" w:color="auto"/>
            </w:tcBorders>
            <w:vAlign w:val="center"/>
            <w:hideMark/>
          </w:tcPr>
          <w:p w:rsidR="004A2387" w:rsidRDefault="006131A6" w:rsidP="004A2387">
            <w:pPr>
              <w:keepNext/>
              <w:keepLines/>
              <w:tabs>
                <w:tab w:val="left" w:pos="1440"/>
                <w:tab w:val="decimal" w:pos="4320"/>
              </w:tabs>
              <w:jc w:val="center"/>
              <w:outlineLvl w:val="0"/>
              <w:rPr>
                <w:rFonts w:ascii="Calibri" w:hAnsi="Calibri"/>
                <w:sz w:val="20"/>
                <w:szCs w:val="20"/>
              </w:rPr>
            </w:pPr>
            <w:r>
              <w:rPr>
                <w:rFonts w:ascii="Calibri" w:hAnsi="Calibri"/>
                <w:sz w:val="20"/>
                <w:szCs w:val="20"/>
              </w:rPr>
              <w:t>18</w:t>
            </w:r>
            <w:r w:rsidR="004A2387">
              <w:rPr>
                <w:rFonts w:ascii="Calibri" w:hAnsi="Calibri"/>
                <w:sz w:val="20"/>
                <w:szCs w:val="20"/>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E76DA7" w:rsidRDefault="00E76DA7" w:rsidP="00E76DA7">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rsidR="00E76DA7" w:rsidRDefault="00E76DA7" w:rsidP="00E76DA7">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rsidR="004A2387" w:rsidRDefault="00E76DA7" w:rsidP="00E76DA7">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349" w:type="pct"/>
            <w:tcBorders>
              <w:top w:val="single" w:sz="4" w:space="0" w:color="auto"/>
              <w:left w:val="single" w:sz="4" w:space="0" w:color="auto"/>
              <w:bottom w:val="single" w:sz="4" w:space="0" w:color="auto"/>
              <w:right w:val="single" w:sz="4" w:space="0" w:color="auto"/>
            </w:tcBorders>
            <w:vAlign w:val="center"/>
            <w:hideMark/>
          </w:tcPr>
          <w:p w:rsidR="004A2387" w:rsidRDefault="00E76DA7" w:rsidP="004A5036">
            <w:pPr>
              <w:keepNext/>
              <w:keepLines/>
              <w:tabs>
                <w:tab w:val="left" w:pos="1440"/>
                <w:tab w:val="decimal" w:pos="4320"/>
              </w:tabs>
              <w:jc w:val="center"/>
              <w:outlineLvl w:val="0"/>
              <w:rPr>
                <w:rFonts w:ascii="Calibri" w:hAnsi="Calibri"/>
                <w:sz w:val="20"/>
                <w:szCs w:val="20"/>
              </w:rPr>
            </w:pPr>
            <w:r>
              <w:rPr>
                <w:rFonts w:ascii="Calibri" w:hAnsi="Calibri"/>
                <w:sz w:val="20"/>
                <w:szCs w:val="20"/>
              </w:rPr>
              <w:t>18</w:t>
            </w:r>
            <w:r w:rsidR="004A2387">
              <w:rPr>
                <w:rFonts w:ascii="Calibri" w:hAnsi="Calibri"/>
                <w:sz w:val="20"/>
                <w:szCs w:val="20"/>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D86226">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rsidR="004A2387" w:rsidRDefault="004A2387" w:rsidP="00D86226">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rsidR="004A2387" w:rsidRDefault="004A2387" w:rsidP="00D86226">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279" w:type="pct"/>
            <w:tcBorders>
              <w:top w:val="single" w:sz="4" w:space="0" w:color="auto"/>
              <w:left w:val="single" w:sz="4" w:space="0" w:color="auto"/>
              <w:bottom w:val="single" w:sz="4" w:space="0" w:color="auto"/>
              <w:right w:val="single" w:sz="4" w:space="0" w:color="auto"/>
            </w:tcBorders>
            <w:vAlign w:val="center"/>
            <w:hideMark/>
          </w:tcPr>
          <w:p w:rsidR="004A2387" w:rsidRDefault="00E76DA7" w:rsidP="00D86226">
            <w:pPr>
              <w:keepNext/>
              <w:keepLines/>
              <w:tabs>
                <w:tab w:val="left" w:pos="1440"/>
                <w:tab w:val="decimal" w:pos="4320"/>
              </w:tabs>
              <w:jc w:val="center"/>
              <w:outlineLvl w:val="0"/>
              <w:rPr>
                <w:rFonts w:ascii="Calibri" w:hAnsi="Calibri"/>
                <w:sz w:val="20"/>
                <w:szCs w:val="20"/>
              </w:rPr>
            </w:pPr>
            <w:r>
              <w:rPr>
                <w:rFonts w:ascii="Calibri" w:hAnsi="Calibri"/>
                <w:sz w:val="20"/>
                <w:szCs w:val="20"/>
              </w:rPr>
              <w:t>44</w:t>
            </w:r>
            <w:r w:rsidR="004A2387">
              <w:rPr>
                <w:rFonts w:ascii="Calibri" w:hAnsi="Calibri"/>
                <w:sz w:val="20"/>
                <w:szCs w:val="20"/>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E76DA7" w:rsidP="00D86226">
            <w:pPr>
              <w:keepNext/>
              <w:keepLines/>
              <w:jc w:val="left"/>
              <w:rPr>
                <w:sz w:val="20"/>
                <w:szCs w:val="20"/>
              </w:rPr>
            </w:pPr>
            <w:r>
              <w:rPr>
                <w:rFonts w:ascii="Calibri" w:hAnsi="Calibri"/>
                <w:sz w:val="20"/>
                <w:szCs w:val="20"/>
              </w:rPr>
              <w:t>Unexpected treatment outcome</w:t>
            </w:r>
          </w:p>
        </w:tc>
        <w:tc>
          <w:tcPr>
            <w:tcW w:w="279" w:type="pct"/>
            <w:tcBorders>
              <w:top w:val="single" w:sz="4" w:space="0" w:color="auto"/>
              <w:left w:val="single" w:sz="4" w:space="0" w:color="auto"/>
              <w:bottom w:val="single" w:sz="4" w:space="0" w:color="auto"/>
              <w:right w:val="single" w:sz="4" w:space="0" w:color="auto"/>
            </w:tcBorders>
            <w:vAlign w:val="center"/>
            <w:hideMark/>
          </w:tcPr>
          <w:p w:rsidR="004A2387" w:rsidRDefault="00E76DA7" w:rsidP="00D86226">
            <w:pPr>
              <w:keepNext/>
              <w:keepLines/>
              <w:rPr>
                <w:sz w:val="20"/>
                <w:szCs w:val="20"/>
              </w:rPr>
            </w:pPr>
            <w:r>
              <w:rPr>
                <w:sz w:val="20"/>
                <w:szCs w:val="20"/>
              </w:rPr>
              <w:t>22</w:t>
            </w:r>
            <w:r w:rsidR="004A2387">
              <w:rPr>
                <w:sz w:val="20"/>
                <w:szCs w:val="20"/>
              </w:rPr>
              <w:t>%</w:t>
            </w:r>
          </w:p>
        </w:tc>
      </w:tr>
      <w:tr w:rsidR="004A2387" w:rsidTr="004A2387">
        <w:tc>
          <w:tcPr>
            <w:tcW w:w="677" w:type="pct"/>
            <w:tcBorders>
              <w:top w:val="single" w:sz="4" w:space="0" w:color="auto"/>
              <w:left w:val="single" w:sz="4" w:space="0" w:color="auto"/>
              <w:bottom w:val="single" w:sz="4" w:space="0" w:color="auto"/>
              <w:right w:val="single" w:sz="4" w:space="0" w:color="auto"/>
            </w:tcBorders>
            <w:vAlign w:val="center"/>
            <w:hideMark/>
          </w:tcPr>
          <w:p w:rsidR="006131A6" w:rsidRDefault="006131A6" w:rsidP="006131A6">
            <w:pPr>
              <w:keepNext/>
              <w:keepLines/>
              <w:tabs>
                <w:tab w:val="left" w:pos="1440"/>
                <w:tab w:val="decimal" w:pos="4320"/>
              </w:tabs>
              <w:jc w:val="left"/>
              <w:outlineLvl w:val="0"/>
              <w:rPr>
                <w:rFonts w:ascii="Calibri" w:hAnsi="Calibri"/>
                <w:sz w:val="20"/>
                <w:szCs w:val="20"/>
              </w:rPr>
            </w:pPr>
            <w:r>
              <w:rPr>
                <w:rFonts w:ascii="Calibri" w:hAnsi="Calibri"/>
                <w:sz w:val="20"/>
                <w:szCs w:val="20"/>
              </w:rPr>
              <w:t>Waiting list/</w:t>
            </w:r>
          </w:p>
          <w:p w:rsidR="004A2387" w:rsidRDefault="006131A6" w:rsidP="006131A6">
            <w:pPr>
              <w:keepNext/>
              <w:keepLines/>
              <w:tabs>
                <w:tab w:val="left" w:pos="1440"/>
                <w:tab w:val="decimal" w:pos="4320"/>
              </w:tabs>
              <w:jc w:val="left"/>
              <w:outlineLvl w:val="0"/>
              <w:rPr>
                <w:rFonts w:ascii="Calibri" w:hAnsi="Calibri"/>
                <w:sz w:val="20"/>
                <w:szCs w:val="20"/>
              </w:rPr>
            </w:pPr>
            <w:r>
              <w:rPr>
                <w:rFonts w:ascii="Calibri" w:hAnsi="Calibri"/>
                <w:sz w:val="20"/>
                <w:szCs w:val="20"/>
              </w:rPr>
              <w:t>prioritisation issue</w:t>
            </w:r>
          </w:p>
        </w:tc>
        <w:tc>
          <w:tcPr>
            <w:tcW w:w="282" w:type="pct"/>
            <w:tcBorders>
              <w:top w:val="single" w:sz="4" w:space="0" w:color="auto"/>
              <w:left w:val="single" w:sz="4" w:space="0" w:color="auto"/>
              <w:bottom w:val="single" w:sz="4" w:space="0" w:color="auto"/>
              <w:right w:val="single" w:sz="4" w:space="0" w:color="auto"/>
            </w:tcBorders>
            <w:vAlign w:val="center"/>
            <w:hideMark/>
          </w:tcPr>
          <w:p w:rsidR="004A2387" w:rsidRDefault="006131A6" w:rsidP="00D86226">
            <w:pPr>
              <w:keepNext/>
              <w:keepLines/>
              <w:tabs>
                <w:tab w:val="left" w:pos="1440"/>
                <w:tab w:val="decimal" w:pos="4320"/>
              </w:tabs>
              <w:jc w:val="center"/>
              <w:outlineLvl w:val="0"/>
              <w:rPr>
                <w:rFonts w:ascii="Calibri" w:hAnsi="Calibri"/>
                <w:sz w:val="20"/>
                <w:szCs w:val="20"/>
              </w:rPr>
            </w:pPr>
            <w:r>
              <w:rPr>
                <w:rFonts w:ascii="Calibri" w:hAnsi="Calibri"/>
                <w:sz w:val="20"/>
                <w:szCs w:val="20"/>
              </w:rPr>
              <w:t>20</w:t>
            </w:r>
            <w:r w:rsidR="004A2387">
              <w:rPr>
                <w:rFonts w:ascii="Calibri" w:hAnsi="Calibri"/>
                <w:sz w:val="20"/>
                <w:szCs w:val="20"/>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6131A6"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Lack of access to services</w:t>
            </w:r>
          </w:p>
        </w:tc>
        <w:tc>
          <w:tcPr>
            <w:tcW w:w="349" w:type="pct"/>
            <w:tcBorders>
              <w:top w:val="single" w:sz="4" w:space="0" w:color="auto"/>
              <w:left w:val="single" w:sz="4" w:space="0" w:color="auto"/>
              <w:bottom w:val="single" w:sz="4" w:space="0" w:color="auto"/>
              <w:right w:val="single" w:sz="4" w:space="0" w:color="auto"/>
            </w:tcBorders>
            <w:vAlign w:val="center"/>
            <w:hideMark/>
          </w:tcPr>
          <w:p w:rsidR="004A2387" w:rsidRDefault="006131A6" w:rsidP="004A2387">
            <w:pPr>
              <w:keepNext/>
              <w:keepLines/>
              <w:tabs>
                <w:tab w:val="left" w:pos="1440"/>
                <w:tab w:val="decimal" w:pos="4320"/>
              </w:tabs>
              <w:jc w:val="center"/>
              <w:outlineLvl w:val="0"/>
              <w:rPr>
                <w:rFonts w:ascii="Calibri" w:hAnsi="Calibri"/>
                <w:sz w:val="20"/>
                <w:szCs w:val="20"/>
              </w:rPr>
            </w:pPr>
            <w:r>
              <w:rPr>
                <w:rFonts w:ascii="Calibri" w:hAnsi="Calibri"/>
                <w:sz w:val="20"/>
                <w:szCs w:val="20"/>
              </w:rPr>
              <w:t>11%</w:t>
            </w: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E76DA7"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Unexpected treatment outcome</w:t>
            </w:r>
          </w:p>
        </w:tc>
        <w:tc>
          <w:tcPr>
            <w:tcW w:w="349" w:type="pct"/>
            <w:tcBorders>
              <w:top w:val="single" w:sz="4" w:space="0" w:color="auto"/>
              <w:left w:val="single" w:sz="4" w:space="0" w:color="auto"/>
              <w:bottom w:val="single" w:sz="4" w:space="0" w:color="auto"/>
              <w:right w:val="single" w:sz="4" w:space="0" w:color="auto"/>
            </w:tcBorders>
            <w:vAlign w:val="center"/>
            <w:hideMark/>
          </w:tcPr>
          <w:p w:rsidR="004A2387" w:rsidRDefault="00E76DA7" w:rsidP="004A5036">
            <w:pPr>
              <w:keepNext/>
              <w:keepLines/>
              <w:tabs>
                <w:tab w:val="left" w:pos="1440"/>
                <w:tab w:val="decimal" w:pos="4320"/>
              </w:tabs>
              <w:jc w:val="center"/>
              <w:outlineLvl w:val="0"/>
              <w:rPr>
                <w:rFonts w:ascii="Calibri" w:hAnsi="Calibri"/>
                <w:sz w:val="20"/>
                <w:szCs w:val="20"/>
              </w:rPr>
            </w:pPr>
            <w:r>
              <w:rPr>
                <w:rFonts w:ascii="Calibri" w:hAnsi="Calibri"/>
                <w:sz w:val="20"/>
                <w:szCs w:val="20"/>
              </w:rPr>
              <w:t>10</w:t>
            </w:r>
            <w:r w:rsidR="004A2387">
              <w:rPr>
                <w:rFonts w:ascii="Calibri" w:hAnsi="Calibri"/>
                <w:sz w:val="20"/>
                <w:szCs w:val="20"/>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E76DA7" w:rsidP="00D86226">
            <w:pPr>
              <w:keepNext/>
              <w:keepLines/>
              <w:tabs>
                <w:tab w:val="left" w:pos="1440"/>
                <w:tab w:val="decimal" w:pos="4320"/>
              </w:tabs>
              <w:jc w:val="left"/>
              <w:outlineLvl w:val="0"/>
              <w:rPr>
                <w:rFonts w:ascii="Calibri" w:hAnsi="Calibri"/>
                <w:sz w:val="20"/>
                <w:szCs w:val="20"/>
              </w:rPr>
            </w:pPr>
            <w:r>
              <w:rPr>
                <w:rFonts w:ascii="Calibri" w:hAnsi="Calibri"/>
                <w:sz w:val="20"/>
                <w:szCs w:val="20"/>
              </w:rPr>
              <w:t>Refusal to treat</w:t>
            </w:r>
          </w:p>
        </w:tc>
        <w:tc>
          <w:tcPr>
            <w:tcW w:w="279" w:type="pct"/>
            <w:tcBorders>
              <w:top w:val="single" w:sz="4" w:space="0" w:color="auto"/>
              <w:left w:val="single" w:sz="4" w:space="0" w:color="auto"/>
              <w:bottom w:val="single" w:sz="4" w:space="0" w:color="auto"/>
              <w:right w:val="single" w:sz="4" w:space="0" w:color="auto"/>
            </w:tcBorders>
            <w:vAlign w:val="center"/>
            <w:hideMark/>
          </w:tcPr>
          <w:p w:rsidR="004A2387" w:rsidRDefault="00E76DA7" w:rsidP="00D86226">
            <w:pPr>
              <w:keepNext/>
              <w:keepLines/>
              <w:tabs>
                <w:tab w:val="left" w:pos="1440"/>
                <w:tab w:val="decimal" w:pos="4320"/>
              </w:tabs>
              <w:jc w:val="center"/>
              <w:outlineLvl w:val="0"/>
              <w:rPr>
                <w:rFonts w:ascii="Calibri" w:hAnsi="Calibri"/>
                <w:sz w:val="20"/>
                <w:szCs w:val="20"/>
              </w:rPr>
            </w:pPr>
            <w:r>
              <w:rPr>
                <w:rFonts w:ascii="Calibri" w:hAnsi="Calibri"/>
                <w:sz w:val="20"/>
                <w:szCs w:val="20"/>
              </w:rPr>
              <w:t>18%</w:t>
            </w: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E76DA7" w:rsidP="004A2387">
            <w:pPr>
              <w:keepNext/>
              <w:keepLines/>
              <w:jc w:val="left"/>
            </w:pPr>
            <w:r>
              <w:rPr>
                <w:rFonts w:ascii="Calibri" w:hAnsi="Calibri"/>
                <w:sz w:val="20"/>
                <w:szCs w:val="20"/>
              </w:rPr>
              <w:t>Delay in treatment</w:t>
            </w:r>
          </w:p>
        </w:tc>
        <w:tc>
          <w:tcPr>
            <w:tcW w:w="279" w:type="pct"/>
            <w:tcBorders>
              <w:top w:val="single" w:sz="4" w:space="0" w:color="auto"/>
              <w:left w:val="single" w:sz="4" w:space="0" w:color="auto"/>
              <w:bottom w:val="single" w:sz="4" w:space="0" w:color="auto"/>
              <w:right w:val="single" w:sz="4" w:space="0" w:color="auto"/>
            </w:tcBorders>
            <w:vAlign w:val="center"/>
            <w:hideMark/>
          </w:tcPr>
          <w:p w:rsidR="004A2387" w:rsidRDefault="00E76DA7" w:rsidP="00D86226">
            <w:pPr>
              <w:keepNext/>
              <w:keepLines/>
              <w:rPr>
                <w:sz w:val="20"/>
                <w:szCs w:val="20"/>
              </w:rPr>
            </w:pPr>
            <w:r>
              <w:rPr>
                <w:sz w:val="20"/>
                <w:szCs w:val="20"/>
              </w:rPr>
              <w:t>9</w:t>
            </w:r>
            <w:r w:rsidR="004A2387">
              <w:rPr>
                <w:sz w:val="20"/>
                <w:szCs w:val="20"/>
              </w:rPr>
              <w:t>%</w:t>
            </w:r>
          </w:p>
        </w:tc>
      </w:tr>
      <w:tr w:rsidR="004A2387" w:rsidTr="004A2387">
        <w:tc>
          <w:tcPr>
            <w:tcW w:w="677"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rsidR="004A2387" w:rsidRDefault="004A2387"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rsidR="004A2387" w:rsidRDefault="004A2387"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282" w:type="pct"/>
            <w:tcBorders>
              <w:top w:val="single" w:sz="4" w:space="0" w:color="auto"/>
              <w:left w:val="single" w:sz="4" w:space="0" w:color="auto"/>
              <w:bottom w:val="single" w:sz="4" w:space="0" w:color="auto"/>
              <w:right w:val="single" w:sz="4" w:space="0" w:color="auto"/>
            </w:tcBorders>
            <w:vAlign w:val="center"/>
          </w:tcPr>
          <w:p w:rsidR="004A2387" w:rsidRDefault="006131A6" w:rsidP="00D86226">
            <w:pPr>
              <w:keepNext/>
              <w:keepLines/>
              <w:tabs>
                <w:tab w:val="left" w:pos="1440"/>
                <w:tab w:val="decimal" w:pos="4320"/>
              </w:tabs>
              <w:jc w:val="center"/>
              <w:outlineLvl w:val="0"/>
              <w:rPr>
                <w:rFonts w:ascii="Calibri" w:hAnsi="Calibri"/>
                <w:sz w:val="20"/>
                <w:szCs w:val="20"/>
              </w:rPr>
            </w:pPr>
            <w:r>
              <w:rPr>
                <w:rFonts w:ascii="Calibri" w:hAnsi="Calibri"/>
                <w:sz w:val="20"/>
                <w:szCs w:val="20"/>
              </w:rPr>
              <w:t>8</w:t>
            </w:r>
            <w:r w:rsidR="004A2387">
              <w:rPr>
                <w:rFonts w:ascii="Calibri" w:hAnsi="Calibri"/>
                <w:sz w:val="20"/>
                <w:szCs w:val="20"/>
              </w:rPr>
              <w:t>%</w:t>
            </w:r>
          </w:p>
          <w:p w:rsidR="004A2387" w:rsidRDefault="004A2387" w:rsidP="00D86226">
            <w:pPr>
              <w:keepNext/>
              <w:keepLines/>
              <w:tabs>
                <w:tab w:val="left" w:pos="1440"/>
                <w:tab w:val="decimal" w:pos="4320"/>
              </w:tabs>
              <w:jc w:val="center"/>
              <w:outlineLvl w:val="0"/>
              <w:rPr>
                <w:rFonts w:ascii="Calibri" w:hAnsi="Calibri"/>
                <w:sz w:val="20"/>
                <w:szCs w:val="20"/>
              </w:rPr>
            </w:pPr>
          </w:p>
        </w:tc>
        <w:tc>
          <w:tcPr>
            <w:tcW w:w="696" w:type="pct"/>
            <w:tcBorders>
              <w:top w:val="single" w:sz="4" w:space="0" w:color="auto"/>
              <w:left w:val="single" w:sz="4" w:space="0" w:color="auto"/>
              <w:bottom w:val="single" w:sz="4" w:space="0" w:color="auto"/>
              <w:right w:val="single" w:sz="4" w:space="0" w:color="auto"/>
            </w:tcBorders>
            <w:vAlign w:val="center"/>
            <w:hideMark/>
          </w:tcPr>
          <w:p w:rsidR="006131A6" w:rsidRDefault="006131A6" w:rsidP="006131A6">
            <w:pPr>
              <w:keepNext/>
              <w:keepLines/>
              <w:tabs>
                <w:tab w:val="left" w:pos="1440"/>
                <w:tab w:val="decimal" w:pos="4320"/>
              </w:tabs>
              <w:jc w:val="left"/>
              <w:outlineLvl w:val="0"/>
              <w:rPr>
                <w:rFonts w:ascii="Calibri" w:hAnsi="Calibri"/>
                <w:sz w:val="20"/>
                <w:szCs w:val="20"/>
              </w:rPr>
            </w:pPr>
            <w:r>
              <w:rPr>
                <w:rFonts w:ascii="Calibri" w:hAnsi="Calibri"/>
                <w:sz w:val="20"/>
                <w:szCs w:val="20"/>
              </w:rPr>
              <w:t>Waiting list/</w:t>
            </w:r>
          </w:p>
          <w:p w:rsidR="004A2387" w:rsidRDefault="006131A6" w:rsidP="006131A6">
            <w:pPr>
              <w:keepNext/>
              <w:keepLines/>
              <w:tabs>
                <w:tab w:val="left" w:pos="1440"/>
                <w:tab w:val="decimal" w:pos="4320"/>
              </w:tabs>
              <w:jc w:val="left"/>
              <w:outlineLvl w:val="0"/>
              <w:rPr>
                <w:rFonts w:ascii="Calibri" w:hAnsi="Calibri"/>
                <w:sz w:val="20"/>
                <w:szCs w:val="20"/>
              </w:rPr>
            </w:pPr>
            <w:r>
              <w:rPr>
                <w:rFonts w:ascii="Calibri" w:hAnsi="Calibri"/>
                <w:sz w:val="20"/>
                <w:szCs w:val="20"/>
              </w:rPr>
              <w:t>prioritisation issue</w:t>
            </w:r>
          </w:p>
        </w:tc>
        <w:tc>
          <w:tcPr>
            <w:tcW w:w="349" w:type="pct"/>
            <w:tcBorders>
              <w:top w:val="single" w:sz="4" w:space="0" w:color="auto"/>
              <w:left w:val="single" w:sz="4" w:space="0" w:color="auto"/>
              <w:bottom w:val="single" w:sz="4" w:space="0" w:color="auto"/>
              <w:right w:val="single" w:sz="4" w:space="0" w:color="auto"/>
            </w:tcBorders>
            <w:vAlign w:val="center"/>
          </w:tcPr>
          <w:p w:rsidR="004A2387" w:rsidRDefault="006131A6" w:rsidP="004A2387">
            <w:pPr>
              <w:keepNext/>
              <w:keepLines/>
              <w:tabs>
                <w:tab w:val="left" w:pos="1440"/>
                <w:tab w:val="decimal" w:pos="4320"/>
              </w:tabs>
              <w:jc w:val="center"/>
              <w:outlineLvl w:val="0"/>
              <w:rPr>
                <w:rFonts w:ascii="Calibri" w:hAnsi="Calibri"/>
                <w:sz w:val="20"/>
                <w:szCs w:val="20"/>
              </w:rPr>
            </w:pPr>
            <w:r>
              <w:rPr>
                <w:rFonts w:ascii="Calibri" w:hAnsi="Calibri"/>
                <w:sz w:val="20"/>
                <w:szCs w:val="20"/>
              </w:rPr>
              <w:t>8</w:t>
            </w:r>
            <w:r w:rsidR="004A2387">
              <w:rPr>
                <w:rFonts w:ascii="Calibri" w:hAnsi="Calibri"/>
                <w:sz w:val="20"/>
                <w:szCs w:val="20"/>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4A5036">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rsidR="004A2387" w:rsidRDefault="004A2387" w:rsidP="004A5036">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w:t>
            </w:r>
          </w:p>
          <w:p w:rsidR="004A2387" w:rsidRDefault="00E76DA7" w:rsidP="004A5036">
            <w:pPr>
              <w:keepNext/>
              <w:keepLines/>
              <w:tabs>
                <w:tab w:val="left" w:pos="1440"/>
                <w:tab w:val="decimal" w:pos="4320"/>
              </w:tabs>
              <w:jc w:val="left"/>
              <w:outlineLvl w:val="0"/>
              <w:rPr>
                <w:rFonts w:ascii="Calibri" w:hAnsi="Calibri"/>
                <w:sz w:val="20"/>
                <w:szCs w:val="20"/>
              </w:rPr>
            </w:pPr>
            <w:r>
              <w:rPr>
                <w:rFonts w:ascii="Calibri" w:hAnsi="Calibri"/>
                <w:sz w:val="20"/>
                <w:szCs w:val="20"/>
              </w:rPr>
              <w:t>treatment</w:t>
            </w:r>
          </w:p>
        </w:tc>
        <w:tc>
          <w:tcPr>
            <w:tcW w:w="349" w:type="pct"/>
            <w:tcBorders>
              <w:top w:val="single" w:sz="4" w:space="0" w:color="auto"/>
              <w:left w:val="single" w:sz="4" w:space="0" w:color="auto"/>
              <w:bottom w:val="single" w:sz="4" w:space="0" w:color="auto"/>
              <w:right w:val="single" w:sz="4" w:space="0" w:color="auto"/>
            </w:tcBorders>
            <w:vAlign w:val="center"/>
          </w:tcPr>
          <w:p w:rsidR="004A2387" w:rsidRDefault="004A2387" w:rsidP="004A5036">
            <w:pPr>
              <w:keepNext/>
              <w:keepLines/>
              <w:tabs>
                <w:tab w:val="left" w:pos="1440"/>
                <w:tab w:val="decimal" w:pos="4320"/>
              </w:tabs>
              <w:jc w:val="center"/>
              <w:outlineLvl w:val="0"/>
              <w:rPr>
                <w:rFonts w:ascii="Calibri" w:hAnsi="Calibri"/>
                <w:sz w:val="20"/>
                <w:szCs w:val="20"/>
              </w:rPr>
            </w:pPr>
            <w:r>
              <w:rPr>
                <w:rFonts w:ascii="Calibri" w:hAnsi="Calibri"/>
                <w:sz w:val="20"/>
                <w:szCs w:val="20"/>
              </w:rPr>
              <w:t>8%</w:t>
            </w:r>
          </w:p>
          <w:p w:rsidR="004A2387" w:rsidRDefault="004A2387" w:rsidP="004A5036">
            <w:pPr>
              <w:keepNext/>
              <w:keepLines/>
              <w:tabs>
                <w:tab w:val="left" w:pos="1440"/>
                <w:tab w:val="decimal" w:pos="4320"/>
              </w:tabs>
              <w:jc w:val="center"/>
              <w:outlineLvl w:val="0"/>
              <w:rPr>
                <w:rFonts w:ascii="Calibri" w:hAnsi="Calibri"/>
                <w:sz w:val="20"/>
                <w:szCs w:val="20"/>
              </w:rPr>
            </w:pP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D86226">
            <w:pPr>
              <w:keepNext/>
              <w:keepLines/>
              <w:tabs>
                <w:tab w:val="left" w:pos="1440"/>
                <w:tab w:val="decimal" w:pos="4320"/>
              </w:tabs>
              <w:jc w:val="left"/>
              <w:outlineLvl w:val="0"/>
              <w:rPr>
                <w:rFonts w:ascii="Calibri" w:hAnsi="Calibri"/>
                <w:sz w:val="20"/>
                <w:szCs w:val="20"/>
              </w:rPr>
            </w:pPr>
            <w:r>
              <w:rPr>
                <w:rFonts w:ascii="Calibri" w:hAnsi="Calibri"/>
                <w:sz w:val="20"/>
                <w:szCs w:val="20"/>
              </w:rPr>
              <w:t>Waiting list/</w:t>
            </w:r>
          </w:p>
          <w:p w:rsidR="004A2387" w:rsidRDefault="004A2387" w:rsidP="00D86226">
            <w:pPr>
              <w:keepNext/>
              <w:keepLines/>
              <w:tabs>
                <w:tab w:val="left" w:pos="1440"/>
                <w:tab w:val="decimal" w:pos="4320"/>
              </w:tabs>
              <w:jc w:val="left"/>
              <w:outlineLvl w:val="0"/>
              <w:rPr>
                <w:rFonts w:ascii="Calibri" w:hAnsi="Calibri"/>
                <w:sz w:val="20"/>
                <w:szCs w:val="20"/>
              </w:rPr>
            </w:pPr>
            <w:r>
              <w:rPr>
                <w:rFonts w:ascii="Calibri" w:hAnsi="Calibri"/>
                <w:sz w:val="20"/>
                <w:szCs w:val="20"/>
              </w:rPr>
              <w:t>prioritisation issue</w:t>
            </w:r>
          </w:p>
        </w:tc>
        <w:tc>
          <w:tcPr>
            <w:tcW w:w="279" w:type="pct"/>
            <w:tcBorders>
              <w:top w:val="single" w:sz="4" w:space="0" w:color="auto"/>
              <w:left w:val="single" w:sz="4" w:space="0" w:color="auto"/>
              <w:bottom w:val="single" w:sz="4" w:space="0" w:color="auto"/>
              <w:right w:val="single" w:sz="4" w:space="0" w:color="auto"/>
            </w:tcBorders>
            <w:vAlign w:val="center"/>
            <w:hideMark/>
          </w:tcPr>
          <w:p w:rsidR="004A2387" w:rsidRDefault="00E76DA7" w:rsidP="00D86226">
            <w:pPr>
              <w:keepNext/>
              <w:keepLines/>
              <w:tabs>
                <w:tab w:val="left" w:pos="1440"/>
                <w:tab w:val="decimal" w:pos="4320"/>
              </w:tabs>
              <w:jc w:val="center"/>
              <w:outlineLvl w:val="0"/>
              <w:rPr>
                <w:rFonts w:ascii="Calibri" w:hAnsi="Calibri"/>
                <w:sz w:val="20"/>
                <w:szCs w:val="20"/>
              </w:rPr>
            </w:pPr>
            <w:r>
              <w:rPr>
                <w:rFonts w:ascii="Calibri" w:hAnsi="Calibri"/>
                <w:sz w:val="20"/>
                <w:szCs w:val="20"/>
              </w:rPr>
              <w:t>6</w:t>
            </w:r>
            <w:r w:rsidR="004A2387">
              <w:rPr>
                <w:rFonts w:ascii="Calibri" w:hAnsi="Calibri"/>
                <w:sz w:val="20"/>
                <w:szCs w:val="20"/>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E76DA7" w:rsidRDefault="00E76DA7" w:rsidP="00E76DA7">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rsidR="00E76DA7" w:rsidRDefault="00E76DA7" w:rsidP="00E76DA7">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w:t>
            </w:r>
          </w:p>
          <w:p w:rsidR="004A2387" w:rsidRDefault="00E76DA7" w:rsidP="00E76DA7">
            <w:pPr>
              <w:keepNext/>
              <w:keepLines/>
              <w:tabs>
                <w:tab w:val="left" w:pos="1440"/>
                <w:tab w:val="decimal" w:pos="4320"/>
              </w:tabs>
              <w:jc w:val="left"/>
              <w:outlineLvl w:val="0"/>
            </w:pPr>
            <w:r>
              <w:rPr>
                <w:rFonts w:ascii="Calibri" w:hAnsi="Calibri"/>
                <w:sz w:val="20"/>
                <w:szCs w:val="20"/>
              </w:rPr>
              <w:t>treatment</w:t>
            </w:r>
          </w:p>
        </w:tc>
        <w:tc>
          <w:tcPr>
            <w:tcW w:w="279" w:type="pct"/>
            <w:tcBorders>
              <w:top w:val="single" w:sz="4" w:space="0" w:color="auto"/>
              <w:left w:val="single" w:sz="4" w:space="0" w:color="auto"/>
              <w:bottom w:val="single" w:sz="4" w:space="0" w:color="auto"/>
              <w:right w:val="single" w:sz="4" w:space="0" w:color="auto"/>
            </w:tcBorders>
            <w:vAlign w:val="center"/>
            <w:hideMark/>
          </w:tcPr>
          <w:p w:rsidR="004A2387" w:rsidRDefault="00E76DA7" w:rsidP="00D86226">
            <w:pPr>
              <w:keepNext/>
              <w:keepLines/>
              <w:rPr>
                <w:sz w:val="20"/>
                <w:szCs w:val="20"/>
              </w:rPr>
            </w:pPr>
            <w:r>
              <w:rPr>
                <w:sz w:val="20"/>
                <w:szCs w:val="20"/>
              </w:rPr>
              <w:t>9</w:t>
            </w:r>
            <w:r w:rsidR="004A2387">
              <w:rPr>
                <w:sz w:val="20"/>
                <w:szCs w:val="20"/>
              </w:rPr>
              <w:t>%</w:t>
            </w:r>
          </w:p>
        </w:tc>
      </w:tr>
    </w:tbl>
    <w:p w:rsidR="00D86226" w:rsidRDefault="00D86226" w:rsidP="00D86226"/>
    <w:p w:rsidR="00D86226" w:rsidRDefault="00D86226" w:rsidP="00D86226"/>
    <w:p w:rsidR="00C23C48" w:rsidRDefault="00C23C48" w:rsidP="00D86226">
      <w:pPr>
        <w:pStyle w:val="Heading2"/>
        <w:spacing w:before="360"/>
      </w:pPr>
      <w:r>
        <w:br w:type="page"/>
      </w:r>
    </w:p>
    <w:p w:rsidR="00D86226" w:rsidRDefault="00D86226" w:rsidP="00D86226">
      <w:pPr>
        <w:pStyle w:val="Heading2"/>
        <w:spacing w:before="360"/>
        <w:rPr>
          <w:lang w:val="en-NZ"/>
        </w:rPr>
      </w:pPr>
      <w:bookmarkStart w:id="91" w:name="_Toc443992231"/>
      <w:bookmarkStart w:id="92" w:name="_Toc493684132"/>
      <w:bookmarkStart w:id="93" w:name="_Toc516741378"/>
      <w:r>
        <w:rPr>
          <w:lang w:val="en-NZ"/>
        </w:rPr>
        <w:lastRenderedPageBreak/>
        <w:t>4.0</w:t>
      </w:r>
      <w:r>
        <w:rPr>
          <w:lang w:val="en-NZ"/>
        </w:rPr>
        <w:tab/>
        <w:t>Complaints closed</w:t>
      </w:r>
      <w:bookmarkEnd w:id="91"/>
      <w:bookmarkEnd w:id="92"/>
      <w:bookmarkEnd w:id="93"/>
      <w:r>
        <w:rPr>
          <w:lang w:val="en-NZ"/>
        </w:rPr>
        <w:t xml:space="preserve"> </w:t>
      </w:r>
    </w:p>
    <w:p w:rsidR="00D86226" w:rsidRDefault="00D86226" w:rsidP="00D86226">
      <w:pPr>
        <w:pStyle w:val="Heading3"/>
      </w:pPr>
      <w:bookmarkStart w:id="94" w:name="_Toc426462637"/>
      <w:bookmarkStart w:id="95" w:name="_Toc443992232"/>
      <w:bookmarkStart w:id="96" w:name="_Toc493684133"/>
      <w:bookmarkStart w:id="97" w:name="_Toc516741379"/>
      <w:r>
        <w:t>4.1</w:t>
      </w:r>
      <w:r>
        <w:tab/>
        <w:t>Number of complaints closed</w:t>
      </w:r>
      <w:bookmarkEnd w:id="94"/>
      <w:bookmarkEnd w:id="95"/>
      <w:bookmarkEnd w:id="96"/>
      <w:bookmarkEnd w:id="97"/>
    </w:p>
    <w:p w:rsidR="00D86226" w:rsidRDefault="00D86226" w:rsidP="00D33E17">
      <w:pPr>
        <w:spacing w:after="240"/>
      </w:pPr>
      <w:r>
        <w:t xml:space="preserve">HDC closed </w:t>
      </w:r>
      <w:r w:rsidR="009F2D30">
        <w:rPr>
          <w:b/>
        </w:rPr>
        <w:t>476</w:t>
      </w:r>
      <w:r>
        <w:rPr>
          <w:rStyle w:val="FootnoteReference"/>
          <w:rFonts w:ascii="Calibri" w:hAnsi="Calibri"/>
          <w:szCs w:val="22"/>
        </w:rPr>
        <w:footnoteReference w:id="5"/>
      </w:r>
      <w:r>
        <w:rPr>
          <w:b/>
        </w:rPr>
        <w:t xml:space="preserve"> </w:t>
      </w:r>
      <w:r>
        <w:t xml:space="preserve">complaints </w:t>
      </w:r>
      <w:r w:rsidR="009F2D30">
        <w:t>involving DHBs in the period Jan–Jun 2018</w:t>
      </w:r>
      <w:r>
        <w:t>. Table 10 shows the number of complaints closed in previous six</w:t>
      </w:r>
      <w:r w:rsidR="00412EE0">
        <w:t>-</w:t>
      </w:r>
      <w:r>
        <w:t>month periods.</w:t>
      </w:r>
    </w:p>
    <w:p w:rsidR="00D86226" w:rsidRDefault="00D86226" w:rsidP="00D86226">
      <w:pPr>
        <w:spacing w:after="120"/>
      </w:pPr>
      <w:proofErr w:type="gramStart"/>
      <w:r>
        <w:rPr>
          <w:b/>
        </w:rPr>
        <w:t>Table 10.</w:t>
      </w:r>
      <w:proofErr w:type="gramEnd"/>
      <w:r>
        <w:t xml:space="preserve"> Number of complaints about DHBs closed in last five years</w:t>
      </w:r>
    </w:p>
    <w:tbl>
      <w:tblPr>
        <w:tblStyle w:val="TableGrid"/>
        <w:tblpPr w:leftFromText="180" w:rightFromText="180" w:vertAnchor="text" w:horzAnchor="margin" w:tblpX="114" w:tblpY="105"/>
        <w:tblW w:w="4900" w:type="pct"/>
        <w:tblLook w:val="04A0" w:firstRow="1" w:lastRow="0" w:firstColumn="1" w:lastColumn="0" w:noHBand="0" w:noVBand="1"/>
      </w:tblPr>
      <w:tblGrid>
        <w:gridCol w:w="1226"/>
        <w:gridCol w:w="703"/>
        <w:gridCol w:w="588"/>
        <w:gridCol w:w="698"/>
        <w:gridCol w:w="701"/>
        <w:gridCol w:w="701"/>
        <w:gridCol w:w="701"/>
        <w:gridCol w:w="703"/>
        <w:gridCol w:w="701"/>
        <w:gridCol w:w="702"/>
        <w:gridCol w:w="996"/>
        <w:gridCol w:w="692"/>
      </w:tblGrid>
      <w:tr w:rsidR="00D86226" w:rsidTr="00D86226">
        <w:tc>
          <w:tcPr>
            <w:tcW w:w="674" w:type="pct"/>
            <w:tcBorders>
              <w:top w:val="single" w:sz="4" w:space="0" w:color="auto"/>
              <w:left w:val="single" w:sz="4" w:space="0" w:color="auto"/>
              <w:bottom w:val="single" w:sz="4" w:space="0" w:color="auto"/>
              <w:right w:val="single" w:sz="4" w:space="0" w:color="auto"/>
            </w:tcBorders>
            <w:vAlign w:val="center"/>
          </w:tcPr>
          <w:p w:rsidR="00D86226" w:rsidRDefault="00D86226" w:rsidP="00D86226">
            <w:pPr>
              <w:keepNext/>
              <w:keepLines/>
              <w:jc w:val="left"/>
              <w:rPr>
                <w:rFonts w:ascii="Calibri" w:hAnsi="Calibri"/>
                <w:b/>
                <w:sz w:val="20"/>
                <w:szCs w:val="20"/>
              </w:rPr>
            </w:pPr>
          </w:p>
          <w:p w:rsidR="00D86226" w:rsidRDefault="00D86226" w:rsidP="00D86226">
            <w:pPr>
              <w:keepNext/>
              <w:keepLines/>
              <w:jc w:val="left"/>
              <w:rPr>
                <w:rFonts w:ascii="Calibri" w:hAnsi="Calibri"/>
                <w:b/>
                <w:sz w:val="20"/>
                <w:szCs w:val="20"/>
              </w:rPr>
            </w:pP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9F2D30" w:rsidP="00D86226">
            <w:pPr>
              <w:keepNext/>
              <w:keepLines/>
              <w:jc w:val="center"/>
              <w:rPr>
                <w:rFonts w:ascii="Calibri" w:hAnsi="Calibri"/>
                <w:b/>
                <w:sz w:val="20"/>
                <w:szCs w:val="20"/>
              </w:rPr>
            </w:pPr>
            <w:r>
              <w:rPr>
                <w:rFonts w:ascii="Calibri" w:hAnsi="Calibri"/>
                <w:b/>
                <w:sz w:val="20"/>
                <w:szCs w:val="20"/>
              </w:rPr>
              <w:t>Jul–Dec 13</w:t>
            </w:r>
          </w:p>
        </w:tc>
        <w:tc>
          <w:tcPr>
            <w:tcW w:w="310" w:type="pct"/>
            <w:tcBorders>
              <w:top w:val="single" w:sz="4" w:space="0" w:color="auto"/>
              <w:left w:val="single" w:sz="4" w:space="0" w:color="auto"/>
              <w:bottom w:val="single" w:sz="4" w:space="0" w:color="auto"/>
              <w:right w:val="single" w:sz="4" w:space="0" w:color="auto"/>
            </w:tcBorders>
            <w:vAlign w:val="center"/>
            <w:hideMark/>
          </w:tcPr>
          <w:p w:rsidR="00D86226" w:rsidRDefault="009F2D30" w:rsidP="00D86226">
            <w:pPr>
              <w:keepNext/>
              <w:keepLines/>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14</w:t>
            </w:r>
          </w:p>
        </w:tc>
        <w:tc>
          <w:tcPr>
            <w:tcW w:w="384" w:type="pct"/>
            <w:tcBorders>
              <w:top w:val="single" w:sz="4" w:space="0" w:color="auto"/>
              <w:left w:val="single" w:sz="4" w:space="0" w:color="auto"/>
              <w:bottom w:val="single" w:sz="4" w:space="0" w:color="auto"/>
              <w:right w:val="single" w:sz="4" w:space="0" w:color="auto"/>
            </w:tcBorders>
            <w:hideMark/>
          </w:tcPr>
          <w:p w:rsidR="00D86226" w:rsidRDefault="009F2D30" w:rsidP="00D86226">
            <w:pPr>
              <w:keepNext/>
              <w:keepLines/>
              <w:spacing w:before="180"/>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14</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9F2D30" w:rsidP="00D86226">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15</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9F2D30" w:rsidP="00D86226">
            <w:pPr>
              <w:keepNext/>
              <w:keepLines/>
              <w:spacing w:before="180"/>
              <w:jc w:val="center"/>
              <w:rPr>
                <w:rFonts w:ascii="Calibri" w:hAnsi="Calibri"/>
                <w:b/>
                <w:sz w:val="20"/>
                <w:szCs w:val="20"/>
              </w:rPr>
            </w:pPr>
            <w:r>
              <w:rPr>
                <w:rFonts w:ascii="Calibri" w:hAnsi="Calibri"/>
                <w:b/>
                <w:sz w:val="20"/>
                <w:szCs w:val="20"/>
              </w:rPr>
              <w:t>Jul–Dec</w:t>
            </w:r>
            <w:r>
              <w:rPr>
                <w:rFonts w:ascii="Calibri" w:hAnsi="Calibri"/>
                <w:b/>
                <w:sz w:val="20"/>
                <w:szCs w:val="20"/>
              </w:rPr>
              <w:br/>
              <w:t>15</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9F2D30" w:rsidP="00D86226">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16</w:t>
            </w:r>
          </w:p>
        </w:tc>
        <w:tc>
          <w:tcPr>
            <w:tcW w:w="387" w:type="pct"/>
            <w:tcBorders>
              <w:top w:val="single" w:sz="4" w:space="0" w:color="auto"/>
              <w:left w:val="single" w:sz="4" w:space="0" w:color="auto"/>
              <w:bottom w:val="single" w:sz="4" w:space="0" w:color="auto"/>
              <w:right w:val="single" w:sz="4" w:space="0" w:color="auto"/>
            </w:tcBorders>
            <w:hideMark/>
          </w:tcPr>
          <w:p w:rsidR="00D86226" w:rsidRDefault="009F2D30" w:rsidP="00D86226">
            <w:pPr>
              <w:keepNext/>
              <w:keepLines/>
              <w:spacing w:before="180"/>
              <w:jc w:val="center"/>
              <w:rPr>
                <w:rFonts w:ascii="Calibri" w:hAnsi="Calibri"/>
                <w:b/>
                <w:sz w:val="20"/>
                <w:szCs w:val="20"/>
              </w:rPr>
            </w:pPr>
            <w:r>
              <w:rPr>
                <w:rFonts w:ascii="Calibri" w:hAnsi="Calibri"/>
                <w:b/>
                <w:sz w:val="20"/>
                <w:szCs w:val="20"/>
              </w:rPr>
              <w:t>Jul–Dec</w:t>
            </w:r>
            <w:r>
              <w:rPr>
                <w:rFonts w:ascii="Calibri" w:hAnsi="Calibri"/>
                <w:b/>
                <w:sz w:val="20"/>
                <w:szCs w:val="20"/>
              </w:rPr>
              <w:br/>
              <w:t>16</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9F2D30" w:rsidP="00D86226">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17</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9F2D30" w:rsidP="00A01146">
            <w:pPr>
              <w:keepNext/>
              <w:keepLines/>
              <w:spacing w:before="180"/>
              <w:jc w:val="center"/>
              <w:rPr>
                <w:rFonts w:ascii="Calibri" w:hAnsi="Calibri"/>
                <w:b/>
                <w:sz w:val="20"/>
                <w:szCs w:val="20"/>
              </w:rPr>
            </w:pPr>
            <w:r>
              <w:rPr>
                <w:rFonts w:ascii="Calibri" w:hAnsi="Calibri"/>
                <w:b/>
                <w:sz w:val="20"/>
                <w:szCs w:val="20"/>
              </w:rPr>
              <w:t>Jul–Dec</w:t>
            </w:r>
            <w:r w:rsidR="00A01146">
              <w:rPr>
                <w:rFonts w:ascii="Calibri" w:hAnsi="Calibri"/>
                <w:b/>
                <w:sz w:val="20"/>
                <w:szCs w:val="20"/>
              </w:rPr>
              <w:br/>
              <w:t>17</w:t>
            </w:r>
          </w:p>
        </w:tc>
        <w:tc>
          <w:tcPr>
            <w:tcW w:w="547" w:type="pct"/>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spacing w:before="120"/>
              <w:jc w:val="center"/>
              <w:rPr>
                <w:rFonts w:ascii="Calibri" w:hAnsi="Calibri"/>
                <w:b/>
                <w:sz w:val="20"/>
                <w:szCs w:val="20"/>
              </w:rPr>
            </w:pPr>
            <w:r>
              <w:rPr>
                <w:rFonts w:ascii="Calibri" w:hAnsi="Calibri"/>
                <w:b/>
                <w:sz w:val="20"/>
                <w:szCs w:val="20"/>
              </w:rPr>
              <w:t xml:space="preserve">Average of last 4  </w:t>
            </w:r>
          </w:p>
          <w:p w:rsidR="00D86226" w:rsidRDefault="00D86226" w:rsidP="00D86226">
            <w:pPr>
              <w:keepNext/>
              <w:keepLines/>
              <w:jc w:val="center"/>
              <w:rPr>
                <w:rFonts w:ascii="Calibri" w:hAnsi="Calibri"/>
                <w:b/>
                <w:sz w:val="20"/>
                <w:szCs w:val="20"/>
              </w:rPr>
            </w:pPr>
            <w:r>
              <w:rPr>
                <w:rFonts w:ascii="Calibri" w:hAnsi="Calibri"/>
                <w:b/>
                <w:sz w:val="20"/>
                <w:szCs w:val="20"/>
              </w:rPr>
              <w:t>6-month periods</w:t>
            </w:r>
          </w:p>
        </w:tc>
        <w:tc>
          <w:tcPr>
            <w:tcW w:w="380" w:type="pct"/>
            <w:tcBorders>
              <w:top w:val="single" w:sz="4" w:space="0" w:color="auto"/>
              <w:left w:val="single" w:sz="4" w:space="0" w:color="auto"/>
              <w:bottom w:val="single" w:sz="4" w:space="0" w:color="auto"/>
              <w:right w:val="single" w:sz="4" w:space="0" w:color="auto"/>
            </w:tcBorders>
            <w:hideMark/>
          </w:tcPr>
          <w:p w:rsidR="00D86226" w:rsidRDefault="009F2D30" w:rsidP="00D86226">
            <w:pPr>
              <w:keepNext/>
              <w:keepLines/>
              <w:spacing w:before="180"/>
              <w:jc w:val="center"/>
              <w:rPr>
                <w:rFonts w:ascii="Calibri" w:hAnsi="Calibri"/>
                <w:b/>
                <w:sz w:val="20"/>
                <w:szCs w:val="20"/>
              </w:rPr>
            </w:pPr>
            <w:r>
              <w:rPr>
                <w:rFonts w:ascii="Calibri" w:hAnsi="Calibri"/>
                <w:b/>
                <w:sz w:val="20"/>
                <w:szCs w:val="20"/>
              </w:rPr>
              <w:t>Jan–Jun</w:t>
            </w:r>
          </w:p>
          <w:p w:rsidR="00D86226" w:rsidRDefault="00D86226" w:rsidP="00D86226">
            <w:pPr>
              <w:keepNext/>
              <w:keepLines/>
              <w:jc w:val="center"/>
              <w:rPr>
                <w:rFonts w:ascii="Calibri" w:hAnsi="Calibri"/>
                <w:b/>
                <w:sz w:val="20"/>
                <w:szCs w:val="20"/>
              </w:rPr>
            </w:pPr>
            <w:r>
              <w:rPr>
                <w:rFonts w:ascii="Calibri" w:hAnsi="Calibri"/>
                <w:b/>
                <w:sz w:val="20"/>
                <w:szCs w:val="20"/>
              </w:rPr>
              <w:t>1</w:t>
            </w:r>
            <w:r w:rsidR="009F2D30">
              <w:rPr>
                <w:rFonts w:ascii="Calibri" w:hAnsi="Calibri"/>
                <w:b/>
                <w:sz w:val="20"/>
                <w:szCs w:val="20"/>
              </w:rPr>
              <w:t>8</w:t>
            </w:r>
          </w:p>
        </w:tc>
      </w:tr>
      <w:tr w:rsidR="00D86226" w:rsidTr="00D86226">
        <w:tc>
          <w:tcPr>
            <w:tcW w:w="674" w:type="pct"/>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spacing w:after="40"/>
              <w:jc w:val="left"/>
              <w:rPr>
                <w:rFonts w:ascii="Calibri" w:hAnsi="Calibri"/>
                <w:b/>
                <w:sz w:val="20"/>
                <w:szCs w:val="20"/>
              </w:rPr>
            </w:pPr>
            <w:r>
              <w:rPr>
                <w:rFonts w:ascii="Calibri" w:hAnsi="Calibri"/>
                <w:b/>
                <w:sz w:val="20"/>
                <w:szCs w:val="20"/>
              </w:rPr>
              <w:t>Number of complaints closed</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9F2D30" w:rsidP="00D86226">
            <w:pPr>
              <w:keepNext/>
              <w:keepLines/>
              <w:jc w:val="center"/>
              <w:rPr>
                <w:rFonts w:ascii="Calibri" w:hAnsi="Calibri"/>
                <w:sz w:val="20"/>
                <w:szCs w:val="20"/>
              </w:rPr>
            </w:pPr>
            <w:r>
              <w:rPr>
                <w:rFonts w:ascii="Calibri" w:hAnsi="Calibri"/>
                <w:sz w:val="20"/>
                <w:szCs w:val="20"/>
              </w:rPr>
              <w:t>280</w:t>
            </w:r>
          </w:p>
        </w:tc>
        <w:tc>
          <w:tcPr>
            <w:tcW w:w="310" w:type="pct"/>
            <w:tcBorders>
              <w:top w:val="single" w:sz="4" w:space="0" w:color="auto"/>
              <w:left w:val="single" w:sz="4" w:space="0" w:color="auto"/>
              <w:bottom w:val="single" w:sz="4" w:space="0" w:color="auto"/>
              <w:right w:val="single" w:sz="4" w:space="0" w:color="auto"/>
            </w:tcBorders>
            <w:vAlign w:val="center"/>
            <w:hideMark/>
          </w:tcPr>
          <w:p w:rsidR="00D86226" w:rsidRDefault="009F2D30" w:rsidP="00D86226">
            <w:pPr>
              <w:keepNext/>
              <w:keepLines/>
              <w:jc w:val="center"/>
              <w:rPr>
                <w:rFonts w:ascii="Calibri" w:hAnsi="Calibri"/>
                <w:sz w:val="20"/>
                <w:szCs w:val="20"/>
              </w:rPr>
            </w:pPr>
            <w:r>
              <w:rPr>
                <w:rFonts w:ascii="Calibri" w:hAnsi="Calibri"/>
                <w:sz w:val="20"/>
                <w:szCs w:val="20"/>
              </w:rPr>
              <w:t>411</w:t>
            </w:r>
          </w:p>
        </w:tc>
        <w:tc>
          <w:tcPr>
            <w:tcW w:w="384" w:type="pct"/>
            <w:tcBorders>
              <w:top w:val="single" w:sz="4" w:space="0" w:color="auto"/>
              <w:left w:val="single" w:sz="4" w:space="0" w:color="auto"/>
              <w:bottom w:val="single" w:sz="4" w:space="0" w:color="auto"/>
              <w:right w:val="single" w:sz="4" w:space="0" w:color="auto"/>
            </w:tcBorders>
            <w:vAlign w:val="center"/>
            <w:hideMark/>
          </w:tcPr>
          <w:p w:rsidR="00D86226" w:rsidRDefault="009F2D30" w:rsidP="00D86226">
            <w:pPr>
              <w:keepNext/>
              <w:keepLines/>
              <w:jc w:val="center"/>
              <w:rPr>
                <w:rFonts w:ascii="Calibri" w:hAnsi="Calibri"/>
                <w:sz w:val="20"/>
                <w:szCs w:val="20"/>
              </w:rPr>
            </w:pPr>
            <w:r>
              <w:rPr>
                <w:rFonts w:ascii="Calibri" w:hAnsi="Calibri"/>
                <w:sz w:val="20"/>
                <w:szCs w:val="20"/>
              </w:rPr>
              <w:t>344</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9F2D30" w:rsidP="00D86226">
            <w:pPr>
              <w:keepNext/>
              <w:keepLines/>
              <w:jc w:val="center"/>
              <w:rPr>
                <w:rFonts w:ascii="Calibri" w:hAnsi="Calibri"/>
                <w:sz w:val="20"/>
                <w:szCs w:val="20"/>
              </w:rPr>
            </w:pPr>
            <w:r>
              <w:rPr>
                <w:rFonts w:ascii="Calibri" w:hAnsi="Calibri"/>
                <w:sz w:val="20"/>
                <w:szCs w:val="20"/>
              </w:rPr>
              <w:t>410</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9F2D30" w:rsidP="00D86226">
            <w:pPr>
              <w:keepNext/>
              <w:keepLines/>
              <w:jc w:val="center"/>
              <w:rPr>
                <w:rFonts w:ascii="Calibri" w:hAnsi="Calibri"/>
                <w:sz w:val="20"/>
                <w:szCs w:val="20"/>
              </w:rPr>
            </w:pPr>
            <w:r>
              <w:rPr>
                <w:rFonts w:ascii="Calibri" w:hAnsi="Calibri"/>
                <w:sz w:val="20"/>
                <w:szCs w:val="20"/>
              </w:rPr>
              <w:t>365</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9F2D30" w:rsidP="00D86226">
            <w:pPr>
              <w:keepNext/>
              <w:keepLines/>
              <w:jc w:val="center"/>
              <w:rPr>
                <w:rFonts w:ascii="Calibri" w:hAnsi="Calibri"/>
                <w:sz w:val="20"/>
                <w:szCs w:val="20"/>
              </w:rPr>
            </w:pPr>
            <w:r>
              <w:rPr>
                <w:rFonts w:ascii="Calibri" w:hAnsi="Calibri"/>
                <w:sz w:val="20"/>
                <w:szCs w:val="20"/>
              </w:rPr>
              <w:t>482</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9F2D30" w:rsidP="00D86226">
            <w:pPr>
              <w:keepNext/>
              <w:keepLines/>
              <w:jc w:val="center"/>
              <w:rPr>
                <w:rFonts w:ascii="Calibri" w:hAnsi="Calibri"/>
                <w:sz w:val="20"/>
                <w:szCs w:val="20"/>
              </w:rPr>
            </w:pPr>
            <w:r>
              <w:rPr>
                <w:rFonts w:ascii="Calibri" w:hAnsi="Calibri"/>
                <w:sz w:val="20"/>
                <w:szCs w:val="20"/>
              </w:rPr>
              <w:t>316</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9F2D30" w:rsidP="00D86226">
            <w:pPr>
              <w:keepNext/>
              <w:keepLines/>
              <w:jc w:val="center"/>
              <w:rPr>
                <w:rFonts w:ascii="Calibri" w:hAnsi="Calibri"/>
                <w:sz w:val="20"/>
                <w:szCs w:val="20"/>
              </w:rPr>
            </w:pPr>
            <w:r>
              <w:rPr>
                <w:rFonts w:ascii="Calibri" w:hAnsi="Calibri"/>
                <w:sz w:val="20"/>
                <w:szCs w:val="20"/>
              </w:rPr>
              <w:t>465</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9F2D30" w:rsidP="00D86226">
            <w:pPr>
              <w:keepNext/>
              <w:keepLines/>
              <w:jc w:val="center"/>
              <w:rPr>
                <w:rFonts w:ascii="Calibri" w:hAnsi="Calibri"/>
                <w:sz w:val="20"/>
                <w:szCs w:val="20"/>
              </w:rPr>
            </w:pPr>
            <w:r>
              <w:rPr>
                <w:rFonts w:ascii="Calibri" w:hAnsi="Calibri"/>
                <w:sz w:val="20"/>
                <w:szCs w:val="20"/>
              </w:rPr>
              <w:t>383</w:t>
            </w:r>
          </w:p>
        </w:tc>
        <w:tc>
          <w:tcPr>
            <w:tcW w:w="547" w:type="pct"/>
            <w:tcBorders>
              <w:top w:val="single" w:sz="4" w:space="0" w:color="auto"/>
              <w:left w:val="single" w:sz="4" w:space="0" w:color="auto"/>
              <w:bottom w:val="single" w:sz="4" w:space="0" w:color="auto"/>
              <w:right w:val="single" w:sz="4" w:space="0" w:color="auto"/>
            </w:tcBorders>
            <w:vAlign w:val="center"/>
            <w:hideMark/>
          </w:tcPr>
          <w:p w:rsidR="00D86226" w:rsidRDefault="00A01146" w:rsidP="00D86226">
            <w:pPr>
              <w:keepNext/>
              <w:keepLines/>
              <w:jc w:val="center"/>
              <w:rPr>
                <w:rFonts w:ascii="Calibri" w:hAnsi="Calibri"/>
                <w:b/>
                <w:sz w:val="20"/>
                <w:szCs w:val="20"/>
              </w:rPr>
            </w:pPr>
            <w:r>
              <w:rPr>
                <w:rFonts w:ascii="Calibri" w:hAnsi="Calibri"/>
                <w:b/>
                <w:sz w:val="20"/>
                <w:szCs w:val="20"/>
              </w:rPr>
              <w:t>4</w:t>
            </w:r>
            <w:r w:rsidR="009F2D30">
              <w:rPr>
                <w:rFonts w:ascii="Calibri" w:hAnsi="Calibri"/>
                <w:b/>
                <w:sz w:val="20"/>
                <w:szCs w:val="20"/>
              </w:rPr>
              <w:t>12</w:t>
            </w:r>
          </w:p>
        </w:tc>
        <w:tc>
          <w:tcPr>
            <w:tcW w:w="380" w:type="pct"/>
            <w:tcBorders>
              <w:top w:val="single" w:sz="4" w:space="0" w:color="auto"/>
              <w:left w:val="single" w:sz="4" w:space="0" w:color="auto"/>
              <w:bottom w:val="single" w:sz="4" w:space="0" w:color="auto"/>
              <w:right w:val="single" w:sz="4" w:space="0" w:color="auto"/>
            </w:tcBorders>
            <w:vAlign w:val="center"/>
            <w:hideMark/>
          </w:tcPr>
          <w:p w:rsidR="00D86226" w:rsidRDefault="009F2D30" w:rsidP="00D86226">
            <w:pPr>
              <w:keepNext/>
              <w:keepLines/>
              <w:jc w:val="center"/>
              <w:rPr>
                <w:rFonts w:ascii="Calibri" w:hAnsi="Calibri"/>
                <w:b/>
                <w:sz w:val="20"/>
                <w:szCs w:val="20"/>
              </w:rPr>
            </w:pPr>
            <w:r>
              <w:rPr>
                <w:rFonts w:ascii="Calibri" w:hAnsi="Calibri"/>
                <w:b/>
                <w:sz w:val="20"/>
                <w:szCs w:val="20"/>
              </w:rPr>
              <w:t>476</w:t>
            </w:r>
          </w:p>
        </w:tc>
      </w:tr>
    </w:tbl>
    <w:p w:rsidR="00D86226" w:rsidRDefault="00D86226" w:rsidP="00D86226">
      <w:bookmarkStart w:id="98" w:name="_Toc415221219"/>
      <w:bookmarkStart w:id="99" w:name="_Toc415153518"/>
      <w:bookmarkStart w:id="100" w:name="_Toc415147244"/>
      <w:bookmarkStart w:id="101" w:name="_Toc415135530"/>
      <w:bookmarkStart w:id="102" w:name="_Toc415046458"/>
      <w:bookmarkStart w:id="103" w:name="_Toc415039802"/>
      <w:bookmarkStart w:id="104" w:name="_Toc414952831"/>
      <w:bookmarkStart w:id="105" w:name="_Toc414886546"/>
      <w:bookmarkStart w:id="106" w:name="_Toc414875836"/>
      <w:bookmarkStart w:id="107" w:name="_Toc414461838"/>
      <w:bookmarkStart w:id="108" w:name="_Toc414442657"/>
    </w:p>
    <w:p w:rsidR="00D86226" w:rsidRDefault="00D86226" w:rsidP="00160606">
      <w:pPr>
        <w:pStyle w:val="Heading3"/>
        <w:spacing w:before="120"/>
      </w:pPr>
      <w:bookmarkStart w:id="109" w:name="_Toc426462638"/>
      <w:bookmarkStart w:id="110" w:name="_Toc443992233"/>
      <w:bookmarkStart w:id="111" w:name="_Toc493684134"/>
      <w:bookmarkStart w:id="112" w:name="_Toc516741380"/>
      <w:r>
        <w:t>4.2</w:t>
      </w:r>
      <w:r>
        <w:tab/>
        <w:t>Outcomes of complaints closed</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D86226" w:rsidRDefault="00D86226" w:rsidP="00D86226">
      <w:pPr>
        <w:rPr>
          <w:lang w:eastAsia="en-NZ" w:bidi="ar-SA"/>
        </w:rPr>
      </w:pPr>
      <w:r>
        <w:t xml:space="preserve">Complaints that are within HDC’s jurisdiction are classified into two groups according to the manner of resolution </w:t>
      </w:r>
      <w:r>
        <w:rPr>
          <w:rFonts w:ascii="Calibri" w:hAnsi="Calibri"/>
        </w:rPr>
        <w:t>—</w:t>
      </w:r>
      <w:r w:rsidR="00ED23D0">
        <w:t xml:space="preserve"> whether</w:t>
      </w:r>
      <w:r>
        <w:t xml:space="preserve"> investigation or other resolution. Within each classification, there is</w:t>
      </w:r>
      <w:r w:rsidR="00ED23D0">
        <w:t xml:space="preserve"> a variety of possible outcomes</w:t>
      </w:r>
      <w:r>
        <w:t xml:space="preserve">. Notification of investigation generally indicates more serious </w:t>
      </w:r>
      <w:r>
        <w:rPr>
          <w:lang w:eastAsia="en-NZ" w:bidi="ar-SA"/>
        </w:rPr>
        <w:t xml:space="preserve">issues. </w:t>
      </w:r>
    </w:p>
    <w:p w:rsidR="00D86226" w:rsidRDefault="00D86226" w:rsidP="00D86226">
      <w:pPr>
        <w:rPr>
          <w:lang w:eastAsia="en-NZ" w:bidi="ar-SA"/>
        </w:rPr>
      </w:pPr>
    </w:p>
    <w:p w:rsidR="00D86226" w:rsidRPr="008565E0" w:rsidRDefault="00D86226" w:rsidP="00D86226">
      <w:pPr>
        <w:rPr>
          <w:lang w:eastAsia="en-NZ"/>
        </w:rPr>
      </w:pPr>
      <w:r w:rsidRPr="009332E6">
        <w:rPr>
          <w:lang w:eastAsia="en-NZ"/>
        </w:rPr>
        <w:t xml:space="preserve">In the </w:t>
      </w:r>
      <w:r w:rsidR="009F2D30">
        <w:t>Jan</w:t>
      </w:r>
      <w:r w:rsidRPr="009332E6">
        <w:t>–</w:t>
      </w:r>
      <w:r w:rsidR="009F2D30">
        <w:t>Jun 2018</w:t>
      </w:r>
      <w:r w:rsidRPr="009332E6">
        <w:t xml:space="preserve"> </w:t>
      </w:r>
      <w:r w:rsidR="00890A4C">
        <w:rPr>
          <w:lang w:eastAsia="en-NZ"/>
        </w:rPr>
        <w:t xml:space="preserve">period, </w:t>
      </w:r>
      <w:r w:rsidR="003C401A" w:rsidRPr="008565E0">
        <w:rPr>
          <w:lang w:eastAsia="en-NZ"/>
        </w:rPr>
        <w:t>6</w:t>
      </w:r>
      <w:r w:rsidRPr="008565E0">
        <w:rPr>
          <w:lang w:eastAsia="en-NZ"/>
        </w:rPr>
        <w:t xml:space="preserve"> DHBs had no investigations closed,</w:t>
      </w:r>
      <w:r w:rsidR="003C401A" w:rsidRPr="008565E0">
        <w:rPr>
          <w:lang w:eastAsia="en-NZ"/>
        </w:rPr>
        <w:t xml:space="preserve"> 6</w:t>
      </w:r>
      <w:r w:rsidRPr="008565E0">
        <w:rPr>
          <w:lang w:eastAsia="en-NZ"/>
        </w:rPr>
        <w:t xml:space="preserve"> DHBs had one investigation closed, </w:t>
      </w:r>
      <w:r w:rsidR="003C401A" w:rsidRPr="008565E0">
        <w:rPr>
          <w:lang w:eastAsia="en-NZ"/>
        </w:rPr>
        <w:t>1 DHB</w:t>
      </w:r>
      <w:r w:rsidRPr="008565E0">
        <w:rPr>
          <w:lang w:eastAsia="en-NZ"/>
        </w:rPr>
        <w:t xml:space="preserve"> had two investigations closed</w:t>
      </w:r>
      <w:r w:rsidR="00412EE0" w:rsidRPr="008565E0">
        <w:rPr>
          <w:lang w:eastAsia="en-NZ"/>
        </w:rPr>
        <w:t>,</w:t>
      </w:r>
      <w:r w:rsidRPr="008565E0">
        <w:rPr>
          <w:lang w:eastAsia="en-NZ"/>
        </w:rPr>
        <w:t xml:space="preserve"> </w:t>
      </w:r>
      <w:r w:rsidR="003C401A" w:rsidRPr="008565E0">
        <w:rPr>
          <w:lang w:eastAsia="en-NZ"/>
        </w:rPr>
        <w:t>1 DHB</w:t>
      </w:r>
      <w:r w:rsidRPr="008565E0">
        <w:rPr>
          <w:lang w:eastAsia="en-NZ"/>
        </w:rPr>
        <w:t xml:space="preserve"> had three investigations closed</w:t>
      </w:r>
      <w:r w:rsidR="003C401A" w:rsidRPr="008565E0">
        <w:rPr>
          <w:lang w:eastAsia="en-NZ"/>
        </w:rPr>
        <w:t xml:space="preserve">, 2 DHBs had 4 investigations closed, 2 DHBs had 5 investigations closed, 1 </w:t>
      </w:r>
      <w:r w:rsidR="00ED23D0" w:rsidRPr="008565E0">
        <w:rPr>
          <w:lang w:eastAsia="en-NZ"/>
        </w:rPr>
        <w:t>DHB had 6</w:t>
      </w:r>
      <w:r w:rsidR="003C401A" w:rsidRPr="008565E0">
        <w:rPr>
          <w:lang w:eastAsia="en-NZ"/>
        </w:rPr>
        <w:t xml:space="preserve"> investigations closed and 1 DHB had 8 investigations closed</w:t>
      </w:r>
      <w:r w:rsidR="00CA5D0F" w:rsidRPr="008565E0">
        <w:rPr>
          <w:lang w:eastAsia="en-NZ"/>
        </w:rPr>
        <w:t xml:space="preserve"> </w:t>
      </w:r>
      <w:r w:rsidRPr="008565E0">
        <w:rPr>
          <w:lang w:eastAsia="en-NZ"/>
        </w:rPr>
        <w:t>by HDC.</w:t>
      </w:r>
    </w:p>
    <w:p w:rsidR="00D86226" w:rsidRDefault="00D86226" w:rsidP="00D86226">
      <w:pPr>
        <w:rPr>
          <w:rFonts w:ascii="Calibri" w:hAnsi="Calibri"/>
        </w:rPr>
      </w:pPr>
      <w:r>
        <w:rPr>
          <w:rFonts w:ascii="Calibri" w:hAnsi="Calibri"/>
          <w:lang w:eastAsia="en-NZ"/>
        </w:rPr>
        <w:br/>
      </w:r>
      <w:r>
        <w:rPr>
          <w:rFonts w:ascii="Calibri" w:hAnsi="Calibri"/>
        </w:rPr>
        <w:t xml:space="preserve">The manner of resolution </w:t>
      </w:r>
      <w:r>
        <w:rPr>
          <w:rFonts w:ascii="Calibri" w:hAnsi="Calibri" w:cs="Calibri"/>
        </w:rPr>
        <w:t>and</w:t>
      </w:r>
      <w:r w:rsidR="000A2BD7">
        <w:rPr>
          <w:rFonts w:ascii="Calibri" w:hAnsi="Calibri"/>
        </w:rPr>
        <w:t xml:space="preserve"> outcomes of all </w:t>
      </w:r>
      <w:r>
        <w:rPr>
          <w:rFonts w:ascii="Calibri" w:hAnsi="Calibri"/>
        </w:rPr>
        <w:t>complaints</w:t>
      </w:r>
      <w:r w:rsidR="000A2BD7">
        <w:rPr>
          <w:rFonts w:ascii="Calibri" w:hAnsi="Calibri"/>
        </w:rPr>
        <w:t xml:space="preserve"> about DHBs</w:t>
      </w:r>
      <w:r>
        <w:rPr>
          <w:rFonts w:ascii="Calibri" w:hAnsi="Calibri"/>
        </w:rPr>
        <w:t xml:space="preserve"> closed in </w:t>
      </w:r>
      <w:r w:rsidR="009F2D30">
        <w:t>Jan–Jun 2018</w:t>
      </w:r>
      <w:r>
        <w:t xml:space="preserve"> </w:t>
      </w:r>
      <w:r>
        <w:rPr>
          <w:rFonts w:ascii="Calibri" w:hAnsi="Calibri"/>
        </w:rPr>
        <w:t xml:space="preserve">is shown in Table 11. </w:t>
      </w:r>
    </w:p>
    <w:p w:rsidR="00D86226" w:rsidRDefault="00D86226" w:rsidP="00D86226">
      <w:pPr>
        <w:rPr>
          <w:rFonts w:ascii="Calibri" w:hAnsi="Calibri"/>
        </w:rPr>
      </w:pPr>
    </w:p>
    <w:p w:rsidR="00CA5D0F" w:rsidRDefault="00CA5D0F" w:rsidP="00D86226">
      <w:pPr>
        <w:spacing w:after="120"/>
        <w:rPr>
          <w:rFonts w:ascii="Calibri" w:hAnsi="Calibri"/>
          <w:b/>
          <w:szCs w:val="22"/>
        </w:rPr>
      </w:pPr>
    </w:p>
    <w:p w:rsidR="00D86226" w:rsidRDefault="00D86226" w:rsidP="00160606">
      <w:pPr>
        <w:keepNext/>
        <w:keepLines/>
        <w:spacing w:after="120"/>
        <w:rPr>
          <w:lang w:eastAsia="en-NZ"/>
        </w:rPr>
      </w:pPr>
      <w:proofErr w:type="gramStart"/>
      <w:r>
        <w:rPr>
          <w:rFonts w:ascii="Calibri" w:hAnsi="Calibri"/>
          <w:b/>
          <w:szCs w:val="22"/>
        </w:rPr>
        <w:lastRenderedPageBreak/>
        <w:t>Table 11.</w:t>
      </w:r>
      <w:proofErr w:type="gramEnd"/>
      <w:r>
        <w:rPr>
          <w:rFonts w:ascii="Calibri" w:hAnsi="Calibri"/>
          <w:b/>
          <w:szCs w:val="22"/>
        </w:rPr>
        <w:t xml:space="preserve"> </w:t>
      </w:r>
      <w:r>
        <w:rPr>
          <w:rFonts w:ascii="Calibri" w:hAnsi="Calibri"/>
          <w:szCs w:val="22"/>
        </w:rPr>
        <w:t>Outcome for DHBs of complaints closed by complaint type</w:t>
      </w:r>
      <w:r>
        <w:rPr>
          <w:rStyle w:val="FootnoteReference"/>
          <w:rFonts w:ascii="Calibri" w:hAnsi="Calibri"/>
          <w:szCs w:val="22"/>
        </w:rPr>
        <w:footnoteReference w:id="6"/>
      </w:r>
    </w:p>
    <w:tbl>
      <w:tblPr>
        <w:tblStyle w:val="TableGrid"/>
        <w:tblW w:w="7230" w:type="dxa"/>
        <w:tblInd w:w="108" w:type="dxa"/>
        <w:tblLook w:val="04A0" w:firstRow="1" w:lastRow="0" w:firstColumn="1" w:lastColumn="0" w:noHBand="0" w:noVBand="1"/>
      </w:tblPr>
      <w:tblGrid>
        <w:gridCol w:w="4111"/>
        <w:gridCol w:w="3119"/>
      </w:tblGrid>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spacing w:before="60"/>
              <w:jc w:val="left"/>
              <w:outlineLvl w:val="0"/>
              <w:rPr>
                <w:rFonts w:ascii="Calibri" w:hAnsi="Calibri"/>
                <w:b/>
                <w:szCs w:val="22"/>
              </w:rPr>
            </w:pPr>
            <w:r>
              <w:rPr>
                <w:rFonts w:ascii="Calibri" w:hAnsi="Calibri"/>
                <w:b/>
                <w:szCs w:val="22"/>
              </w:rPr>
              <w:br w:type="page"/>
              <w:t>Outcome for DHBs</w:t>
            </w:r>
          </w:p>
        </w:tc>
        <w:tc>
          <w:tcPr>
            <w:tcW w:w="3119" w:type="dxa"/>
            <w:tcBorders>
              <w:top w:val="single" w:sz="4" w:space="0" w:color="auto"/>
              <w:left w:val="single" w:sz="4" w:space="0" w:color="auto"/>
              <w:bottom w:val="single" w:sz="4" w:space="0" w:color="auto"/>
              <w:right w:val="single" w:sz="4" w:space="0" w:color="auto"/>
            </w:tcBorders>
          </w:tcPr>
          <w:p w:rsidR="00D86226" w:rsidRDefault="00D86226" w:rsidP="00D86226">
            <w:pPr>
              <w:keepNext/>
              <w:keepLines/>
              <w:tabs>
                <w:tab w:val="left" w:pos="1440"/>
                <w:tab w:val="decimal" w:pos="4320"/>
              </w:tabs>
              <w:spacing w:before="60"/>
              <w:jc w:val="center"/>
              <w:outlineLvl w:val="0"/>
              <w:rPr>
                <w:rFonts w:ascii="Calibri" w:hAnsi="Calibri"/>
                <w:b/>
                <w:szCs w:val="22"/>
              </w:rPr>
            </w:pPr>
            <w:r>
              <w:rPr>
                <w:rFonts w:ascii="Calibri" w:hAnsi="Calibri"/>
                <w:b/>
                <w:szCs w:val="22"/>
              </w:rPr>
              <w:t>Number of complaints closed</w:t>
            </w:r>
          </w:p>
          <w:p w:rsidR="00D86226" w:rsidRDefault="00D86226" w:rsidP="00D86226">
            <w:pPr>
              <w:keepNext/>
              <w:keepLines/>
              <w:tabs>
                <w:tab w:val="left" w:pos="1440"/>
                <w:tab w:val="decimal" w:pos="4320"/>
              </w:tabs>
              <w:jc w:val="center"/>
              <w:outlineLvl w:val="0"/>
              <w:rPr>
                <w:rFonts w:ascii="Calibri" w:hAnsi="Calibri"/>
                <w:b/>
                <w:sz w:val="16"/>
                <w:szCs w:val="16"/>
              </w:rPr>
            </w:pPr>
          </w:p>
        </w:tc>
      </w:tr>
      <w:tr w:rsidR="00D86226" w:rsidTr="00D86226">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keepNext/>
              <w:keepLines/>
              <w:tabs>
                <w:tab w:val="left" w:pos="1440"/>
                <w:tab w:val="decimal" w:pos="4320"/>
              </w:tabs>
              <w:jc w:val="left"/>
              <w:outlineLvl w:val="0"/>
              <w:rPr>
                <w:rFonts w:ascii="Calibri" w:hAnsi="Calibri"/>
                <w:b/>
                <w:i/>
                <w:szCs w:val="22"/>
              </w:rPr>
            </w:pPr>
            <w:r>
              <w:rPr>
                <w:rFonts w:ascii="Calibri" w:hAnsi="Calibri"/>
                <w:b/>
                <w:i/>
                <w:szCs w:val="22"/>
              </w:rPr>
              <w:t>Investigation</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F95A5F" w:rsidP="00D86226">
            <w:pPr>
              <w:keepNext/>
              <w:keepLines/>
              <w:tabs>
                <w:tab w:val="left" w:pos="1440"/>
                <w:tab w:val="decimal" w:pos="4320"/>
              </w:tabs>
              <w:jc w:val="center"/>
              <w:outlineLvl w:val="0"/>
              <w:rPr>
                <w:rFonts w:ascii="Calibri" w:hAnsi="Calibri"/>
                <w:b/>
                <w:i/>
                <w:szCs w:val="22"/>
              </w:rPr>
            </w:pPr>
            <w:r>
              <w:rPr>
                <w:rFonts w:ascii="Calibri" w:hAnsi="Calibri"/>
                <w:b/>
                <w:i/>
                <w:szCs w:val="22"/>
              </w:rPr>
              <w:t>38</w:t>
            </w:r>
          </w:p>
        </w:tc>
      </w:tr>
      <w:tr w:rsidR="00F95A5F" w:rsidTr="00D86226">
        <w:tc>
          <w:tcPr>
            <w:tcW w:w="4111" w:type="dxa"/>
            <w:tcBorders>
              <w:top w:val="single" w:sz="4" w:space="0" w:color="auto"/>
              <w:left w:val="single" w:sz="4" w:space="0" w:color="auto"/>
              <w:bottom w:val="single" w:sz="4" w:space="0" w:color="auto"/>
              <w:right w:val="single" w:sz="4" w:space="0" w:color="auto"/>
            </w:tcBorders>
          </w:tcPr>
          <w:p w:rsidR="00F95A5F" w:rsidRDefault="00F95A5F" w:rsidP="00D86226">
            <w:pPr>
              <w:keepNext/>
              <w:keepLines/>
              <w:tabs>
                <w:tab w:val="left" w:pos="1440"/>
                <w:tab w:val="decimal" w:pos="4320"/>
              </w:tabs>
              <w:jc w:val="left"/>
              <w:outlineLvl w:val="0"/>
              <w:rPr>
                <w:rFonts w:ascii="Calibri" w:hAnsi="Calibri"/>
                <w:szCs w:val="22"/>
              </w:rPr>
            </w:pPr>
            <w:r>
              <w:rPr>
                <w:rFonts w:ascii="Calibri" w:hAnsi="Calibri"/>
                <w:szCs w:val="22"/>
              </w:rPr>
              <w:t>Breach finding – referred to Director of Proceedings</w:t>
            </w:r>
          </w:p>
        </w:tc>
        <w:tc>
          <w:tcPr>
            <w:tcW w:w="3119" w:type="dxa"/>
            <w:tcBorders>
              <w:top w:val="single" w:sz="4" w:space="0" w:color="auto"/>
              <w:left w:val="single" w:sz="4" w:space="0" w:color="auto"/>
              <w:bottom w:val="single" w:sz="4" w:space="0" w:color="auto"/>
              <w:right w:val="single" w:sz="4" w:space="0" w:color="auto"/>
            </w:tcBorders>
            <w:vAlign w:val="center"/>
          </w:tcPr>
          <w:p w:rsidR="00F95A5F" w:rsidRDefault="00F95A5F" w:rsidP="00D86226">
            <w:pPr>
              <w:keepNext/>
              <w:keepLines/>
              <w:tabs>
                <w:tab w:val="left" w:pos="1440"/>
                <w:tab w:val="decimal" w:pos="4320"/>
              </w:tabs>
              <w:jc w:val="center"/>
              <w:outlineLvl w:val="0"/>
              <w:rPr>
                <w:rFonts w:ascii="Calibri" w:hAnsi="Calibri"/>
                <w:szCs w:val="22"/>
              </w:rPr>
            </w:pPr>
            <w:r>
              <w:rPr>
                <w:rFonts w:ascii="Calibri" w:hAnsi="Calibri"/>
                <w:szCs w:val="22"/>
              </w:rPr>
              <w:t>3</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szCs w:val="22"/>
              </w:rPr>
            </w:pPr>
            <w:r>
              <w:rPr>
                <w:rFonts w:ascii="Calibri" w:hAnsi="Calibri"/>
                <w:szCs w:val="22"/>
              </w:rPr>
              <w:t>Breach finding</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95A5F" w:rsidP="00D86226">
            <w:pPr>
              <w:keepNext/>
              <w:keepLines/>
              <w:tabs>
                <w:tab w:val="left" w:pos="1440"/>
                <w:tab w:val="decimal" w:pos="4320"/>
              </w:tabs>
              <w:jc w:val="center"/>
              <w:outlineLvl w:val="0"/>
              <w:rPr>
                <w:rFonts w:ascii="Calibri" w:hAnsi="Calibri"/>
                <w:szCs w:val="22"/>
              </w:rPr>
            </w:pPr>
            <w:r>
              <w:rPr>
                <w:rFonts w:ascii="Calibri" w:hAnsi="Calibri"/>
                <w:szCs w:val="22"/>
              </w:rPr>
              <w:t>18</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ED23D0">
            <w:pPr>
              <w:keepNext/>
              <w:keepLines/>
              <w:tabs>
                <w:tab w:val="left" w:pos="1440"/>
                <w:tab w:val="decimal" w:pos="4320"/>
              </w:tabs>
              <w:jc w:val="left"/>
              <w:outlineLvl w:val="0"/>
              <w:rPr>
                <w:rFonts w:ascii="Calibri" w:hAnsi="Calibri"/>
                <w:szCs w:val="22"/>
              </w:rPr>
            </w:pPr>
            <w:r>
              <w:rPr>
                <w:rFonts w:ascii="Calibri" w:hAnsi="Calibri"/>
                <w:szCs w:val="22"/>
              </w:rPr>
              <w:t xml:space="preserve">No </w:t>
            </w:r>
            <w:r w:rsidR="00ED23D0">
              <w:rPr>
                <w:rFonts w:ascii="Calibri" w:hAnsi="Calibri"/>
                <w:szCs w:val="22"/>
              </w:rPr>
              <w:t>breach finding with recommendations</w:t>
            </w:r>
            <w:r>
              <w:rPr>
                <w:rFonts w:ascii="Calibri" w:hAnsi="Calibri"/>
                <w:szCs w:val="22"/>
              </w:rPr>
              <w:t xml:space="preserve"> or educational comment</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95A5F" w:rsidP="00D86226">
            <w:pPr>
              <w:keepNext/>
              <w:keepLines/>
              <w:tabs>
                <w:tab w:val="left" w:pos="1440"/>
                <w:tab w:val="decimal" w:pos="4320"/>
              </w:tabs>
              <w:jc w:val="center"/>
              <w:outlineLvl w:val="0"/>
              <w:rPr>
                <w:rFonts w:ascii="Calibri" w:hAnsi="Calibri"/>
                <w:szCs w:val="22"/>
              </w:rPr>
            </w:pPr>
            <w:r>
              <w:rPr>
                <w:rFonts w:ascii="Calibri" w:hAnsi="Calibri"/>
                <w:szCs w:val="22"/>
              </w:rPr>
              <w:t>13</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szCs w:val="22"/>
              </w:rPr>
            </w:pPr>
            <w:r>
              <w:rPr>
                <w:rFonts w:ascii="Calibri" w:hAnsi="Calibri"/>
                <w:szCs w:val="22"/>
              </w:rPr>
              <w:t>No breach finding</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95A5F" w:rsidP="00D86226">
            <w:pPr>
              <w:keepNext/>
              <w:keepLines/>
              <w:tabs>
                <w:tab w:val="left" w:pos="1440"/>
                <w:tab w:val="decimal" w:pos="4320"/>
              </w:tabs>
              <w:jc w:val="center"/>
              <w:outlineLvl w:val="0"/>
              <w:rPr>
                <w:rFonts w:ascii="Calibri" w:hAnsi="Calibri"/>
                <w:szCs w:val="22"/>
              </w:rPr>
            </w:pPr>
            <w:r>
              <w:rPr>
                <w:rFonts w:ascii="Calibri" w:hAnsi="Calibri"/>
                <w:szCs w:val="22"/>
              </w:rPr>
              <w:t>4</w:t>
            </w:r>
          </w:p>
        </w:tc>
      </w:tr>
      <w:tr w:rsidR="00D86226" w:rsidTr="00D86226">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keepNext/>
              <w:keepLines/>
              <w:tabs>
                <w:tab w:val="left" w:pos="1440"/>
                <w:tab w:val="decimal" w:pos="4320"/>
              </w:tabs>
              <w:jc w:val="left"/>
              <w:outlineLvl w:val="0"/>
              <w:rPr>
                <w:rFonts w:ascii="Calibri" w:hAnsi="Calibri"/>
                <w:b/>
                <w:i/>
                <w:szCs w:val="22"/>
              </w:rPr>
            </w:pPr>
            <w:r>
              <w:rPr>
                <w:rFonts w:ascii="Calibri" w:hAnsi="Calibri"/>
                <w:b/>
                <w:i/>
                <w:szCs w:val="22"/>
              </w:rPr>
              <w:t>Other resolution following assessment</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F95A5F" w:rsidP="00D86226">
            <w:pPr>
              <w:keepNext/>
              <w:keepLines/>
              <w:tabs>
                <w:tab w:val="left" w:pos="1440"/>
                <w:tab w:val="decimal" w:pos="4320"/>
              </w:tabs>
              <w:jc w:val="center"/>
              <w:outlineLvl w:val="0"/>
              <w:rPr>
                <w:rFonts w:ascii="Calibri" w:hAnsi="Calibri"/>
                <w:b/>
                <w:i/>
                <w:szCs w:val="22"/>
              </w:rPr>
            </w:pPr>
            <w:r>
              <w:rPr>
                <w:rFonts w:ascii="Calibri" w:hAnsi="Calibri"/>
                <w:b/>
                <w:i/>
                <w:szCs w:val="22"/>
              </w:rPr>
              <w:t>432</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szCs w:val="22"/>
              </w:rPr>
            </w:pPr>
            <w:r>
              <w:rPr>
                <w:rFonts w:ascii="Calibri" w:hAnsi="Calibri"/>
                <w:szCs w:val="22"/>
              </w:rPr>
              <w:t>No further action</w:t>
            </w:r>
            <w:r w:rsidR="00CF2B9C">
              <w:rPr>
                <w:rStyle w:val="FootnoteReference"/>
                <w:rFonts w:ascii="Calibri" w:hAnsi="Calibri"/>
                <w:szCs w:val="22"/>
              </w:rPr>
              <w:footnoteReference w:id="7"/>
            </w:r>
            <w:r w:rsidR="00ED23D0">
              <w:rPr>
                <w:rFonts w:ascii="Calibri" w:hAnsi="Calibri"/>
                <w:szCs w:val="22"/>
              </w:rPr>
              <w:t xml:space="preserve"> with recommendations</w:t>
            </w:r>
            <w:r>
              <w:rPr>
                <w:rFonts w:ascii="Calibri" w:hAnsi="Calibri"/>
                <w:szCs w:val="22"/>
              </w:rPr>
              <w:t xml:space="preserve"> or educational comment</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95A5F" w:rsidP="00D86226">
            <w:pPr>
              <w:keepNext/>
              <w:keepLines/>
              <w:tabs>
                <w:tab w:val="left" w:pos="1440"/>
                <w:tab w:val="decimal" w:pos="4320"/>
              </w:tabs>
              <w:jc w:val="center"/>
              <w:outlineLvl w:val="0"/>
              <w:rPr>
                <w:rFonts w:ascii="Calibri" w:hAnsi="Calibri"/>
                <w:szCs w:val="22"/>
              </w:rPr>
            </w:pPr>
            <w:r>
              <w:rPr>
                <w:rFonts w:ascii="Calibri" w:hAnsi="Calibri"/>
                <w:szCs w:val="22"/>
              </w:rPr>
              <w:t>117</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rPr>
                <w:rFonts w:ascii="Calibri" w:hAnsi="Calibri" w:cs="Calibri"/>
                <w:color w:val="000000"/>
                <w:szCs w:val="22"/>
              </w:rPr>
            </w:pPr>
            <w:r>
              <w:rPr>
                <w:rFonts w:ascii="Calibri" w:hAnsi="Calibri" w:cs="Calibri"/>
                <w:color w:val="000000"/>
                <w:szCs w:val="22"/>
              </w:rPr>
              <w:t>Referred to Ministry of Health</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95A5F" w:rsidP="00D86226">
            <w:pPr>
              <w:jc w:val="center"/>
              <w:rPr>
                <w:rFonts w:ascii="Calibri" w:hAnsi="Calibri" w:cs="Calibri"/>
                <w:color w:val="000000"/>
                <w:szCs w:val="22"/>
              </w:rPr>
            </w:pPr>
            <w:r>
              <w:rPr>
                <w:rFonts w:ascii="Calibri" w:hAnsi="Calibri" w:cs="Calibri"/>
                <w:color w:val="000000"/>
                <w:szCs w:val="22"/>
              </w:rPr>
              <w:t>2</w:t>
            </w:r>
          </w:p>
        </w:tc>
      </w:tr>
      <w:tr w:rsidR="00D86226" w:rsidTr="00D86226">
        <w:tc>
          <w:tcPr>
            <w:tcW w:w="4111" w:type="dxa"/>
            <w:tcBorders>
              <w:top w:val="single" w:sz="4" w:space="0" w:color="auto"/>
              <w:left w:val="single" w:sz="4" w:space="0" w:color="auto"/>
              <w:bottom w:val="single" w:sz="4" w:space="0" w:color="auto"/>
              <w:right w:val="single" w:sz="4" w:space="0" w:color="auto"/>
            </w:tcBorders>
          </w:tcPr>
          <w:p w:rsidR="00D86226" w:rsidRDefault="00D86226" w:rsidP="00D86226">
            <w:pPr>
              <w:rPr>
                <w:rFonts w:ascii="Calibri" w:hAnsi="Calibri" w:cs="Calibri"/>
                <w:color w:val="000000"/>
                <w:szCs w:val="22"/>
              </w:rPr>
            </w:pPr>
            <w:r>
              <w:rPr>
                <w:rFonts w:ascii="Calibri" w:hAnsi="Calibri" w:cs="Calibri"/>
                <w:color w:val="000000"/>
                <w:szCs w:val="22"/>
              </w:rPr>
              <w:t xml:space="preserve">Referred to </w:t>
            </w:r>
            <w:r w:rsidR="0076073A">
              <w:rPr>
                <w:rFonts w:ascii="Calibri" w:hAnsi="Calibri" w:cs="Calibri"/>
                <w:color w:val="000000"/>
                <w:szCs w:val="22"/>
              </w:rPr>
              <w:t>District Inspector</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95A5F" w:rsidP="00D86226">
            <w:pPr>
              <w:jc w:val="center"/>
              <w:rPr>
                <w:rFonts w:ascii="Calibri" w:hAnsi="Calibri" w:cs="Calibri"/>
                <w:color w:val="000000"/>
                <w:szCs w:val="22"/>
              </w:rPr>
            </w:pPr>
            <w:r>
              <w:rPr>
                <w:rFonts w:ascii="Calibri" w:hAnsi="Calibri" w:cs="Calibri"/>
                <w:color w:val="000000"/>
                <w:szCs w:val="22"/>
              </w:rPr>
              <w:t>16</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76073A" w:rsidP="00D86226">
            <w:pPr>
              <w:rPr>
                <w:rFonts w:ascii="Calibri" w:hAnsi="Calibri" w:cs="Calibri"/>
                <w:color w:val="000000"/>
                <w:szCs w:val="22"/>
              </w:rPr>
            </w:pPr>
            <w:r>
              <w:rPr>
                <w:rFonts w:ascii="Calibri" w:hAnsi="Calibri" w:cs="Calibri"/>
                <w:color w:val="000000"/>
                <w:szCs w:val="22"/>
              </w:rPr>
              <w:t>Referred to other agency</w:t>
            </w:r>
            <w:r w:rsidR="00D86226">
              <w:rPr>
                <w:rFonts w:ascii="Calibri" w:hAnsi="Calibri" w:cs="Calibri"/>
                <w:color w:val="000000"/>
                <w:szCs w:val="22"/>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95A5F" w:rsidP="00D86226">
            <w:pPr>
              <w:jc w:val="center"/>
              <w:rPr>
                <w:rFonts w:ascii="Calibri" w:hAnsi="Calibri" w:cs="Calibri"/>
                <w:color w:val="000000"/>
                <w:szCs w:val="22"/>
              </w:rPr>
            </w:pPr>
            <w:r>
              <w:rPr>
                <w:rFonts w:ascii="Calibri" w:hAnsi="Calibri" w:cs="Calibri"/>
                <w:color w:val="000000"/>
                <w:szCs w:val="22"/>
              </w:rPr>
              <w:t>5</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szCs w:val="22"/>
              </w:rPr>
            </w:pPr>
            <w:r>
              <w:rPr>
                <w:rFonts w:ascii="Calibri" w:hAnsi="Calibri"/>
                <w:szCs w:val="22"/>
              </w:rPr>
              <w:t>Referred to DHB</w:t>
            </w:r>
            <w:r>
              <w:rPr>
                <w:rStyle w:val="FootnoteReference"/>
                <w:rFonts w:ascii="Calibri" w:hAnsi="Calibri"/>
                <w:szCs w:val="22"/>
              </w:rPr>
              <w:footnoteReference w:id="8"/>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95A5F" w:rsidP="00D86226">
            <w:pPr>
              <w:keepNext/>
              <w:keepLines/>
              <w:tabs>
                <w:tab w:val="left" w:pos="1440"/>
                <w:tab w:val="decimal" w:pos="4320"/>
              </w:tabs>
              <w:jc w:val="center"/>
              <w:outlineLvl w:val="0"/>
              <w:rPr>
                <w:rFonts w:ascii="Calibri" w:hAnsi="Calibri"/>
                <w:szCs w:val="22"/>
              </w:rPr>
            </w:pPr>
            <w:r>
              <w:rPr>
                <w:rFonts w:ascii="Calibri" w:hAnsi="Calibri"/>
                <w:szCs w:val="22"/>
              </w:rPr>
              <w:t>98</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cs="Arial"/>
                <w:szCs w:val="22"/>
                <w:lang w:eastAsia="en-NZ" w:bidi="ar-SA"/>
              </w:rPr>
            </w:pPr>
            <w:r>
              <w:rPr>
                <w:rFonts w:ascii="Calibri" w:hAnsi="Calibri" w:cs="Arial"/>
                <w:szCs w:val="22"/>
                <w:lang w:eastAsia="en-NZ" w:bidi="ar-SA"/>
              </w:rPr>
              <w:t>Referred to Advocacy</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95A5F" w:rsidP="00D86226">
            <w:pPr>
              <w:keepNext/>
              <w:keepLines/>
              <w:tabs>
                <w:tab w:val="left" w:pos="1440"/>
                <w:tab w:val="decimal" w:pos="4320"/>
              </w:tabs>
              <w:jc w:val="center"/>
              <w:outlineLvl w:val="0"/>
              <w:rPr>
                <w:rFonts w:ascii="Calibri" w:hAnsi="Calibri"/>
                <w:szCs w:val="22"/>
              </w:rPr>
            </w:pPr>
            <w:r>
              <w:rPr>
                <w:rFonts w:ascii="Calibri" w:hAnsi="Calibri"/>
                <w:szCs w:val="22"/>
              </w:rPr>
              <w:t>44</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cs="Arial"/>
                <w:szCs w:val="22"/>
                <w:lang w:eastAsia="en-NZ" w:bidi="ar-SA"/>
              </w:rPr>
            </w:pPr>
            <w:r>
              <w:rPr>
                <w:rFonts w:ascii="Calibri" w:hAnsi="Calibri" w:cs="Arial"/>
                <w:szCs w:val="22"/>
                <w:lang w:eastAsia="en-NZ" w:bidi="ar-SA"/>
              </w:rPr>
              <w:t>No further action</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95A5F" w:rsidP="00D86226">
            <w:pPr>
              <w:jc w:val="center"/>
              <w:rPr>
                <w:rFonts w:ascii="Calibri" w:hAnsi="Calibri" w:cs="Calibri"/>
                <w:color w:val="000000"/>
                <w:szCs w:val="22"/>
              </w:rPr>
            </w:pPr>
            <w:r>
              <w:rPr>
                <w:rFonts w:ascii="Calibri" w:hAnsi="Calibri" w:cs="Calibri"/>
                <w:color w:val="000000"/>
                <w:szCs w:val="22"/>
              </w:rPr>
              <w:t>143</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cs="Arial"/>
                <w:szCs w:val="22"/>
                <w:lang w:eastAsia="en-NZ" w:bidi="ar-SA"/>
              </w:rPr>
            </w:pPr>
            <w:r>
              <w:rPr>
                <w:rFonts w:ascii="Calibri" w:hAnsi="Calibri" w:cs="Arial"/>
                <w:szCs w:val="22"/>
                <w:lang w:eastAsia="en-NZ" w:bidi="ar-SA"/>
              </w:rPr>
              <w:t>Withdrawn</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F95A5F" w:rsidP="00D86226">
            <w:pPr>
              <w:jc w:val="center"/>
              <w:rPr>
                <w:rFonts w:ascii="Calibri" w:hAnsi="Calibri" w:cs="Calibri"/>
                <w:color w:val="000000"/>
                <w:szCs w:val="22"/>
              </w:rPr>
            </w:pPr>
            <w:r>
              <w:rPr>
                <w:rFonts w:ascii="Calibri" w:hAnsi="Calibri" w:cs="Calibri"/>
                <w:color w:val="000000"/>
                <w:szCs w:val="22"/>
              </w:rPr>
              <w:t>7</w:t>
            </w:r>
          </w:p>
        </w:tc>
      </w:tr>
      <w:tr w:rsidR="00D86226" w:rsidTr="00D86226">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keepNext/>
              <w:keepLines/>
              <w:tabs>
                <w:tab w:val="left" w:pos="1440"/>
                <w:tab w:val="decimal" w:pos="4320"/>
              </w:tabs>
              <w:jc w:val="left"/>
              <w:outlineLvl w:val="0"/>
              <w:rPr>
                <w:rFonts w:ascii="Calibri" w:hAnsi="Calibri"/>
                <w:b/>
                <w:i/>
                <w:szCs w:val="22"/>
              </w:rPr>
            </w:pPr>
            <w:r>
              <w:rPr>
                <w:rFonts w:ascii="Calibri" w:hAnsi="Calibri"/>
                <w:b/>
                <w:i/>
                <w:szCs w:val="22"/>
              </w:rPr>
              <w:t xml:space="preserve">Outside jurisdiction </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F95A5F" w:rsidP="00D86226">
            <w:pPr>
              <w:keepNext/>
              <w:keepLines/>
              <w:tabs>
                <w:tab w:val="left" w:pos="1440"/>
                <w:tab w:val="decimal" w:pos="4320"/>
              </w:tabs>
              <w:jc w:val="center"/>
              <w:outlineLvl w:val="0"/>
              <w:rPr>
                <w:rFonts w:ascii="Calibri" w:hAnsi="Calibri"/>
                <w:b/>
                <w:i/>
                <w:szCs w:val="22"/>
              </w:rPr>
            </w:pPr>
            <w:r>
              <w:rPr>
                <w:rFonts w:ascii="Calibri" w:hAnsi="Calibri"/>
                <w:b/>
                <w:i/>
                <w:szCs w:val="22"/>
              </w:rPr>
              <w:t>6</w:t>
            </w:r>
          </w:p>
        </w:tc>
      </w:tr>
      <w:tr w:rsidR="00D86226" w:rsidTr="00D86226">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keepNext/>
              <w:keepLines/>
              <w:tabs>
                <w:tab w:val="left" w:pos="1440"/>
                <w:tab w:val="decimal" w:pos="4320"/>
              </w:tabs>
              <w:jc w:val="left"/>
              <w:outlineLvl w:val="0"/>
              <w:rPr>
                <w:rFonts w:ascii="Calibri" w:hAnsi="Calibri" w:cs="Arial"/>
                <w:b/>
                <w:szCs w:val="22"/>
                <w:lang w:eastAsia="en-NZ" w:bidi="ar-SA"/>
              </w:rPr>
            </w:pPr>
            <w:r>
              <w:rPr>
                <w:rFonts w:ascii="Calibri" w:hAnsi="Calibri" w:cs="Arial"/>
                <w:b/>
                <w:szCs w:val="22"/>
                <w:lang w:eastAsia="en-NZ" w:bidi="ar-SA"/>
              </w:rPr>
              <w:t>TOTAL</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6226" w:rsidRDefault="00F95A5F" w:rsidP="00D86226">
            <w:pPr>
              <w:jc w:val="center"/>
              <w:rPr>
                <w:rFonts w:ascii="Calibri" w:hAnsi="Calibri" w:cs="Calibri"/>
                <w:b/>
                <w:color w:val="000000"/>
                <w:szCs w:val="22"/>
              </w:rPr>
            </w:pPr>
            <w:r>
              <w:rPr>
                <w:rFonts w:ascii="Calibri" w:hAnsi="Calibri" w:cs="Calibri"/>
                <w:b/>
                <w:color w:val="000000"/>
                <w:szCs w:val="22"/>
              </w:rPr>
              <w:t>476</w:t>
            </w:r>
          </w:p>
        </w:tc>
      </w:tr>
    </w:tbl>
    <w:p w:rsidR="00D86226" w:rsidRDefault="00D86226" w:rsidP="00D86226">
      <w:pPr>
        <w:rPr>
          <w:lang w:eastAsia="en-NZ"/>
        </w:rPr>
      </w:pPr>
      <w:bookmarkStart w:id="113" w:name="_Toc415221220"/>
      <w:bookmarkStart w:id="114" w:name="_Toc415153519"/>
      <w:bookmarkStart w:id="115" w:name="_Toc415147245"/>
      <w:bookmarkStart w:id="116" w:name="_Toc415135531"/>
      <w:bookmarkStart w:id="117" w:name="_Toc415046459"/>
      <w:bookmarkStart w:id="118" w:name="_Toc415039803"/>
      <w:bookmarkStart w:id="119" w:name="_Toc414952832"/>
      <w:bookmarkStart w:id="120" w:name="_Toc414886547"/>
      <w:bookmarkStart w:id="121" w:name="_Toc414875837"/>
      <w:bookmarkStart w:id="122" w:name="_Toc414461839"/>
      <w:bookmarkStart w:id="123" w:name="_Toc414442658"/>
    </w:p>
    <w:p w:rsidR="0084501E" w:rsidRDefault="0084501E" w:rsidP="00D86226">
      <w:pPr>
        <w:rPr>
          <w:lang w:eastAsia="en-NZ"/>
        </w:rPr>
      </w:pPr>
    </w:p>
    <w:p w:rsidR="0084501E" w:rsidRDefault="0084501E" w:rsidP="00D86226">
      <w:pPr>
        <w:rPr>
          <w:lang w:eastAsia="en-NZ"/>
        </w:rPr>
      </w:pPr>
    </w:p>
    <w:p w:rsidR="0084501E" w:rsidRDefault="0084501E" w:rsidP="00D86226">
      <w:pPr>
        <w:rPr>
          <w:lang w:eastAsia="en-NZ"/>
        </w:rPr>
      </w:pPr>
    </w:p>
    <w:p w:rsidR="0084501E" w:rsidRDefault="0084501E" w:rsidP="00D86226">
      <w:pPr>
        <w:rPr>
          <w:lang w:eastAsia="en-NZ"/>
        </w:rPr>
      </w:pPr>
    </w:p>
    <w:p w:rsidR="0084501E" w:rsidRDefault="0084501E" w:rsidP="00D86226">
      <w:pPr>
        <w:rPr>
          <w:lang w:eastAsia="en-NZ"/>
        </w:rPr>
      </w:pPr>
    </w:p>
    <w:p w:rsidR="0084501E" w:rsidRDefault="0084501E" w:rsidP="00D86226">
      <w:pPr>
        <w:rPr>
          <w:lang w:eastAsia="en-NZ"/>
        </w:rPr>
      </w:pPr>
    </w:p>
    <w:p w:rsidR="0084501E" w:rsidRDefault="0084501E" w:rsidP="00D86226">
      <w:pPr>
        <w:rPr>
          <w:lang w:eastAsia="en-NZ"/>
        </w:rPr>
      </w:pPr>
    </w:p>
    <w:p w:rsidR="0084501E" w:rsidRDefault="0084501E" w:rsidP="00D86226">
      <w:pPr>
        <w:rPr>
          <w:lang w:eastAsia="en-NZ"/>
        </w:rPr>
      </w:pPr>
    </w:p>
    <w:p w:rsidR="0084501E" w:rsidRDefault="0084501E" w:rsidP="00D86226">
      <w:pPr>
        <w:rPr>
          <w:lang w:eastAsia="en-NZ"/>
        </w:rPr>
      </w:pPr>
    </w:p>
    <w:p w:rsidR="0084501E" w:rsidRDefault="0084501E" w:rsidP="00D86226">
      <w:pPr>
        <w:rPr>
          <w:lang w:eastAsia="en-NZ"/>
        </w:rPr>
      </w:pPr>
    </w:p>
    <w:p w:rsidR="0084501E" w:rsidRDefault="0084501E" w:rsidP="00D86226">
      <w:pPr>
        <w:rPr>
          <w:lang w:eastAsia="en-NZ"/>
        </w:rPr>
      </w:pPr>
    </w:p>
    <w:p w:rsidR="0084501E" w:rsidRDefault="0084501E" w:rsidP="00D86226">
      <w:pPr>
        <w:rPr>
          <w:lang w:eastAsia="en-NZ"/>
        </w:rPr>
      </w:pPr>
    </w:p>
    <w:p w:rsidR="0084501E" w:rsidRDefault="0084501E" w:rsidP="00D86226">
      <w:pPr>
        <w:rPr>
          <w:lang w:eastAsia="en-NZ"/>
        </w:rPr>
      </w:pPr>
    </w:p>
    <w:p w:rsidR="00ED23D0" w:rsidRDefault="00ED23D0" w:rsidP="00D86226">
      <w:pPr>
        <w:rPr>
          <w:lang w:eastAsia="en-NZ"/>
        </w:rPr>
      </w:pPr>
    </w:p>
    <w:p w:rsidR="00D86226" w:rsidRDefault="00D86226" w:rsidP="00D86226">
      <w:pPr>
        <w:pStyle w:val="Heading3"/>
        <w:spacing w:before="240"/>
        <w:rPr>
          <w:lang w:eastAsia="en-NZ"/>
        </w:rPr>
      </w:pPr>
      <w:bookmarkStart w:id="124" w:name="_Toc426462639"/>
      <w:bookmarkStart w:id="125" w:name="_Toc443992234"/>
      <w:bookmarkStart w:id="126" w:name="_Toc493684135"/>
      <w:bookmarkStart w:id="127" w:name="_Toc516741381"/>
      <w:r>
        <w:rPr>
          <w:lang w:eastAsia="en-NZ"/>
        </w:rPr>
        <w:lastRenderedPageBreak/>
        <w:t xml:space="preserve">4.3 </w:t>
      </w:r>
      <w:r>
        <w:rPr>
          <w:lang w:eastAsia="en-NZ"/>
        </w:rPr>
        <w:tab/>
      </w:r>
      <w:r>
        <w:t>Recommendations</w:t>
      </w:r>
      <w:r>
        <w:rPr>
          <w:lang w:eastAsia="en-NZ"/>
        </w:rPr>
        <w:t xml:space="preserve"> made to DHBs following a complaint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D86226" w:rsidRDefault="00D86226" w:rsidP="00160606">
      <w:pPr>
        <w:pStyle w:val="NoSpacing"/>
        <w:spacing w:after="360"/>
        <w:rPr>
          <w:lang w:val="en-NZ" w:eastAsia="en-NZ"/>
        </w:rPr>
      </w:pPr>
      <w:r>
        <w:rPr>
          <w:lang w:val="en-NZ" w:eastAsia="en-NZ"/>
        </w:rPr>
        <w:t xml:space="preserve">Regardless of whether or not a complaint has been investigated, the Commissioner may make recommendations to a DHB. HDC then follows up with the DHB to ensure that these recommendations have been acted upon. Table 12 shows the recommendations made to </w:t>
      </w:r>
      <w:r w:rsidR="0076073A">
        <w:rPr>
          <w:lang w:val="en-NZ" w:eastAsia="en-NZ"/>
        </w:rPr>
        <w:t>DHBs</w:t>
      </w:r>
      <w:r w:rsidR="00F95A5F">
        <w:rPr>
          <w:lang w:val="en-NZ" w:eastAsia="en-NZ"/>
        </w:rPr>
        <w:t xml:space="preserve"> in complaints closed in Jan</w:t>
      </w:r>
      <w:r w:rsidR="00BF6ABB">
        <w:rPr>
          <w:lang w:val="en-NZ" w:eastAsia="en-NZ"/>
        </w:rPr>
        <w:t>–</w:t>
      </w:r>
      <w:r w:rsidR="00F95A5F">
        <w:rPr>
          <w:lang w:val="en-NZ" w:eastAsia="en-NZ"/>
        </w:rPr>
        <w:t>Jun 2018</w:t>
      </w:r>
      <w:r>
        <w:rPr>
          <w:lang w:val="en-NZ" w:eastAsia="en-NZ"/>
        </w:rPr>
        <w:t xml:space="preserve">. Please note that more than one recommendation may be made in relation to a single complaint. </w:t>
      </w:r>
    </w:p>
    <w:p w:rsidR="00D86226" w:rsidRDefault="00D86226" w:rsidP="00160606">
      <w:pPr>
        <w:pStyle w:val="NoSpacing"/>
        <w:keepNext/>
        <w:keepLines/>
        <w:spacing w:after="120"/>
        <w:rPr>
          <w:b/>
          <w:lang w:val="en-NZ" w:eastAsia="en-NZ"/>
        </w:rPr>
      </w:pPr>
      <w:proofErr w:type="gramStart"/>
      <w:r>
        <w:rPr>
          <w:b/>
          <w:lang w:val="en-NZ" w:eastAsia="en-NZ"/>
        </w:rPr>
        <w:t>Table 12.</w:t>
      </w:r>
      <w:proofErr w:type="gramEnd"/>
      <w:r>
        <w:rPr>
          <w:b/>
          <w:lang w:val="en-NZ" w:eastAsia="en-NZ"/>
        </w:rPr>
        <w:t xml:space="preserve"> </w:t>
      </w:r>
      <w:r>
        <w:rPr>
          <w:lang w:val="en-NZ" w:eastAsia="en-NZ"/>
        </w:rPr>
        <w:t>Recommendations made to DHBs following a complaint</w:t>
      </w:r>
    </w:p>
    <w:tbl>
      <w:tblPr>
        <w:tblStyle w:val="TableGrid"/>
        <w:tblW w:w="0" w:type="auto"/>
        <w:tblInd w:w="108" w:type="dxa"/>
        <w:tblLayout w:type="fixed"/>
        <w:tblLook w:val="04A0" w:firstRow="1" w:lastRow="0" w:firstColumn="1" w:lastColumn="0" w:noHBand="0" w:noVBand="1"/>
      </w:tblPr>
      <w:tblGrid>
        <w:gridCol w:w="3686"/>
        <w:gridCol w:w="1984"/>
      </w:tblGrid>
      <w:tr w:rsidR="00D86226" w:rsidTr="00D86226">
        <w:tc>
          <w:tcPr>
            <w:tcW w:w="3686" w:type="dxa"/>
            <w:tcBorders>
              <w:top w:val="single" w:sz="4" w:space="0" w:color="auto"/>
              <w:left w:val="single" w:sz="4" w:space="0" w:color="auto"/>
              <w:bottom w:val="single" w:sz="4" w:space="0" w:color="auto"/>
              <w:right w:val="single" w:sz="4" w:space="0" w:color="auto"/>
            </w:tcBorders>
            <w:vAlign w:val="center"/>
            <w:hideMark/>
          </w:tcPr>
          <w:p w:rsidR="00D86226" w:rsidRDefault="00D86226" w:rsidP="00160606">
            <w:pPr>
              <w:pStyle w:val="NoSpacing"/>
              <w:keepNext/>
              <w:keepLines/>
              <w:jc w:val="center"/>
              <w:rPr>
                <w:b/>
                <w:lang w:val="en-NZ" w:eastAsia="en-NZ"/>
              </w:rPr>
            </w:pPr>
            <w:r>
              <w:rPr>
                <w:b/>
                <w:lang w:val="en-NZ" w:eastAsia="en-NZ"/>
              </w:rPr>
              <w:t>Recommendation</w:t>
            </w:r>
          </w:p>
        </w:tc>
        <w:tc>
          <w:tcPr>
            <w:tcW w:w="1984" w:type="dxa"/>
            <w:tcBorders>
              <w:top w:val="single" w:sz="4" w:space="0" w:color="auto"/>
              <w:left w:val="single" w:sz="4" w:space="0" w:color="auto"/>
              <w:bottom w:val="single" w:sz="4" w:space="0" w:color="auto"/>
              <w:right w:val="single" w:sz="4" w:space="0" w:color="auto"/>
            </w:tcBorders>
            <w:hideMark/>
          </w:tcPr>
          <w:p w:rsidR="00D86226" w:rsidRDefault="00D86226" w:rsidP="00160606">
            <w:pPr>
              <w:pStyle w:val="NoSpacing"/>
              <w:keepNext/>
              <w:keepLines/>
              <w:jc w:val="center"/>
              <w:rPr>
                <w:b/>
                <w:lang w:val="en-NZ" w:eastAsia="en-NZ"/>
              </w:rPr>
            </w:pPr>
            <w:r>
              <w:rPr>
                <w:b/>
                <w:lang w:val="en-NZ" w:eastAsia="en-NZ"/>
              </w:rPr>
              <w:t>Number of recommendations made</w:t>
            </w:r>
          </w:p>
        </w:tc>
      </w:tr>
      <w:tr w:rsidR="00D86226" w:rsidTr="00D86226">
        <w:tc>
          <w:tcPr>
            <w:tcW w:w="3686" w:type="dxa"/>
            <w:tcBorders>
              <w:top w:val="single" w:sz="4" w:space="0" w:color="auto"/>
              <w:left w:val="single" w:sz="4" w:space="0" w:color="auto"/>
              <w:bottom w:val="single" w:sz="4" w:space="0" w:color="auto"/>
              <w:right w:val="single" w:sz="4" w:space="0" w:color="auto"/>
            </w:tcBorders>
            <w:hideMark/>
          </w:tcPr>
          <w:p w:rsidR="00D86226" w:rsidRDefault="00D86226" w:rsidP="00160606">
            <w:pPr>
              <w:pStyle w:val="NoSpacing"/>
              <w:keepNext/>
              <w:keepLines/>
              <w:jc w:val="left"/>
              <w:rPr>
                <w:lang w:val="en-NZ" w:eastAsia="en-NZ"/>
              </w:rPr>
            </w:pPr>
            <w:r>
              <w:rPr>
                <w:lang w:val="en-NZ" w:eastAsia="en-NZ"/>
              </w:rPr>
              <w:t>Apology</w:t>
            </w:r>
          </w:p>
        </w:tc>
        <w:tc>
          <w:tcPr>
            <w:tcW w:w="1984" w:type="dxa"/>
            <w:tcBorders>
              <w:top w:val="single" w:sz="4" w:space="0" w:color="auto"/>
              <w:left w:val="single" w:sz="4" w:space="0" w:color="auto"/>
              <w:bottom w:val="single" w:sz="4" w:space="0" w:color="auto"/>
              <w:right w:val="single" w:sz="4" w:space="0" w:color="auto"/>
            </w:tcBorders>
          </w:tcPr>
          <w:p w:rsidR="00D86226" w:rsidRDefault="0084501E" w:rsidP="00160606">
            <w:pPr>
              <w:pStyle w:val="NoSpacing"/>
              <w:keepNext/>
              <w:keepLines/>
              <w:jc w:val="center"/>
              <w:rPr>
                <w:lang w:val="en-NZ" w:eastAsia="en-NZ"/>
              </w:rPr>
            </w:pPr>
            <w:r>
              <w:rPr>
                <w:lang w:val="en-NZ" w:eastAsia="en-NZ"/>
              </w:rPr>
              <w:t>20</w:t>
            </w:r>
          </w:p>
        </w:tc>
      </w:tr>
      <w:tr w:rsidR="00D86226" w:rsidTr="00D86226">
        <w:trPr>
          <w:trHeight w:val="293"/>
        </w:trPr>
        <w:tc>
          <w:tcPr>
            <w:tcW w:w="3686" w:type="dxa"/>
            <w:tcBorders>
              <w:top w:val="single" w:sz="4" w:space="0" w:color="auto"/>
              <w:left w:val="single" w:sz="4" w:space="0" w:color="auto"/>
              <w:bottom w:val="single" w:sz="4" w:space="0" w:color="auto"/>
              <w:right w:val="single" w:sz="4" w:space="0" w:color="auto"/>
            </w:tcBorders>
            <w:hideMark/>
          </w:tcPr>
          <w:p w:rsidR="00D86226" w:rsidRDefault="00D86226" w:rsidP="00160606">
            <w:pPr>
              <w:pStyle w:val="NoSpacing"/>
              <w:keepNext/>
              <w:keepLines/>
              <w:jc w:val="left"/>
              <w:rPr>
                <w:lang w:val="en-NZ" w:eastAsia="en-NZ"/>
              </w:rPr>
            </w:pPr>
            <w:r>
              <w:rPr>
                <w:lang w:val="en-NZ" w:eastAsia="en-NZ"/>
              </w:rPr>
              <w:t>Audit</w:t>
            </w:r>
          </w:p>
        </w:tc>
        <w:tc>
          <w:tcPr>
            <w:tcW w:w="1984" w:type="dxa"/>
            <w:tcBorders>
              <w:top w:val="single" w:sz="4" w:space="0" w:color="auto"/>
              <w:left w:val="single" w:sz="4" w:space="0" w:color="auto"/>
              <w:bottom w:val="single" w:sz="4" w:space="0" w:color="auto"/>
              <w:right w:val="single" w:sz="4" w:space="0" w:color="auto"/>
            </w:tcBorders>
          </w:tcPr>
          <w:p w:rsidR="00D86226" w:rsidRDefault="00F95A5F" w:rsidP="00160606">
            <w:pPr>
              <w:pStyle w:val="NoSpacing"/>
              <w:keepNext/>
              <w:keepLines/>
              <w:jc w:val="center"/>
              <w:rPr>
                <w:lang w:val="en-NZ" w:eastAsia="en-NZ"/>
              </w:rPr>
            </w:pPr>
            <w:r>
              <w:rPr>
                <w:lang w:val="en-NZ" w:eastAsia="en-NZ"/>
              </w:rPr>
              <w:t>2</w:t>
            </w:r>
            <w:r w:rsidR="0084501E">
              <w:rPr>
                <w:lang w:val="en-NZ" w:eastAsia="en-NZ"/>
              </w:rPr>
              <w:t>3</w:t>
            </w:r>
          </w:p>
        </w:tc>
      </w:tr>
      <w:tr w:rsidR="00F95A5F" w:rsidTr="00D86226">
        <w:tc>
          <w:tcPr>
            <w:tcW w:w="3686" w:type="dxa"/>
            <w:tcBorders>
              <w:top w:val="single" w:sz="4" w:space="0" w:color="auto"/>
              <w:left w:val="single" w:sz="4" w:space="0" w:color="auto"/>
              <w:bottom w:val="single" w:sz="4" w:space="0" w:color="auto"/>
              <w:right w:val="single" w:sz="4" w:space="0" w:color="auto"/>
            </w:tcBorders>
          </w:tcPr>
          <w:p w:rsidR="00F95A5F" w:rsidRDefault="00F95A5F" w:rsidP="00160606">
            <w:pPr>
              <w:pStyle w:val="NoSpacing"/>
              <w:keepNext/>
              <w:keepLines/>
              <w:jc w:val="left"/>
              <w:rPr>
                <w:lang w:val="en-NZ" w:eastAsia="en-NZ"/>
              </w:rPr>
            </w:pPr>
            <w:r>
              <w:rPr>
                <w:lang w:val="en-NZ" w:eastAsia="en-NZ"/>
              </w:rPr>
              <w:t>Meeting with consumer</w:t>
            </w:r>
          </w:p>
        </w:tc>
        <w:tc>
          <w:tcPr>
            <w:tcW w:w="1984" w:type="dxa"/>
            <w:tcBorders>
              <w:top w:val="single" w:sz="4" w:space="0" w:color="auto"/>
              <w:left w:val="single" w:sz="4" w:space="0" w:color="auto"/>
              <w:bottom w:val="single" w:sz="4" w:space="0" w:color="auto"/>
              <w:right w:val="single" w:sz="4" w:space="0" w:color="auto"/>
            </w:tcBorders>
            <w:vAlign w:val="center"/>
          </w:tcPr>
          <w:p w:rsidR="00F95A5F" w:rsidRDefault="00F95A5F" w:rsidP="00160606">
            <w:pPr>
              <w:pStyle w:val="NoSpacing"/>
              <w:keepNext/>
              <w:keepLines/>
              <w:jc w:val="center"/>
              <w:rPr>
                <w:sz w:val="24"/>
                <w:szCs w:val="24"/>
                <w:lang w:val="en-NZ" w:eastAsia="en-NZ"/>
              </w:rPr>
            </w:pPr>
            <w:r>
              <w:rPr>
                <w:sz w:val="24"/>
                <w:szCs w:val="24"/>
                <w:lang w:val="en-NZ" w:eastAsia="en-NZ"/>
              </w:rPr>
              <w:t>5</w:t>
            </w:r>
          </w:p>
        </w:tc>
      </w:tr>
      <w:tr w:rsidR="00D86226" w:rsidTr="00D86226">
        <w:tc>
          <w:tcPr>
            <w:tcW w:w="3686" w:type="dxa"/>
            <w:tcBorders>
              <w:top w:val="single" w:sz="4" w:space="0" w:color="auto"/>
              <w:left w:val="single" w:sz="4" w:space="0" w:color="auto"/>
              <w:bottom w:val="single" w:sz="4" w:space="0" w:color="auto"/>
              <w:right w:val="single" w:sz="4" w:space="0" w:color="auto"/>
            </w:tcBorders>
            <w:hideMark/>
          </w:tcPr>
          <w:p w:rsidR="00D86226" w:rsidRDefault="00D86226" w:rsidP="00160606">
            <w:pPr>
              <w:pStyle w:val="NoSpacing"/>
              <w:keepNext/>
              <w:keepLines/>
              <w:jc w:val="left"/>
              <w:rPr>
                <w:lang w:val="en-NZ" w:eastAsia="en-NZ"/>
              </w:rPr>
            </w:pPr>
            <w:r>
              <w:rPr>
                <w:lang w:val="en-NZ" w:eastAsia="en-NZ"/>
              </w:rPr>
              <w:t>Presentation/discussion of complaint with others</w:t>
            </w:r>
          </w:p>
        </w:tc>
        <w:tc>
          <w:tcPr>
            <w:tcW w:w="1984" w:type="dxa"/>
            <w:tcBorders>
              <w:top w:val="single" w:sz="4" w:space="0" w:color="auto"/>
              <w:left w:val="single" w:sz="4" w:space="0" w:color="auto"/>
              <w:bottom w:val="single" w:sz="4" w:space="0" w:color="auto"/>
              <w:right w:val="single" w:sz="4" w:space="0" w:color="auto"/>
            </w:tcBorders>
            <w:vAlign w:val="center"/>
          </w:tcPr>
          <w:p w:rsidR="00D86226" w:rsidRDefault="00F95A5F" w:rsidP="00160606">
            <w:pPr>
              <w:pStyle w:val="NoSpacing"/>
              <w:keepNext/>
              <w:keepLines/>
              <w:jc w:val="center"/>
              <w:rPr>
                <w:sz w:val="24"/>
                <w:szCs w:val="24"/>
                <w:lang w:val="en-NZ" w:eastAsia="en-NZ"/>
              </w:rPr>
            </w:pPr>
            <w:r>
              <w:rPr>
                <w:sz w:val="24"/>
                <w:szCs w:val="24"/>
                <w:lang w:val="en-NZ" w:eastAsia="en-NZ"/>
              </w:rPr>
              <w:t>1</w:t>
            </w:r>
            <w:r w:rsidR="0084501E">
              <w:rPr>
                <w:sz w:val="24"/>
                <w:szCs w:val="24"/>
                <w:lang w:val="en-NZ" w:eastAsia="en-NZ"/>
              </w:rPr>
              <w:t>4</w:t>
            </w:r>
          </w:p>
        </w:tc>
      </w:tr>
      <w:tr w:rsidR="00D86226" w:rsidTr="000A2BD7">
        <w:tc>
          <w:tcPr>
            <w:tcW w:w="3686" w:type="dxa"/>
            <w:tcBorders>
              <w:top w:val="single" w:sz="4" w:space="0" w:color="auto"/>
              <w:left w:val="single" w:sz="4" w:space="0" w:color="auto"/>
              <w:bottom w:val="single" w:sz="4" w:space="0" w:color="auto"/>
              <w:right w:val="single" w:sz="4" w:space="0" w:color="auto"/>
            </w:tcBorders>
            <w:hideMark/>
          </w:tcPr>
          <w:p w:rsidR="00D86226" w:rsidRDefault="00D86226" w:rsidP="00160606">
            <w:pPr>
              <w:pStyle w:val="NoSpacing"/>
              <w:keepNext/>
              <w:keepLines/>
              <w:rPr>
                <w:lang w:val="en-NZ" w:eastAsia="en-NZ"/>
              </w:rPr>
            </w:pPr>
            <w:r>
              <w:rPr>
                <w:lang w:val="en-NZ" w:eastAsia="en-NZ"/>
              </w:rPr>
              <w:t>Provision of evidence of change to HDC</w:t>
            </w:r>
          </w:p>
        </w:tc>
        <w:tc>
          <w:tcPr>
            <w:tcW w:w="1984" w:type="dxa"/>
            <w:tcBorders>
              <w:top w:val="single" w:sz="4" w:space="0" w:color="auto"/>
              <w:left w:val="single" w:sz="4" w:space="0" w:color="auto"/>
              <w:bottom w:val="single" w:sz="4" w:space="0" w:color="auto"/>
              <w:right w:val="single" w:sz="4" w:space="0" w:color="auto"/>
            </w:tcBorders>
            <w:vAlign w:val="center"/>
          </w:tcPr>
          <w:p w:rsidR="00D86226" w:rsidRDefault="0084501E" w:rsidP="00160606">
            <w:pPr>
              <w:pStyle w:val="NoSpacing"/>
              <w:keepNext/>
              <w:keepLines/>
              <w:jc w:val="center"/>
              <w:rPr>
                <w:sz w:val="24"/>
                <w:szCs w:val="24"/>
                <w:lang w:val="en-NZ" w:eastAsia="en-NZ"/>
              </w:rPr>
            </w:pPr>
            <w:r>
              <w:rPr>
                <w:sz w:val="24"/>
                <w:szCs w:val="24"/>
                <w:lang w:val="en-NZ" w:eastAsia="en-NZ"/>
              </w:rPr>
              <w:t>65</w:t>
            </w:r>
          </w:p>
        </w:tc>
      </w:tr>
      <w:tr w:rsidR="00F95A5F" w:rsidTr="000A2BD7">
        <w:tc>
          <w:tcPr>
            <w:tcW w:w="3686" w:type="dxa"/>
            <w:tcBorders>
              <w:top w:val="single" w:sz="4" w:space="0" w:color="auto"/>
              <w:left w:val="single" w:sz="4" w:space="0" w:color="auto"/>
              <w:bottom w:val="single" w:sz="4" w:space="0" w:color="auto"/>
              <w:right w:val="single" w:sz="4" w:space="0" w:color="auto"/>
            </w:tcBorders>
          </w:tcPr>
          <w:p w:rsidR="00F95A5F" w:rsidRDefault="00F95A5F" w:rsidP="00160606">
            <w:pPr>
              <w:pStyle w:val="NoSpacing"/>
              <w:keepNext/>
              <w:keepLines/>
              <w:rPr>
                <w:lang w:val="en-NZ" w:eastAsia="en-NZ"/>
              </w:rPr>
            </w:pPr>
            <w:r>
              <w:rPr>
                <w:lang w:val="en-NZ" w:eastAsia="en-NZ"/>
              </w:rPr>
              <w:t>Provision of information to consumer</w:t>
            </w:r>
          </w:p>
        </w:tc>
        <w:tc>
          <w:tcPr>
            <w:tcW w:w="1984" w:type="dxa"/>
            <w:tcBorders>
              <w:top w:val="single" w:sz="4" w:space="0" w:color="auto"/>
              <w:left w:val="single" w:sz="4" w:space="0" w:color="auto"/>
              <w:bottom w:val="single" w:sz="4" w:space="0" w:color="auto"/>
              <w:right w:val="single" w:sz="4" w:space="0" w:color="auto"/>
            </w:tcBorders>
            <w:vAlign w:val="center"/>
          </w:tcPr>
          <w:p w:rsidR="00F95A5F" w:rsidRDefault="00F95A5F" w:rsidP="00160606">
            <w:pPr>
              <w:pStyle w:val="NoSpacing"/>
              <w:keepNext/>
              <w:keepLines/>
              <w:jc w:val="center"/>
              <w:rPr>
                <w:sz w:val="24"/>
                <w:szCs w:val="24"/>
                <w:lang w:val="en-NZ" w:eastAsia="en-NZ"/>
              </w:rPr>
            </w:pPr>
            <w:r>
              <w:rPr>
                <w:sz w:val="24"/>
                <w:szCs w:val="24"/>
                <w:lang w:val="en-NZ" w:eastAsia="en-NZ"/>
              </w:rPr>
              <w:t>2</w:t>
            </w:r>
          </w:p>
        </w:tc>
      </w:tr>
      <w:tr w:rsidR="00D86226" w:rsidTr="00D86226">
        <w:tc>
          <w:tcPr>
            <w:tcW w:w="3686" w:type="dxa"/>
            <w:tcBorders>
              <w:top w:val="single" w:sz="4" w:space="0" w:color="auto"/>
              <w:left w:val="single" w:sz="4" w:space="0" w:color="auto"/>
              <w:bottom w:val="single" w:sz="4" w:space="0" w:color="auto"/>
              <w:right w:val="single" w:sz="4" w:space="0" w:color="auto"/>
            </w:tcBorders>
            <w:hideMark/>
          </w:tcPr>
          <w:p w:rsidR="00D86226" w:rsidRDefault="00D86226" w:rsidP="00D86226">
            <w:pPr>
              <w:pStyle w:val="NoSpacing"/>
              <w:jc w:val="left"/>
              <w:rPr>
                <w:lang w:val="en-NZ" w:eastAsia="en-NZ"/>
              </w:rPr>
            </w:pPr>
            <w:r>
              <w:rPr>
                <w:lang w:val="en-NZ" w:eastAsia="en-NZ"/>
              </w:rPr>
              <w:t>Reflection</w:t>
            </w:r>
          </w:p>
        </w:tc>
        <w:tc>
          <w:tcPr>
            <w:tcW w:w="1984" w:type="dxa"/>
            <w:tcBorders>
              <w:top w:val="single" w:sz="4" w:space="0" w:color="auto"/>
              <w:left w:val="single" w:sz="4" w:space="0" w:color="auto"/>
              <w:bottom w:val="single" w:sz="4" w:space="0" w:color="auto"/>
              <w:right w:val="single" w:sz="4" w:space="0" w:color="auto"/>
            </w:tcBorders>
          </w:tcPr>
          <w:p w:rsidR="00D86226" w:rsidRDefault="00F95A5F" w:rsidP="00D86226">
            <w:pPr>
              <w:pStyle w:val="NoSpacing"/>
              <w:jc w:val="center"/>
              <w:rPr>
                <w:sz w:val="24"/>
                <w:szCs w:val="24"/>
                <w:lang w:val="en-NZ" w:eastAsia="en-NZ"/>
              </w:rPr>
            </w:pPr>
            <w:r>
              <w:rPr>
                <w:sz w:val="24"/>
                <w:szCs w:val="24"/>
                <w:lang w:val="en-NZ" w:eastAsia="en-NZ"/>
              </w:rPr>
              <w:t>5</w:t>
            </w:r>
          </w:p>
        </w:tc>
      </w:tr>
      <w:tr w:rsidR="00D86226" w:rsidTr="000A2BD7">
        <w:tc>
          <w:tcPr>
            <w:tcW w:w="3686" w:type="dxa"/>
            <w:tcBorders>
              <w:top w:val="single" w:sz="4" w:space="0" w:color="auto"/>
              <w:left w:val="single" w:sz="4" w:space="0" w:color="auto"/>
              <w:bottom w:val="single" w:sz="4" w:space="0" w:color="auto"/>
              <w:right w:val="single" w:sz="4" w:space="0" w:color="auto"/>
            </w:tcBorders>
            <w:hideMark/>
          </w:tcPr>
          <w:p w:rsidR="00D86226" w:rsidRDefault="00D86226" w:rsidP="00D86226">
            <w:pPr>
              <w:pStyle w:val="NoSpacing"/>
              <w:jc w:val="left"/>
              <w:rPr>
                <w:lang w:val="en-NZ" w:eastAsia="en-NZ"/>
              </w:rPr>
            </w:pPr>
            <w:r>
              <w:rPr>
                <w:lang w:val="en-NZ" w:eastAsia="en-NZ"/>
              </w:rPr>
              <w:t>Review/implementation of policies/procedures</w:t>
            </w:r>
          </w:p>
        </w:tc>
        <w:tc>
          <w:tcPr>
            <w:tcW w:w="1984" w:type="dxa"/>
            <w:tcBorders>
              <w:top w:val="single" w:sz="4" w:space="0" w:color="auto"/>
              <w:left w:val="single" w:sz="4" w:space="0" w:color="auto"/>
              <w:bottom w:val="single" w:sz="4" w:space="0" w:color="auto"/>
              <w:right w:val="single" w:sz="4" w:space="0" w:color="auto"/>
            </w:tcBorders>
            <w:vAlign w:val="center"/>
          </w:tcPr>
          <w:p w:rsidR="00D86226" w:rsidRDefault="0084501E" w:rsidP="000A2BD7">
            <w:pPr>
              <w:pStyle w:val="NoSpacing"/>
              <w:jc w:val="center"/>
              <w:rPr>
                <w:sz w:val="24"/>
                <w:szCs w:val="24"/>
                <w:lang w:val="en-NZ" w:eastAsia="en-NZ"/>
              </w:rPr>
            </w:pPr>
            <w:r>
              <w:rPr>
                <w:sz w:val="24"/>
                <w:szCs w:val="24"/>
                <w:lang w:val="en-NZ" w:eastAsia="en-NZ"/>
              </w:rPr>
              <w:t>44</w:t>
            </w:r>
          </w:p>
        </w:tc>
      </w:tr>
      <w:tr w:rsidR="00D86226" w:rsidTr="00D86226">
        <w:tc>
          <w:tcPr>
            <w:tcW w:w="3686" w:type="dxa"/>
            <w:tcBorders>
              <w:top w:val="single" w:sz="4" w:space="0" w:color="auto"/>
              <w:left w:val="single" w:sz="4" w:space="0" w:color="auto"/>
              <w:bottom w:val="single" w:sz="4" w:space="0" w:color="auto"/>
              <w:right w:val="single" w:sz="4" w:space="0" w:color="auto"/>
            </w:tcBorders>
            <w:hideMark/>
          </w:tcPr>
          <w:p w:rsidR="00D86226" w:rsidRDefault="00D86226" w:rsidP="00D86226">
            <w:pPr>
              <w:pStyle w:val="NoSpacing"/>
              <w:rPr>
                <w:lang w:val="en-NZ" w:eastAsia="en-NZ"/>
              </w:rPr>
            </w:pPr>
            <w:r>
              <w:rPr>
                <w:lang w:val="en-NZ" w:eastAsia="en-NZ"/>
              </w:rPr>
              <w:t>Training/professional development</w:t>
            </w:r>
          </w:p>
        </w:tc>
        <w:tc>
          <w:tcPr>
            <w:tcW w:w="1984" w:type="dxa"/>
            <w:tcBorders>
              <w:top w:val="single" w:sz="4" w:space="0" w:color="auto"/>
              <w:left w:val="single" w:sz="4" w:space="0" w:color="auto"/>
              <w:bottom w:val="single" w:sz="4" w:space="0" w:color="auto"/>
              <w:right w:val="single" w:sz="4" w:space="0" w:color="auto"/>
            </w:tcBorders>
          </w:tcPr>
          <w:p w:rsidR="00D86226" w:rsidRDefault="00F95A5F" w:rsidP="00D86226">
            <w:pPr>
              <w:pStyle w:val="NoSpacing"/>
              <w:jc w:val="center"/>
              <w:rPr>
                <w:lang w:val="en-NZ" w:eastAsia="en-NZ"/>
              </w:rPr>
            </w:pPr>
            <w:r>
              <w:rPr>
                <w:lang w:val="en-NZ" w:eastAsia="en-NZ"/>
              </w:rPr>
              <w:t>3</w:t>
            </w:r>
            <w:r w:rsidR="0084501E">
              <w:rPr>
                <w:lang w:val="en-NZ" w:eastAsia="en-NZ"/>
              </w:rPr>
              <w:t>5</w:t>
            </w:r>
          </w:p>
        </w:tc>
      </w:tr>
      <w:tr w:rsidR="00D86226" w:rsidTr="00D86226">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pStyle w:val="NoSpacing"/>
              <w:rPr>
                <w:b/>
                <w:lang w:val="en-NZ" w:eastAsia="en-NZ"/>
              </w:rPr>
            </w:pPr>
            <w:r>
              <w:rPr>
                <w:b/>
                <w:lang w:val="en-NZ" w:eastAsia="en-NZ"/>
              </w:rPr>
              <w:t>Total</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6226" w:rsidRDefault="0084501E" w:rsidP="00D86226">
            <w:pPr>
              <w:pStyle w:val="NoSpacing"/>
              <w:jc w:val="center"/>
              <w:rPr>
                <w:b/>
                <w:lang w:val="en-NZ" w:eastAsia="en-NZ"/>
              </w:rPr>
            </w:pPr>
            <w:r>
              <w:rPr>
                <w:b/>
                <w:lang w:val="en-NZ" w:eastAsia="en-NZ"/>
              </w:rPr>
              <w:fldChar w:fldCharType="begin"/>
            </w:r>
            <w:r>
              <w:rPr>
                <w:b/>
                <w:lang w:val="en-NZ" w:eastAsia="en-NZ"/>
              </w:rPr>
              <w:instrText xml:space="preserve"> =SUM(ABOVE) </w:instrText>
            </w:r>
            <w:r>
              <w:rPr>
                <w:b/>
                <w:lang w:val="en-NZ" w:eastAsia="en-NZ"/>
              </w:rPr>
              <w:fldChar w:fldCharType="separate"/>
            </w:r>
            <w:r>
              <w:rPr>
                <w:b/>
                <w:noProof/>
                <w:lang w:val="en-NZ" w:eastAsia="en-NZ"/>
              </w:rPr>
              <w:t>213</w:t>
            </w:r>
            <w:r>
              <w:rPr>
                <w:b/>
                <w:lang w:val="en-NZ" w:eastAsia="en-NZ"/>
              </w:rPr>
              <w:fldChar w:fldCharType="end"/>
            </w:r>
          </w:p>
        </w:tc>
      </w:tr>
    </w:tbl>
    <w:p w:rsidR="00D86226" w:rsidRDefault="00D86226" w:rsidP="00160606">
      <w:pPr>
        <w:spacing w:before="480"/>
        <w:rPr>
          <w:b/>
        </w:rPr>
      </w:pPr>
      <w:r>
        <w:t>T</w:t>
      </w:r>
      <w:r>
        <w:rPr>
          <w:lang w:eastAsia="en-NZ"/>
        </w:rPr>
        <w:t>he most common recommendation made to DHBs was that they</w:t>
      </w:r>
      <w:r w:rsidR="0084501E">
        <w:rPr>
          <w:lang w:eastAsia="en-NZ"/>
        </w:rPr>
        <w:t xml:space="preserve"> provide evidence to HDC of the changes they had made in response to the issues raised by the complaint (65 recommendations). Often, when HDC asks for this evidence, it is also recommended that the provider conducts a review of the effectiveness of the changes made. C</w:t>
      </w:r>
      <w:r w:rsidR="002A3A0E">
        <w:rPr>
          <w:lang w:eastAsia="en-NZ"/>
        </w:rPr>
        <w:t>onduct</w:t>
      </w:r>
      <w:r w:rsidR="0084501E">
        <w:rPr>
          <w:lang w:eastAsia="en-NZ"/>
        </w:rPr>
        <w:t>ing</w:t>
      </w:r>
      <w:r w:rsidR="002A3A0E">
        <w:rPr>
          <w:lang w:eastAsia="en-NZ"/>
        </w:rPr>
        <w:t xml:space="preserve"> a review of their policies/procedures or implement</w:t>
      </w:r>
      <w:r w:rsidR="0084501E">
        <w:rPr>
          <w:lang w:eastAsia="en-NZ"/>
        </w:rPr>
        <w:t>ing</w:t>
      </w:r>
      <w:r w:rsidR="002A3A0E">
        <w:rPr>
          <w:lang w:eastAsia="en-NZ"/>
        </w:rPr>
        <w:t xml:space="preserve"> new policies/procedures</w:t>
      </w:r>
      <w:r w:rsidR="0084501E">
        <w:rPr>
          <w:lang w:eastAsia="en-NZ"/>
        </w:rPr>
        <w:t xml:space="preserve"> (44</w:t>
      </w:r>
      <w:r w:rsidR="00295503">
        <w:rPr>
          <w:lang w:eastAsia="en-NZ"/>
        </w:rPr>
        <w:t xml:space="preserve"> recommendations)</w:t>
      </w:r>
      <w:r w:rsidR="0084501E">
        <w:rPr>
          <w:lang w:eastAsia="en-NZ"/>
        </w:rPr>
        <w:t xml:space="preserve"> and staff training (35 recommendations) were also often recommended. Staff training </w:t>
      </w:r>
      <w:r w:rsidR="00295503">
        <w:rPr>
          <w:lang w:eastAsia="en-NZ"/>
        </w:rPr>
        <w:t>was most commonly</w:t>
      </w:r>
      <w:r w:rsidR="0084501E">
        <w:rPr>
          <w:lang w:eastAsia="en-NZ"/>
        </w:rPr>
        <w:t xml:space="preserve"> recommended</w:t>
      </w:r>
      <w:r w:rsidR="00295503">
        <w:rPr>
          <w:lang w:eastAsia="en-NZ"/>
        </w:rPr>
        <w:t xml:space="preserve"> in relation to clinical issues. </w:t>
      </w:r>
      <w:r w:rsidR="0084501E">
        <w:rPr>
          <w:lang w:eastAsia="en-NZ"/>
        </w:rPr>
        <w:t xml:space="preserve">Where new policies/procedures have been introduced by providers following a complaint, HDC will often recommend an audit to ensure that </w:t>
      </w:r>
      <w:proofErr w:type="gramStart"/>
      <w:r w:rsidR="0084501E">
        <w:rPr>
          <w:lang w:eastAsia="en-NZ"/>
        </w:rPr>
        <w:t>staff are</w:t>
      </w:r>
      <w:proofErr w:type="gramEnd"/>
      <w:r w:rsidR="0084501E">
        <w:rPr>
          <w:lang w:eastAsia="en-NZ"/>
        </w:rPr>
        <w:t xml:space="preserve"> complying with these</w:t>
      </w:r>
      <w:r w:rsidR="00ED23D0">
        <w:rPr>
          <w:lang w:eastAsia="en-NZ"/>
        </w:rPr>
        <w:t xml:space="preserve"> new</w:t>
      </w:r>
      <w:r w:rsidR="0084501E">
        <w:rPr>
          <w:lang w:eastAsia="en-NZ"/>
        </w:rPr>
        <w:t xml:space="preserve"> policies/procedures. </w:t>
      </w:r>
    </w:p>
    <w:p w:rsidR="00D86226" w:rsidRDefault="00D86226" w:rsidP="00D86226"/>
    <w:p w:rsidR="00D86226" w:rsidRDefault="00D86226" w:rsidP="00D86226"/>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33E17" w:rsidRDefault="00D33E17" w:rsidP="00D33E17">
      <w:pPr>
        <w:pStyle w:val="Heading2"/>
        <w:spacing w:before="0" w:after="360"/>
        <w:rPr>
          <w:lang w:val="en-NZ"/>
        </w:rPr>
      </w:pPr>
      <w:bookmarkStart w:id="128" w:name="_Toc426462640"/>
      <w:bookmarkStart w:id="129" w:name="_Toc443992235"/>
      <w:bookmarkStart w:id="130" w:name="_Toc493684136"/>
      <w:bookmarkStart w:id="131" w:name="_Toc516741382"/>
      <w:r>
        <w:rPr>
          <w:lang w:val="en-NZ"/>
        </w:rPr>
        <w:lastRenderedPageBreak/>
        <w:t>5.0</w:t>
      </w:r>
      <w:r>
        <w:rPr>
          <w:lang w:val="en-NZ"/>
        </w:rPr>
        <w:tab/>
        <w:t>Learning from complaints — HDC case reports</w:t>
      </w:r>
      <w:bookmarkEnd w:id="128"/>
      <w:bookmarkEnd w:id="129"/>
      <w:bookmarkEnd w:id="130"/>
      <w:bookmarkEnd w:id="131"/>
    </w:p>
    <w:p w:rsidR="00D33E17" w:rsidRDefault="00BA4F9E" w:rsidP="00D33E17">
      <w:pPr>
        <w:spacing w:after="120"/>
        <w:rPr>
          <w:b/>
          <w:szCs w:val="22"/>
        </w:rPr>
      </w:pPr>
      <w:r>
        <w:rPr>
          <w:b/>
          <w:szCs w:val="22"/>
        </w:rPr>
        <w:t>Delay in follow-up ophthalmology review (16</w:t>
      </w:r>
      <w:r>
        <w:rPr>
          <w:b/>
          <w:noProof/>
          <w:szCs w:val="22"/>
        </w:rPr>
        <w:t>HDC01010</w:t>
      </w:r>
      <w:r w:rsidR="00D33E17">
        <w:rPr>
          <w:b/>
          <w:szCs w:val="22"/>
        </w:rPr>
        <w:t>)</w:t>
      </w:r>
    </w:p>
    <w:p w:rsidR="00D33E17" w:rsidRDefault="00D33E17" w:rsidP="001A7030">
      <w:pPr>
        <w:spacing w:after="120"/>
        <w:rPr>
          <w:i/>
          <w:szCs w:val="22"/>
        </w:rPr>
      </w:pPr>
      <w:r>
        <w:rPr>
          <w:i/>
          <w:szCs w:val="22"/>
        </w:rPr>
        <w:t>Background</w:t>
      </w:r>
    </w:p>
    <w:p w:rsidR="00BA4F9E" w:rsidRPr="001A7030" w:rsidRDefault="00BA4F9E" w:rsidP="00BA4F9E">
      <w:pPr>
        <w:tabs>
          <w:tab w:val="left" w:pos="720"/>
          <w:tab w:val="left" w:pos="1134"/>
        </w:tabs>
        <w:spacing w:after="240"/>
        <w:rPr>
          <w:rFonts w:eastAsia="Tahoma"/>
          <w:szCs w:val="22"/>
          <w:lang w:val="en-US"/>
        </w:rPr>
      </w:pPr>
      <w:r w:rsidRPr="001A7030">
        <w:rPr>
          <w:rFonts w:eastAsia="Tahoma"/>
          <w:szCs w:val="22"/>
          <w:lang w:val="en-US"/>
        </w:rPr>
        <w:t>A 20-year-old man presented to a DHB’s Ophthalmology Service (the Service). The man had been referred urgently by a community optometrist and had a family history of glaucoma. He was prescribed eye drops and a follow-up review went ahead. Two months later, at a further scheduled appointment, the man was diagnosed with ocular hypertension. The consultant requested that the man be reviewed again in six months’ time.</w:t>
      </w:r>
    </w:p>
    <w:p w:rsidR="00BA4F9E" w:rsidRPr="001A7030" w:rsidRDefault="00BA4F9E" w:rsidP="00BA4F9E">
      <w:pPr>
        <w:tabs>
          <w:tab w:val="left" w:pos="720"/>
          <w:tab w:val="left" w:pos="1134"/>
        </w:tabs>
        <w:spacing w:after="240"/>
        <w:rPr>
          <w:szCs w:val="22"/>
        </w:rPr>
      </w:pPr>
      <w:r w:rsidRPr="001A7030">
        <w:rPr>
          <w:szCs w:val="22"/>
        </w:rPr>
        <w:t>The man’s follow-up appointment was delayed by six months. By this time, he had suffered vision loss in his right eye (which many clinicians subsequently attributed to the delay) and he required an urgent referral for management and surgery. In short, the man did not receive follow-up ophthalmology specialist care relating to his glaucoma management in line with the clinical time frames requested.</w:t>
      </w:r>
    </w:p>
    <w:p w:rsidR="00BA4F9E" w:rsidRDefault="00D33E17" w:rsidP="001A7030">
      <w:pPr>
        <w:spacing w:after="120"/>
        <w:rPr>
          <w:i/>
          <w:szCs w:val="22"/>
        </w:rPr>
      </w:pPr>
      <w:r>
        <w:rPr>
          <w:i/>
          <w:szCs w:val="22"/>
        </w:rPr>
        <w:t>Findings</w:t>
      </w:r>
    </w:p>
    <w:p w:rsidR="00BA4F9E" w:rsidRPr="001A7030" w:rsidRDefault="00BA4F9E" w:rsidP="00BA4F9E">
      <w:pPr>
        <w:tabs>
          <w:tab w:val="left" w:pos="720"/>
          <w:tab w:val="left" w:pos="1134"/>
        </w:tabs>
        <w:spacing w:after="240"/>
        <w:rPr>
          <w:szCs w:val="22"/>
          <w:lang w:val="en-US"/>
        </w:rPr>
      </w:pPr>
      <w:r w:rsidRPr="001A7030">
        <w:rPr>
          <w:szCs w:val="22"/>
          <w:lang w:val="en-US"/>
        </w:rPr>
        <w:t xml:space="preserve">The Commissioner was mindful, as detailed in a thorough external review of the Service commissioned by the DHB, of a combination of factors that have driven rapidly increasing demand for ophthalmology services in New Zealand, including outpatient clinic time, over the last ten years. A key factor has been the introduction of very effective new therapies and treatment, which have resulted in consumers needing to see specialists for regular ongoing follow-up and/or treatment, </w:t>
      </w:r>
      <w:r w:rsidR="00890A4C" w:rsidRPr="001A7030">
        <w:rPr>
          <w:szCs w:val="22"/>
          <w:lang w:val="en-US"/>
        </w:rPr>
        <w:t>fueling</w:t>
      </w:r>
      <w:r w:rsidRPr="001A7030">
        <w:rPr>
          <w:szCs w:val="22"/>
          <w:lang w:val="en-US"/>
        </w:rPr>
        <w:t xml:space="preserve"> increased demand for ophthalmology services. </w:t>
      </w:r>
    </w:p>
    <w:p w:rsidR="00BA4F9E" w:rsidRPr="001A7030" w:rsidRDefault="00BA4F9E" w:rsidP="00BA4F9E">
      <w:pPr>
        <w:tabs>
          <w:tab w:val="left" w:pos="720"/>
          <w:tab w:val="left" w:pos="1134"/>
        </w:tabs>
        <w:spacing w:after="240"/>
        <w:rPr>
          <w:szCs w:val="22"/>
          <w:lang w:val="en-US"/>
        </w:rPr>
      </w:pPr>
      <w:r w:rsidRPr="001A7030">
        <w:rPr>
          <w:szCs w:val="22"/>
          <w:lang w:val="en-US"/>
        </w:rPr>
        <w:t>The Commissioner commented that provider accountability is not removed by the existe</w:t>
      </w:r>
      <w:r w:rsidR="00327F72">
        <w:rPr>
          <w:szCs w:val="22"/>
          <w:lang w:val="en-US"/>
        </w:rPr>
        <w:t>nce of such systemic pressures. A</w:t>
      </w:r>
      <w:r w:rsidRPr="001A7030">
        <w:rPr>
          <w:szCs w:val="22"/>
          <w:lang w:val="en-US"/>
        </w:rPr>
        <w:t xml:space="preserve"> key improvement that all DHBs and the Ministry of Health must make, now and in the future, is to assess, plan, adapt, and respond effectively to the foreseeable effects that new technologies will have on systems and demand.</w:t>
      </w:r>
    </w:p>
    <w:p w:rsidR="00BA4F9E" w:rsidRPr="001A7030" w:rsidRDefault="00BA4F9E" w:rsidP="00BA4F9E">
      <w:pPr>
        <w:tabs>
          <w:tab w:val="left" w:pos="720"/>
          <w:tab w:val="left" w:pos="1134"/>
        </w:tabs>
        <w:spacing w:after="240"/>
        <w:rPr>
          <w:szCs w:val="22"/>
        </w:rPr>
      </w:pPr>
      <w:r w:rsidRPr="001A7030">
        <w:rPr>
          <w:szCs w:val="22"/>
        </w:rPr>
        <w:t>At the time of the man’s care, the Service lacked capacity, in that the clinics did not have enough appointments for the number of patients clinicians had to see. In the context of resource constrain</w:t>
      </w:r>
      <w:r w:rsidR="000E3D10" w:rsidRPr="001A7030">
        <w:rPr>
          <w:szCs w:val="22"/>
        </w:rPr>
        <w:t>t</w:t>
      </w:r>
      <w:r w:rsidRPr="001A7030">
        <w:rPr>
          <w:szCs w:val="22"/>
        </w:rPr>
        <w:t xml:space="preserve">, prioritisation schemes become vital in ensuring those patients at greatest risk are seen first. However, the Service lacked an appropriate prioritisation system. </w:t>
      </w:r>
    </w:p>
    <w:p w:rsidR="00BA4F9E" w:rsidRPr="001A7030" w:rsidRDefault="000E3D10" w:rsidP="00BA4F9E">
      <w:pPr>
        <w:tabs>
          <w:tab w:val="left" w:pos="720"/>
          <w:tab w:val="left" w:pos="1134"/>
        </w:tabs>
        <w:spacing w:after="240"/>
        <w:rPr>
          <w:szCs w:val="22"/>
        </w:rPr>
      </w:pPr>
      <w:r w:rsidRPr="001A7030">
        <w:rPr>
          <w:szCs w:val="22"/>
        </w:rPr>
        <w:t>The pressure on the Service was contributed to by an insufficient response by senior management at the DHB to growing demands for ophthalmology services over many years. Management at the DHB failed to communicate effectively with its clinical staff and act on valid concerns raised by senior clinicians, and to ensure that a system was in place that effectively managed and prioritised patients waiting for follow-up specialist ophthalmology care. Additionally, to some degree, a culture of tolerance emerg</w:t>
      </w:r>
      <w:r w:rsidR="008565E0">
        <w:rPr>
          <w:szCs w:val="22"/>
        </w:rPr>
        <w:t>ed and delays became normalised. A</w:t>
      </w:r>
      <w:r w:rsidRPr="001A7030">
        <w:rPr>
          <w:szCs w:val="22"/>
        </w:rPr>
        <w:t>s a result, the DHB tolerated a situation that put patients at risk.</w:t>
      </w:r>
    </w:p>
    <w:p w:rsidR="00BA4F9E" w:rsidRDefault="000E3D10" w:rsidP="000E3D10">
      <w:pPr>
        <w:tabs>
          <w:tab w:val="left" w:pos="720"/>
          <w:tab w:val="left" w:pos="1134"/>
        </w:tabs>
        <w:spacing w:after="240"/>
        <w:rPr>
          <w:szCs w:val="22"/>
        </w:rPr>
      </w:pPr>
      <w:r w:rsidRPr="001A7030">
        <w:rPr>
          <w:bCs/>
          <w:iCs/>
          <w:szCs w:val="22"/>
        </w:rPr>
        <w:t xml:space="preserve">The DHB failed to arrange a timely follow-up appointment because </w:t>
      </w:r>
      <w:r w:rsidRPr="001A7030">
        <w:rPr>
          <w:szCs w:val="22"/>
        </w:rPr>
        <w:t>it did not have a prioritisation system that focused</w:t>
      </w:r>
      <w:r w:rsidR="00327F72">
        <w:rPr>
          <w:szCs w:val="22"/>
        </w:rPr>
        <w:t xml:space="preserve"> on patients’ clinical need. I</w:t>
      </w:r>
      <w:r w:rsidRPr="001A7030">
        <w:rPr>
          <w:szCs w:val="22"/>
        </w:rPr>
        <w:t>nstead</w:t>
      </w:r>
      <w:r w:rsidR="00327F72">
        <w:rPr>
          <w:szCs w:val="22"/>
        </w:rPr>
        <w:t xml:space="preserve"> it</w:t>
      </w:r>
      <w:r w:rsidR="0063238F">
        <w:rPr>
          <w:szCs w:val="22"/>
        </w:rPr>
        <w:t xml:space="preserve"> relied on administration staff</w:t>
      </w:r>
      <w:r w:rsidRPr="001A7030">
        <w:rPr>
          <w:szCs w:val="22"/>
        </w:rPr>
        <w:t xml:space="preserve"> </w:t>
      </w:r>
      <w:proofErr w:type="gramStart"/>
      <w:r w:rsidRPr="001A7030">
        <w:rPr>
          <w:szCs w:val="22"/>
        </w:rPr>
        <w:t>who</w:t>
      </w:r>
      <w:proofErr w:type="gramEnd"/>
      <w:r w:rsidRPr="001A7030">
        <w:rPr>
          <w:szCs w:val="22"/>
        </w:rPr>
        <w:t xml:space="preserve"> lacked training and clear guidance to prioritise appropriately. Despite concerns being raised with the DHB, it did not recognise the clinical risk created by the lack of capacity at the Service, and did not take action to rectify the situation after an earlier serious event review in relation to a similar matter had raised associated concerns. In addition, there were missed opportunities for the DHB to rectify the delay in the follow-up appointment</w:t>
      </w:r>
      <w:r w:rsidRPr="001A7030">
        <w:rPr>
          <w:bCs/>
          <w:iCs/>
          <w:szCs w:val="22"/>
        </w:rPr>
        <w:t xml:space="preserve">. The </w:t>
      </w:r>
      <w:r w:rsidRPr="001A7030">
        <w:rPr>
          <w:szCs w:val="22"/>
        </w:rPr>
        <w:t>DHB did not provide the man services with reasonable care and skill and, accordingly, was found in breach of Right 4(1)</w:t>
      </w:r>
      <w:r w:rsidR="00ED23D0">
        <w:rPr>
          <w:szCs w:val="22"/>
        </w:rPr>
        <w:t xml:space="preserve"> of the Code</w:t>
      </w:r>
      <w:r w:rsidRPr="001A7030">
        <w:rPr>
          <w:szCs w:val="22"/>
        </w:rPr>
        <w:t>.</w:t>
      </w:r>
    </w:p>
    <w:p w:rsidR="001A7030" w:rsidRPr="001A7030" w:rsidRDefault="001A7030" w:rsidP="000E3D10">
      <w:pPr>
        <w:tabs>
          <w:tab w:val="left" w:pos="720"/>
          <w:tab w:val="left" w:pos="1134"/>
        </w:tabs>
        <w:spacing w:after="240"/>
        <w:rPr>
          <w:szCs w:val="22"/>
        </w:rPr>
      </w:pPr>
    </w:p>
    <w:p w:rsidR="00D33E17" w:rsidRDefault="00D33E17" w:rsidP="001A7030">
      <w:pPr>
        <w:spacing w:after="120"/>
        <w:rPr>
          <w:i/>
          <w:szCs w:val="22"/>
        </w:rPr>
      </w:pPr>
      <w:r>
        <w:rPr>
          <w:i/>
          <w:szCs w:val="22"/>
        </w:rPr>
        <w:lastRenderedPageBreak/>
        <w:t>Recommendations</w:t>
      </w:r>
    </w:p>
    <w:p w:rsidR="00D33E17" w:rsidRPr="001A7030" w:rsidRDefault="000E3D10" w:rsidP="00D33E17">
      <w:pPr>
        <w:spacing w:after="120"/>
        <w:rPr>
          <w:szCs w:val="22"/>
        </w:rPr>
      </w:pPr>
      <w:r w:rsidRPr="001A7030">
        <w:rPr>
          <w:szCs w:val="22"/>
        </w:rPr>
        <w:t>The Commissioner made a number of detailed recommendations to the DHB, including that it provide HDC with a detailed update report on the steps taken to carry out the recommendations of an external review of the Service and those arising out of the DHB’s own reviews with specific reference to:</w:t>
      </w:r>
    </w:p>
    <w:p w:rsidR="00744CA5" w:rsidRPr="001A7030" w:rsidRDefault="00744CA5" w:rsidP="00744CA5">
      <w:pPr>
        <w:pStyle w:val="ListParagraph"/>
        <w:numPr>
          <w:ilvl w:val="0"/>
          <w:numId w:val="1"/>
        </w:numPr>
        <w:spacing w:after="120"/>
        <w:rPr>
          <w:szCs w:val="22"/>
        </w:rPr>
      </w:pPr>
      <w:r w:rsidRPr="001A7030">
        <w:rPr>
          <w:szCs w:val="22"/>
        </w:rPr>
        <w:t>An independent evaluation of the systems in place to identify and prioritise overdue ophthalmology patients. This should include the use of clinically driven patient acuity scores so that patients with higher acuities are prioritised and patients identified as specifically high risk do not have appointments delayed, and patients who self-identify with severe pain or sudden loss of vision are booked for urgent review.</w:t>
      </w:r>
    </w:p>
    <w:p w:rsidR="00744CA5" w:rsidRPr="001A7030" w:rsidRDefault="00744CA5" w:rsidP="00744CA5">
      <w:pPr>
        <w:pStyle w:val="ListParagraph"/>
        <w:numPr>
          <w:ilvl w:val="0"/>
          <w:numId w:val="1"/>
        </w:numPr>
        <w:spacing w:after="120"/>
        <w:rPr>
          <w:szCs w:val="22"/>
        </w:rPr>
      </w:pPr>
      <w:r w:rsidRPr="001A7030">
        <w:rPr>
          <w:rFonts w:eastAsia="Cambria"/>
          <w:spacing w:val="-1"/>
          <w:szCs w:val="22"/>
        </w:rPr>
        <w:t xml:space="preserve">A quantitative and qualitative audit of the management of Ophthalmology Service referrals and follow-ups, </w:t>
      </w:r>
      <w:r w:rsidRPr="001A7030">
        <w:rPr>
          <w:rFonts w:eastAsia="Calibri"/>
          <w:szCs w:val="22"/>
        </w:rPr>
        <w:t>to be certain that tracking systems are in place so that all referrals are responded to in a timely manner</w:t>
      </w:r>
    </w:p>
    <w:p w:rsidR="00744CA5" w:rsidRPr="001A7030" w:rsidRDefault="00744CA5" w:rsidP="00744CA5">
      <w:pPr>
        <w:pStyle w:val="ListParagraph"/>
        <w:numPr>
          <w:ilvl w:val="0"/>
          <w:numId w:val="1"/>
        </w:numPr>
        <w:spacing w:after="120"/>
        <w:rPr>
          <w:szCs w:val="22"/>
        </w:rPr>
      </w:pPr>
      <w:r w:rsidRPr="001A7030">
        <w:rPr>
          <w:szCs w:val="22"/>
        </w:rPr>
        <w:t xml:space="preserve">The proactive steps taken to build departmental capacity, responsiveness, and adaptability, including </w:t>
      </w:r>
      <w:r w:rsidRPr="001A7030">
        <w:rPr>
          <w:rFonts w:eastAsia="Calibri"/>
          <w:szCs w:val="22"/>
        </w:rPr>
        <w:t xml:space="preserve">regular accurate measurement and reporting of demand and capacity, using objective agreed criteria that account for actual and projected increases in demand, as well as details regarding: </w:t>
      </w:r>
    </w:p>
    <w:p w:rsidR="00744CA5" w:rsidRPr="001A7030" w:rsidRDefault="00744CA5" w:rsidP="00744CA5">
      <w:pPr>
        <w:pStyle w:val="ListParagraph"/>
        <w:numPr>
          <w:ilvl w:val="0"/>
          <w:numId w:val="2"/>
        </w:numPr>
        <w:spacing w:after="120"/>
        <w:rPr>
          <w:szCs w:val="22"/>
        </w:rPr>
      </w:pPr>
      <w:r w:rsidRPr="001A7030">
        <w:rPr>
          <w:rFonts w:eastAsia="Calibri"/>
          <w:szCs w:val="22"/>
        </w:rPr>
        <w:t>Training and implementation of nursing staff and ancillary and non-specialist staff to remove inefficiency associated with lower priority tasks.</w:t>
      </w:r>
    </w:p>
    <w:p w:rsidR="00744CA5" w:rsidRPr="001A7030" w:rsidRDefault="00744CA5" w:rsidP="00744CA5">
      <w:pPr>
        <w:pStyle w:val="ListParagraph"/>
        <w:numPr>
          <w:ilvl w:val="0"/>
          <w:numId w:val="2"/>
        </w:numPr>
        <w:spacing w:after="120"/>
        <w:rPr>
          <w:szCs w:val="22"/>
        </w:rPr>
      </w:pPr>
      <w:r w:rsidRPr="001A7030">
        <w:rPr>
          <w:rFonts w:eastAsia="Calibri"/>
          <w:szCs w:val="22"/>
        </w:rPr>
        <w:t>The effectiveness of the department’s relocation to enhanced physical space.</w:t>
      </w:r>
    </w:p>
    <w:p w:rsidR="00744CA5" w:rsidRPr="001A7030" w:rsidRDefault="00744CA5" w:rsidP="00744CA5">
      <w:pPr>
        <w:pStyle w:val="ListParagraph"/>
        <w:numPr>
          <w:ilvl w:val="0"/>
          <w:numId w:val="2"/>
        </w:numPr>
        <w:spacing w:after="120"/>
        <w:rPr>
          <w:szCs w:val="22"/>
        </w:rPr>
      </w:pPr>
      <w:r w:rsidRPr="001A7030">
        <w:rPr>
          <w:rFonts w:eastAsia="Calibri"/>
          <w:spacing w:val="-4"/>
          <w:szCs w:val="22"/>
        </w:rPr>
        <w:t xml:space="preserve">Recruitment of ophthalmologists, optometrists, orthoptists, and ophthalmology staff. </w:t>
      </w:r>
    </w:p>
    <w:p w:rsidR="00744CA5" w:rsidRPr="001A7030" w:rsidRDefault="00744CA5" w:rsidP="00744CA5">
      <w:pPr>
        <w:pStyle w:val="ListParagraph"/>
        <w:numPr>
          <w:ilvl w:val="0"/>
          <w:numId w:val="3"/>
        </w:numPr>
        <w:spacing w:after="240"/>
        <w:rPr>
          <w:szCs w:val="22"/>
        </w:rPr>
      </w:pPr>
      <w:r w:rsidRPr="001A7030">
        <w:rPr>
          <w:szCs w:val="22"/>
        </w:rPr>
        <w:t>Details of the redefined roles and responsibilities of those involved in the management of the Ophthalmology Service.</w:t>
      </w:r>
    </w:p>
    <w:p w:rsidR="00744CA5" w:rsidRPr="001A7030" w:rsidRDefault="00744CA5" w:rsidP="00744CA5">
      <w:pPr>
        <w:pStyle w:val="ListParagraph"/>
        <w:numPr>
          <w:ilvl w:val="0"/>
          <w:numId w:val="3"/>
        </w:numPr>
        <w:spacing w:after="240"/>
        <w:rPr>
          <w:szCs w:val="22"/>
        </w:rPr>
      </w:pPr>
      <w:r w:rsidRPr="001A7030">
        <w:rPr>
          <w:szCs w:val="22"/>
        </w:rPr>
        <w:t>Routine telephone access to clinical staff so that DHB Ophthalmology Service patients can contact the Eye Department readily, speak to an appropriately trained person when clinical concerns are raised, receive an appropriate response, and have this recorded in their clinical notes.</w:t>
      </w:r>
    </w:p>
    <w:p w:rsidR="00744CA5" w:rsidRPr="001A7030" w:rsidRDefault="00744CA5" w:rsidP="00744CA5">
      <w:pPr>
        <w:pStyle w:val="ListParagraph"/>
        <w:numPr>
          <w:ilvl w:val="0"/>
          <w:numId w:val="3"/>
        </w:numPr>
        <w:spacing w:after="240"/>
        <w:rPr>
          <w:szCs w:val="22"/>
        </w:rPr>
      </w:pPr>
      <w:r w:rsidRPr="001A7030">
        <w:rPr>
          <w:szCs w:val="22"/>
        </w:rPr>
        <w:t>Shared learning:</w:t>
      </w:r>
    </w:p>
    <w:p w:rsidR="00744CA5" w:rsidRPr="001A7030" w:rsidRDefault="00744CA5" w:rsidP="00744CA5">
      <w:pPr>
        <w:pStyle w:val="ListParagraph"/>
        <w:numPr>
          <w:ilvl w:val="0"/>
          <w:numId w:val="4"/>
        </w:numPr>
        <w:spacing w:after="120"/>
        <w:rPr>
          <w:szCs w:val="22"/>
        </w:rPr>
      </w:pPr>
      <w:r w:rsidRPr="001A7030">
        <w:rPr>
          <w:szCs w:val="22"/>
        </w:rPr>
        <w:t xml:space="preserve">Use of regular forums involving ophthalmology departmental staff and management staff, to include </w:t>
      </w:r>
      <w:r w:rsidRPr="001A7030">
        <w:rPr>
          <w:rFonts w:eastAsia="Calibri"/>
          <w:spacing w:val="-4"/>
          <w:szCs w:val="22"/>
        </w:rPr>
        <w:t xml:space="preserve">discussion and planning to assist development of treatment protocols in the context of an ageing population. </w:t>
      </w:r>
    </w:p>
    <w:p w:rsidR="00744CA5" w:rsidRPr="001A7030" w:rsidRDefault="00744CA5" w:rsidP="00744CA5">
      <w:pPr>
        <w:pStyle w:val="ListParagraph"/>
        <w:numPr>
          <w:ilvl w:val="0"/>
          <w:numId w:val="4"/>
        </w:numPr>
        <w:spacing w:after="120"/>
        <w:rPr>
          <w:szCs w:val="22"/>
        </w:rPr>
      </w:pPr>
      <w:r w:rsidRPr="001A7030">
        <w:rPr>
          <w:rFonts w:eastAsia="Calibri"/>
          <w:spacing w:val="-4"/>
          <w:szCs w:val="22"/>
        </w:rPr>
        <w:t xml:space="preserve">Confirmation </w:t>
      </w:r>
      <w:r w:rsidRPr="001A7030">
        <w:rPr>
          <w:szCs w:val="22"/>
        </w:rPr>
        <w:t>that</w:t>
      </w:r>
      <w:r w:rsidRPr="001A7030">
        <w:rPr>
          <w:rFonts w:eastAsia="Calibri"/>
          <w:spacing w:val="-4"/>
          <w:szCs w:val="22"/>
        </w:rPr>
        <w:t xml:space="preserve"> the external review report was discussed with all other DHBs via their Chief Medical Officers, to ensure that any </w:t>
      </w:r>
      <w:r w:rsidRPr="001A7030">
        <w:rPr>
          <w:rFonts w:eastAsia="Calibri"/>
          <w:spacing w:val="-1"/>
          <w:szCs w:val="22"/>
        </w:rPr>
        <w:t>patient</w:t>
      </w:r>
      <w:r w:rsidRPr="001A7030">
        <w:rPr>
          <w:rFonts w:eastAsia="Calibri"/>
          <w:spacing w:val="-4"/>
          <w:szCs w:val="22"/>
        </w:rPr>
        <w:t xml:space="preserve"> risk arising from similar circumstances is identified and controlled. </w:t>
      </w:r>
    </w:p>
    <w:p w:rsidR="00744CA5" w:rsidRPr="001A7030" w:rsidRDefault="00744CA5" w:rsidP="00744CA5">
      <w:pPr>
        <w:pStyle w:val="ListParagraph"/>
        <w:numPr>
          <w:ilvl w:val="0"/>
          <w:numId w:val="5"/>
        </w:numPr>
        <w:spacing w:after="120"/>
        <w:rPr>
          <w:szCs w:val="22"/>
        </w:rPr>
      </w:pPr>
      <w:r w:rsidRPr="001A7030">
        <w:rPr>
          <w:rFonts w:eastAsia="Calibri"/>
          <w:spacing w:val="-4"/>
          <w:szCs w:val="22"/>
        </w:rPr>
        <w:t xml:space="preserve">The </w:t>
      </w:r>
      <w:r w:rsidRPr="001A7030">
        <w:rPr>
          <w:szCs w:val="22"/>
        </w:rPr>
        <w:t xml:space="preserve">Ophthalmology Service and its facilities undergoing regular </w:t>
      </w:r>
      <w:proofErr w:type="spellStart"/>
      <w:r w:rsidRPr="001A7030">
        <w:rPr>
          <w:szCs w:val="22"/>
        </w:rPr>
        <w:t>credentialling</w:t>
      </w:r>
      <w:proofErr w:type="spellEnd"/>
      <w:r w:rsidRPr="001A7030">
        <w:rPr>
          <w:szCs w:val="22"/>
        </w:rPr>
        <w:t xml:space="preserve">, as </w:t>
      </w:r>
      <w:proofErr w:type="gramStart"/>
      <w:r w:rsidRPr="001A7030">
        <w:rPr>
          <w:szCs w:val="22"/>
        </w:rPr>
        <w:t>occurs</w:t>
      </w:r>
      <w:proofErr w:type="gramEnd"/>
      <w:r w:rsidRPr="001A7030">
        <w:rPr>
          <w:szCs w:val="22"/>
        </w:rPr>
        <w:t xml:space="preserve"> in most DHBs.</w:t>
      </w:r>
    </w:p>
    <w:p w:rsidR="001A7030" w:rsidRDefault="00744CA5" w:rsidP="001A7030">
      <w:pPr>
        <w:pStyle w:val="ListParagraph"/>
        <w:numPr>
          <w:ilvl w:val="0"/>
          <w:numId w:val="5"/>
        </w:numPr>
        <w:spacing w:after="120"/>
        <w:rPr>
          <w:szCs w:val="22"/>
        </w:rPr>
      </w:pPr>
      <w:r w:rsidRPr="001A7030">
        <w:rPr>
          <w:szCs w:val="22"/>
        </w:rPr>
        <w:t>A further update on how the Ophthalmology Backlog Programme project has been established across the DHB, involving its weekly stakeholder updates to track and monitor progress toward zero patients waiting beyond clinically appropriate timeframes.</w:t>
      </w:r>
    </w:p>
    <w:p w:rsidR="001A7030" w:rsidRDefault="00744CA5" w:rsidP="001A7030">
      <w:pPr>
        <w:spacing w:after="120"/>
        <w:rPr>
          <w:szCs w:val="22"/>
        </w:rPr>
      </w:pPr>
      <w:r w:rsidRPr="001A7030">
        <w:rPr>
          <w:rFonts w:cs="Helv"/>
        </w:rPr>
        <w:t xml:space="preserve">The Commissioner also made recommendations to the Ministry of Health, including that it: </w:t>
      </w:r>
    </w:p>
    <w:p w:rsidR="00744CA5" w:rsidRPr="001A7030" w:rsidRDefault="00744CA5" w:rsidP="001A7030">
      <w:pPr>
        <w:pStyle w:val="ListParagraph"/>
        <w:numPr>
          <w:ilvl w:val="0"/>
          <w:numId w:val="16"/>
        </w:numPr>
        <w:spacing w:after="120"/>
        <w:rPr>
          <w:szCs w:val="22"/>
        </w:rPr>
      </w:pPr>
      <w:r w:rsidRPr="001A7030">
        <w:rPr>
          <w:rFonts w:cs="Helv"/>
        </w:rPr>
        <w:t xml:space="preserve">Establish </w:t>
      </w:r>
      <w:r w:rsidRPr="00B571FE">
        <w:t xml:space="preserve">systems to identify worthwhile major new healthcare technologies, such as the advent of </w:t>
      </w:r>
      <w:proofErr w:type="spellStart"/>
      <w:r w:rsidRPr="00B571FE">
        <w:t>Avastin</w:t>
      </w:r>
      <w:proofErr w:type="spellEnd"/>
      <w:r w:rsidRPr="00B571FE">
        <w:t xml:space="preserve"> therapy, in the future, so that adequate </w:t>
      </w:r>
      <w:r>
        <w:t xml:space="preserve">planning and </w:t>
      </w:r>
      <w:r w:rsidRPr="00B571FE">
        <w:t>funding responses can occur in a timely w</w:t>
      </w:r>
      <w:r>
        <w:t>ay, and report to HDC on progress towards the development of those systems</w:t>
      </w:r>
    </w:p>
    <w:p w:rsidR="00430ED1" w:rsidRPr="00430ED1" w:rsidRDefault="00744CA5" w:rsidP="00430ED1">
      <w:pPr>
        <w:pStyle w:val="ListParagraph"/>
        <w:keepNext/>
        <w:keepLines/>
        <w:numPr>
          <w:ilvl w:val="0"/>
          <w:numId w:val="6"/>
        </w:numPr>
        <w:spacing w:after="240"/>
      </w:pPr>
      <w:r>
        <w:lastRenderedPageBreak/>
        <w:t xml:space="preserve">Update HDC on the progress it has made towards addressing </w:t>
      </w:r>
      <w:r w:rsidRPr="00744CA5">
        <w:rPr>
          <w:color w:val="000000"/>
        </w:rPr>
        <w:t>the other national improvement recommendations made by the external review, including a national discussion on ophthalmology priorities (such as that initiated with RANZCO), and national reporting of overdue eye appointment statistics</w:t>
      </w:r>
      <w:r w:rsidR="00327F72">
        <w:rPr>
          <w:color w:val="000000"/>
        </w:rPr>
        <w:t>.</w:t>
      </w:r>
    </w:p>
    <w:p w:rsidR="00D33E17" w:rsidRDefault="009B7F69" w:rsidP="00D33E17">
      <w:pPr>
        <w:spacing w:after="120"/>
        <w:rPr>
          <w:b/>
          <w:szCs w:val="22"/>
        </w:rPr>
      </w:pPr>
      <w:r>
        <w:rPr>
          <w:b/>
          <w:szCs w:val="22"/>
        </w:rPr>
        <w:t>Management of incidental finding of rectal lymph nodes (17</w:t>
      </w:r>
      <w:r>
        <w:rPr>
          <w:b/>
          <w:noProof/>
          <w:szCs w:val="22"/>
        </w:rPr>
        <w:t>HDC00316</w:t>
      </w:r>
      <w:r w:rsidR="00D33E17">
        <w:rPr>
          <w:b/>
          <w:szCs w:val="22"/>
        </w:rPr>
        <w:t>)</w:t>
      </w:r>
    </w:p>
    <w:p w:rsidR="00D33E17" w:rsidRDefault="00D33E17" w:rsidP="001A7030">
      <w:pPr>
        <w:spacing w:after="120"/>
        <w:rPr>
          <w:i/>
          <w:szCs w:val="22"/>
        </w:rPr>
      </w:pPr>
      <w:r>
        <w:rPr>
          <w:i/>
          <w:szCs w:val="22"/>
        </w:rPr>
        <w:t>Background</w:t>
      </w:r>
    </w:p>
    <w:p w:rsidR="00946F49" w:rsidRDefault="009B7F69" w:rsidP="00946F49">
      <w:pPr>
        <w:spacing w:after="240"/>
        <w:rPr>
          <w:lang w:val="en-US"/>
        </w:rPr>
      </w:pPr>
      <w:r>
        <w:t xml:space="preserve">A 72-year-old man presented to the </w:t>
      </w:r>
      <w:r>
        <w:rPr>
          <w:lang w:val="en-US"/>
        </w:rPr>
        <w:t>Emergency Department</w:t>
      </w:r>
      <w:r>
        <w:t xml:space="preserve"> (ED) of a public hospital after falling approximately three metres. He sustained injuries to his left hip and left side of his chest.</w:t>
      </w:r>
      <w:r>
        <w:rPr>
          <w:lang w:val="en-US"/>
        </w:rPr>
        <w:t xml:space="preserve"> A senior ED consultant ordered an urgent CT scan of the chest, abdomen, and pelvis.</w:t>
      </w:r>
      <w:r w:rsidR="00233C66">
        <w:rPr>
          <w:lang w:val="en-US"/>
        </w:rPr>
        <w:t xml:space="preserve"> </w:t>
      </w:r>
    </w:p>
    <w:p w:rsidR="00946F49" w:rsidRDefault="00233C66" w:rsidP="009B7F69">
      <w:pPr>
        <w:spacing w:after="240"/>
      </w:pPr>
      <w:r w:rsidRPr="003766A8">
        <w:rPr>
          <w:lang w:val="en-US"/>
        </w:rPr>
        <w:t>When reporting on urgent CT scans, a preliminary acute report was issued to help determine the</w:t>
      </w:r>
      <w:r>
        <w:rPr>
          <w:lang w:val="en-US"/>
        </w:rPr>
        <w:t xml:space="preserve"> immediate care of the patient (</w:t>
      </w:r>
      <w:r w:rsidRPr="003766A8">
        <w:rPr>
          <w:lang w:val="en-US"/>
        </w:rPr>
        <w:t>a “sticky note”</w:t>
      </w:r>
      <w:r>
        <w:rPr>
          <w:lang w:val="en-US"/>
        </w:rPr>
        <w:t>)</w:t>
      </w:r>
      <w:r w:rsidRPr="003766A8">
        <w:rPr>
          <w:lang w:val="en-US"/>
        </w:rPr>
        <w:t>. The sticky note mechanism is an immediate, rough tool to assist clinicians to proceed with treatment of the patient and to answer the immediate clinical questions. T</w:t>
      </w:r>
      <w:r w:rsidR="0063238F">
        <w:rPr>
          <w:lang w:val="en-US"/>
        </w:rPr>
        <w:t xml:space="preserve">he case is then fully reported – </w:t>
      </w:r>
      <w:r w:rsidRPr="003766A8">
        <w:rPr>
          <w:lang w:val="en-US"/>
        </w:rPr>
        <w:t>usually within 24 hours.</w:t>
      </w:r>
      <w:r w:rsidR="00946F49">
        <w:rPr>
          <w:lang w:val="en-US"/>
        </w:rPr>
        <w:t xml:space="preserve"> T</w:t>
      </w:r>
      <w:r w:rsidR="00946F49" w:rsidRPr="003766A8">
        <w:rPr>
          <w:lang w:val="en-US"/>
        </w:rPr>
        <w:t xml:space="preserve">he ED acted on </w:t>
      </w:r>
      <w:r w:rsidR="00946F49">
        <w:rPr>
          <w:lang w:val="en-US"/>
        </w:rPr>
        <w:t xml:space="preserve">the reporting radiologist’s </w:t>
      </w:r>
      <w:r w:rsidR="00946F49" w:rsidRPr="003766A8">
        <w:rPr>
          <w:lang w:val="en-US"/>
        </w:rPr>
        <w:t xml:space="preserve">sticky note, which did not </w:t>
      </w:r>
      <w:r w:rsidR="00946F49">
        <w:rPr>
          <w:lang w:val="en-US"/>
        </w:rPr>
        <w:t>mention</w:t>
      </w:r>
      <w:r w:rsidR="00135E36">
        <w:rPr>
          <w:lang w:val="en-US"/>
        </w:rPr>
        <w:t xml:space="preserve"> an</w:t>
      </w:r>
      <w:r w:rsidR="00920EB3">
        <w:rPr>
          <w:lang w:val="en-US"/>
        </w:rPr>
        <w:t xml:space="preserve"> incidental finding of</w:t>
      </w:r>
      <w:r w:rsidR="00946F49">
        <w:rPr>
          <w:lang w:val="en-US"/>
        </w:rPr>
        <w:t xml:space="preserve"> rectal lymph nodes. The man</w:t>
      </w:r>
      <w:r w:rsidR="00946F49" w:rsidRPr="003766A8">
        <w:rPr>
          <w:lang w:val="en-US"/>
        </w:rPr>
        <w:t xml:space="preserve"> was treated with pain relief and transferred to the surgical ward for ongoing care. </w:t>
      </w:r>
    </w:p>
    <w:p w:rsidR="009B7F69" w:rsidRDefault="009B7F69" w:rsidP="009B7F69">
      <w:pPr>
        <w:spacing w:after="240"/>
      </w:pPr>
      <w:r>
        <w:rPr>
          <w:lang w:val="en-US"/>
        </w:rPr>
        <w:t xml:space="preserve">The following day, full reporting of the CT scan was entered into the information technology (IT) system at the hospital. </w:t>
      </w:r>
      <w:r w:rsidR="00920EB3">
        <w:t>This</w:t>
      </w:r>
      <w:r>
        <w:t xml:space="preserve"> final report noted numerous enlarged </w:t>
      </w:r>
      <w:proofErr w:type="spellStart"/>
      <w:r>
        <w:t>meso</w:t>
      </w:r>
      <w:proofErr w:type="spellEnd"/>
      <w:r>
        <w:t>-rectal lymph nodes and suggested endoscopic examination to rule out a rectal tumour.</w:t>
      </w:r>
      <w:r>
        <w:rPr>
          <w:lang w:val="en-US"/>
        </w:rPr>
        <w:t xml:space="preserve"> Several days later, the man was discharged from hospital. However, the final CT scan report was not sighted until eight months after discharge, when further investigation was initiated. The man was diagnosed with S</w:t>
      </w:r>
      <w:r w:rsidRPr="003766A8">
        <w:rPr>
          <w:lang w:val="en-US"/>
        </w:rPr>
        <w:t xml:space="preserve">tage </w:t>
      </w:r>
      <w:proofErr w:type="spellStart"/>
      <w:r w:rsidRPr="003766A8">
        <w:rPr>
          <w:lang w:val="en-US"/>
        </w:rPr>
        <w:t>IIIa</w:t>
      </w:r>
      <w:proofErr w:type="spellEnd"/>
      <w:r w:rsidRPr="003766A8">
        <w:rPr>
          <w:lang w:val="en-US"/>
        </w:rPr>
        <w:t xml:space="preserve"> squamous cell carcinoma of the anus</w:t>
      </w:r>
      <w:r>
        <w:rPr>
          <w:lang w:val="en-US"/>
        </w:rPr>
        <w:t xml:space="preserve">, </w:t>
      </w:r>
      <w:r>
        <w:rPr>
          <w:color w:val="000000"/>
          <w:lang w:val="en-US"/>
        </w:rPr>
        <w:t>and</w:t>
      </w:r>
      <w:r w:rsidRPr="003766A8">
        <w:rPr>
          <w:color w:val="000000"/>
          <w:lang w:val="en-US"/>
        </w:rPr>
        <w:t xml:space="preserve"> </w:t>
      </w:r>
      <w:r>
        <w:rPr>
          <w:lang w:val="en-US"/>
        </w:rPr>
        <w:t>underwent</w:t>
      </w:r>
      <w:r w:rsidRPr="003766A8">
        <w:rPr>
          <w:color w:val="000000"/>
          <w:lang w:val="en-US"/>
        </w:rPr>
        <w:t xml:space="preserve"> chemo-radiotherapy treatment and surgery.</w:t>
      </w:r>
    </w:p>
    <w:p w:rsidR="009B7F69" w:rsidRDefault="009B7F69" w:rsidP="009B7F69">
      <w:pPr>
        <w:spacing w:after="240"/>
        <w:rPr>
          <w:lang w:val="en-US"/>
        </w:rPr>
      </w:pPr>
      <w:r>
        <w:rPr>
          <w:lang w:val="en-US"/>
        </w:rPr>
        <w:t xml:space="preserve">At the time of these events, the IT system did not allow for electronic sign-off of test results. There </w:t>
      </w:r>
      <w:r>
        <w:t>was</w:t>
      </w:r>
      <w:r>
        <w:rPr>
          <w:lang w:val="en-US"/>
        </w:rPr>
        <w:t xml:space="preserve"> no alert system to notify a doctor that a result had arrived, nor was there a doctor-spec</w:t>
      </w:r>
      <w:r w:rsidR="00327F72">
        <w:rPr>
          <w:lang w:val="en-US"/>
        </w:rPr>
        <w:t xml:space="preserve">ific list of results to review. This </w:t>
      </w:r>
      <w:r>
        <w:rPr>
          <w:lang w:val="en-US"/>
        </w:rPr>
        <w:t xml:space="preserve">meant </w:t>
      </w:r>
      <w:r w:rsidR="00135E36">
        <w:rPr>
          <w:lang w:val="en-US"/>
        </w:rPr>
        <w:t xml:space="preserve">that </w:t>
      </w:r>
      <w:r>
        <w:rPr>
          <w:lang w:val="en-US"/>
        </w:rPr>
        <w:t>doctors could not look up all the results of tests or procedures they had ordered that day apart from proactively on an individual patient basis</w:t>
      </w:r>
      <w:r>
        <w:rPr>
          <w:sz w:val="24"/>
        </w:rPr>
        <w:t>.</w:t>
      </w:r>
      <w:r>
        <w:rPr>
          <w:lang w:val="en-US"/>
        </w:rPr>
        <w:t xml:space="preserve"> The hospital acknowledged that this was a significant weakness in its system and, until this could be improved, there was no protection from recurrence. </w:t>
      </w:r>
    </w:p>
    <w:p w:rsidR="009B7F69" w:rsidRPr="00233C66" w:rsidRDefault="009B7F69" w:rsidP="009B7F69">
      <w:pPr>
        <w:spacing w:after="240"/>
        <w:rPr>
          <w:szCs w:val="22"/>
          <w:lang w:val="en-US"/>
        </w:rPr>
      </w:pPr>
      <w:r w:rsidRPr="00233C66">
        <w:rPr>
          <w:szCs w:val="22"/>
        </w:rPr>
        <w:t>A further complicating factor in this case was that</w:t>
      </w:r>
      <w:r w:rsidR="00746159" w:rsidRPr="00233C66">
        <w:rPr>
          <w:szCs w:val="22"/>
        </w:rPr>
        <w:t xml:space="preserve"> there appeared to be a lack of clarity around who was responsible for following up and acting on the results of the CT scan once it was reported on.</w:t>
      </w:r>
      <w:r w:rsidRPr="00233C66">
        <w:rPr>
          <w:szCs w:val="22"/>
        </w:rPr>
        <w:t xml:space="preserve"> </w:t>
      </w:r>
      <w:r w:rsidR="00746159" w:rsidRPr="00233C66">
        <w:rPr>
          <w:szCs w:val="22"/>
        </w:rPr>
        <w:t>The ED consultant considered that clinical responsibility for the final CT report was handed over when the man was transferred to the surgical ward. However, the surgeon advised that as he was no</w:t>
      </w:r>
      <w:r w:rsidR="00946F49">
        <w:rPr>
          <w:szCs w:val="22"/>
        </w:rPr>
        <w:t>t</w:t>
      </w:r>
      <w:r w:rsidR="00746159" w:rsidRPr="00233C66">
        <w:rPr>
          <w:szCs w:val="22"/>
        </w:rPr>
        <w:t xml:space="preserve"> the practitioner who ordered the CT scan, he did not receive a paper copy of the report and therefore, did not and would not have viewed the final CT scan report. There were no internal policies or procedures at the DHB relating to this issue.</w:t>
      </w:r>
    </w:p>
    <w:p w:rsidR="009B7F69" w:rsidRDefault="00D33E17" w:rsidP="001A7030">
      <w:pPr>
        <w:spacing w:after="120"/>
        <w:rPr>
          <w:i/>
          <w:szCs w:val="22"/>
        </w:rPr>
      </w:pPr>
      <w:r>
        <w:rPr>
          <w:i/>
          <w:szCs w:val="22"/>
        </w:rPr>
        <w:t>Findings</w:t>
      </w:r>
    </w:p>
    <w:p w:rsidR="0068323A" w:rsidRDefault="0068323A" w:rsidP="0068323A">
      <w:pPr>
        <w:spacing w:after="240"/>
      </w:pPr>
      <w:r>
        <w:t xml:space="preserve">The </w:t>
      </w:r>
      <w:r w:rsidRPr="003766A8">
        <w:t xml:space="preserve">DHB had a weak IT system that did not allow for </w:t>
      </w:r>
      <w:r w:rsidRPr="003766A8">
        <w:rPr>
          <w:lang w:val="en-US"/>
        </w:rPr>
        <w:t>electronic</w:t>
      </w:r>
      <w:r w:rsidRPr="003766A8">
        <w:t xml:space="preserve"> sign-off, and it did not have a clear, effective, and formalised system in place for the reporting and following up of test results. This systems failure resulted in a number of opportunities being missed by clinicians to review and action </w:t>
      </w:r>
      <w:r w:rsidR="00F72DC5">
        <w:t>the man’s</w:t>
      </w:r>
      <w:r>
        <w:t xml:space="preserve"> </w:t>
      </w:r>
      <w:r w:rsidRPr="003766A8">
        <w:t xml:space="preserve">final CT scan report, and a delayed diagnosis of squamous cell carcinoma of the anus. </w:t>
      </w:r>
    </w:p>
    <w:p w:rsidR="00F72DC5" w:rsidRDefault="0068323A" w:rsidP="0068323A">
      <w:r>
        <w:rPr>
          <w:szCs w:val="22"/>
        </w:rPr>
        <w:t xml:space="preserve">In respect of this case the Commissioner commented that </w:t>
      </w:r>
      <w:r w:rsidRPr="003766A8">
        <w:t>the basic system principle with respect to the follow-up of test results is clear — the person who orders the test must follow up, or know by whom and how in the system it will be</w:t>
      </w:r>
      <w:r>
        <w:rPr>
          <w:szCs w:val="22"/>
        </w:rPr>
        <w:t xml:space="preserve">. The Commissioner was </w:t>
      </w:r>
      <w:r w:rsidRPr="003766A8">
        <w:t>concern</w:t>
      </w:r>
      <w:r>
        <w:t xml:space="preserve">ed about  </w:t>
      </w:r>
      <w:r w:rsidRPr="003766A8">
        <w:t xml:space="preserve"> the inconsistencies in clinicians’ understandi</w:t>
      </w:r>
      <w:r>
        <w:t>ng of how this principle applied</w:t>
      </w:r>
      <w:r w:rsidR="00F72DC5">
        <w:t xml:space="preserve"> at their hospital, stating that it was</w:t>
      </w:r>
      <w:r w:rsidRPr="003766A8">
        <w:t xml:space="preserve"> not acceptable that systems and clinicians lack</w:t>
      </w:r>
      <w:r w:rsidR="00F72DC5">
        <w:t>ed clarity on this.</w:t>
      </w:r>
    </w:p>
    <w:p w:rsidR="00F72DC5" w:rsidRDefault="00F72DC5" w:rsidP="0068323A"/>
    <w:p w:rsidR="0068323A" w:rsidRDefault="00F72DC5" w:rsidP="0068323A">
      <w:r>
        <w:lastRenderedPageBreak/>
        <w:t xml:space="preserve">The Commissioner found that the </w:t>
      </w:r>
      <w:r w:rsidR="0068323A" w:rsidRPr="003766A8">
        <w:t xml:space="preserve">DHB </w:t>
      </w:r>
      <w:r>
        <w:t>did not provide services to the man</w:t>
      </w:r>
      <w:r w:rsidR="0068323A" w:rsidRPr="003766A8">
        <w:t xml:space="preserve"> with reasonable care and skill, and breached Right 4(1) of the Code.</w:t>
      </w:r>
    </w:p>
    <w:p w:rsidR="00DD4D76" w:rsidRDefault="00DD4D76" w:rsidP="0068323A"/>
    <w:p w:rsidR="00746159" w:rsidRPr="00DD4D76" w:rsidRDefault="00DD4D76" w:rsidP="00DD4D76">
      <w:pPr>
        <w:spacing w:after="240"/>
        <w:rPr>
          <w:lang w:val="en-US"/>
        </w:rPr>
      </w:pPr>
      <w:r>
        <w:t xml:space="preserve">The Commissioner was </w:t>
      </w:r>
      <w:r w:rsidRPr="003766A8">
        <w:rPr>
          <w:lang w:val="en-US"/>
        </w:rPr>
        <w:t>thoughtful about the use of the “sticky note” function</w:t>
      </w:r>
      <w:r>
        <w:rPr>
          <w:lang w:val="en-US"/>
        </w:rPr>
        <w:t xml:space="preserve"> in this case. He</w:t>
      </w:r>
      <w:r w:rsidRPr="003766A8">
        <w:rPr>
          <w:lang w:val="en-US"/>
        </w:rPr>
        <w:t xml:space="preserve"> </w:t>
      </w:r>
      <w:proofErr w:type="spellStart"/>
      <w:r w:rsidRPr="003766A8">
        <w:rPr>
          <w:lang w:val="en-US"/>
        </w:rPr>
        <w:t>emphasise</w:t>
      </w:r>
      <w:r>
        <w:rPr>
          <w:lang w:val="en-US"/>
        </w:rPr>
        <w:t>d</w:t>
      </w:r>
      <w:proofErr w:type="spellEnd"/>
      <w:r w:rsidRPr="003766A8">
        <w:rPr>
          <w:lang w:val="en-US"/>
        </w:rPr>
        <w:t xml:space="preserve"> that this function is only a preliminary reporting tool that answers the immediate clinical question. It should not be relied on in place of the final report.</w:t>
      </w:r>
    </w:p>
    <w:p w:rsidR="00D33E17" w:rsidRDefault="00D33E17" w:rsidP="001A7030">
      <w:pPr>
        <w:spacing w:after="120"/>
        <w:rPr>
          <w:i/>
          <w:szCs w:val="22"/>
        </w:rPr>
      </w:pPr>
      <w:r>
        <w:rPr>
          <w:i/>
          <w:szCs w:val="22"/>
        </w:rPr>
        <w:t>Recommendations</w:t>
      </w:r>
    </w:p>
    <w:p w:rsidR="00F72DC5" w:rsidRPr="001A7030" w:rsidRDefault="00F72DC5" w:rsidP="00F72DC5">
      <w:pPr>
        <w:pStyle w:val="abclist2"/>
        <w:rPr>
          <w:rStyle w:val="abclistChar"/>
          <w:rFonts w:cs="Times New Roman"/>
          <w:sz w:val="22"/>
        </w:rPr>
      </w:pPr>
      <w:r w:rsidRPr="001A7030">
        <w:rPr>
          <w:rStyle w:val="abclistChar"/>
          <w:rFonts w:cs="Times New Roman"/>
          <w:sz w:val="22"/>
        </w:rPr>
        <w:t>The Commissioner made a number of recommendations to the DHB, including that it:</w:t>
      </w:r>
    </w:p>
    <w:p w:rsidR="00954D17" w:rsidRPr="001A7030" w:rsidRDefault="00F72DC5" w:rsidP="00954D17">
      <w:pPr>
        <w:pStyle w:val="abclist2"/>
        <w:numPr>
          <w:ilvl w:val="0"/>
          <w:numId w:val="9"/>
        </w:numPr>
        <w:rPr>
          <w:rStyle w:val="abclistChar"/>
          <w:rFonts w:cs="Times New Roman"/>
          <w:sz w:val="22"/>
        </w:rPr>
      </w:pPr>
      <w:r w:rsidRPr="001A7030">
        <w:rPr>
          <w:rStyle w:val="abclistChar"/>
          <w:rFonts w:cs="Times New Roman"/>
          <w:sz w:val="22"/>
        </w:rPr>
        <w:t xml:space="preserve">Update HDC on the progress and effectiveness of its IT system upgrade, including the development of policies and procedures with respect to electronic sign-off of test results and radiology reports. </w:t>
      </w:r>
      <w:r w:rsidR="00954D17" w:rsidRPr="001A7030">
        <w:rPr>
          <w:rStyle w:val="abclistChar"/>
          <w:rFonts w:cs="Times New Roman"/>
          <w:sz w:val="22"/>
        </w:rPr>
        <w:t xml:space="preserve">This update should include </w:t>
      </w:r>
      <w:r w:rsidRPr="001A7030">
        <w:rPr>
          <w:rStyle w:val="abclistChar"/>
          <w:rFonts w:cs="Times New Roman"/>
          <w:sz w:val="22"/>
        </w:rPr>
        <w:t>evidence that the new system relia</w:t>
      </w:r>
      <w:r w:rsidR="00954D17" w:rsidRPr="001A7030">
        <w:rPr>
          <w:rStyle w:val="abclistChar"/>
          <w:rFonts w:cs="Times New Roman"/>
          <w:sz w:val="22"/>
        </w:rPr>
        <w:t>bly captures all relevant data</w:t>
      </w:r>
      <w:r w:rsidR="00920EB3">
        <w:rPr>
          <w:rStyle w:val="abclistChar"/>
          <w:rFonts w:cs="Times New Roman"/>
          <w:sz w:val="22"/>
        </w:rPr>
        <w:t>.</w:t>
      </w:r>
    </w:p>
    <w:p w:rsidR="00DD4D76" w:rsidRPr="001A7030" w:rsidRDefault="00F72DC5" w:rsidP="00DD4D76">
      <w:pPr>
        <w:pStyle w:val="abclist2"/>
        <w:numPr>
          <w:ilvl w:val="0"/>
          <w:numId w:val="9"/>
        </w:numPr>
        <w:rPr>
          <w:rFonts w:cs="Times New Roman"/>
          <w:sz w:val="22"/>
        </w:rPr>
      </w:pPr>
      <w:r w:rsidRPr="001A7030">
        <w:rPr>
          <w:rFonts w:cs="Times New Roman"/>
          <w:sz w:val="22"/>
        </w:rPr>
        <w:t xml:space="preserve">Advise whether </w:t>
      </w:r>
      <w:r w:rsidR="00DD4D76" w:rsidRPr="001A7030">
        <w:rPr>
          <w:rFonts w:cs="Times New Roman"/>
          <w:sz w:val="22"/>
        </w:rPr>
        <w:t>“</w:t>
      </w:r>
      <w:r w:rsidRPr="001A7030">
        <w:rPr>
          <w:rFonts w:cs="Times New Roman"/>
          <w:sz w:val="22"/>
        </w:rPr>
        <w:t>sticky notes</w:t>
      </w:r>
      <w:r w:rsidR="00DD4D76" w:rsidRPr="001A7030">
        <w:rPr>
          <w:rFonts w:cs="Times New Roman"/>
          <w:sz w:val="22"/>
        </w:rPr>
        <w:t xml:space="preserve">” </w:t>
      </w:r>
      <w:r w:rsidRPr="001A7030">
        <w:rPr>
          <w:rFonts w:cs="Times New Roman"/>
          <w:sz w:val="22"/>
        </w:rPr>
        <w:t xml:space="preserve">are still being used under the new IT system, and what measures have been taken to ensure that they are used as a preliminary reporting tool only, and that the final reports are also reviewed. </w:t>
      </w:r>
    </w:p>
    <w:p w:rsidR="00DD4D76" w:rsidRPr="001A7030" w:rsidRDefault="00F72DC5" w:rsidP="00DD4D76">
      <w:pPr>
        <w:pStyle w:val="abclist2"/>
        <w:numPr>
          <w:ilvl w:val="0"/>
          <w:numId w:val="9"/>
        </w:numPr>
        <w:rPr>
          <w:rFonts w:cs="Times New Roman"/>
          <w:sz w:val="22"/>
        </w:rPr>
      </w:pPr>
      <w:r w:rsidRPr="001A7030">
        <w:rPr>
          <w:rFonts w:cs="Times New Roman"/>
          <w:sz w:val="22"/>
        </w:rPr>
        <w:t xml:space="preserve">Audit, over a period of three months, the management of test results ordered at ED where patients have been transferred to another ward. </w:t>
      </w:r>
    </w:p>
    <w:p w:rsidR="00DD4D76" w:rsidRPr="001A7030" w:rsidRDefault="00F72DC5" w:rsidP="00DD4D76">
      <w:pPr>
        <w:pStyle w:val="abclist2"/>
        <w:numPr>
          <w:ilvl w:val="0"/>
          <w:numId w:val="9"/>
        </w:numPr>
        <w:rPr>
          <w:rStyle w:val="abclistChar"/>
          <w:rFonts w:cs="Times New Roman"/>
          <w:sz w:val="22"/>
        </w:rPr>
      </w:pPr>
      <w:r w:rsidRPr="001A7030">
        <w:rPr>
          <w:rStyle w:val="abclistChar"/>
          <w:rFonts w:cs="Times New Roman"/>
          <w:sz w:val="22"/>
        </w:rPr>
        <w:t xml:space="preserve">Take steps to ensure that discharge summaries accurately reflect available final diagnostic reports, and report back to HDC on </w:t>
      </w:r>
      <w:r w:rsidR="00DD4D76" w:rsidRPr="001A7030">
        <w:rPr>
          <w:rStyle w:val="abclistChar"/>
          <w:rFonts w:cs="Times New Roman"/>
          <w:sz w:val="22"/>
        </w:rPr>
        <w:t>the steps that have been taken.</w:t>
      </w:r>
    </w:p>
    <w:p w:rsidR="00F72DC5" w:rsidRPr="001A7030" w:rsidRDefault="00F72DC5" w:rsidP="00D33E17">
      <w:pPr>
        <w:pStyle w:val="abclist2"/>
        <w:numPr>
          <w:ilvl w:val="0"/>
          <w:numId w:val="9"/>
        </w:numPr>
        <w:rPr>
          <w:rFonts w:cs="Times New Roman"/>
          <w:sz w:val="22"/>
        </w:rPr>
      </w:pPr>
      <w:r w:rsidRPr="001A7030">
        <w:rPr>
          <w:rStyle w:val="abclistChar"/>
          <w:rFonts w:cs="Times New Roman"/>
          <w:sz w:val="22"/>
        </w:rPr>
        <w:t xml:space="preserve">Develop policies and procedures on the management of test results and radiology reports. </w:t>
      </w:r>
    </w:p>
    <w:p w:rsidR="00D33E17" w:rsidRDefault="00D33E17" w:rsidP="00D33E17">
      <w:pPr>
        <w:rPr>
          <w:i/>
          <w:szCs w:val="22"/>
        </w:rPr>
      </w:pPr>
    </w:p>
    <w:p w:rsidR="00D33E17" w:rsidRDefault="007362E5" w:rsidP="00D33E17">
      <w:pPr>
        <w:spacing w:after="120"/>
        <w:rPr>
          <w:b/>
          <w:szCs w:val="22"/>
        </w:rPr>
      </w:pPr>
      <w:r>
        <w:rPr>
          <w:b/>
          <w:szCs w:val="22"/>
        </w:rPr>
        <w:t>Delay in neurology review (16</w:t>
      </w:r>
      <w:r>
        <w:rPr>
          <w:b/>
          <w:noProof/>
          <w:szCs w:val="22"/>
        </w:rPr>
        <w:t>HDC00761</w:t>
      </w:r>
      <w:r w:rsidR="00D33E17">
        <w:rPr>
          <w:b/>
          <w:szCs w:val="22"/>
        </w:rPr>
        <w:t>)</w:t>
      </w:r>
    </w:p>
    <w:p w:rsidR="00D33E17" w:rsidRDefault="00D33E17" w:rsidP="001A7030">
      <w:pPr>
        <w:spacing w:after="120"/>
        <w:rPr>
          <w:i/>
          <w:szCs w:val="22"/>
        </w:rPr>
      </w:pPr>
      <w:r>
        <w:rPr>
          <w:i/>
          <w:szCs w:val="22"/>
        </w:rPr>
        <w:t>Background</w:t>
      </w:r>
    </w:p>
    <w:p w:rsidR="007362E5" w:rsidRPr="001A7030" w:rsidRDefault="007362E5" w:rsidP="007362E5">
      <w:pPr>
        <w:spacing w:after="240"/>
        <w:rPr>
          <w:szCs w:val="22"/>
        </w:rPr>
      </w:pPr>
      <w:r w:rsidRPr="001A7030">
        <w:rPr>
          <w:szCs w:val="22"/>
        </w:rPr>
        <w:t xml:space="preserve">A 62-year-old man presented to an emergency department with sudden onset of left-sided weakness and twitching, and reported a week-long history of dizziness upon standing. A CT scan identified the possibility of a </w:t>
      </w:r>
      <w:proofErr w:type="spellStart"/>
      <w:r w:rsidRPr="001A7030">
        <w:rPr>
          <w:szCs w:val="22"/>
        </w:rPr>
        <w:t>dural</w:t>
      </w:r>
      <w:proofErr w:type="spellEnd"/>
      <w:r w:rsidRPr="001A7030">
        <w:rPr>
          <w:szCs w:val="22"/>
        </w:rPr>
        <w:t xml:space="preserve"> arteriovenous fistula, and the report recommended a neurological opinion. </w:t>
      </w:r>
    </w:p>
    <w:p w:rsidR="007362E5" w:rsidRPr="001A7030" w:rsidRDefault="007362E5" w:rsidP="007362E5">
      <w:pPr>
        <w:spacing w:after="240"/>
        <w:rPr>
          <w:szCs w:val="22"/>
        </w:rPr>
      </w:pPr>
      <w:r w:rsidRPr="001A7030">
        <w:rPr>
          <w:szCs w:val="22"/>
        </w:rPr>
        <w:t>The man was admitted to the general medicine ward with a working diagnosis of an ischaemic stroke the same day. The admitting medical registrar completed a handwritten neurology referral but it was erroneously sent using the proc</w:t>
      </w:r>
      <w:r w:rsidR="008F5D77">
        <w:rPr>
          <w:szCs w:val="22"/>
        </w:rPr>
        <w:t>ess for outpatient referrals.  T</w:t>
      </w:r>
      <w:r w:rsidRPr="001A7030">
        <w:rPr>
          <w:szCs w:val="22"/>
        </w:rPr>
        <w:t>here was nothing on the form to indicate that it was intended to be an inpatient referral. As a result, the referr</w:t>
      </w:r>
      <w:r w:rsidR="008F5D77">
        <w:rPr>
          <w:szCs w:val="22"/>
        </w:rPr>
        <w:t>al was not triaged until three</w:t>
      </w:r>
      <w:r w:rsidRPr="001A7030">
        <w:rPr>
          <w:szCs w:val="22"/>
        </w:rPr>
        <w:t xml:space="preserve"> days later. </w:t>
      </w:r>
    </w:p>
    <w:p w:rsidR="007362E5" w:rsidRPr="001A7030" w:rsidRDefault="007362E5" w:rsidP="007362E5">
      <w:pPr>
        <w:spacing w:after="240"/>
        <w:rPr>
          <w:szCs w:val="22"/>
        </w:rPr>
      </w:pPr>
      <w:r w:rsidRPr="001A7030">
        <w:rPr>
          <w:szCs w:val="22"/>
        </w:rPr>
        <w:t xml:space="preserve">The man was noted to have left arm tremors, which progressed to intermittent twitching of the left leg. The consultant general physician maintained the working diagnosis of ischaemic stroke when he reviewed the man in the morning of the following day. Nursing notes throughout that day refer to twitching and “on and off restlessness” in the man’s left leg. On the third day of admission, another medical registrar queried in the notes whether the man’s ongoing left-sided weakness was caused by seizures. This possibility was raised again during the physiotherapy and occupational therapy review in the afternoon, but the matter was not escalated to the consultant general physician. </w:t>
      </w:r>
    </w:p>
    <w:p w:rsidR="00233C66" w:rsidRPr="001A7030" w:rsidRDefault="007362E5" w:rsidP="00232DCF">
      <w:pPr>
        <w:spacing w:after="240"/>
        <w:rPr>
          <w:szCs w:val="22"/>
        </w:rPr>
      </w:pPr>
      <w:r w:rsidRPr="001A7030">
        <w:rPr>
          <w:szCs w:val="22"/>
        </w:rPr>
        <w:t xml:space="preserve">On the fourth day of admission, the medical registrar from the previous day noted that the man had yet to be been seen by a neurologist, and made active enquiries about the referral. As a result of these enquiries, the man was reviewed by the visiting neurologist, who diagnosed focal status epilepticus. The man was commenced on intravenous anti-seizure medication, and his involuntary </w:t>
      </w:r>
      <w:r w:rsidRPr="001A7030">
        <w:rPr>
          <w:szCs w:val="22"/>
        </w:rPr>
        <w:lastRenderedPageBreak/>
        <w:t xml:space="preserve">movements improved. He was later transferred to another hospital, where he received further treatment. </w:t>
      </w:r>
    </w:p>
    <w:p w:rsidR="00232DCF" w:rsidRDefault="00D33E17" w:rsidP="001A7030">
      <w:pPr>
        <w:spacing w:after="120"/>
        <w:rPr>
          <w:i/>
          <w:szCs w:val="22"/>
        </w:rPr>
      </w:pPr>
      <w:r>
        <w:rPr>
          <w:i/>
          <w:szCs w:val="22"/>
        </w:rPr>
        <w:t>Findings</w:t>
      </w:r>
    </w:p>
    <w:p w:rsidR="00232DCF" w:rsidRPr="001A7030" w:rsidRDefault="00232DCF" w:rsidP="00232DCF">
      <w:pPr>
        <w:spacing w:after="240"/>
        <w:rPr>
          <w:szCs w:val="22"/>
        </w:rPr>
      </w:pPr>
      <w:r w:rsidRPr="001A7030">
        <w:rPr>
          <w:szCs w:val="22"/>
        </w:rPr>
        <w:t xml:space="preserve">There were deficiencies in the care provided, which constituted a pattern of poor care on a service level, for which the DHB was ultimately responsible: </w:t>
      </w:r>
    </w:p>
    <w:p w:rsidR="00232DCF" w:rsidRPr="001A7030" w:rsidRDefault="00232DCF" w:rsidP="00232DCF">
      <w:pPr>
        <w:pStyle w:val="ListParagraph"/>
        <w:numPr>
          <w:ilvl w:val="0"/>
          <w:numId w:val="10"/>
        </w:numPr>
        <w:spacing w:after="240"/>
        <w:ind w:left="426" w:hanging="426"/>
        <w:contextualSpacing/>
        <w:rPr>
          <w:szCs w:val="22"/>
        </w:rPr>
      </w:pPr>
      <w:r w:rsidRPr="001A7030">
        <w:rPr>
          <w:szCs w:val="22"/>
        </w:rPr>
        <w:t>The admitting medical registrar did not make an acute referral to the neurology service following the abnormal CT scan result.</w:t>
      </w:r>
    </w:p>
    <w:p w:rsidR="00232DCF" w:rsidRPr="001A7030" w:rsidRDefault="00232DCF" w:rsidP="00232DCF">
      <w:pPr>
        <w:pStyle w:val="ListParagraph"/>
        <w:numPr>
          <w:ilvl w:val="0"/>
          <w:numId w:val="10"/>
        </w:numPr>
        <w:spacing w:after="240"/>
        <w:ind w:left="426" w:hanging="426"/>
        <w:contextualSpacing/>
        <w:rPr>
          <w:szCs w:val="22"/>
        </w:rPr>
      </w:pPr>
      <w:r w:rsidRPr="001A7030">
        <w:rPr>
          <w:szCs w:val="22"/>
        </w:rPr>
        <w:t>The admitting medical registrar’s non-urgent referral was erroneously sent to the outpatient clinic.</w:t>
      </w:r>
    </w:p>
    <w:p w:rsidR="00232DCF" w:rsidRPr="001A7030" w:rsidRDefault="00232DCF" w:rsidP="00232DCF">
      <w:pPr>
        <w:pStyle w:val="ListParagraph"/>
        <w:numPr>
          <w:ilvl w:val="0"/>
          <w:numId w:val="10"/>
        </w:numPr>
        <w:spacing w:after="240"/>
        <w:ind w:left="426" w:hanging="426"/>
        <w:contextualSpacing/>
        <w:rPr>
          <w:szCs w:val="22"/>
        </w:rPr>
      </w:pPr>
      <w:r w:rsidRPr="001A7030">
        <w:rPr>
          <w:szCs w:val="22"/>
        </w:rPr>
        <w:t>The consultant general physician did not discuss the CT report with the neurology service on his ward round the day after admission, when the man had been experiencing ongoing involuntary twitching.</w:t>
      </w:r>
    </w:p>
    <w:p w:rsidR="00232DCF" w:rsidRPr="001A7030" w:rsidRDefault="00232DCF" w:rsidP="00232DCF">
      <w:pPr>
        <w:pStyle w:val="ListParagraph"/>
        <w:numPr>
          <w:ilvl w:val="0"/>
          <w:numId w:val="10"/>
        </w:numPr>
        <w:spacing w:after="240"/>
        <w:ind w:left="426" w:hanging="426"/>
        <w:contextualSpacing/>
        <w:rPr>
          <w:szCs w:val="22"/>
        </w:rPr>
      </w:pPr>
      <w:r w:rsidRPr="001A7030">
        <w:rPr>
          <w:szCs w:val="22"/>
        </w:rPr>
        <w:t xml:space="preserve">Junior staff did not escalate concerns about the man’s ongoing involuntary movements, and the consultant general physician did not enquire. </w:t>
      </w:r>
    </w:p>
    <w:p w:rsidR="00232DCF" w:rsidRPr="001A7030" w:rsidRDefault="00232DCF" w:rsidP="00232DCF">
      <w:pPr>
        <w:spacing w:after="240"/>
        <w:rPr>
          <w:szCs w:val="22"/>
        </w:rPr>
      </w:pPr>
      <w:r w:rsidRPr="001A7030">
        <w:rPr>
          <w:szCs w:val="22"/>
        </w:rPr>
        <w:t>The Commissioner was most concerned by the lapses in communication within the general medicine team and the lack of safeguards in place to identify errors in the neurology referral process. These factors hindered the coordination of the man’s care within the team and across specialities, and contributed to the delay in him receiving the neurological review he required. For the above reasons, the Commissioner considered that the DHB failed to provide services with reasonable care and skill to the man, in breach of Right 4(1) of the Code.</w:t>
      </w:r>
    </w:p>
    <w:p w:rsidR="00D33E17" w:rsidRDefault="00D33E17" w:rsidP="001A7030">
      <w:pPr>
        <w:spacing w:after="120"/>
        <w:rPr>
          <w:i/>
          <w:szCs w:val="22"/>
        </w:rPr>
      </w:pPr>
      <w:r>
        <w:rPr>
          <w:i/>
          <w:szCs w:val="22"/>
        </w:rPr>
        <w:t>Recommendations</w:t>
      </w:r>
    </w:p>
    <w:p w:rsidR="00232DCF" w:rsidRPr="001A7030" w:rsidRDefault="00232DCF" w:rsidP="00232DCF">
      <w:pPr>
        <w:pStyle w:val="Recommendationfinalpoint"/>
        <w:numPr>
          <w:ilvl w:val="0"/>
          <w:numId w:val="0"/>
        </w:numPr>
        <w:tabs>
          <w:tab w:val="clear" w:pos="425"/>
          <w:tab w:val="clear" w:pos="1134"/>
        </w:tabs>
        <w:rPr>
          <w:rFonts w:asciiTheme="minorHAnsi" w:hAnsiTheme="minorHAnsi"/>
          <w:sz w:val="22"/>
          <w:szCs w:val="22"/>
        </w:rPr>
      </w:pPr>
      <w:r w:rsidRPr="001A7030">
        <w:rPr>
          <w:rFonts w:asciiTheme="minorHAnsi" w:hAnsiTheme="minorHAnsi"/>
          <w:sz w:val="22"/>
          <w:szCs w:val="22"/>
        </w:rPr>
        <w:t xml:space="preserve">The Commissioner </w:t>
      </w:r>
      <w:r w:rsidR="0063238F">
        <w:rPr>
          <w:rFonts w:asciiTheme="minorHAnsi" w:hAnsiTheme="minorHAnsi"/>
          <w:sz w:val="22"/>
          <w:szCs w:val="22"/>
        </w:rPr>
        <w:t>recommended that the DHB:</w:t>
      </w:r>
    </w:p>
    <w:p w:rsidR="00232DCF" w:rsidRPr="001A7030" w:rsidRDefault="00232DCF" w:rsidP="00232DCF">
      <w:pPr>
        <w:pStyle w:val="Recommendationfinalpoint"/>
        <w:numPr>
          <w:ilvl w:val="0"/>
          <w:numId w:val="13"/>
        </w:numPr>
        <w:tabs>
          <w:tab w:val="clear" w:pos="425"/>
          <w:tab w:val="clear" w:pos="1134"/>
        </w:tabs>
        <w:rPr>
          <w:rFonts w:asciiTheme="minorHAnsi" w:hAnsiTheme="minorHAnsi"/>
          <w:sz w:val="22"/>
          <w:szCs w:val="22"/>
        </w:rPr>
      </w:pPr>
      <w:r w:rsidRPr="001A7030">
        <w:rPr>
          <w:rFonts w:asciiTheme="minorHAnsi" w:hAnsiTheme="minorHAnsi"/>
          <w:sz w:val="22"/>
          <w:szCs w:val="22"/>
        </w:rPr>
        <w:t xml:space="preserve">Conduct an audit of neurology referrals within the last three months to ensure that the correct process has been followed. </w:t>
      </w:r>
    </w:p>
    <w:p w:rsidR="00232DCF" w:rsidRPr="001A7030" w:rsidRDefault="00232DCF" w:rsidP="00232DCF">
      <w:pPr>
        <w:pStyle w:val="Recommendationfinalpoint"/>
        <w:numPr>
          <w:ilvl w:val="0"/>
          <w:numId w:val="13"/>
        </w:numPr>
        <w:tabs>
          <w:tab w:val="clear" w:pos="425"/>
          <w:tab w:val="clear" w:pos="1134"/>
        </w:tabs>
        <w:rPr>
          <w:rFonts w:asciiTheme="minorHAnsi" w:hAnsiTheme="minorHAnsi"/>
          <w:sz w:val="22"/>
          <w:szCs w:val="22"/>
        </w:rPr>
      </w:pPr>
      <w:r w:rsidRPr="001A7030">
        <w:rPr>
          <w:rFonts w:asciiTheme="minorHAnsi" w:hAnsiTheme="minorHAnsi"/>
          <w:sz w:val="22"/>
          <w:szCs w:val="22"/>
        </w:rPr>
        <w:t>Use this case as an anonymised case study for education on the importance of team communication, and report back to HDC on this within three months of the date of this report.</w:t>
      </w:r>
    </w:p>
    <w:p w:rsidR="00D33E17" w:rsidRDefault="00232DCF" w:rsidP="00D33E17">
      <w:pPr>
        <w:pStyle w:val="Recommendationfinalpoint"/>
        <w:numPr>
          <w:ilvl w:val="0"/>
          <w:numId w:val="13"/>
        </w:numPr>
        <w:tabs>
          <w:tab w:val="clear" w:pos="425"/>
          <w:tab w:val="clear" w:pos="1134"/>
        </w:tabs>
        <w:rPr>
          <w:rFonts w:asciiTheme="minorHAnsi" w:hAnsiTheme="minorHAnsi"/>
          <w:sz w:val="22"/>
          <w:szCs w:val="22"/>
        </w:rPr>
      </w:pPr>
      <w:r w:rsidRPr="001A7030">
        <w:rPr>
          <w:rFonts w:asciiTheme="minorHAnsi" w:hAnsiTheme="minorHAnsi"/>
          <w:sz w:val="22"/>
          <w:szCs w:val="22"/>
        </w:rPr>
        <w:t>Update HDC on the implementation of its “</w:t>
      </w:r>
      <w:proofErr w:type="spellStart"/>
      <w:r w:rsidRPr="001A7030">
        <w:rPr>
          <w:rFonts w:asciiTheme="minorHAnsi" w:hAnsiTheme="minorHAnsi"/>
          <w:sz w:val="22"/>
          <w:szCs w:val="22"/>
        </w:rPr>
        <w:t>TransforMED</w:t>
      </w:r>
      <w:proofErr w:type="spellEnd"/>
      <w:r w:rsidRPr="001A7030">
        <w:rPr>
          <w:rFonts w:asciiTheme="minorHAnsi" w:hAnsiTheme="minorHAnsi"/>
          <w:sz w:val="22"/>
          <w:szCs w:val="22"/>
        </w:rPr>
        <w:t>” project (a project which aims to ensure that time is set aside for subspecialists who participate in General Medicine to undertake a ward round daily on inpatients on their designated ward).</w:t>
      </w:r>
    </w:p>
    <w:p w:rsidR="00547775" w:rsidRDefault="00547775" w:rsidP="00547775">
      <w:pPr>
        <w:pStyle w:val="Paranumbered"/>
        <w:numPr>
          <w:ilvl w:val="0"/>
          <w:numId w:val="0"/>
        </w:numPr>
        <w:ind w:left="360" w:hanging="360"/>
      </w:pPr>
    </w:p>
    <w:p w:rsidR="00547775" w:rsidRDefault="00547775" w:rsidP="00547775">
      <w:pPr>
        <w:pStyle w:val="Paranumbered"/>
        <w:numPr>
          <w:ilvl w:val="0"/>
          <w:numId w:val="0"/>
        </w:numPr>
        <w:ind w:left="360" w:hanging="360"/>
      </w:pPr>
    </w:p>
    <w:p w:rsidR="00547775" w:rsidRDefault="00547775" w:rsidP="00547775">
      <w:pPr>
        <w:pStyle w:val="Paranumbered"/>
        <w:numPr>
          <w:ilvl w:val="0"/>
          <w:numId w:val="0"/>
        </w:numPr>
        <w:ind w:left="360" w:hanging="360"/>
      </w:pPr>
    </w:p>
    <w:p w:rsidR="00547775" w:rsidRDefault="00547775" w:rsidP="00547775">
      <w:pPr>
        <w:pStyle w:val="Paranumbered"/>
        <w:numPr>
          <w:ilvl w:val="0"/>
          <w:numId w:val="0"/>
        </w:numPr>
        <w:ind w:left="360" w:hanging="360"/>
      </w:pPr>
    </w:p>
    <w:p w:rsidR="00547775" w:rsidRDefault="00547775" w:rsidP="00547775">
      <w:pPr>
        <w:pStyle w:val="Paranumbered"/>
        <w:numPr>
          <w:ilvl w:val="0"/>
          <w:numId w:val="0"/>
        </w:numPr>
        <w:ind w:left="360" w:hanging="360"/>
      </w:pPr>
    </w:p>
    <w:p w:rsidR="00547775" w:rsidRDefault="00547775" w:rsidP="00547775">
      <w:pPr>
        <w:pStyle w:val="Paranumbered"/>
        <w:numPr>
          <w:ilvl w:val="0"/>
          <w:numId w:val="0"/>
        </w:numPr>
        <w:ind w:left="360" w:hanging="360"/>
      </w:pPr>
    </w:p>
    <w:p w:rsidR="00547775" w:rsidRDefault="00547775" w:rsidP="00547775">
      <w:pPr>
        <w:pStyle w:val="Paranumbered"/>
        <w:numPr>
          <w:ilvl w:val="0"/>
          <w:numId w:val="0"/>
        </w:numPr>
        <w:ind w:left="360" w:hanging="360"/>
      </w:pPr>
    </w:p>
    <w:p w:rsidR="00547775" w:rsidRPr="00547775" w:rsidRDefault="00547775" w:rsidP="00547775">
      <w:pPr>
        <w:pStyle w:val="Paranumbered"/>
        <w:numPr>
          <w:ilvl w:val="0"/>
          <w:numId w:val="0"/>
        </w:numPr>
        <w:ind w:left="360" w:hanging="360"/>
      </w:pPr>
    </w:p>
    <w:p w:rsidR="00D33E17" w:rsidRDefault="005A1000" w:rsidP="001A7030">
      <w:pPr>
        <w:spacing w:before="240" w:after="120"/>
        <w:rPr>
          <w:b/>
          <w:szCs w:val="22"/>
        </w:rPr>
      </w:pPr>
      <w:r>
        <w:rPr>
          <w:b/>
          <w:szCs w:val="22"/>
        </w:rPr>
        <w:lastRenderedPageBreak/>
        <w:t>Delayed diagnosis of kidney problems in premature baby (15</w:t>
      </w:r>
      <w:r>
        <w:rPr>
          <w:b/>
          <w:noProof/>
          <w:szCs w:val="22"/>
        </w:rPr>
        <w:t>HDC00464</w:t>
      </w:r>
      <w:r w:rsidR="00D33E17">
        <w:rPr>
          <w:b/>
          <w:szCs w:val="22"/>
        </w:rPr>
        <w:t>)</w:t>
      </w:r>
    </w:p>
    <w:p w:rsidR="00D33E17" w:rsidRDefault="00D33E17" w:rsidP="001A7030">
      <w:pPr>
        <w:spacing w:after="120"/>
        <w:rPr>
          <w:i/>
          <w:szCs w:val="22"/>
        </w:rPr>
      </w:pPr>
      <w:r>
        <w:rPr>
          <w:i/>
          <w:szCs w:val="22"/>
        </w:rPr>
        <w:t>Background</w:t>
      </w:r>
    </w:p>
    <w:p w:rsidR="005A1000" w:rsidRPr="00474C1C" w:rsidRDefault="005A1000" w:rsidP="005A1000">
      <w:pPr>
        <w:spacing w:after="240"/>
      </w:pPr>
      <w:r w:rsidRPr="00474C1C">
        <w:t xml:space="preserve">At 31 weeks’ gestation, a woman had an ultrasound performed by a sonographer at a </w:t>
      </w:r>
      <w:r>
        <w:t>private radiology service</w:t>
      </w:r>
      <w:r w:rsidRPr="00474C1C">
        <w:t>. The reporting radiologist was working from a location remote from where the scan was performed.</w:t>
      </w:r>
      <w:r>
        <w:t xml:space="preserve"> </w:t>
      </w:r>
      <w:r w:rsidRPr="00474C1C">
        <w:t xml:space="preserve">During the scan, the sonographer noticed that the </w:t>
      </w:r>
      <w:proofErr w:type="spellStart"/>
      <w:r w:rsidRPr="00474C1C">
        <w:t>fetal</w:t>
      </w:r>
      <w:proofErr w:type="spellEnd"/>
      <w:r w:rsidRPr="00474C1C">
        <w:t xml:space="preserve"> kidneys appeared dilated, and that the </w:t>
      </w:r>
      <w:proofErr w:type="spellStart"/>
      <w:r w:rsidRPr="00474C1C">
        <w:t>fetal</w:t>
      </w:r>
      <w:proofErr w:type="spellEnd"/>
      <w:r w:rsidRPr="00474C1C">
        <w:t xml:space="preserve"> bladder was full and not seen to empty. She recorded on the sonographer</w:t>
      </w:r>
      <w:r>
        <w:t>’</w:t>
      </w:r>
      <w:r w:rsidRPr="00474C1C">
        <w:t>s worksheet</w:t>
      </w:r>
      <w:r>
        <w:t>:</w:t>
      </w:r>
      <w:r w:rsidRPr="00474C1C">
        <w:t xml:space="preserve"> “Kidneys appear </w:t>
      </w:r>
      <w:proofErr w:type="gramStart"/>
      <w:r w:rsidRPr="00474C1C">
        <w:t>dilated ?</w:t>
      </w:r>
      <w:proofErr w:type="gramEnd"/>
      <w:r w:rsidRPr="00474C1C">
        <w:t xml:space="preserve"> </w:t>
      </w:r>
      <w:proofErr w:type="gramStart"/>
      <w:r w:rsidRPr="00474C1C">
        <w:t>rescan</w:t>
      </w:r>
      <w:proofErr w:type="gramEnd"/>
      <w:r w:rsidRPr="00474C1C">
        <w:t xml:space="preserve"> once born.” She sent the images and worksheet to the radiologist, but did not discuss this case with him.</w:t>
      </w:r>
    </w:p>
    <w:p w:rsidR="005A1000" w:rsidRPr="00474C1C" w:rsidRDefault="005A1000" w:rsidP="005A1000">
      <w:pPr>
        <w:spacing w:after="240"/>
      </w:pPr>
      <w:r w:rsidRPr="00474C1C">
        <w:t>The radiologist wrote in the ultrasound report: “[B]</w:t>
      </w:r>
      <w:proofErr w:type="spellStart"/>
      <w:r w:rsidRPr="00474C1C">
        <w:t>ilateral</w:t>
      </w:r>
      <w:proofErr w:type="spellEnd"/>
      <w:r w:rsidRPr="00474C1C">
        <w:t xml:space="preserve"> </w:t>
      </w:r>
      <w:proofErr w:type="spellStart"/>
      <w:r w:rsidRPr="00474C1C">
        <w:t>fetal</w:t>
      </w:r>
      <w:proofErr w:type="spellEnd"/>
      <w:r w:rsidRPr="00474C1C">
        <w:t xml:space="preserve"> renal dilation (5mm). </w:t>
      </w:r>
      <w:proofErr w:type="spellStart"/>
      <w:r w:rsidRPr="00474C1C">
        <w:t>Fetal</w:t>
      </w:r>
      <w:proofErr w:type="spellEnd"/>
      <w:r w:rsidRPr="00474C1C">
        <w:t xml:space="preserve"> bladder appears somewhat overfilled. Bladder was not seen to empty during the study </w:t>
      </w:r>
      <w:r>
        <w:t>…</w:t>
      </w:r>
      <w:r w:rsidRPr="00474C1C">
        <w:t xml:space="preserve"> </w:t>
      </w:r>
      <w:r>
        <w:t>[P]</w:t>
      </w:r>
      <w:proofErr w:type="spellStart"/>
      <w:r w:rsidRPr="00474C1C">
        <w:t>ostnatal</w:t>
      </w:r>
      <w:proofErr w:type="spellEnd"/>
      <w:r w:rsidRPr="00474C1C">
        <w:t xml:space="preserve"> assessment is suggested.” The actual findings of the scan were fluctuating renal pelvis measurements of 4.1mm to 9.5mm on the right and 5.1mm to 14mm on the left.</w:t>
      </w:r>
    </w:p>
    <w:p w:rsidR="005A1000" w:rsidRPr="00474C1C" w:rsidRDefault="005A1000" w:rsidP="005A1000">
      <w:pPr>
        <w:spacing w:after="240"/>
      </w:pPr>
      <w:r>
        <w:t>The</w:t>
      </w:r>
      <w:r w:rsidRPr="00474C1C">
        <w:t xml:space="preserve"> baby was born at 32 weeks’ gestation, and was admitted to the Neonatal Unit</w:t>
      </w:r>
      <w:r>
        <w:t xml:space="preserve"> at a DHB</w:t>
      </w:r>
      <w:r w:rsidRPr="00474C1C">
        <w:t xml:space="preserve">. It was verbally reported to paediatric staff that an antenatal ultrasound had shown bilateral </w:t>
      </w:r>
      <w:proofErr w:type="spellStart"/>
      <w:r w:rsidRPr="00474C1C">
        <w:t>fetal</w:t>
      </w:r>
      <w:proofErr w:type="spellEnd"/>
      <w:r w:rsidRPr="00474C1C">
        <w:t xml:space="preserve"> renal dilation of 5mm, but a copy of the radiology report was not transferred from the mother’s clinical records to the baby’s records. A copy of the report was obtained from the </w:t>
      </w:r>
      <w:r>
        <w:t>private radiology service</w:t>
      </w:r>
      <w:r w:rsidRPr="00474C1C">
        <w:t xml:space="preserve"> by the hospital, but not disseminated to paediatric staff, and paediatric staff did not request a copy.</w:t>
      </w:r>
    </w:p>
    <w:p w:rsidR="005A1000" w:rsidRPr="00474C1C" w:rsidRDefault="005A1000" w:rsidP="005A1000">
      <w:pPr>
        <w:spacing w:after="240"/>
      </w:pPr>
      <w:r>
        <w:t>S</w:t>
      </w:r>
      <w:r w:rsidRPr="00474C1C">
        <w:t xml:space="preserve">ubsequently </w:t>
      </w:r>
      <w:r>
        <w:t>t</w:t>
      </w:r>
      <w:r w:rsidRPr="00474C1C">
        <w:t xml:space="preserve">he baby developed oedema and had episodes of high blood pressure. Nursing staff were told that medical staff had no concerns and that they needed to give consistent feedback to the woman about this. </w:t>
      </w:r>
      <w:r>
        <w:t>A</w:t>
      </w:r>
      <w:r w:rsidRPr="00474C1C">
        <w:t xml:space="preserve"> renal ultrasound was performed</w:t>
      </w:r>
      <w:r>
        <w:t>,</w:t>
      </w:r>
      <w:r w:rsidRPr="00474C1C">
        <w:t xml:space="preserve"> and a diagnosis o</w:t>
      </w:r>
      <w:r>
        <w:t>f posterior urethral valves (</w:t>
      </w:r>
      <w:r w:rsidRPr="00474C1C">
        <w:t xml:space="preserve">a condition where </w:t>
      </w:r>
      <w:r w:rsidRPr="00474C1C">
        <w:rPr>
          <w:lang w:val="en-US"/>
        </w:rPr>
        <w:t>obstructing membranes in the posterior male urethra prevent nor</w:t>
      </w:r>
      <w:r w:rsidR="0063238F">
        <w:rPr>
          <w:lang w:val="en-US"/>
        </w:rPr>
        <w:t>mal urine flow from the bladder</w:t>
      </w:r>
      <w:r w:rsidRPr="00474C1C">
        <w:t xml:space="preserve">) was made. </w:t>
      </w:r>
      <w:r>
        <w:t>T</w:t>
      </w:r>
      <w:r w:rsidRPr="00474C1C">
        <w:t>he baby was catheterised and transferred to another hospital, where he underwent posterior urethral valve ablation</w:t>
      </w:r>
      <w:r>
        <w:t xml:space="preserve"> (</w:t>
      </w:r>
      <w:r w:rsidRPr="00474C1C">
        <w:t xml:space="preserve">surgery to </w:t>
      </w:r>
      <w:r w:rsidRPr="00474C1C">
        <w:rPr>
          <w:lang w:val="en-US"/>
        </w:rPr>
        <w:t>remove the valve through the urethra</w:t>
      </w:r>
      <w:r>
        <w:rPr>
          <w:lang w:val="en-US"/>
        </w:rPr>
        <w:t>)</w:t>
      </w:r>
      <w:r w:rsidRPr="00474C1C">
        <w:t>.</w:t>
      </w:r>
    </w:p>
    <w:p w:rsidR="005A1000" w:rsidRPr="00FA53DD" w:rsidRDefault="005A1000" w:rsidP="00FA53DD">
      <w:pPr>
        <w:spacing w:after="240"/>
      </w:pPr>
      <w:r w:rsidRPr="00474C1C">
        <w:t xml:space="preserve">At the time of these events, the </w:t>
      </w:r>
      <w:r>
        <w:t>DHB</w:t>
      </w:r>
      <w:r w:rsidRPr="00474C1C">
        <w:t xml:space="preserve"> was testing a new electronic health record</w:t>
      </w:r>
      <w:r>
        <w:t>. This meant that</w:t>
      </w:r>
      <w:r w:rsidRPr="00474C1C">
        <w:t xml:space="preserve"> staff were </w:t>
      </w:r>
      <w:r>
        <w:t xml:space="preserve">electronically </w:t>
      </w:r>
      <w:r w:rsidRPr="00CE10BD">
        <w:t xml:space="preserve">recording in bullet or abbreviated form the clinical decisions made, but not necessarily </w:t>
      </w:r>
      <w:r w:rsidRPr="00474C1C">
        <w:t xml:space="preserve">the thinking behind </w:t>
      </w:r>
      <w:r>
        <w:t xml:space="preserve">those </w:t>
      </w:r>
      <w:r w:rsidRPr="00474C1C">
        <w:t xml:space="preserve">diagnoses or </w:t>
      </w:r>
      <w:r>
        <w:t xml:space="preserve">the </w:t>
      </w:r>
      <w:r w:rsidRPr="00474C1C">
        <w:t xml:space="preserve">alternative diagnoses considered. There was also a lack of clinical workstations, and it was difficult to enter data cot-side. </w:t>
      </w:r>
    </w:p>
    <w:p w:rsidR="00D33E17" w:rsidRDefault="00D33E17" w:rsidP="001A7030">
      <w:pPr>
        <w:spacing w:after="120"/>
        <w:rPr>
          <w:i/>
          <w:szCs w:val="22"/>
        </w:rPr>
      </w:pPr>
      <w:r>
        <w:rPr>
          <w:i/>
          <w:szCs w:val="22"/>
        </w:rPr>
        <w:t>Findings</w:t>
      </w:r>
    </w:p>
    <w:p w:rsidR="00FA53DD" w:rsidRDefault="000D3A98" w:rsidP="00FA53DD">
      <w:pPr>
        <w:spacing w:after="240"/>
      </w:pPr>
      <w:r>
        <w:t>The Commissioner considered that t</w:t>
      </w:r>
      <w:r w:rsidR="00FA53DD" w:rsidRPr="00474C1C">
        <w:t xml:space="preserve">he DHB responded appropriately to the reported antenatal ultrasound findings of bilateral </w:t>
      </w:r>
      <w:proofErr w:type="spellStart"/>
      <w:r w:rsidR="00FA53DD" w:rsidRPr="00474C1C">
        <w:t>fetal</w:t>
      </w:r>
      <w:proofErr w:type="spellEnd"/>
      <w:r w:rsidR="00FA53DD" w:rsidRPr="00474C1C">
        <w:t xml:space="preserve"> renal dilation of 5mm, and the care provided to the baby on the first four days of his life was appropriate. However, the DHB paediatric medical staff did not investigate the baby’s worsening oedema and high blood pressure from day five of his life. </w:t>
      </w:r>
      <w:r>
        <w:t xml:space="preserve">The Commissioner was </w:t>
      </w:r>
      <w:r w:rsidRPr="00657261">
        <w:t>particularly concerned about these delays in investigation, given t</w:t>
      </w:r>
      <w:r>
        <w:t>hat the baby’s parents r</w:t>
      </w:r>
      <w:r w:rsidRPr="00657261">
        <w:t>epeatedly raised their concerns and requested earlier investigations.</w:t>
      </w:r>
      <w:r>
        <w:t xml:space="preserve"> The Commissioner</w:t>
      </w:r>
      <w:r w:rsidRPr="00657261">
        <w:t xml:space="preserve"> consider</w:t>
      </w:r>
      <w:r>
        <w:t>ed that this represented</w:t>
      </w:r>
      <w:r w:rsidRPr="00657261">
        <w:t xml:space="preserve"> a lack of responsiveness and clinical judgement on the part of paediatric medical staff. </w:t>
      </w:r>
      <w:r w:rsidR="00FA53DD" w:rsidRPr="00474C1C">
        <w:t xml:space="preserve">Accordingly, </w:t>
      </w:r>
      <w:r>
        <w:t>the Commissioner found that the</w:t>
      </w:r>
      <w:r w:rsidR="00FA53DD" w:rsidRPr="00474C1C">
        <w:t xml:space="preserve"> DHB did not provide care to the baby with reasonable care and skill </w:t>
      </w:r>
      <w:r>
        <w:t>in breach of</w:t>
      </w:r>
      <w:r w:rsidR="00FA53DD">
        <w:t xml:space="preserve"> Right 4(1)</w:t>
      </w:r>
      <w:r>
        <w:t xml:space="preserve"> of the Code</w:t>
      </w:r>
      <w:r w:rsidR="00FA53DD">
        <w:t>.</w:t>
      </w:r>
    </w:p>
    <w:p w:rsidR="00FA53DD" w:rsidRPr="00474C1C" w:rsidRDefault="00FA53DD" w:rsidP="00FA53DD">
      <w:pPr>
        <w:spacing w:after="240"/>
      </w:pPr>
      <w:r w:rsidRPr="00474C1C">
        <w:t xml:space="preserve">By not transferring a copy of the antenatal ultrasound report from </w:t>
      </w:r>
      <w:r>
        <w:t>the woman’s clinical records to the baby</w:t>
      </w:r>
      <w:r w:rsidRPr="00474C1C">
        <w:t>’</w:t>
      </w:r>
      <w:r>
        <w:t>s</w:t>
      </w:r>
      <w:r w:rsidRPr="00474C1C">
        <w:t xml:space="preserve"> clinical records when he was born; not disseminating to relevant paediatric staff the cop</w:t>
      </w:r>
      <w:r>
        <w:t>y of the report obtained from the private radiology service</w:t>
      </w:r>
      <w:r w:rsidRPr="00474C1C">
        <w:t>; and paediatric staff not requ</w:t>
      </w:r>
      <w:r>
        <w:t>esting a copy of the report,</w:t>
      </w:r>
      <w:r w:rsidR="000D3A98">
        <w:t xml:space="preserve"> the Commissioner considered that</w:t>
      </w:r>
      <w:r>
        <w:t xml:space="preserve"> the D</w:t>
      </w:r>
      <w:r w:rsidRPr="00474C1C">
        <w:t xml:space="preserve">HB failed to ensure continuity of care and, </w:t>
      </w:r>
      <w:r>
        <w:t>therefore, breached Right 4(5)</w:t>
      </w:r>
      <w:r w:rsidR="000D3A98">
        <w:t xml:space="preserve"> of the Code</w:t>
      </w:r>
      <w:r>
        <w:t>.</w:t>
      </w:r>
    </w:p>
    <w:p w:rsidR="00FA53DD" w:rsidRPr="00474C1C" w:rsidRDefault="000D3A98" w:rsidP="00FA53DD">
      <w:pPr>
        <w:spacing w:after="240"/>
      </w:pPr>
      <w:r>
        <w:t>The Commissioner noted that t</w:t>
      </w:r>
      <w:r w:rsidR="00FA53DD" w:rsidRPr="00474C1C">
        <w:t xml:space="preserve">here </w:t>
      </w:r>
      <w:r w:rsidR="00FA53DD">
        <w:t>wa</w:t>
      </w:r>
      <w:r w:rsidR="00FA53DD" w:rsidRPr="00474C1C">
        <w:t xml:space="preserve">s a pattern of suboptimal documentation by multiple staff involved in </w:t>
      </w:r>
      <w:r w:rsidR="00FA53DD">
        <w:t>the baby</w:t>
      </w:r>
      <w:r w:rsidR="00FA53DD" w:rsidRPr="00474C1C">
        <w:t>’</w:t>
      </w:r>
      <w:r w:rsidR="00FA53DD">
        <w:t>s</w:t>
      </w:r>
      <w:r w:rsidR="00FA53DD" w:rsidRPr="00474C1C">
        <w:t xml:space="preserve"> care, and the environment in which </w:t>
      </w:r>
      <w:r w:rsidR="00FA53DD">
        <w:t xml:space="preserve">the </w:t>
      </w:r>
      <w:r w:rsidR="00FA53DD" w:rsidRPr="00474C1C">
        <w:t>DHB staff were operating</w:t>
      </w:r>
      <w:r>
        <w:t xml:space="preserve"> (with a new electronic system being tested, but insufficient equipment provided to use it properly)</w:t>
      </w:r>
      <w:r w:rsidR="00FA53DD" w:rsidRPr="00474C1C">
        <w:t xml:space="preserve"> contributed considerably to the documentation failures in this case</w:t>
      </w:r>
      <w:r w:rsidR="00FA53DD">
        <w:t>.</w:t>
      </w:r>
      <w:r>
        <w:t xml:space="preserve"> Therefore, the Commissioner considered that </w:t>
      </w:r>
      <w:r>
        <w:lastRenderedPageBreak/>
        <w:t>t</w:t>
      </w:r>
      <w:r w:rsidR="00FA53DD">
        <w:t xml:space="preserve">he </w:t>
      </w:r>
      <w:r w:rsidR="00FA53DD" w:rsidRPr="00474C1C">
        <w:t xml:space="preserve">DHB failed to provide services to </w:t>
      </w:r>
      <w:r w:rsidR="00FA53DD">
        <w:t>the baby</w:t>
      </w:r>
      <w:r w:rsidR="00FA53DD" w:rsidRPr="00474C1C">
        <w:t xml:space="preserve"> that complied with relevant standards, and thereby breached Right 4(</w:t>
      </w:r>
      <w:r w:rsidR="00FA53DD">
        <w:t>2)</w:t>
      </w:r>
      <w:r>
        <w:t xml:space="preserve"> of the Code</w:t>
      </w:r>
      <w:r w:rsidR="00FA53DD">
        <w:t>.</w:t>
      </w:r>
    </w:p>
    <w:p w:rsidR="00FA53DD" w:rsidRPr="00D83C74" w:rsidRDefault="00D83C74" w:rsidP="00D83C74">
      <w:pPr>
        <w:spacing w:after="240"/>
      </w:pPr>
      <w:r>
        <w:t>The Commissioner was</w:t>
      </w:r>
      <w:r w:rsidRPr="00657261">
        <w:t xml:space="preserve"> concerned that nursing staff were instructed to reassure </w:t>
      </w:r>
      <w:r>
        <w:t>the baby’s parents</w:t>
      </w:r>
      <w:r w:rsidRPr="00657261">
        <w:t xml:space="preserve"> that </w:t>
      </w:r>
      <w:r>
        <w:t>the baby</w:t>
      </w:r>
      <w:r w:rsidRPr="00657261">
        <w:t xml:space="preserve"> was fine, and were told that </w:t>
      </w:r>
      <w:r>
        <w:t>the baby</w:t>
      </w:r>
      <w:r w:rsidRPr="00657261">
        <w:t xml:space="preserve"> did not require multiple medical re</w:t>
      </w:r>
      <w:r w:rsidR="008F5D77">
        <w:t xml:space="preserve">views in relation to his oedema. This </w:t>
      </w:r>
      <w:proofErr w:type="gramStart"/>
      <w:r w:rsidR="008F5D77">
        <w:t xml:space="preserve">was </w:t>
      </w:r>
      <w:r w:rsidRPr="00657261">
        <w:t xml:space="preserve"> particularly</w:t>
      </w:r>
      <w:proofErr w:type="gramEnd"/>
      <w:r w:rsidR="008F5D77">
        <w:t xml:space="preserve"> concerning</w:t>
      </w:r>
      <w:r w:rsidRPr="00657261">
        <w:t xml:space="preserve"> in light of the fact that the</w:t>
      </w:r>
      <w:r>
        <w:t xml:space="preserve"> DHB’s</w:t>
      </w:r>
      <w:r w:rsidRPr="00657261">
        <w:t xml:space="preserve"> R</w:t>
      </w:r>
      <w:r>
        <w:t xml:space="preserve">oot </w:t>
      </w:r>
      <w:r w:rsidRPr="00657261">
        <w:t>C</w:t>
      </w:r>
      <w:r>
        <w:t xml:space="preserve">ause </w:t>
      </w:r>
      <w:r w:rsidRPr="00657261">
        <w:t>A</w:t>
      </w:r>
      <w:r>
        <w:t>nalysis (RCA)</w:t>
      </w:r>
      <w:r w:rsidRPr="00657261">
        <w:t xml:space="preserve"> found that some nursing staff felt that they were not listened to.</w:t>
      </w:r>
      <w:r>
        <w:t xml:space="preserve"> The Commissioner noted that</w:t>
      </w:r>
      <w:r w:rsidRPr="00657261">
        <w:t xml:space="preserve"> </w:t>
      </w:r>
      <w:r>
        <w:t>i</w:t>
      </w:r>
      <w:r w:rsidRPr="00657261">
        <w:t>t is important that medical staff work in partnership with nursing staff and take</w:t>
      </w:r>
      <w:r>
        <w:t xml:space="preserve"> their views into consideration, and that the DHB should encourage a culture where it is acceptable to voice concerns and ask questions from any point in the hierarchy. </w:t>
      </w:r>
    </w:p>
    <w:p w:rsidR="00D33E17" w:rsidRDefault="00D33E17" w:rsidP="001A7030">
      <w:pPr>
        <w:spacing w:after="120"/>
        <w:rPr>
          <w:i/>
          <w:szCs w:val="22"/>
        </w:rPr>
      </w:pPr>
      <w:r>
        <w:rPr>
          <w:i/>
          <w:szCs w:val="22"/>
        </w:rPr>
        <w:t>Recommendations</w:t>
      </w:r>
    </w:p>
    <w:p w:rsidR="00D83C74" w:rsidRDefault="00D83C74" w:rsidP="00D33E17">
      <w:pPr>
        <w:rPr>
          <w:szCs w:val="22"/>
        </w:rPr>
      </w:pPr>
      <w:r>
        <w:rPr>
          <w:szCs w:val="22"/>
        </w:rPr>
        <w:t xml:space="preserve">The Commissioner made a number of recommendations to the DHB, including that it: </w:t>
      </w:r>
    </w:p>
    <w:p w:rsidR="00D83C74" w:rsidRDefault="00D83C74" w:rsidP="00D33E17">
      <w:pPr>
        <w:rPr>
          <w:szCs w:val="22"/>
        </w:rPr>
      </w:pPr>
    </w:p>
    <w:p w:rsidR="00D83C74" w:rsidRDefault="00D83C74" w:rsidP="00D83C74">
      <w:pPr>
        <w:pStyle w:val="Bulletindent"/>
        <w:keepNext/>
        <w:keepLines/>
        <w:numPr>
          <w:ilvl w:val="0"/>
          <w:numId w:val="15"/>
        </w:numPr>
        <w:spacing w:after="60"/>
      </w:pPr>
      <w:r w:rsidRPr="00657261">
        <w:t xml:space="preserve">Report back to HDC on the implementation of the recommendations arising from the RCA, including a review of current best practice for </w:t>
      </w:r>
      <w:proofErr w:type="spellStart"/>
      <w:r w:rsidRPr="00657261">
        <w:t>fetal</w:t>
      </w:r>
      <w:proofErr w:type="spellEnd"/>
      <w:r w:rsidRPr="00657261">
        <w:t>/renal antenatal ultrasound scanning for renal abnormalities</w:t>
      </w:r>
      <w:r w:rsidR="00920EB3">
        <w:t>.</w:t>
      </w:r>
    </w:p>
    <w:p w:rsidR="00D83C74" w:rsidRDefault="00D83C74" w:rsidP="00D83C74">
      <w:pPr>
        <w:pStyle w:val="Bulletindent"/>
        <w:keepNext/>
        <w:keepLines/>
        <w:numPr>
          <w:ilvl w:val="0"/>
          <w:numId w:val="15"/>
        </w:numPr>
        <w:spacing w:after="60"/>
      </w:pPr>
      <w:r w:rsidRPr="00657261">
        <w:t>Provide refresher training to all paediatric staff on the procedure for obtaining copies of external ultrasound reports, and remind all maternity staff of the importance of transferring relevant information from the mother’s clinical records into the baby’s clinical records</w:t>
      </w:r>
      <w:r>
        <w:t>.</w:t>
      </w:r>
    </w:p>
    <w:p w:rsidR="00D83C74" w:rsidRDefault="00D83C74" w:rsidP="00D83C74">
      <w:pPr>
        <w:pStyle w:val="Bulletindent"/>
        <w:keepNext/>
        <w:keepLines/>
        <w:numPr>
          <w:ilvl w:val="0"/>
          <w:numId w:val="15"/>
        </w:numPr>
        <w:spacing w:after="60"/>
      </w:pPr>
      <w:r w:rsidRPr="00657261">
        <w:t xml:space="preserve">Undertake a qualitative audit to check for appropriate use of the electronic health record in the Neonatal Unit, obtain feedback from </w:t>
      </w:r>
      <w:r>
        <w:t xml:space="preserve">staff regarding any user issues </w:t>
      </w:r>
      <w:proofErr w:type="gramStart"/>
      <w:r>
        <w:t xml:space="preserve">and </w:t>
      </w:r>
      <w:r w:rsidRPr="00657261">
        <w:t xml:space="preserve"> implement</w:t>
      </w:r>
      <w:proofErr w:type="gramEnd"/>
      <w:r w:rsidRPr="00657261">
        <w:t xml:space="preserve"> a mechanism for ensuring ongoing staff communication of issues</w:t>
      </w:r>
      <w:r w:rsidR="00920EB3">
        <w:t>.</w:t>
      </w:r>
    </w:p>
    <w:p w:rsidR="00D83C74" w:rsidRDefault="00D83C74" w:rsidP="00D83C74">
      <w:pPr>
        <w:pStyle w:val="Bulletindent"/>
        <w:keepNext/>
        <w:keepLines/>
        <w:numPr>
          <w:ilvl w:val="0"/>
          <w:numId w:val="15"/>
        </w:numPr>
        <w:spacing w:after="60"/>
      </w:pPr>
      <w:r w:rsidRPr="00657261">
        <w:t>Provide a detailed update to HDC on progress toward additional clinical works</w:t>
      </w:r>
      <w:r>
        <w:t>tations being situated cot-side</w:t>
      </w:r>
      <w:r w:rsidR="00920EB3">
        <w:t>.</w:t>
      </w:r>
    </w:p>
    <w:p w:rsidR="001A7030" w:rsidRDefault="001A7030" w:rsidP="001A7030">
      <w:pPr>
        <w:pStyle w:val="Bulletindent"/>
        <w:keepNext/>
        <w:keepLines/>
        <w:spacing w:after="60"/>
        <w:ind w:left="1080" w:firstLine="0"/>
      </w:pPr>
    </w:p>
    <w:p w:rsidR="00D83C74" w:rsidRPr="00657261" w:rsidRDefault="00D83C74" w:rsidP="00D83C74">
      <w:pPr>
        <w:pStyle w:val="Bulletindent"/>
        <w:keepNext/>
        <w:keepLines/>
        <w:spacing w:after="60"/>
      </w:pPr>
    </w:p>
    <w:p w:rsidR="00D83C74" w:rsidRPr="00D83C74" w:rsidRDefault="00D83C74" w:rsidP="00D33E17">
      <w:pPr>
        <w:rPr>
          <w:szCs w:val="22"/>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295503" w:rsidRDefault="00295503" w:rsidP="00D86226">
      <w:pPr>
        <w:rPr>
          <w:lang w:bidi="ar-SA"/>
        </w:rPr>
      </w:pPr>
    </w:p>
    <w:p w:rsidR="00377FEE" w:rsidRPr="009179EE" w:rsidRDefault="00377FEE" w:rsidP="00C402EF"/>
    <w:sectPr w:rsidR="00377FEE" w:rsidRPr="009179EE" w:rsidSect="00AA7C77">
      <w:footerReference w:type="even" r:id="rId21"/>
      <w:footerReference w:type="default" r:id="rId22"/>
      <w:footerReference w:type="first" r:id="rId23"/>
      <w:pgSz w:w="11906" w:h="16838"/>
      <w:pgMar w:top="1140" w:right="1412" w:bottom="851" w:left="1412" w:header="720" w:footer="59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FD7" w:rsidRDefault="00685FD7">
      <w:r>
        <w:separator/>
      </w:r>
    </w:p>
  </w:endnote>
  <w:endnote w:type="continuationSeparator" w:id="0">
    <w:p w:rsidR="00685FD7" w:rsidRDefault="0068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D7" w:rsidRDefault="00685FD7" w:rsidP="00E2296F">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Pr>
        <w:noProof/>
        <w:szCs w:val="22"/>
      </w:rPr>
      <w:t>ii</w:t>
    </w:r>
    <w:r w:rsidRPr="0073317F">
      <w:rPr>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D7" w:rsidRDefault="00685F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D7" w:rsidRDefault="00685FD7" w:rsidP="00D30C28">
    <w:pPr>
      <w:pStyle w:val="Footer"/>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D7" w:rsidRPr="00AA7C77" w:rsidRDefault="00685FD7" w:rsidP="00E2296F">
    <w:pPr>
      <w:pStyle w:val="Footer"/>
      <w:spacing w:before="240"/>
      <w:jc w:val="center"/>
      <w:rPr>
        <w:szCs w:val="22"/>
        <w:lang w:val="en-US"/>
      </w:rPr>
    </w:pPr>
    <w:r w:rsidRPr="00317B3B">
      <w:rPr>
        <w:szCs w:val="22"/>
        <w:lang w:val="en-US"/>
      </w:rPr>
      <w:fldChar w:fldCharType="begin"/>
    </w:r>
    <w:r w:rsidRPr="00317B3B">
      <w:rPr>
        <w:szCs w:val="22"/>
        <w:lang w:val="en-US"/>
      </w:rPr>
      <w:instrText xml:space="preserve"> PAGE   \* MERGEFORMAT </w:instrText>
    </w:r>
    <w:r w:rsidRPr="00317B3B">
      <w:rPr>
        <w:szCs w:val="22"/>
        <w:lang w:val="en-US"/>
      </w:rPr>
      <w:fldChar w:fldCharType="separate"/>
    </w:r>
    <w:r w:rsidR="001A0494">
      <w:rPr>
        <w:noProof/>
        <w:szCs w:val="22"/>
        <w:lang w:val="en-US"/>
      </w:rPr>
      <w:t>i</w:t>
    </w:r>
    <w:r w:rsidRPr="00317B3B">
      <w:rPr>
        <w:noProof/>
        <w:szCs w:val="22"/>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D7" w:rsidRPr="00F535C5" w:rsidRDefault="00685FD7" w:rsidP="00E2296F">
    <w:pPr>
      <w:pStyle w:val="Footer"/>
      <w:jc w:val="both"/>
      <w:rPr>
        <w:sz w:val="18"/>
        <w:szCs w:val="18"/>
      </w:rPr>
    </w:pPr>
    <w:r w:rsidRPr="00DD3AD4">
      <w:rPr>
        <w:sz w:val="18"/>
        <w:szCs w:val="18"/>
      </w:rPr>
      <w:tab/>
    </w:r>
    <w:r w:rsidRPr="00166DD6">
      <w:rPr>
        <w:szCs w:val="22"/>
      </w:rPr>
      <w:fldChar w:fldCharType="begin"/>
    </w:r>
    <w:r w:rsidRPr="00166DD6">
      <w:rPr>
        <w:szCs w:val="22"/>
      </w:rPr>
      <w:instrText xml:space="preserve"> PAGE   \* MERGEFORMAT </w:instrText>
    </w:r>
    <w:r w:rsidRPr="00166DD6">
      <w:rPr>
        <w:szCs w:val="22"/>
      </w:rPr>
      <w:fldChar w:fldCharType="separate"/>
    </w:r>
    <w:r w:rsidR="001A0494">
      <w:rPr>
        <w:noProof/>
        <w:szCs w:val="22"/>
      </w:rPr>
      <w:t>i</w:t>
    </w:r>
    <w:r w:rsidRPr="00166DD6">
      <w:rPr>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123991"/>
      <w:docPartObj>
        <w:docPartGallery w:val="Page Numbers (Bottom of Page)"/>
        <w:docPartUnique/>
      </w:docPartObj>
    </w:sdtPr>
    <w:sdtEndPr>
      <w:rPr>
        <w:noProof/>
      </w:rPr>
    </w:sdtEndPr>
    <w:sdtContent>
      <w:p w:rsidR="00685FD7" w:rsidRPr="00AA7C77" w:rsidRDefault="00685FD7" w:rsidP="00160606">
        <w:pPr>
          <w:pStyle w:val="Footer"/>
          <w:spacing w:before="240"/>
          <w:jc w:val="center"/>
        </w:pPr>
        <w:r>
          <w:fldChar w:fldCharType="begin"/>
        </w:r>
        <w:r>
          <w:instrText xml:space="preserve"> PAGE   \* MERGEFORMAT </w:instrText>
        </w:r>
        <w:r>
          <w:fldChar w:fldCharType="separate"/>
        </w:r>
        <w:r w:rsidR="001A0494">
          <w:rPr>
            <w:noProof/>
          </w:rPr>
          <w:t>20</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984330"/>
      <w:docPartObj>
        <w:docPartGallery w:val="Page Numbers (Bottom of Page)"/>
        <w:docPartUnique/>
      </w:docPartObj>
    </w:sdtPr>
    <w:sdtEndPr>
      <w:rPr>
        <w:noProof/>
      </w:rPr>
    </w:sdtEndPr>
    <w:sdtContent>
      <w:p w:rsidR="00685FD7" w:rsidRPr="00AA7C77" w:rsidRDefault="00685FD7" w:rsidP="00160606">
        <w:pPr>
          <w:pStyle w:val="Footer"/>
          <w:spacing w:before="240"/>
          <w:jc w:val="center"/>
        </w:pPr>
        <w:r>
          <w:fldChar w:fldCharType="begin"/>
        </w:r>
        <w:r>
          <w:instrText xml:space="preserve"> PAGE   \* MERGEFORMAT </w:instrText>
        </w:r>
        <w:r>
          <w:fldChar w:fldCharType="separate"/>
        </w:r>
        <w:r w:rsidR="001A0494">
          <w:rPr>
            <w:noProof/>
          </w:rPr>
          <w:t>21</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647964"/>
      <w:docPartObj>
        <w:docPartGallery w:val="Page Numbers (Bottom of Page)"/>
        <w:docPartUnique/>
      </w:docPartObj>
    </w:sdtPr>
    <w:sdtEndPr>
      <w:rPr>
        <w:noProof/>
      </w:rPr>
    </w:sdtEndPr>
    <w:sdtContent>
      <w:p w:rsidR="00685FD7" w:rsidRPr="00C84335" w:rsidRDefault="00685FD7" w:rsidP="000D643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FD7" w:rsidRDefault="00685FD7">
      <w:r>
        <w:separator/>
      </w:r>
    </w:p>
  </w:footnote>
  <w:footnote w:type="continuationSeparator" w:id="0">
    <w:p w:rsidR="00685FD7" w:rsidRDefault="00685FD7">
      <w:r>
        <w:continuationSeparator/>
      </w:r>
    </w:p>
  </w:footnote>
  <w:footnote w:id="1">
    <w:p w:rsidR="00685FD7" w:rsidRDefault="00685FD7">
      <w:pPr>
        <w:pStyle w:val="FootnoteText"/>
      </w:pPr>
      <w:r>
        <w:rPr>
          <w:rStyle w:val="FootnoteReference"/>
        </w:rPr>
        <w:footnoteRef/>
      </w:r>
      <w:r>
        <w:t xml:space="preserve"> 17HDC00316, 16HDC01980, 15HDC01289, 15HDC01204</w:t>
      </w:r>
    </w:p>
  </w:footnote>
  <w:footnote w:id="2">
    <w:p w:rsidR="00685FD7" w:rsidRDefault="00685FD7" w:rsidP="00D86226">
      <w:pPr>
        <w:pStyle w:val="FootnoteText"/>
        <w:rPr>
          <w:lang w:val="en-US"/>
        </w:rPr>
      </w:pPr>
      <w:r>
        <w:rPr>
          <w:rStyle w:val="FootnoteReference"/>
        </w:rPr>
        <w:footnoteRef/>
      </w:r>
      <w:r>
        <w:t xml:space="preserve"> </w:t>
      </w:r>
      <w:proofErr w:type="gramStart"/>
      <w:r>
        <w:rPr>
          <w:lang w:val="en-US"/>
        </w:rPr>
        <w:t>Provisional as of date of extraction (14 August 2018).</w:t>
      </w:r>
      <w:proofErr w:type="gramEnd"/>
    </w:p>
  </w:footnote>
  <w:footnote w:id="3">
    <w:p w:rsidR="00685FD7" w:rsidRDefault="00685FD7" w:rsidP="00D86226">
      <w:pPr>
        <w:pStyle w:val="FootnoteText"/>
      </w:pPr>
      <w:r>
        <w:rPr>
          <w:rStyle w:val="FootnoteReference"/>
        </w:rPr>
        <w:footnoteRef/>
      </w:r>
      <w:r>
        <w:t xml:space="preserve"> </w:t>
      </w:r>
      <w:r>
        <w:rPr>
          <w:lang w:eastAsia="en-NZ" w:bidi="ar-SA"/>
        </w:rPr>
        <w:t>The rate for Jul</w:t>
      </w:r>
      <w:r>
        <w:rPr>
          <w:rFonts w:ascii="Calibri" w:hAnsi="Calibri"/>
          <w:lang w:eastAsia="en-NZ" w:bidi="ar-SA"/>
        </w:rPr>
        <w:t>–</w:t>
      </w:r>
      <w:r>
        <w:rPr>
          <w:lang w:eastAsia="en-NZ" w:bidi="ar-SA"/>
        </w:rPr>
        <w:t>Dec 2017 has been recalculated based on the most recent discharge data.</w:t>
      </w:r>
    </w:p>
  </w:footnote>
  <w:footnote w:id="4">
    <w:p w:rsidR="00685FD7" w:rsidRDefault="00685FD7" w:rsidP="00D86226">
      <w:pPr>
        <w:pStyle w:val="FootnoteText"/>
        <w:rPr>
          <w:lang w:val="en-US"/>
        </w:rPr>
      </w:pPr>
      <w:r>
        <w:rPr>
          <w:rStyle w:val="FootnoteReference"/>
        </w:rPr>
        <w:footnoteRef/>
      </w:r>
      <w:r>
        <w:t xml:space="preserve"> </w:t>
      </w:r>
      <w:r>
        <w:rPr>
          <w:lang w:val="en-US"/>
        </w:rPr>
        <w:t>Please note that some complaints will involve more than one DHB, and therefore the total number of complaints received for each DHB will be larger than the number of complaints received about care provided by DHBs.</w:t>
      </w:r>
    </w:p>
  </w:footnote>
  <w:footnote w:id="5">
    <w:p w:rsidR="00685FD7" w:rsidRDefault="00685FD7" w:rsidP="00D86226">
      <w:pPr>
        <w:pStyle w:val="FootnoteText"/>
        <w:spacing w:after="240"/>
      </w:pPr>
      <w:r>
        <w:rPr>
          <w:rStyle w:val="FootnoteReference"/>
        </w:rPr>
        <w:footnoteRef/>
      </w:r>
      <w:r>
        <w:t xml:space="preserve"> Note that complaints may be received in one six-month period and closed in another six-month period </w:t>
      </w:r>
      <w:r>
        <w:rPr>
          <w:rFonts w:ascii="Calibri" w:hAnsi="Calibri"/>
        </w:rPr>
        <w:t>—</w:t>
      </w:r>
      <w:r>
        <w:t xml:space="preserve">   </w:t>
      </w:r>
      <w:proofErr w:type="gramStart"/>
      <w:r>
        <w:t>therefore,</w:t>
      </w:r>
      <w:proofErr w:type="gramEnd"/>
      <w:r>
        <w:t xml:space="preserve"> the number of complaints received will not correlate with the number of complaints closed. </w:t>
      </w:r>
    </w:p>
  </w:footnote>
  <w:footnote w:id="6">
    <w:p w:rsidR="00685FD7" w:rsidRDefault="00685FD7" w:rsidP="00D86226">
      <w:pPr>
        <w:pStyle w:val="FootnoteText"/>
      </w:pPr>
      <w:r>
        <w:rPr>
          <w:rStyle w:val="FootnoteReference"/>
        </w:rPr>
        <w:footnoteRef/>
      </w:r>
      <w:r>
        <w:t xml:space="preserve"> Note that outcomes are displayed in descending order. If there is more than one outcome for a DHB upon resolution of a complaint then only the outcome that is listed highest in the table is included.</w:t>
      </w:r>
    </w:p>
  </w:footnote>
  <w:footnote w:id="7">
    <w:p w:rsidR="00685FD7" w:rsidRDefault="00685FD7" w:rsidP="00CF2B9C">
      <w:pPr>
        <w:pStyle w:val="FootnoteText"/>
        <w:rPr>
          <w:lang w:val="en-US"/>
        </w:rPr>
      </w:pPr>
      <w:r>
        <w:rPr>
          <w:rStyle w:val="FootnoteReference"/>
        </w:rPr>
        <w:footnoteRef/>
      </w:r>
      <w:r>
        <w:t xml:space="preserve"> </w:t>
      </w:r>
      <w:r>
        <w:rPr>
          <w:lang w:val="en-US"/>
        </w:rPr>
        <w:t>The Commissioner has a wide discretion to take no further action on a complaint. For example, the Commissioner may take no further action because careful assessment indicates that a provider’s actions were reasonable in the circumstances, or that the matters that are the subject of the complaint have been, or are being, or will be appropriately addressed by other means. This may happen, for example, where a DHB has carefully reviewed the case itself and no further value would be added by HDC investigating, or where another agency is reviewing, or has carefully reviewed the matter (for example, the Coroner, the Director-General of Health, or a District Inspector). Assessment of a complaint prior to a decision to take no further action will usually involve obtaining and reviewing a response from the provider and, in many cases, expert clinical advice.</w:t>
      </w:r>
    </w:p>
  </w:footnote>
  <w:footnote w:id="8">
    <w:p w:rsidR="00685FD7" w:rsidRDefault="00685FD7" w:rsidP="00D86226">
      <w:pPr>
        <w:pStyle w:val="FootnoteText"/>
        <w:rPr>
          <w:lang w:val="en-US"/>
        </w:rPr>
      </w:pPr>
      <w:r>
        <w:rPr>
          <w:rStyle w:val="FootnoteReference"/>
        </w:rPr>
        <w:footnoteRef/>
      </w:r>
      <w:r>
        <w:t xml:space="preserve"> </w:t>
      </w:r>
      <w:r>
        <w:rPr>
          <w:lang w:val="en-US"/>
        </w:rPr>
        <w:t>In line with their responsibilities under the Code, DHBs have developed systems to address complaints in a timely and appropriate way. It is often appropriate for HDC to refer a complaint to the DHB to resolve, with a requirement that the DHB report back to HDC on the outcome of its handling of the complaint.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D7" w:rsidRDefault="00685F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D7" w:rsidRDefault="00685F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D7" w:rsidRDefault="00685F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D7" w:rsidRDefault="00685F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D7" w:rsidRDefault="00685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2518"/>
    <w:multiLevelType w:val="hybridMultilevel"/>
    <w:tmpl w:val="A24472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F1B2BBB"/>
    <w:multiLevelType w:val="hybridMultilevel"/>
    <w:tmpl w:val="93105F68"/>
    <w:lvl w:ilvl="0" w:tplc="BDE4577E">
      <w:start w:val="1"/>
      <w:numFmt w:val="decimal"/>
      <w:lvlText w:val="%1."/>
      <w:lvlJc w:val="left"/>
      <w:pPr>
        <w:ind w:left="2629" w:hanging="360"/>
      </w:pPr>
      <w:rPr>
        <w:sz w:val="16"/>
        <w:szCs w:val="16"/>
      </w:rPr>
    </w:lvl>
    <w:lvl w:ilvl="1" w:tplc="14090019">
      <w:start w:val="1"/>
      <w:numFmt w:val="lowerLetter"/>
      <w:lvlText w:val="%2."/>
      <w:lvlJc w:val="left"/>
      <w:pPr>
        <w:ind w:left="1080" w:hanging="360"/>
      </w:pPr>
    </w:lvl>
    <w:lvl w:ilvl="2" w:tplc="A75CF28C">
      <w:start w:val="1"/>
      <w:numFmt w:val="lowerLetter"/>
      <w:lvlText w:val="%3)"/>
      <w:lvlJc w:val="left"/>
      <w:pPr>
        <w:ind w:left="1980" w:hanging="360"/>
      </w:pPr>
      <w:rPr>
        <w:rFonts w:hint="default"/>
      </w:r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14E12B8A"/>
    <w:multiLevelType w:val="hybridMultilevel"/>
    <w:tmpl w:val="2640D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AF736A6"/>
    <w:multiLevelType w:val="hybridMultilevel"/>
    <w:tmpl w:val="87B46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C113463"/>
    <w:multiLevelType w:val="hybridMultilevel"/>
    <w:tmpl w:val="E2406486"/>
    <w:lvl w:ilvl="0" w:tplc="19BEF294">
      <w:start w:val="7"/>
      <w:numFmt w:val="bullet"/>
      <w:lvlText w:val="-"/>
      <w:lvlJc w:val="left"/>
      <w:pPr>
        <w:ind w:left="405" w:hanging="360"/>
      </w:pPr>
      <w:rPr>
        <w:rFonts w:ascii="Calibri" w:eastAsia="Times New Roman" w:hAnsi="Calibri" w:cs="Times New Roman"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5">
    <w:nsid w:val="2FE81E14"/>
    <w:multiLevelType w:val="hybridMultilevel"/>
    <w:tmpl w:val="F8742488"/>
    <w:lvl w:ilvl="0" w:tplc="14090001">
      <w:start w:val="1"/>
      <w:numFmt w:val="bullet"/>
      <w:pStyle w:val="abclis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6">
    <w:nsid w:val="310F4724"/>
    <w:multiLevelType w:val="hybridMultilevel"/>
    <w:tmpl w:val="01486556"/>
    <w:lvl w:ilvl="0" w:tplc="33FE280E">
      <w:start w:val="1"/>
      <w:numFmt w:val="lowerLetter"/>
      <w:pStyle w:val="Recommendationfinalpoint"/>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B625675"/>
    <w:multiLevelType w:val="hybridMultilevel"/>
    <w:tmpl w:val="FE9A05C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4C330817"/>
    <w:multiLevelType w:val="hybridMultilevel"/>
    <w:tmpl w:val="49D4D23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4D0869EF"/>
    <w:multiLevelType w:val="hybridMultilevel"/>
    <w:tmpl w:val="85D00CCA"/>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nsid w:val="4EAA0638"/>
    <w:multiLevelType w:val="hybridMultilevel"/>
    <w:tmpl w:val="9FE8F6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53302A99"/>
    <w:multiLevelType w:val="hybridMultilevel"/>
    <w:tmpl w:val="7122A0D8"/>
    <w:lvl w:ilvl="0" w:tplc="14090001">
      <w:start w:val="1"/>
      <w:numFmt w:val="bullet"/>
      <w:lvlText w:val=""/>
      <w:lvlJc w:val="left"/>
      <w:pPr>
        <w:ind w:left="405"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4464542"/>
    <w:multiLevelType w:val="hybridMultilevel"/>
    <w:tmpl w:val="8084B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4632A5B"/>
    <w:multiLevelType w:val="hybridMultilevel"/>
    <w:tmpl w:val="4550652A"/>
    <w:lvl w:ilvl="0" w:tplc="14090017">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69"/>
        </w:tabs>
        <w:ind w:left="1069" w:hanging="360"/>
      </w:pPr>
    </w:lvl>
    <w:lvl w:ilvl="2" w:tplc="04090005">
      <w:start w:val="1"/>
      <w:numFmt w:val="decimal"/>
      <w:lvlText w:val="%3."/>
      <w:lvlJc w:val="left"/>
      <w:pPr>
        <w:tabs>
          <w:tab w:val="num" w:pos="644"/>
        </w:tabs>
        <w:ind w:left="644"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C01536D"/>
    <w:multiLevelType w:val="hybridMultilevel"/>
    <w:tmpl w:val="BEBCC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E6E79F6"/>
    <w:multiLevelType w:val="hybridMultilevel"/>
    <w:tmpl w:val="38824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62C901F3"/>
    <w:multiLevelType w:val="hybridMultilevel"/>
    <w:tmpl w:val="0D168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6B21279A"/>
    <w:multiLevelType w:val="hybridMultilevel"/>
    <w:tmpl w:val="E7A64C2A"/>
    <w:lvl w:ilvl="0" w:tplc="14090003">
      <w:start w:val="1"/>
      <w:numFmt w:val="bullet"/>
      <w:lvlText w:val="o"/>
      <w:lvlJc w:val="left"/>
      <w:pPr>
        <w:ind w:left="1429" w:hanging="360"/>
      </w:pPr>
      <w:rPr>
        <w:rFonts w:ascii="Courier New" w:hAnsi="Courier New" w:cs="Courier New"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8">
    <w:nsid w:val="73EE45F9"/>
    <w:multiLevelType w:val="hybridMultilevel"/>
    <w:tmpl w:val="E79E1568"/>
    <w:lvl w:ilvl="0" w:tplc="A656DF28">
      <w:start w:val="1"/>
      <w:numFmt w:val="decimal"/>
      <w:pStyle w:val="Paranumbered"/>
      <w:lvlText w:val="%1."/>
      <w:lvlJc w:val="left"/>
      <w:pPr>
        <w:ind w:left="360" w:hanging="360"/>
      </w:pPr>
      <w:rPr>
        <w:i w:val="0"/>
        <w:sz w:val="16"/>
        <w:szCs w:val="16"/>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nsid w:val="7805341D"/>
    <w:multiLevelType w:val="hybridMultilevel"/>
    <w:tmpl w:val="11DED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79701E04"/>
    <w:multiLevelType w:val="hybridMultilevel"/>
    <w:tmpl w:val="4EFEFC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nsid w:val="7D1265AD"/>
    <w:multiLevelType w:val="hybridMultilevel"/>
    <w:tmpl w:val="D402F8EC"/>
    <w:lvl w:ilvl="0" w:tplc="14090003">
      <w:start w:val="1"/>
      <w:numFmt w:val="bullet"/>
      <w:lvlText w:val="o"/>
      <w:lvlJc w:val="left"/>
      <w:pPr>
        <w:ind w:left="1865" w:hanging="360"/>
      </w:pPr>
      <w:rPr>
        <w:rFonts w:ascii="Courier New" w:hAnsi="Courier New" w:cs="Courier New" w:hint="default"/>
      </w:rPr>
    </w:lvl>
    <w:lvl w:ilvl="1" w:tplc="14090003" w:tentative="1">
      <w:start w:val="1"/>
      <w:numFmt w:val="bullet"/>
      <w:lvlText w:val="o"/>
      <w:lvlJc w:val="left"/>
      <w:pPr>
        <w:ind w:left="2585" w:hanging="360"/>
      </w:pPr>
      <w:rPr>
        <w:rFonts w:ascii="Courier New" w:hAnsi="Courier New" w:cs="Courier New" w:hint="default"/>
      </w:rPr>
    </w:lvl>
    <w:lvl w:ilvl="2" w:tplc="14090005" w:tentative="1">
      <w:start w:val="1"/>
      <w:numFmt w:val="bullet"/>
      <w:lvlText w:val=""/>
      <w:lvlJc w:val="left"/>
      <w:pPr>
        <w:ind w:left="3305" w:hanging="360"/>
      </w:pPr>
      <w:rPr>
        <w:rFonts w:ascii="Wingdings" w:hAnsi="Wingdings" w:hint="default"/>
      </w:rPr>
    </w:lvl>
    <w:lvl w:ilvl="3" w:tplc="14090001" w:tentative="1">
      <w:start w:val="1"/>
      <w:numFmt w:val="bullet"/>
      <w:lvlText w:val=""/>
      <w:lvlJc w:val="left"/>
      <w:pPr>
        <w:ind w:left="4025" w:hanging="360"/>
      </w:pPr>
      <w:rPr>
        <w:rFonts w:ascii="Symbol" w:hAnsi="Symbol" w:hint="default"/>
      </w:rPr>
    </w:lvl>
    <w:lvl w:ilvl="4" w:tplc="14090003" w:tentative="1">
      <w:start w:val="1"/>
      <w:numFmt w:val="bullet"/>
      <w:lvlText w:val="o"/>
      <w:lvlJc w:val="left"/>
      <w:pPr>
        <w:ind w:left="4745" w:hanging="360"/>
      </w:pPr>
      <w:rPr>
        <w:rFonts w:ascii="Courier New" w:hAnsi="Courier New" w:cs="Courier New" w:hint="default"/>
      </w:rPr>
    </w:lvl>
    <w:lvl w:ilvl="5" w:tplc="14090005" w:tentative="1">
      <w:start w:val="1"/>
      <w:numFmt w:val="bullet"/>
      <w:lvlText w:val=""/>
      <w:lvlJc w:val="left"/>
      <w:pPr>
        <w:ind w:left="5465" w:hanging="360"/>
      </w:pPr>
      <w:rPr>
        <w:rFonts w:ascii="Wingdings" w:hAnsi="Wingdings" w:hint="default"/>
      </w:rPr>
    </w:lvl>
    <w:lvl w:ilvl="6" w:tplc="14090001" w:tentative="1">
      <w:start w:val="1"/>
      <w:numFmt w:val="bullet"/>
      <w:lvlText w:val=""/>
      <w:lvlJc w:val="left"/>
      <w:pPr>
        <w:ind w:left="6185" w:hanging="360"/>
      </w:pPr>
      <w:rPr>
        <w:rFonts w:ascii="Symbol" w:hAnsi="Symbol" w:hint="default"/>
      </w:rPr>
    </w:lvl>
    <w:lvl w:ilvl="7" w:tplc="14090003" w:tentative="1">
      <w:start w:val="1"/>
      <w:numFmt w:val="bullet"/>
      <w:lvlText w:val="o"/>
      <w:lvlJc w:val="left"/>
      <w:pPr>
        <w:ind w:left="6905" w:hanging="360"/>
      </w:pPr>
      <w:rPr>
        <w:rFonts w:ascii="Courier New" w:hAnsi="Courier New" w:cs="Courier New" w:hint="default"/>
      </w:rPr>
    </w:lvl>
    <w:lvl w:ilvl="8" w:tplc="14090005" w:tentative="1">
      <w:start w:val="1"/>
      <w:numFmt w:val="bullet"/>
      <w:lvlText w:val=""/>
      <w:lvlJc w:val="left"/>
      <w:pPr>
        <w:ind w:left="7625" w:hanging="360"/>
      </w:pPr>
      <w:rPr>
        <w:rFonts w:ascii="Wingdings" w:hAnsi="Wingdings" w:hint="default"/>
      </w:rPr>
    </w:lvl>
  </w:abstractNum>
  <w:num w:numId="1">
    <w:abstractNumId w:val="5"/>
  </w:num>
  <w:num w:numId="2">
    <w:abstractNumId w:val="21"/>
  </w:num>
  <w:num w:numId="3">
    <w:abstractNumId w:val="10"/>
  </w:num>
  <w:num w:numId="4">
    <w:abstractNumId w:val="17"/>
  </w:num>
  <w:num w:numId="5">
    <w:abstractNumId w:val="3"/>
  </w:num>
  <w:num w:numId="6">
    <w:abstractNumId w:val="15"/>
  </w:num>
  <w:num w:numId="7">
    <w:abstractNumId w:val="1"/>
  </w:num>
  <w:num w:numId="8">
    <w:abstractNumId w:val="7"/>
  </w:num>
  <w:num w:numId="9">
    <w:abstractNumId w:val="9"/>
  </w:num>
  <w:num w:numId="10">
    <w:abstractNumId w:val="8"/>
  </w:num>
  <w:num w:numId="11">
    <w:abstractNumId w:val="18"/>
  </w:num>
  <w:num w:numId="12">
    <w:abstractNumId w:val="6"/>
  </w:num>
  <w:num w:numId="13">
    <w:abstractNumId w:val="0"/>
  </w:num>
  <w:num w:numId="14">
    <w:abstractNumId w:val="13"/>
  </w:num>
  <w:num w:numId="15">
    <w:abstractNumId w:val="20"/>
  </w:num>
  <w:num w:numId="16">
    <w:abstractNumId w:val="19"/>
  </w:num>
  <w:num w:numId="17">
    <w:abstractNumId w:val="4"/>
  </w:num>
  <w:num w:numId="18">
    <w:abstractNumId w:val="11"/>
  </w:num>
  <w:num w:numId="19">
    <w:abstractNumId w:val="2"/>
  </w:num>
  <w:num w:numId="20">
    <w:abstractNumId w:val="14"/>
  </w:num>
  <w:num w:numId="21">
    <w:abstractNumId w:val="16"/>
  </w:num>
  <w:num w:numId="2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63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5D"/>
    <w:rsid w:val="000001DB"/>
    <w:rsid w:val="00000A82"/>
    <w:rsid w:val="00001003"/>
    <w:rsid w:val="00001A40"/>
    <w:rsid w:val="00001B1B"/>
    <w:rsid w:val="000021BC"/>
    <w:rsid w:val="000028E8"/>
    <w:rsid w:val="00002A84"/>
    <w:rsid w:val="00002CEE"/>
    <w:rsid w:val="00002E9F"/>
    <w:rsid w:val="00003B75"/>
    <w:rsid w:val="00003C5A"/>
    <w:rsid w:val="0000444B"/>
    <w:rsid w:val="000046C5"/>
    <w:rsid w:val="00004B3B"/>
    <w:rsid w:val="00004E0F"/>
    <w:rsid w:val="000051A4"/>
    <w:rsid w:val="0000669A"/>
    <w:rsid w:val="000067BD"/>
    <w:rsid w:val="00006FCF"/>
    <w:rsid w:val="0000705D"/>
    <w:rsid w:val="000076F1"/>
    <w:rsid w:val="00007766"/>
    <w:rsid w:val="00007796"/>
    <w:rsid w:val="00010801"/>
    <w:rsid w:val="000109CA"/>
    <w:rsid w:val="00010FC7"/>
    <w:rsid w:val="00011224"/>
    <w:rsid w:val="00011494"/>
    <w:rsid w:val="000115BC"/>
    <w:rsid w:val="00011652"/>
    <w:rsid w:val="00011D83"/>
    <w:rsid w:val="000123F2"/>
    <w:rsid w:val="0001264B"/>
    <w:rsid w:val="00012B15"/>
    <w:rsid w:val="00012D8B"/>
    <w:rsid w:val="000141AA"/>
    <w:rsid w:val="00014AD9"/>
    <w:rsid w:val="00015355"/>
    <w:rsid w:val="00015BA0"/>
    <w:rsid w:val="00015EBA"/>
    <w:rsid w:val="0001684E"/>
    <w:rsid w:val="000169F6"/>
    <w:rsid w:val="00016ACF"/>
    <w:rsid w:val="00016B1A"/>
    <w:rsid w:val="0001744A"/>
    <w:rsid w:val="00017A8D"/>
    <w:rsid w:val="0002017E"/>
    <w:rsid w:val="000207F4"/>
    <w:rsid w:val="00021738"/>
    <w:rsid w:val="00021856"/>
    <w:rsid w:val="00022358"/>
    <w:rsid w:val="00022E0E"/>
    <w:rsid w:val="0002311E"/>
    <w:rsid w:val="0002317B"/>
    <w:rsid w:val="000235FB"/>
    <w:rsid w:val="000238FD"/>
    <w:rsid w:val="00023A56"/>
    <w:rsid w:val="000246A5"/>
    <w:rsid w:val="000249EA"/>
    <w:rsid w:val="000249F1"/>
    <w:rsid w:val="00024F66"/>
    <w:rsid w:val="00025272"/>
    <w:rsid w:val="000256EA"/>
    <w:rsid w:val="00025BCA"/>
    <w:rsid w:val="00025D53"/>
    <w:rsid w:val="0002616B"/>
    <w:rsid w:val="0002626E"/>
    <w:rsid w:val="000265B8"/>
    <w:rsid w:val="00026948"/>
    <w:rsid w:val="00026AD1"/>
    <w:rsid w:val="00027A68"/>
    <w:rsid w:val="00027AC7"/>
    <w:rsid w:val="000301DE"/>
    <w:rsid w:val="00030722"/>
    <w:rsid w:val="000308B4"/>
    <w:rsid w:val="00030C45"/>
    <w:rsid w:val="0003102D"/>
    <w:rsid w:val="000311DA"/>
    <w:rsid w:val="0003129A"/>
    <w:rsid w:val="00031901"/>
    <w:rsid w:val="00031D61"/>
    <w:rsid w:val="00031DE0"/>
    <w:rsid w:val="000321D8"/>
    <w:rsid w:val="00032776"/>
    <w:rsid w:val="000337C0"/>
    <w:rsid w:val="00034D18"/>
    <w:rsid w:val="0003538F"/>
    <w:rsid w:val="000353B9"/>
    <w:rsid w:val="00035822"/>
    <w:rsid w:val="0003645A"/>
    <w:rsid w:val="00036627"/>
    <w:rsid w:val="000367C1"/>
    <w:rsid w:val="00036995"/>
    <w:rsid w:val="00036C5B"/>
    <w:rsid w:val="00036CB3"/>
    <w:rsid w:val="00036E3A"/>
    <w:rsid w:val="0003725E"/>
    <w:rsid w:val="000373A9"/>
    <w:rsid w:val="0004080E"/>
    <w:rsid w:val="00040C12"/>
    <w:rsid w:val="00040FD3"/>
    <w:rsid w:val="00041359"/>
    <w:rsid w:val="00041773"/>
    <w:rsid w:val="0004197F"/>
    <w:rsid w:val="00041FFF"/>
    <w:rsid w:val="00042551"/>
    <w:rsid w:val="00042B9A"/>
    <w:rsid w:val="000431EE"/>
    <w:rsid w:val="000461DE"/>
    <w:rsid w:val="000462E4"/>
    <w:rsid w:val="0004631F"/>
    <w:rsid w:val="00046900"/>
    <w:rsid w:val="00046972"/>
    <w:rsid w:val="00046B42"/>
    <w:rsid w:val="00046D31"/>
    <w:rsid w:val="00046FD4"/>
    <w:rsid w:val="00047495"/>
    <w:rsid w:val="00047E9D"/>
    <w:rsid w:val="0005026E"/>
    <w:rsid w:val="000503B2"/>
    <w:rsid w:val="00050671"/>
    <w:rsid w:val="000506C1"/>
    <w:rsid w:val="00050A60"/>
    <w:rsid w:val="00050B16"/>
    <w:rsid w:val="0005117B"/>
    <w:rsid w:val="000518B0"/>
    <w:rsid w:val="00051E67"/>
    <w:rsid w:val="0005212B"/>
    <w:rsid w:val="0005266C"/>
    <w:rsid w:val="0005291C"/>
    <w:rsid w:val="0005294D"/>
    <w:rsid w:val="000536A0"/>
    <w:rsid w:val="000537D7"/>
    <w:rsid w:val="000539C6"/>
    <w:rsid w:val="00053DC7"/>
    <w:rsid w:val="00053F6F"/>
    <w:rsid w:val="00054615"/>
    <w:rsid w:val="00055731"/>
    <w:rsid w:val="0005589D"/>
    <w:rsid w:val="00055EB0"/>
    <w:rsid w:val="00056044"/>
    <w:rsid w:val="000568F3"/>
    <w:rsid w:val="00056E5B"/>
    <w:rsid w:val="00057430"/>
    <w:rsid w:val="0006032A"/>
    <w:rsid w:val="00060755"/>
    <w:rsid w:val="0006162E"/>
    <w:rsid w:val="0006183D"/>
    <w:rsid w:val="00061C1A"/>
    <w:rsid w:val="0006295C"/>
    <w:rsid w:val="00062ED8"/>
    <w:rsid w:val="00062F28"/>
    <w:rsid w:val="00062F34"/>
    <w:rsid w:val="00063248"/>
    <w:rsid w:val="0006349C"/>
    <w:rsid w:val="0006353B"/>
    <w:rsid w:val="000635A1"/>
    <w:rsid w:val="00064B53"/>
    <w:rsid w:val="0006531A"/>
    <w:rsid w:val="0006553E"/>
    <w:rsid w:val="0006633F"/>
    <w:rsid w:val="0006648E"/>
    <w:rsid w:val="000668B9"/>
    <w:rsid w:val="00066B64"/>
    <w:rsid w:val="000677CD"/>
    <w:rsid w:val="00067BB8"/>
    <w:rsid w:val="0007040F"/>
    <w:rsid w:val="00070776"/>
    <w:rsid w:val="00071171"/>
    <w:rsid w:val="000713E8"/>
    <w:rsid w:val="00071EC7"/>
    <w:rsid w:val="00072A8C"/>
    <w:rsid w:val="000730B6"/>
    <w:rsid w:val="000730EA"/>
    <w:rsid w:val="0007322F"/>
    <w:rsid w:val="00073557"/>
    <w:rsid w:val="00073996"/>
    <w:rsid w:val="0007467F"/>
    <w:rsid w:val="00074772"/>
    <w:rsid w:val="00074D9E"/>
    <w:rsid w:val="00075AEB"/>
    <w:rsid w:val="00075D76"/>
    <w:rsid w:val="00076965"/>
    <w:rsid w:val="00076994"/>
    <w:rsid w:val="00076CD6"/>
    <w:rsid w:val="0007714A"/>
    <w:rsid w:val="00077FA0"/>
    <w:rsid w:val="00080564"/>
    <w:rsid w:val="0008104A"/>
    <w:rsid w:val="0008260F"/>
    <w:rsid w:val="00082689"/>
    <w:rsid w:val="00082D18"/>
    <w:rsid w:val="00082F8E"/>
    <w:rsid w:val="0008411C"/>
    <w:rsid w:val="00084421"/>
    <w:rsid w:val="00084889"/>
    <w:rsid w:val="00084F39"/>
    <w:rsid w:val="000854AE"/>
    <w:rsid w:val="000855C3"/>
    <w:rsid w:val="00085D73"/>
    <w:rsid w:val="00086010"/>
    <w:rsid w:val="00086744"/>
    <w:rsid w:val="00086FE8"/>
    <w:rsid w:val="000872CE"/>
    <w:rsid w:val="00090868"/>
    <w:rsid w:val="00090A30"/>
    <w:rsid w:val="00091C97"/>
    <w:rsid w:val="00092313"/>
    <w:rsid w:val="0009255E"/>
    <w:rsid w:val="0009284C"/>
    <w:rsid w:val="0009467F"/>
    <w:rsid w:val="00095164"/>
    <w:rsid w:val="0009557D"/>
    <w:rsid w:val="0009576A"/>
    <w:rsid w:val="00095820"/>
    <w:rsid w:val="00095BEA"/>
    <w:rsid w:val="000965D1"/>
    <w:rsid w:val="00096A15"/>
    <w:rsid w:val="00096A29"/>
    <w:rsid w:val="00096C3C"/>
    <w:rsid w:val="000972DA"/>
    <w:rsid w:val="00097461"/>
    <w:rsid w:val="00097866"/>
    <w:rsid w:val="00097989"/>
    <w:rsid w:val="00097A0C"/>
    <w:rsid w:val="000A0DE1"/>
    <w:rsid w:val="000A12CF"/>
    <w:rsid w:val="000A1A8B"/>
    <w:rsid w:val="000A1BEC"/>
    <w:rsid w:val="000A2018"/>
    <w:rsid w:val="000A29A6"/>
    <w:rsid w:val="000A2BD7"/>
    <w:rsid w:val="000A31ED"/>
    <w:rsid w:val="000A4738"/>
    <w:rsid w:val="000A56F4"/>
    <w:rsid w:val="000A585E"/>
    <w:rsid w:val="000A5B4C"/>
    <w:rsid w:val="000A5D7C"/>
    <w:rsid w:val="000A5D8F"/>
    <w:rsid w:val="000A6275"/>
    <w:rsid w:val="000A67C1"/>
    <w:rsid w:val="000A718B"/>
    <w:rsid w:val="000A72CC"/>
    <w:rsid w:val="000B0789"/>
    <w:rsid w:val="000B07E5"/>
    <w:rsid w:val="000B081D"/>
    <w:rsid w:val="000B0A4D"/>
    <w:rsid w:val="000B0B46"/>
    <w:rsid w:val="000B158B"/>
    <w:rsid w:val="000B2764"/>
    <w:rsid w:val="000B34CD"/>
    <w:rsid w:val="000B3A1D"/>
    <w:rsid w:val="000B44DD"/>
    <w:rsid w:val="000B485A"/>
    <w:rsid w:val="000B49EA"/>
    <w:rsid w:val="000B4C79"/>
    <w:rsid w:val="000B52C6"/>
    <w:rsid w:val="000B5334"/>
    <w:rsid w:val="000B58E0"/>
    <w:rsid w:val="000B5936"/>
    <w:rsid w:val="000B5DF5"/>
    <w:rsid w:val="000B5E01"/>
    <w:rsid w:val="000B676C"/>
    <w:rsid w:val="000B6877"/>
    <w:rsid w:val="000B6EB6"/>
    <w:rsid w:val="000B7183"/>
    <w:rsid w:val="000B74C7"/>
    <w:rsid w:val="000B7877"/>
    <w:rsid w:val="000B791B"/>
    <w:rsid w:val="000B7C93"/>
    <w:rsid w:val="000C006A"/>
    <w:rsid w:val="000C0577"/>
    <w:rsid w:val="000C126F"/>
    <w:rsid w:val="000C178F"/>
    <w:rsid w:val="000C1E4F"/>
    <w:rsid w:val="000C2361"/>
    <w:rsid w:val="000C26FB"/>
    <w:rsid w:val="000C277A"/>
    <w:rsid w:val="000C278C"/>
    <w:rsid w:val="000C3003"/>
    <w:rsid w:val="000C39A4"/>
    <w:rsid w:val="000C39BF"/>
    <w:rsid w:val="000C3A03"/>
    <w:rsid w:val="000C3CAA"/>
    <w:rsid w:val="000C3DFD"/>
    <w:rsid w:val="000C4397"/>
    <w:rsid w:val="000C491C"/>
    <w:rsid w:val="000C4D0A"/>
    <w:rsid w:val="000C4FB8"/>
    <w:rsid w:val="000C52E4"/>
    <w:rsid w:val="000C5545"/>
    <w:rsid w:val="000C5760"/>
    <w:rsid w:val="000C5962"/>
    <w:rsid w:val="000C5B56"/>
    <w:rsid w:val="000C6337"/>
    <w:rsid w:val="000C640E"/>
    <w:rsid w:val="000C7B78"/>
    <w:rsid w:val="000D00F4"/>
    <w:rsid w:val="000D01D7"/>
    <w:rsid w:val="000D092E"/>
    <w:rsid w:val="000D0D19"/>
    <w:rsid w:val="000D1C50"/>
    <w:rsid w:val="000D1E68"/>
    <w:rsid w:val="000D21AD"/>
    <w:rsid w:val="000D2451"/>
    <w:rsid w:val="000D256D"/>
    <w:rsid w:val="000D29B8"/>
    <w:rsid w:val="000D2D59"/>
    <w:rsid w:val="000D30A8"/>
    <w:rsid w:val="000D336E"/>
    <w:rsid w:val="000D35F2"/>
    <w:rsid w:val="000D3A98"/>
    <w:rsid w:val="000D488E"/>
    <w:rsid w:val="000D49F9"/>
    <w:rsid w:val="000D4DFF"/>
    <w:rsid w:val="000D52E0"/>
    <w:rsid w:val="000D5354"/>
    <w:rsid w:val="000D5D72"/>
    <w:rsid w:val="000D6434"/>
    <w:rsid w:val="000D6FC7"/>
    <w:rsid w:val="000D751E"/>
    <w:rsid w:val="000D77DE"/>
    <w:rsid w:val="000D7F2F"/>
    <w:rsid w:val="000E07E3"/>
    <w:rsid w:val="000E13C5"/>
    <w:rsid w:val="000E1F92"/>
    <w:rsid w:val="000E1FC0"/>
    <w:rsid w:val="000E25C2"/>
    <w:rsid w:val="000E2832"/>
    <w:rsid w:val="000E2BBD"/>
    <w:rsid w:val="000E319C"/>
    <w:rsid w:val="000E38CB"/>
    <w:rsid w:val="000E38F2"/>
    <w:rsid w:val="000E3D10"/>
    <w:rsid w:val="000E3DE3"/>
    <w:rsid w:val="000E433B"/>
    <w:rsid w:val="000E4659"/>
    <w:rsid w:val="000E4662"/>
    <w:rsid w:val="000E4BBA"/>
    <w:rsid w:val="000E4C6B"/>
    <w:rsid w:val="000E51B5"/>
    <w:rsid w:val="000E555C"/>
    <w:rsid w:val="000E5C41"/>
    <w:rsid w:val="000E5FCB"/>
    <w:rsid w:val="000E6BA4"/>
    <w:rsid w:val="000E6E3A"/>
    <w:rsid w:val="000E7ACB"/>
    <w:rsid w:val="000F01E3"/>
    <w:rsid w:val="000F05AC"/>
    <w:rsid w:val="000F076B"/>
    <w:rsid w:val="000F0D2E"/>
    <w:rsid w:val="000F0EB0"/>
    <w:rsid w:val="000F0FB6"/>
    <w:rsid w:val="000F12AB"/>
    <w:rsid w:val="000F17F7"/>
    <w:rsid w:val="000F19F8"/>
    <w:rsid w:val="000F1BFB"/>
    <w:rsid w:val="000F1DD9"/>
    <w:rsid w:val="000F2AC5"/>
    <w:rsid w:val="000F2DE2"/>
    <w:rsid w:val="000F3150"/>
    <w:rsid w:val="000F3414"/>
    <w:rsid w:val="000F3AAA"/>
    <w:rsid w:val="000F40AD"/>
    <w:rsid w:val="000F4210"/>
    <w:rsid w:val="000F42C7"/>
    <w:rsid w:val="000F4A11"/>
    <w:rsid w:val="000F4CF4"/>
    <w:rsid w:val="000F54BC"/>
    <w:rsid w:val="000F5704"/>
    <w:rsid w:val="000F6025"/>
    <w:rsid w:val="000F7F2F"/>
    <w:rsid w:val="001005F1"/>
    <w:rsid w:val="00100F66"/>
    <w:rsid w:val="001011A9"/>
    <w:rsid w:val="001015C7"/>
    <w:rsid w:val="001015EE"/>
    <w:rsid w:val="0010168B"/>
    <w:rsid w:val="00101CE2"/>
    <w:rsid w:val="001023CB"/>
    <w:rsid w:val="0010356A"/>
    <w:rsid w:val="001037C9"/>
    <w:rsid w:val="001040AD"/>
    <w:rsid w:val="00104415"/>
    <w:rsid w:val="001044AB"/>
    <w:rsid w:val="00104696"/>
    <w:rsid w:val="00104F8F"/>
    <w:rsid w:val="00104FD6"/>
    <w:rsid w:val="00106047"/>
    <w:rsid w:val="00106141"/>
    <w:rsid w:val="001064F1"/>
    <w:rsid w:val="00106795"/>
    <w:rsid w:val="00106E60"/>
    <w:rsid w:val="0010744D"/>
    <w:rsid w:val="00107938"/>
    <w:rsid w:val="00110041"/>
    <w:rsid w:val="001101F1"/>
    <w:rsid w:val="0011091A"/>
    <w:rsid w:val="00110D91"/>
    <w:rsid w:val="00111166"/>
    <w:rsid w:val="001111A9"/>
    <w:rsid w:val="001116D9"/>
    <w:rsid w:val="001117AA"/>
    <w:rsid w:val="0011193B"/>
    <w:rsid w:val="00111996"/>
    <w:rsid w:val="00111ACC"/>
    <w:rsid w:val="00111B37"/>
    <w:rsid w:val="00111BFC"/>
    <w:rsid w:val="00112820"/>
    <w:rsid w:val="001130B0"/>
    <w:rsid w:val="0011440E"/>
    <w:rsid w:val="0011470E"/>
    <w:rsid w:val="0011476C"/>
    <w:rsid w:val="00114785"/>
    <w:rsid w:val="00114786"/>
    <w:rsid w:val="00114B9F"/>
    <w:rsid w:val="00114D38"/>
    <w:rsid w:val="00114FD6"/>
    <w:rsid w:val="00116458"/>
    <w:rsid w:val="0011685F"/>
    <w:rsid w:val="00117074"/>
    <w:rsid w:val="00117499"/>
    <w:rsid w:val="00117B37"/>
    <w:rsid w:val="001200E4"/>
    <w:rsid w:val="001206F6"/>
    <w:rsid w:val="00120701"/>
    <w:rsid w:val="00120DA7"/>
    <w:rsid w:val="00120FE6"/>
    <w:rsid w:val="00121484"/>
    <w:rsid w:val="00121BB7"/>
    <w:rsid w:val="0012206A"/>
    <w:rsid w:val="00122DED"/>
    <w:rsid w:val="0012311E"/>
    <w:rsid w:val="00123208"/>
    <w:rsid w:val="00123813"/>
    <w:rsid w:val="00125235"/>
    <w:rsid w:val="001255A9"/>
    <w:rsid w:val="00125F07"/>
    <w:rsid w:val="001263AF"/>
    <w:rsid w:val="001263C5"/>
    <w:rsid w:val="001267F0"/>
    <w:rsid w:val="00126B97"/>
    <w:rsid w:val="001271FC"/>
    <w:rsid w:val="001275E9"/>
    <w:rsid w:val="001276D8"/>
    <w:rsid w:val="00127F7C"/>
    <w:rsid w:val="00130084"/>
    <w:rsid w:val="001304B4"/>
    <w:rsid w:val="00130520"/>
    <w:rsid w:val="00130FFF"/>
    <w:rsid w:val="00131166"/>
    <w:rsid w:val="00132210"/>
    <w:rsid w:val="0013224F"/>
    <w:rsid w:val="00132310"/>
    <w:rsid w:val="00132687"/>
    <w:rsid w:val="00132771"/>
    <w:rsid w:val="00132C99"/>
    <w:rsid w:val="00132CF1"/>
    <w:rsid w:val="0013333B"/>
    <w:rsid w:val="001334BB"/>
    <w:rsid w:val="0013353F"/>
    <w:rsid w:val="001336A6"/>
    <w:rsid w:val="00134012"/>
    <w:rsid w:val="00134696"/>
    <w:rsid w:val="0013471D"/>
    <w:rsid w:val="00134D86"/>
    <w:rsid w:val="0013507B"/>
    <w:rsid w:val="0013534C"/>
    <w:rsid w:val="001357E0"/>
    <w:rsid w:val="00135E36"/>
    <w:rsid w:val="00135FB5"/>
    <w:rsid w:val="0013645D"/>
    <w:rsid w:val="00136A1E"/>
    <w:rsid w:val="00136A29"/>
    <w:rsid w:val="00137337"/>
    <w:rsid w:val="00140097"/>
    <w:rsid w:val="00140227"/>
    <w:rsid w:val="00140552"/>
    <w:rsid w:val="001406B2"/>
    <w:rsid w:val="00140C5F"/>
    <w:rsid w:val="00141A3E"/>
    <w:rsid w:val="001420CF"/>
    <w:rsid w:val="0014219E"/>
    <w:rsid w:val="001427CA"/>
    <w:rsid w:val="00142B87"/>
    <w:rsid w:val="00143519"/>
    <w:rsid w:val="00143995"/>
    <w:rsid w:val="001449F2"/>
    <w:rsid w:val="00144A82"/>
    <w:rsid w:val="00144BD4"/>
    <w:rsid w:val="00145602"/>
    <w:rsid w:val="00145A13"/>
    <w:rsid w:val="001461A5"/>
    <w:rsid w:val="001465FB"/>
    <w:rsid w:val="00146EC2"/>
    <w:rsid w:val="00147055"/>
    <w:rsid w:val="001474C0"/>
    <w:rsid w:val="00147682"/>
    <w:rsid w:val="00147838"/>
    <w:rsid w:val="001479C5"/>
    <w:rsid w:val="001502A6"/>
    <w:rsid w:val="0015035E"/>
    <w:rsid w:val="00150BCE"/>
    <w:rsid w:val="00150C83"/>
    <w:rsid w:val="00150F0E"/>
    <w:rsid w:val="0015145C"/>
    <w:rsid w:val="001517F7"/>
    <w:rsid w:val="00152132"/>
    <w:rsid w:val="00152208"/>
    <w:rsid w:val="001523AD"/>
    <w:rsid w:val="00152E5B"/>
    <w:rsid w:val="00153061"/>
    <w:rsid w:val="001538B0"/>
    <w:rsid w:val="001538C2"/>
    <w:rsid w:val="0015418F"/>
    <w:rsid w:val="001547B0"/>
    <w:rsid w:val="0015491B"/>
    <w:rsid w:val="00154AF7"/>
    <w:rsid w:val="00154E0A"/>
    <w:rsid w:val="001553DD"/>
    <w:rsid w:val="00156266"/>
    <w:rsid w:val="00156A3C"/>
    <w:rsid w:val="001570D7"/>
    <w:rsid w:val="0015767A"/>
    <w:rsid w:val="001578C6"/>
    <w:rsid w:val="00157E84"/>
    <w:rsid w:val="00157EAC"/>
    <w:rsid w:val="001600CC"/>
    <w:rsid w:val="001605FB"/>
    <w:rsid w:val="00160606"/>
    <w:rsid w:val="0016089A"/>
    <w:rsid w:val="00160CC3"/>
    <w:rsid w:val="00160D46"/>
    <w:rsid w:val="001610B0"/>
    <w:rsid w:val="00161213"/>
    <w:rsid w:val="0016151F"/>
    <w:rsid w:val="00161927"/>
    <w:rsid w:val="00161D5F"/>
    <w:rsid w:val="0016204F"/>
    <w:rsid w:val="001622C1"/>
    <w:rsid w:val="00162500"/>
    <w:rsid w:val="001628D7"/>
    <w:rsid w:val="001637F3"/>
    <w:rsid w:val="001638AA"/>
    <w:rsid w:val="00163E95"/>
    <w:rsid w:val="00164739"/>
    <w:rsid w:val="00164814"/>
    <w:rsid w:val="00164949"/>
    <w:rsid w:val="00164E82"/>
    <w:rsid w:val="00164F39"/>
    <w:rsid w:val="00164FF5"/>
    <w:rsid w:val="00165248"/>
    <w:rsid w:val="001655EC"/>
    <w:rsid w:val="001661DE"/>
    <w:rsid w:val="001666B1"/>
    <w:rsid w:val="0016695D"/>
    <w:rsid w:val="00166960"/>
    <w:rsid w:val="00166DD6"/>
    <w:rsid w:val="001670A5"/>
    <w:rsid w:val="00167438"/>
    <w:rsid w:val="00167457"/>
    <w:rsid w:val="00167F01"/>
    <w:rsid w:val="00170136"/>
    <w:rsid w:val="0017014C"/>
    <w:rsid w:val="00170892"/>
    <w:rsid w:val="001710C2"/>
    <w:rsid w:val="001711B9"/>
    <w:rsid w:val="001714F4"/>
    <w:rsid w:val="00171583"/>
    <w:rsid w:val="0017181E"/>
    <w:rsid w:val="0017197E"/>
    <w:rsid w:val="00171A81"/>
    <w:rsid w:val="00171AF8"/>
    <w:rsid w:val="00171E9D"/>
    <w:rsid w:val="00171FAE"/>
    <w:rsid w:val="001726F0"/>
    <w:rsid w:val="0017286B"/>
    <w:rsid w:val="00172BF4"/>
    <w:rsid w:val="001730BD"/>
    <w:rsid w:val="00173610"/>
    <w:rsid w:val="00173629"/>
    <w:rsid w:val="0017369A"/>
    <w:rsid w:val="00173977"/>
    <w:rsid w:val="001745A6"/>
    <w:rsid w:val="00174824"/>
    <w:rsid w:val="00174C99"/>
    <w:rsid w:val="001750A1"/>
    <w:rsid w:val="0017517F"/>
    <w:rsid w:val="00175995"/>
    <w:rsid w:val="00175C72"/>
    <w:rsid w:val="00175F97"/>
    <w:rsid w:val="001760F5"/>
    <w:rsid w:val="00176A05"/>
    <w:rsid w:val="00177169"/>
    <w:rsid w:val="0017720A"/>
    <w:rsid w:val="0017731F"/>
    <w:rsid w:val="001777A8"/>
    <w:rsid w:val="00177F79"/>
    <w:rsid w:val="00180329"/>
    <w:rsid w:val="00180D7A"/>
    <w:rsid w:val="0018108A"/>
    <w:rsid w:val="00181714"/>
    <w:rsid w:val="00181890"/>
    <w:rsid w:val="001818F9"/>
    <w:rsid w:val="001819A2"/>
    <w:rsid w:val="0018206C"/>
    <w:rsid w:val="00182513"/>
    <w:rsid w:val="001830D3"/>
    <w:rsid w:val="001831B5"/>
    <w:rsid w:val="001832B1"/>
    <w:rsid w:val="0018338B"/>
    <w:rsid w:val="001835BB"/>
    <w:rsid w:val="001839F0"/>
    <w:rsid w:val="001841FE"/>
    <w:rsid w:val="00184C29"/>
    <w:rsid w:val="00184D78"/>
    <w:rsid w:val="001850DD"/>
    <w:rsid w:val="00185152"/>
    <w:rsid w:val="0018518A"/>
    <w:rsid w:val="0018518D"/>
    <w:rsid w:val="001856C9"/>
    <w:rsid w:val="001858CB"/>
    <w:rsid w:val="0018598D"/>
    <w:rsid w:val="001859E0"/>
    <w:rsid w:val="00185F65"/>
    <w:rsid w:val="001860D6"/>
    <w:rsid w:val="00186D73"/>
    <w:rsid w:val="00187B74"/>
    <w:rsid w:val="00187BD6"/>
    <w:rsid w:val="00190977"/>
    <w:rsid w:val="00190DD5"/>
    <w:rsid w:val="001918F2"/>
    <w:rsid w:val="00191F5B"/>
    <w:rsid w:val="001921A4"/>
    <w:rsid w:val="001934BD"/>
    <w:rsid w:val="00193DAA"/>
    <w:rsid w:val="00195032"/>
    <w:rsid w:val="001950A1"/>
    <w:rsid w:val="0019665B"/>
    <w:rsid w:val="00196699"/>
    <w:rsid w:val="001966A0"/>
    <w:rsid w:val="00197534"/>
    <w:rsid w:val="00197757"/>
    <w:rsid w:val="00197C11"/>
    <w:rsid w:val="001A028F"/>
    <w:rsid w:val="001A0494"/>
    <w:rsid w:val="001A0625"/>
    <w:rsid w:val="001A1478"/>
    <w:rsid w:val="001A1EE7"/>
    <w:rsid w:val="001A2938"/>
    <w:rsid w:val="001A2BB2"/>
    <w:rsid w:val="001A2EA9"/>
    <w:rsid w:val="001A3101"/>
    <w:rsid w:val="001A32AF"/>
    <w:rsid w:val="001A3BBE"/>
    <w:rsid w:val="001A3E65"/>
    <w:rsid w:val="001A3F75"/>
    <w:rsid w:val="001A3FC8"/>
    <w:rsid w:val="001A45B3"/>
    <w:rsid w:val="001A4DC3"/>
    <w:rsid w:val="001A51BF"/>
    <w:rsid w:val="001A5238"/>
    <w:rsid w:val="001A5807"/>
    <w:rsid w:val="001A5C58"/>
    <w:rsid w:val="001A5DDE"/>
    <w:rsid w:val="001A64E6"/>
    <w:rsid w:val="001A6932"/>
    <w:rsid w:val="001A6B49"/>
    <w:rsid w:val="001A6D56"/>
    <w:rsid w:val="001A7030"/>
    <w:rsid w:val="001A77EC"/>
    <w:rsid w:val="001A78CB"/>
    <w:rsid w:val="001A7D05"/>
    <w:rsid w:val="001B0024"/>
    <w:rsid w:val="001B0A9C"/>
    <w:rsid w:val="001B0D91"/>
    <w:rsid w:val="001B0FE7"/>
    <w:rsid w:val="001B1744"/>
    <w:rsid w:val="001B1DEF"/>
    <w:rsid w:val="001B1ED5"/>
    <w:rsid w:val="001B240F"/>
    <w:rsid w:val="001B2936"/>
    <w:rsid w:val="001B365E"/>
    <w:rsid w:val="001B3ED3"/>
    <w:rsid w:val="001B3FE9"/>
    <w:rsid w:val="001B4135"/>
    <w:rsid w:val="001B418F"/>
    <w:rsid w:val="001B4366"/>
    <w:rsid w:val="001B475A"/>
    <w:rsid w:val="001B5424"/>
    <w:rsid w:val="001B5440"/>
    <w:rsid w:val="001B5D57"/>
    <w:rsid w:val="001B61CA"/>
    <w:rsid w:val="001B633C"/>
    <w:rsid w:val="001B66F5"/>
    <w:rsid w:val="001B6B71"/>
    <w:rsid w:val="001B6B74"/>
    <w:rsid w:val="001B7AA3"/>
    <w:rsid w:val="001B7D57"/>
    <w:rsid w:val="001C05E0"/>
    <w:rsid w:val="001C0ABF"/>
    <w:rsid w:val="001C0CA6"/>
    <w:rsid w:val="001C1317"/>
    <w:rsid w:val="001C1976"/>
    <w:rsid w:val="001C1C1E"/>
    <w:rsid w:val="001C1DFA"/>
    <w:rsid w:val="001C211F"/>
    <w:rsid w:val="001C2397"/>
    <w:rsid w:val="001C2515"/>
    <w:rsid w:val="001C2660"/>
    <w:rsid w:val="001C2686"/>
    <w:rsid w:val="001C2AB2"/>
    <w:rsid w:val="001C2DE8"/>
    <w:rsid w:val="001C2F5F"/>
    <w:rsid w:val="001C3395"/>
    <w:rsid w:val="001C3637"/>
    <w:rsid w:val="001C380D"/>
    <w:rsid w:val="001C3D12"/>
    <w:rsid w:val="001C3ECE"/>
    <w:rsid w:val="001C42AA"/>
    <w:rsid w:val="001C4482"/>
    <w:rsid w:val="001C4DE1"/>
    <w:rsid w:val="001C4FEF"/>
    <w:rsid w:val="001C57C2"/>
    <w:rsid w:val="001C5A07"/>
    <w:rsid w:val="001C5B3D"/>
    <w:rsid w:val="001C6012"/>
    <w:rsid w:val="001C6444"/>
    <w:rsid w:val="001C6D27"/>
    <w:rsid w:val="001C6D30"/>
    <w:rsid w:val="001C73CD"/>
    <w:rsid w:val="001C7B56"/>
    <w:rsid w:val="001C7BDC"/>
    <w:rsid w:val="001D018D"/>
    <w:rsid w:val="001D1591"/>
    <w:rsid w:val="001D32FD"/>
    <w:rsid w:val="001D36E4"/>
    <w:rsid w:val="001D40BF"/>
    <w:rsid w:val="001D5334"/>
    <w:rsid w:val="001D5CB6"/>
    <w:rsid w:val="001D63BB"/>
    <w:rsid w:val="001D683E"/>
    <w:rsid w:val="001D6DCB"/>
    <w:rsid w:val="001D6E8A"/>
    <w:rsid w:val="001D70DF"/>
    <w:rsid w:val="001D7735"/>
    <w:rsid w:val="001D7BE0"/>
    <w:rsid w:val="001D7BED"/>
    <w:rsid w:val="001D7E02"/>
    <w:rsid w:val="001E0020"/>
    <w:rsid w:val="001E012B"/>
    <w:rsid w:val="001E0373"/>
    <w:rsid w:val="001E0CA7"/>
    <w:rsid w:val="001E0F97"/>
    <w:rsid w:val="001E119E"/>
    <w:rsid w:val="001E2282"/>
    <w:rsid w:val="001E25D7"/>
    <w:rsid w:val="001E26F5"/>
    <w:rsid w:val="001E2E5B"/>
    <w:rsid w:val="001E30A9"/>
    <w:rsid w:val="001E30D7"/>
    <w:rsid w:val="001E33AC"/>
    <w:rsid w:val="001E3879"/>
    <w:rsid w:val="001E3AF4"/>
    <w:rsid w:val="001E4092"/>
    <w:rsid w:val="001E4465"/>
    <w:rsid w:val="001E4BFC"/>
    <w:rsid w:val="001E5667"/>
    <w:rsid w:val="001E5E29"/>
    <w:rsid w:val="001E6314"/>
    <w:rsid w:val="001E6451"/>
    <w:rsid w:val="001E68C7"/>
    <w:rsid w:val="001E6D32"/>
    <w:rsid w:val="001E73B5"/>
    <w:rsid w:val="001F039F"/>
    <w:rsid w:val="001F0402"/>
    <w:rsid w:val="001F1078"/>
    <w:rsid w:val="001F1188"/>
    <w:rsid w:val="001F1475"/>
    <w:rsid w:val="001F1515"/>
    <w:rsid w:val="001F16A6"/>
    <w:rsid w:val="001F18F2"/>
    <w:rsid w:val="001F1B21"/>
    <w:rsid w:val="001F1BBC"/>
    <w:rsid w:val="001F1EBE"/>
    <w:rsid w:val="001F1EF3"/>
    <w:rsid w:val="001F20A9"/>
    <w:rsid w:val="001F21D3"/>
    <w:rsid w:val="001F2505"/>
    <w:rsid w:val="001F2AEC"/>
    <w:rsid w:val="001F2BE7"/>
    <w:rsid w:val="001F2CF7"/>
    <w:rsid w:val="001F30EF"/>
    <w:rsid w:val="001F36A2"/>
    <w:rsid w:val="001F44C1"/>
    <w:rsid w:val="001F4B5F"/>
    <w:rsid w:val="001F52CE"/>
    <w:rsid w:val="001F656E"/>
    <w:rsid w:val="001F6E39"/>
    <w:rsid w:val="001F6EB5"/>
    <w:rsid w:val="001F771A"/>
    <w:rsid w:val="001F7765"/>
    <w:rsid w:val="00200817"/>
    <w:rsid w:val="00200C04"/>
    <w:rsid w:val="002018EA"/>
    <w:rsid w:val="00202B2D"/>
    <w:rsid w:val="00203196"/>
    <w:rsid w:val="002037BC"/>
    <w:rsid w:val="002038A8"/>
    <w:rsid w:val="00203F98"/>
    <w:rsid w:val="00203FDA"/>
    <w:rsid w:val="002040F9"/>
    <w:rsid w:val="00204301"/>
    <w:rsid w:val="002044FF"/>
    <w:rsid w:val="00204CFE"/>
    <w:rsid w:val="00204E71"/>
    <w:rsid w:val="0020507A"/>
    <w:rsid w:val="002051A2"/>
    <w:rsid w:val="00205879"/>
    <w:rsid w:val="00205DED"/>
    <w:rsid w:val="0020626C"/>
    <w:rsid w:val="002064F0"/>
    <w:rsid w:val="002066FF"/>
    <w:rsid w:val="00206D8C"/>
    <w:rsid w:val="002073F2"/>
    <w:rsid w:val="00207D55"/>
    <w:rsid w:val="00210491"/>
    <w:rsid w:val="00210AF8"/>
    <w:rsid w:val="00211039"/>
    <w:rsid w:val="00211CF1"/>
    <w:rsid w:val="0021273D"/>
    <w:rsid w:val="002131B7"/>
    <w:rsid w:val="0021391D"/>
    <w:rsid w:val="00213B10"/>
    <w:rsid w:val="00213DD2"/>
    <w:rsid w:val="002146BD"/>
    <w:rsid w:val="002148E5"/>
    <w:rsid w:val="00214AB1"/>
    <w:rsid w:val="00214D30"/>
    <w:rsid w:val="00214D5F"/>
    <w:rsid w:val="0021517C"/>
    <w:rsid w:val="00215346"/>
    <w:rsid w:val="0021575E"/>
    <w:rsid w:val="002158C4"/>
    <w:rsid w:val="00215C7E"/>
    <w:rsid w:val="00215CB9"/>
    <w:rsid w:val="00216317"/>
    <w:rsid w:val="0021635B"/>
    <w:rsid w:val="002169E1"/>
    <w:rsid w:val="00216B81"/>
    <w:rsid w:val="00216EA3"/>
    <w:rsid w:val="002172C4"/>
    <w:rsid w:val="00217458"/>
    <w:rsid w:val="002200ED"/>
    <w:rsid w:val="00220531"/>
    <w:rsid w:val="0022096F"/>
    <w:rsid w:val="00220A92"/>
    <w:rsid w:val="00220C79"/>
    <w:rsid w:val="0022181A"/>
    <w:rsid w:val="00222084"/>
    <w:rsid w:val="00222148"/>
    <w:rsid w:val="00222215"/>
    <w:rsid w:val="00222389"/>
    <w:rsid w:val="00222CC1"/>
    <w:rsid w:val="00222F69"/>
    <w:rsid w:val="002239B3"/>
    <w:rsid w:val="00223CFA"/>
    <w:rsid w:val="0022421D"/>
    <w:rsid w:val="00224375"/>
    <w:rsid w:val="00224EA3"/>
    <w:rsid w:val="0022673F"/>
    <w:rsid w:val="00226E4E"/>
    <w:rsid w:val="00226FCE"/>
    <w:rsid w:val="00227144"/>
    <w:rsid w:val="00227376"/>
    <w:rsid w:val="00227446"/>
    <w:rsid w:val="00227EBB"/>
    <w:rsid w:val="00230064"/>
    <w:rsid w:val="00230769"/>
    <w:rsid w:val="0023189A"/>
    <w:rsid w:val="00231A6A"/>
    <w:rsid w:val="00231A8C"/>
    <w:rsid w:val="00231CEE"/>
    <w:rsid w:val="00232144"/>
    <w:rsid w:val="002325FA"/>
    <w:rsid w:val="002329D2"/>
    <w:rsid w:val="00232DCF"/>
    <w:rsid w:val="00232EAF"/>
    <w:rsid w:val="0023342F"/>
    <w:rsid w:val="0023365E"/>
    <w:rsid w:val="00233C66"/>
    <w:rsid w:val="00234148"/>
    <w:rsid w:val="002341DC"/>
    <w:rsid w:val="00234497"/>
    <w:rsid w:val="002344B3"/>
    <w:rsid w:val="002356FA"/>
    <w:rsid w:val="002358C2"/>
    <w:rsid w:val="00235945"/>
    <w:rsid w:val="00235BCA"/>
    <w:rsid w:val="00235C87"/>
    <w:rsid w:val="00236A48"/>
    <w:rsid w:val="00236E6A"/>
    <w:rsid w:val="00236E86"/>
    <w:rsid w:val="00236F57"/>
    <w:rsid w:val="00237582"/>
    <w:rsid w:val="0024039E"/>
    <w:rsid w:val="00241170"/>
    <w:rsid w:val="00241608"/>
    <w:rsid w:val="002416C7"/>
    <w:rsid w:val="00241765"/>
    <w:rsid w:val="0024178D"/>
    <w:rsid w:val="0024188B"/>
    <w:rsid w:val="00241CC6"/>
    <w:rsid w:val="00242A42"/>
    <w:rsid w:val="00242F2E"/>
    <w:rsid w:val="00243045"/>
    <w:rsid w:val="0024331D"/>
    <w:rsid w:val="00243913"/>
    <w:rsid w:val="00243E82"/>
    <w:rsid w:val="0024406B"/>
    <w:rsid w:val="002449F1"/>
    <w:rsid w:val="00244A07"/>
    <w:rsid w:val="00244EF5"/>
    <w:rsid w:val="00245666"/>
    <w:rsid w:val="00245F2E"/>
    <w:rsid w:val="0024615D"/>
    <w:rsid w:val="002463DC"/>
    <w:rsid w:val="00246839"/>
    <w:rsid w:val="002468FC"/>
    <w:rsid w:val="00246B48"/>
    <w:rsid w:val="00246F1D"/>
    <w:rsid w:val="002472C4"/>
    <w:rsid w:val="002476FD"/>
    <w:rsid w:val="0024788E"/>
    <w:rsid w:val="00247BCF"/>
    <w:rsid w:val="00250331"/>
    <w:rsid w:val="00250E5D"/>
    <w:rsid w:val="0025151D"/>
    <w:rsid w:val="0025161C"/>
    <w:rsid w:val="002516A6"/>
    <w:rsid w:val="002517E7"/>
    <w:rsid w:val="00251F28"/>
    <w:rsid w:val="00252669"/>
    <w:rsid w:val="00252CB2"/>
    <w:rsid w:val="00252DC4"/>
    <w:rsid w:val="00252FEC"/>
    <w:rsid w:val="00253711"/>
    <w:rsid w:val="00254201"/>
    <w:rsid w:val="00254246"/>
    <w:rsid w:val="002547B4"/>
    <w:rsid w:val="0025497D"/>
    <w:rsid w:val="002549A0"/>
    <w:rsid w:val="00254A28"/>
    <w:rsid w:val="00254D47"/>
    <w:rsid w:val="002551D5"/>
    <w:rsid w:val="00255572"/>
    <w:rsid w:val="00255573"/>
    <w:rsid w:val="002560F1"/>
    <w:rsid w:val="0025679A"/>
    <w:rsid w:val="002567AC"/>
    <w:rsid w:val="00256E32"/>
    <w:rsid w:val="00256E5E"/>
    <w:rsid w:val="0025734B"/>
    <w:rsid w:val="00257784"/>
    <w:rsid w:val="00257C76"/>
    <w:rsid w:val="00260208"/>
    <w:rsid w:val="002602FF"/>
    <w:rsid w:val="00260D4B"/>
    <w:rsid w:val="00260DF3"/>
    <w:rsid w:val="00261F1E"/>
    <w:rsid w:val="002625DE"/>
    <w:rsid w:val="00262D3D"/>
    <w:rsid w:val="00263293"/>
    <w:rsid w:val="00263E42"/>
    <w:rsid w:val="00264074"/>
    <w:rsid w:val="00264935"/>
    <w:rsid w:val="002656A1"/>
    <w:rsid w:val="00265817"/>
    <w:rsid w:val="00265E4F"/>
    <w:rsid w:val="00270091"/>
    <w:rsid w:val="002700C1"/>
    <w:rsid w:val="002707BF"/>
    <w:rsid w:val="0027097B"/>
    <w:rsid w:val="00271C4E"/>
    <w:rsid w:val="00272376"/>
    <w:rsid w:val="002724D1"/>
    <w:rsid w:val="002727CA"/>
    <w:rsid w:val="00272A35"/>
    <w:rsid w:val="002734BC"/>
    <w:rsid w:val="0027370D"/>
    <w:rsid w:val="00273ADE"/>
    <w:rsid w:val="00273C1B"/>
    <w:rsid w:val="00273E23"/>
    <w:rsid w:val="00274560"/>
    <w:rsid w:val="00274764"/>
    <w:rsid w:val="00275CCB"/>
    <w:rsid w:val="002760BD"/>
    <w:rsid w:val="00276649"/>
    <w:rsid w:val="00276CBB"/>
    <w:rsid w:val="00276DA4"/>
    <w:rsid w:val="002772BE"/>
    <w:rsid w:val="00280058"/>
    <w:rsid w:val="00280087"/>
    <w:rsid w:val="002804EE"/>
    <w:rsid w:val="00280DB1"/>
    <w:rsid w:val="00280F32"/>
    <w:rsid w:val="00281594"/>
    <w:rsid w:val="0028192D"/>
    <w:rsid w:val="0028236D"/>
    <w:rsid w:val="0028270D"/>
    <w:rsid w:val="00282B19"/>
    <w:rsid w:val="00282D28"/>
    <w:rsid w:val="00283086"/>
    <w:rsid w:val="0028358E"/>
    <w:rsid w:val="00283F13"/>
    <w:rsid w:val="00284185"/>
    <w:rsid w:val="00284E60"/>
    <w:rsid w:val="00285278"/>
    <w:rsid w:val="00285B45"/>
    <w:rsid w:val="00286175"/>
    <w:rsid w:val="002861AC"/>
    <w:rsid w:val="002866C3"/>
    <w:rsid w:val="00286AC2"/>
    <w:rsid w:val="00286B68"/>
    <w:rsid w:val="00287727"/>
    <w:rsid w:val="00290B10"/>
    <w:rsid w:val="00290BC4"/>
    <w:rsid w:val="00290F96"/>
    <w:rsid w:val="002927C9"/>
    <w:rsid w:val="00293330"/>
    <w:rsid w:val="00293473"/>
    <w:rsid w:val="002934D2"/>
    <w:rsid w:val="00293C05"/>
    <w:rsid w:val="00293CBE"/>
    <w:rsid w:val="00294609"/>
    <w:rsid w:val="00294A32"/>
    <w:rsid w:val="00294B19"/>
    <w:rsid w:val="00295503"/>
    <w:rsid w:val="00295BDD"/>
    <w:rsid w:val="00295DFB"/>
    <w:rsid w:val="00295F19"/>
    <w:rsid w:val="00296A57"/>
    <w:rsid w:val="002973DB"/>
    <w:rsid w:val="0029749A"/>
    <w:rsid w:val="0029751F"/>
    <w:rsid w:val="002A0644"/>
    <w:rsid w:val="002A11BC"/>
    <w:rsid w:val="002A13DD"/>
    <w:rsid w:val="002A14F9"/>
    <w:rsid w:val="002A196E"/>
    <w:rsid w:val="002A20B1"/>
    <w:rsid w:val="002A23AF"/>
    <w:rsid w:val="002A2D82"/>
    <w:rsid w:val="002A36A5"/>
    <w:rsid w:val="002A3A0E"/>
    <w:rsid w:val="002A3F0F"/>
    <w:rsid w:val="002A3F6C"/>
    <w:rsid w:val="002A42E2"/>
    <w:rsid w:val="002A471B"/>
    <w:rsid w:val="002A48A7"/>
    <w:rsid w:val="002A4BAF"/>
    <w:rsid w:val="002A4FF1"/>
    <w:rsid w:val="002A50E7"/>
    <w:rsid w:val="002A5A11"/>
    <w:rsid w:val="002A5B65"/>
    <w:rsid w:val="002A5C1E"/>
    <w:rsid w:val="002A5D94"/>
    <w:rsid w:val="002A5E14"/>
    <w:rsid w:val="002A6063"/>
    <w:rsid w:val="002A6816"/>
    <w:rsid w:val="002A6BBE"/>
    <w:rsid w:val="002A6CEA"/>
    <w:rsid w:val="002A6E55"/>
    <w:rsid w:val="002A70B4"/>
    <w:rsid w:val="002B0018"/>
    <w:rsid w:val="002B0A90"/>
    <w:rsid w:val="002B1034"/>
    <w:rsid w:val="002B2105"/>
    <w:rsid w:val="002B2822"/>
    <w:rsid w:val="002B2ADC"/>
    <w:rsid w:val="002B2B90"/>
    <w:rsid w:val="002B2EF2"/>
    <w:rsid w:val="002B2F40"/>
    <w:rsid w:val="002B3832"/>
    <w:rsid w:val="002B39AE"/>
    <w:rsid w:val="002B4124"/>
    <w:rsid w:val="002B4966"/>
    <w:rsid w:val="002B4D86"/>
    <w:rsid w:val="002B4E1D"/>
    <w:rsid w:val="002B5222"/>
    <w:rsid w:val="002B5540"/>
    <w:rsid w:val="002B55C6"/>
    <w:rsid w:val="002B5C14"/>
    <w:rsid w:val="002B5CF1"/>
    <w:rsid w:val="002B5F20"/>
    <w:rsid w:val="002B6450"/>
    <w:rsid w:val="002B646C"/>
    <w:rsid w:val="002B6478"/>
    <w:rsid w:val="002B6F1A"/>
    <w:rsid w:val="002B750B"/>
    <w:rsid w:val="002C0575"/>
    <w:rsid w:val="002C0826"/>
    <w:rsid w:val="002C1B40"/>
    <w:rsid w:val="002C1EE4"/>
    <w:rsid w:val="002C1F16"/>
    <w:rsid w:val="002C2B01"/>
    <w:rsid w:val="002C36E2"/>
    <w:rsid w:val="002C4037"/>
    <w:rsid w:val="002C421E"/>
    <w:rsid w:val="002C42D2"/>
    <w:rsid w:val="002C4AD7"/>
    <w:rsid w:val="002C50BB"/>
    <w:rsid w:val="002C58E1"/>
    <w:rsid w:val="002C5AB2"/>
    <w:rsid w:val="002C5BDB"/>
    <w:rsid w:val="002C649E"/>
    <w:rsid w:val="002C7170"/>
    <w:rsid w:val="002C768A"/>
    <w:rsid w:val="002C7A50"/>
    <w:rsid w:val="002C7DAF"/>
    <w:rsid w:val="002C7EAC"/>
    <w:rsid w:val="002D0000"/>
    <w:rsid w:val="002D0312"/>
    <w:rsid w:val="002D0430"/>
    <w:rsid w:val="002D117B"/>
    <w:rsid w:val="002D13A8"/>
    <w:rsid w:val="002D1BB5"/>
    <w:rsid w:val="002D1D38"/>
    <w:rsid w:val="002D294D"/>
    <w:rsid w:val="002D29EB"/>
    <w:rsid w:val="002D2E7F"/>
    <w:rsid w:val="002D32A2"/>
    <w:rsid w:val="002D3B76"/>
    <w:rsid w:val="002D3E69"/>
    <w:rsid w:val="002D41B1"/>
    <w:rsid w:val="002D42A1"/>
    <w:rsid w:val="002D496D"/>
    <w:rsid w:val="002D4E4F"/>
    <w:rsid w:val="002D5507"/>
    <w:rsid w:val="002D5621"/>
    <w:rsid w:val="002D5729"/>
    <w:rsid w:val="002D57AD"/>
    <w:rsid w:val="002D6C5A"/>
    <w:rsid w:val="002D6F63"/>
    <w:rsid w:val="002D7113"/>
    <w:rsid w:val="002D75EA"/>
    <w:rsid w:val="002D78B8"/>
    <w:rsid w:val="002E07E4"/>
    <w:rsid w:val="002E0913"/>
    <w:rsid w:val="002E0D6A"/>
    <w:rsid w:val="002E2073"/>
    <w:rsid w:val="002E2153"/>
    <w:rsid w:val="002E26C9"/>
    <w:rsid w:val="002E2B6D"/>
    <w:rsid w:val="002E2C0A"/>
    <w:rsid w:val="002E3137"/>
    <w:rsid w:val="002E3D2C"/>
    <w:rsid w:val="002E3D3E"/>
    <w:rsid w:val="002E3E73"/>
    <w:rsid w:val="002E51A2"/>
    <w:rsid w:val="002E5252"/>
    <w:rsid w:val="002E5437"/>
    <w:rsid w:val="002E594D"/>
    <w:rsid w:val="002E59FE"/>
    <w:rsid w:val="002E5D15"/>
    <w:rsid w:val="002E60DD"/>
    <w:rsid w:val="002E658C"/>
    <w:rsid w:val="002E6CEC"/>
    <w:rsid w:val="002E6DD0"/>
    <w:rsid w:val="002F01EA"/>
    <w:rsid w:val="002F06B6"/>
    <w:rsid w:val="002F0780"/>
    <w:rsid w:val="002F082D"/>
    <w:rsid w:val="002F1602"/>
    <w:rsid w:val="002F1E79"/>
    <w:rsid w:val="002F2658"/>
    <w:rsid w:val="002F26E5"/>
    <w:rsid w:val="002F2751"/>
    <w:rsid w:val="002F2A7E"/>
    <w:rsid w:val="002F2C4E"/>
    <w:rsid w:val="002F2C95"/>
    <w:rsid w:val="002F30C9"/>
    <w:rsid w:val="002F320A"/>
    <w:rsid w:val="002F32A7"/>
    <w:rsid w:val="002F3702"/>
    <w:rsid w:val="002F37FA"/>
    <w:rsid w:val="002F3863"/>
    <w:rsid w:val="002F3FD5"/>
    <w:rsid w:val="002F4277"/>
    <w:rsid w:val="002F4781"/>
    <w:rsid w:val="002F55D6"/>
    <w:rsid w:val="002F5AD2"/>
    <w:rsid w:val="002F6379"/>
    <w:rsid w:val="002F6CE6"/>
    <w:rsid w:val="002F704E"/>
    <w:rsid w:val="002F7318"/>
    <w:rsid w:val="002F7CF8"/>
    <w:rsid w:val="002F7F51"/>
    <w:rsid w:val="003003B3"/>
    <w:rsid w:val="00300ACA"/>
    <w:rsid w:val="00300D00"/>
    <w:rsid w:val="00300DF9"/>
    <w:rsid w:val="00300F7E"/>
    <w:rsid w:val="00301049"/>
    <w:rsid w:val="00301402"/>
    <w:rsid w:val="0030196B"/>
    <w:rsid w:val="00301F19"/>
    <w:rsid w:val="00302652"/>
    <w:rsid w:val="003028CA"/>
    <w:rsid w:val="00302EA9"/>
    <w:rsid w:val="003031BE"/>
    <w:rsid w:val="003033A8"/>
    <w:rsid w:val="00303D35"/>
    <w:rsid w:val="00303DDD"/>
    <w:rsid w:val="00303FA0"/>
    <w:rsid w:val="00304FE4"/>
    <w:rsid w:val="00305007"/>
    <w:rsid w:val="003051E2"/>
    <w:rsid w:val="0030586D"/>
    <w:rsid w:val="00305C5C"/>
    <w:rsid w:val="00306333"/>
    <w:rsid w:val="003064E1"/>
    <w:rsid w:val="003064FD"/>
    <w:rsid w:val="003066E5"/>
    <w:rsid w:val="00306823"/>
    <w:rsid w:val="00306C7B"/>
    <w:rsid w:val="00307304"/>
    <w:rsid w:val="00307A78"/>
    <w:rsid w:val="00310000"/>
    <w:rsid w:val="0031044E"/>
    <w:rsid w:val="00310CBA"/>
    <w:rsid w:val="003118ED"/>
    <w:rsid w:val="00311FE3"/>
    <w:rsid w:val="00312169"/>
    <w:rsid w:val="00312A60"/>
    <w:rsid w:val="00312F29"/>
    <w:rsid w:val="00313449"/>
    <w:rsid w:val="0031366F"/>
    <w:rsid w:val="0031389B"/>
    <w:rsid w:val="00313D46"/>
    <w:rsid w:val="00313FE9"/>
    <w:rsid w:val="003146A7"/>
    <w:rsid w:val="003150BA"/>
    <w:rsid w:val="00315127"/>
    <w:rsid w:val="0031592B"/>
    <w:rsid w:val="00315AB6"/>
    <w:rsid w:val="00316068"/>
    <w:rsid w:val="00316CDF"/>
    <w:rsid w:val="00317B3B"/>
    <w:rsid w:val="00321303"/>
    <w:rsid w:val="0032174D"/>
    <w:rsid w:val="003217C1"/>
    <w:rsid w:val="003218E2"/>
    <w:rsid w:val="00321B9E"/>
    <w:rsid w:val="00321D16"/>
    <w:rsid w:val="00321E89"/>
    <w:rsid w:val="003221FA"/>
    <w:rsid w:val="0032223F"/>
    <w:rsid w:val="003223F6"/>
    <w:rsid w:val="003227DD"/>
    <w:rsid w:val="00322836"/>
    <w:rsid w:val="00322A65"/>
    <w:rsid w:val="00322AAE"/>
    <w:rsid w:val="00322AB8"/>
    <w:rsid w:val="00322DF3"/>
    <w:rsid w:val="003230CD"/>
    <w:rsid w:val="00323DB3"/>
    <w:rsid w:val="00324194"/>
    <w:rsid w:val="0032451D"/>
    <w:rsid w:val="0032456C"/>
    <w:rsid w:val="00324821"/>
    <w:rsid w:val="00324889"/>
    <w:rsid w:val="00324EFE"/>
    <w:rsid w:val="00325806"/>
    <w:rsid w:val="00326464"/>
    <w:rsid w:val="00326589"/>
    <w:rsid w:val="00326590"/>
    <w:rsid w:val="003265BC"/>
    <w:rsid w:val="00326A06"/>
    <w:rsid w:val="00326AF2"/>
    <w:rsid w:val="00326D37"/>
    <w:rsid w:val="00326E25"/>
    <w:rsid w:val="00327907"/>
    <w:rsid w:val="00327F72"/>
    <w:rsid w:val="00330102"/>
    <w:rsid w:val="00330332"/>
    <w:rsid w:val="00330F70"/>
    <w:rsid w:val="0033193A"/>
    <w:rsid w:val="00332A80"/>
    <w:rsid w:val="0033302C"/>
    <w:rsid w:val="0033377D"/>
    <w:rsid w:val="00333962"/>
    <w:rsid w:val="00334269"/>
    <w:rsid w:val="0033498F"/>
    <w:rsid w:val="00334B7E"/>
    <w:rsid w:val="00334E00"/>
    <w:rsid w:val="00334E25"/>
    <w:rsid w:val="003352E7"/>
    <w:rsid w:val="003357BA"/>
    <w:rsid w:val="00335A29"/>
    <w:rsid w:val="00335A39"/>
    <w:rsid w:val="00335A47"/>
    <w:rsid w:val="00335F75"/>
    <w:rsid w:val="00337132"/>
    <w:rsid w:val="00337367"/>
    <w:rsid w:val="00340412"/>
    <w:rsid w:val="0034107C"/>
    <w:rsid w:val="00341EDF"/>
    <w:rsid w:val="003421B4"/>
    <w:rsid w:val="00342FEC"/>
    <w:rsid w:val="003439AE"/>
    <w:rsid w:val="00343AD5"/>
    <w:rsid w:val="00343D55"/>
    <w:rsid w:val="003441EC"/>
    <w:rsid w:val="00344459"/>
    <w:rsid w:val="003445D3"/>
    <w:rsid w:val="003452CB"/>
    <w:rsid w:val="00345870"/>
    <w:rsid w:val="00345963"/>
    <w:rsid w:val="0034602A"/>
    <w:rsid w:val="003460A6"/>
    <w:rsid w:val="003465BE"/>
    <w:rsid w:val="00346C00"/>
    <w:rsid w:val="00346D18"/>
    <w:rsid w:val="00347770"/>
    <w:rsid w:val="00347825"/>
    <w:rsid w:val="003479AA"/>
    <w:rsid w:val="00347D33"/>
    <w:rsid w:val="0035089F"/>
    <w:rsid w:val="003509C9"/>
    <w:rsid w:val="00350FFD"/>
    <w:rsid w:val="00351234"/>
    <w:rsid w:val="00351447"/>
    <w:rsid w:val="003514F5"/>
    <w:rsid w:val="0035192E"/>
    <w:rsid w:val="00354164"/>
    <w:rsid w:val="00354541"/>
    <w:rsid w:val="003545EF"/>
    <w:rsid w:val="00354676"/>
    <w:rsid w:val="00354AFE"/>
    <w:rsid w:val="00355A15"/>
    <w:rsid w:val="003563A7"/>
    <w:rsid w:val="0035650C"/>
    <w:rsid w:val="00356585"/>
    <w:rsid w:val="00356670"/>
    <w:rsid w:val="00356E93"/>
    <w:rsid w:val="0035706D"/>
    <w:rsid w:val="00357338"/>
    <w:rsid w:val="00360228"/>
    <w:rsid w:val="00360D70"/>
    <w:rsid w:val="00360EF9"/>
    <w:rsid w:val="00361040"/>
    <w:rsid w:val="00361869"/>
    <w:rsid w:val="00362199"/>
    <w:rsid w:val="00362E9D"/>
    <w:rsid w:val="003630FB"/>
    <w:rsid w:val="00363C64"/>
    <w:rsid w:val="003642E3"/>
    <w:rsid w:val="00364CAE"/>
    <w:rsid w:val="00364CC4"/>
    <w:rsid w:val="003651FD"/>
    <w:rsid w:val="0036544D"/>
    <w:rsid w:val="00365457"/>
    <w:rsid w:val="0036569E"/>
    <w:rsid w:val="0036581A"/>
    <w:rsid w:val="00365ACE"/>
    <w:rsid w:val="00365BCD"/>
    <w:rsid w:val="003662A5"/>
    <w:rsid w:val="00366EDE"/>
    <w:rsid w:val="00366F8E"/>
    <w:rsid w:val="003670F8"/>
    <w:rsid w:val="0036711F"/>
    <w:rsid w:val="00367568"/>
    <w:rsid w:val="00367BCA"/>
    <w:rsid w:val="00367E8C"/>
    <w:rsid w:val="003701FE"/>
    <w:rsid w:val="00370559"/>
    <w:rsid w:val="00370B4A"/>
    <w:rsid w:val="00371556"/>
    <w:rsid w:val="00371BD5"/>
    <w:rsid w:val="0037211A"/>
    <w:rsid w:val="00372477"/>
    <w:rsid w:val="0037260B"/>
    <w:rsid w:val="0037260D"/>
    <w:rsid w:val="00372745"/>
    <w:rsid w:val="00372F57"/>
    <w:rsid w:val="00372F8E"/>
    <w:rsid w:val="00372F9E"/>
    <w:rsid w:val="003730A4"/>
    <w:rsid w:val="00373157"/>
    <w:rsid w:val="00374062"/>
    <w:rsid w:val="00374084"/>
    <w:rsid w:val="0037416A"/>
    <w:rsid w:val="003744BB"/>
    <w:rsid w:val="00374626"/>
    <w:rsid w:val="00374EE5"/>
    <w:rsid w:val="00375715"/>
    <w:rsid w:val="00375AEC"/>
    <w:rsid w:val="00375FEA"/>
    <w:rsid w:val="003760B6"/>
    <w:rsid w:val="003760F4"/>
    <w:rsid w:val="00376F06"/>
    <w:rsid w:val="00377893"/>
    <w:rsid w:val="00377989"/>
    <w:rsid w:val="003779F4"/>
    <w:rsid w:val="00377D5E"/>
    <w:rsid w:val="00377FEE"/>
    <w:rsid w:val="0038072E"/>
    <w:rsid w:val="00380B83"/>
    <w:rsid w:val="00381AFB"/>
    <w:rsid w:val="00381B73"/>
    <w:rsid w:val="00381E85"/>
    <w:rsid w:val="00382257"/>
    <w:rsid w:val="003822A6"/>
    <w:rsid w:val="00382C0E"/>
    <w:rsid w:val="00383B33"/>
    <w:rsid w:val="00383D94"/>
    <w:rsid w:val="00383E7E"/>
    <w:rsid w:val="003842B9"/>
    <w:rsid w:val="00384FA4"/>
    <w:rsid w:val="003850C9"/>
    <w:rsid w:val="00385156"/>
    <w:rsid w:val="003855D0"/>
    <w:rsid w:val="003856A9"/>
    <w:rsid w:val="003868CB"/>
    <w:rsid w:val="00386A1C"/>
    <w:rsid w:val="00386C91"/>
    <w:rsid w:val="003870D5"/>
    <w:rsid w:val="003873A2"/>
    <w:rsid w:val="0039052B"/>
    <w:rsid w:val="00390572"/>
    <w:rsid w:val="003907C1"/>
    <w:rsid w:val="00390835"/>
    <w:rsid w:val="0039085F"/>
    <w:rsid w:val="0039086F"/>
    <w:rsid w:val="00391821"/>
    <w:rsid w:val="00391A1C"/>
    <w:rsid w:val="00391CD6"/>
    <w:rsid w:val="003924AA"/>
    <w:rsid w:val="003926FB"/>
    <w:rsid w:val="00392B70"/>
    <w:rsid w:val="00392FEB"/>
    <w:rsid w:val="0039300E"/>
    <w:rsid w:val="00393148"/>
    <w:rsid w:val="003932C6"/>
    <w:rsid w:val="0039342E"/>
    <w:rsid w:val="00393F4D"/>
    <w:rsid w:val="00394375"/>
    <w:rsid w:val="0039454F"/>
    <w:rsid w:val="00394821"/>
    <w:rsid w:val="00394C0B"/>
    <w:rsid w:val="00395CFE"/>
    <w:rsid w:val="00396071"/>
    <w:rsid w:val="00396205"/>
    <w:rsid w:val="003963A6"/>
    <w:rsid w:val="00396C28"/>
    <w:rsid w:val="00396D9F"/>
    <w:rsid w:val="00396E50"/>
    <w:rsid w:val="003972B2"/>
    <w:rsid w:val="00397D02"/>
    <w:rsid w:val="003A0587"/>
    <w:rsid w:val="003A0FB8"/>
    <w:rsid w:val="003A1207"/>
    <w:rsid w:val="003A18D0"/>
    <w:rsid w:val="003A1CF2"/>
    <w:rsid w:val="003A1ED5"/>
    <w:rsid w:val="003A266F"/>
    <w:rsid w:val="003A3250"/>
    <w:rsid w:val="003A34A8"/>
    <w:rsid w:val="003A3A01"/>
    <w:rsid w:val="003A401E"/>
    <w:rsid w:val="003A4D9B"/>
    <w:rsid w:val="003A4E32"/>
    <w:rsid w:val="003A56C3"/>
    <w:rsid w:val="003A5BB9"/>
    <w:rsid w:val="003A62E8"/>
    <w:rsid w:val="003A6328"/>
    <w:rsid w:val="003A66DC"/>
    <w:rsid w:val="003A6E2F"/>
    <w:rsid w:val="003A6E41"/>
    <w:rsid w:val="003A748B"/>
    <w:rsid w:val="003A74B8"/>
    <w:rsid w:val="003A775D"/>
    <w:rsid w:val="003A79DC"/>
    <w:rsid w:val="003A7C6C"/>
    <w:rsid w:val="003B0391"/>
    <w:rsid w:val="003B0777"/>
    <w:rsid w:val="003B0876"/>
    <w:rsid w:val="003B0A3A"/>
    <w:rsid w:val="003B0C3E"/>
    <w:rsid w:val="003B0F93"/>
    <w:rsid w:val="003B12F4"/>
    <w:rsid w:val="003B1642"/>
    <w:rsid w:val="003B2341"/>
    <w:rsid w:val="003B262E"/>
    <w:rsid w:val="003B279D"/>
    <w:rsid w:val="003B27D8"/>
    <w:rsid w:val="003B2E28"/>
    <w:rsid w:val="003B36C0"/>
    <w:rsid w:val="003B3976"/>
    <w:rsid w:val="003B4127"/>
    <w:rsid w:val="003B41E5"/>
    <w:rsid w:val="003B456D"/>
    <w:rsid w:val="003B463E"/>
    <w:rsid w:val="003B4B1D"/>
    <w:rsid w:val="003B4B6D"/>
    <w:rsid w:val="003B4BB8"/>
    <w:rsid w:val="003B4D67"/>
    <w:rsid w:val="003B51B1"/>
    <w:rsid w:val="003B51B2"/>
    <w:rsid w:val="003B5BC0"/>
    <w:rsid w:val="003B666B"/>
    <w:rsid w:val="003B70B0"/>
    <w:rsid w:val="003B79B6"/>
    <w:rsid w:val="003C00B9"/>
    <w:rsid w:val="003C011C"/>
    <w:rsid w:val="003C025A"/>
    <w:rsid w:val="003C0B43"/>
    <w:rsid w:val="003C131F"/>
    <w:rsid w:val="003C1BB2"/>
    <w:rsid w:val="003C222B"/>
    <w:rsid w:val="003C2274"/>
    <w:rsid w:val="003C2990"/>
    <w:rsid w:val="003C2E09"/>
    <w:rsid w:val="003C300A"/>
    <w:rsid w:val="003C323C"/>
    <w:rsid w:val="003C32B6"/>
    <w:rsid w:val="003C3A5A"/>
    <w:rsid w:val="003C3DDF"/>
    <w:rsid w:val="003C3E56"/>
    <w:rsid w:val="003C3EC9"/>
    <w:rsid w:val="003C401A"/>
    <w:rsid w:val="003C4296"/>
    <w:rsid w:val="003C476E"/>
    <w:rsid w:val="003C5554"/>
    <w:rsid w:val="003C55FE"/>
    <w:rsid w:val="003C610F"/>
    <w:rsid w:val="003C6D38"/>
    <w:rsid w:val="003C6DA9"/>
    <w:rsid w:val="003C6F18"/>
    <w:rsid w:val="003C743E"/>
    <w:rsid w:val="003C748C"/>
    <w:rsid w:val="003C75F5"/>
    <w:rsid w:val="003C798E"/>
    <w:rsid w:val="003C7A96"/>
    <w:rsid w:val="003D011D"/>
    <w:rsid w:val="003D045B"/>
    <w:rsid w:val="003D0749"/>
    <w:rsid w:val="003D0F44"/>
    <w:rsid w:val="003D138F"/>
    <w:rsid w:val="003D17D6"/>
    <w:rsid w:val="003D18C5"/>
    <w:rsid w:val="003D19BE"/>
    <w:rsid w:val="003D1C3E"/>
    <w:rsid w:val="003D1DF4"/>
    <w:rsid w:val="003D1E8B"/>
    <w:rsid w:val="003D2A90"/>
    <w:rsid w:val="003D321C"/>
    <w:rsid w:val="003D3580"/>
    <w:rsid w:val="003D37B2"/>
    <w:rsid w:val="003D3BFD"/>
    <w:rsid w:val="003D47FB"/>
    <w:rsid w:val="003D4A5B"/>
    <w:rsid w:val="003D4C7E"/>
    <w:rsid w:val="003D5226"/>
    <w:rsid w:val="003D5461"/>
    <w:rsid w:val="003D5627"/>
    <w:rsid w:val="003D5A8B"/>
    <w:rsid w:val="003D5F3D"/>
    <w:rsid w:val="003D6458"/>
    <w:rsid w:val="003D6704"/>
    <w:rsid w:val="003D701C"/>
    <w:rsid w:val="003D7058"/>
    <w:rsid w:val="003D7B04"/>
    <w:rsid w:val="003D7E13"/>
    <w:rsid w:val="003D7EA3"/>
    <w:rsid w:val="003E0C53"/>
    <w:rsid w:val="003E11BB"/>
    <w:rsid w:val="003E11C8"/>
    <w:rsid w:val="003E288F"/>
    <w:rsid w:val="003E3265"/>
    <w:rsid w:val="003E3963"/>
    <w:rsid w:val="003E43B1"/>
    <w:rsid w:val="003E4A4D"/>
    <w:rsid w:val="003E4E15"/>
    <w:rsid w:val="003E5019"/>
    <w:rsid w:val="003E5263"/>
    <w:rsid w:val="003E5875"/>
    <w:rsid w:val="003E5D6C"/>
    <w:rsid w:val="003E6353"/>
    <w:rsid w:val="003E63B8"/>
    <w:rsid w:val="003E645C"/>
    <w:rsid w:val="003E6C93"/>
    <w:rsid w:val="003E6EF4"/>
    <w:rsid w:val="003E7877"/>
    <w:rsid w:val="003F0415"/>
    <w:rsid w:val="003F045A"/>
    <w:rsid w:val="003F07FB"/>
    <w:rsid w:val="003F0FB4"/>
    <w:rsid w:val="003F11F2"/>
    <w:rsid w:val="003F1949"/>
    <w:rsid w:val="003F249E"/>
    <w:rsid w:val="003F25C7"/>
    <w:rsid w:val="003F2B5B"/>
    <w:rsid w:val="003F3D87"/>
    <w:rsid w:val="003F3F33"/>
    <w:rsid w:val="003F3F56"/>
    <w:rsid w:val="003F40EE"/>
    <w:rsid w:val="003F4D49"/>
    <w:rsid w:val="003F50F9"/>
    <w:rsid w:val="003F5745"/>
    <w:rsid w:val="003F5828"/>
    <w:rsid w:val="003F5A51"/>
    <w:rsid w:val="003F61A3"/>
    <w:rsid w:val="003F65C9"/>
    <w:rsid w:val="003F671E"/>
    <w:rsid w:val="003F70A2"/>
    <w:rsid w:val="003F7A33"/>
    <w:rsid w:val="003F7D93"/>
    <w:rsid w:val="004000EA"/>
    <w:rsid w:val="004004DF"/>
    <w:rsid w:val="0040164C"/>
    <w:rsid w:val="00401A9D"/>
    <w:rsid w:val="00401DD6"/>
    <w:rsid w:val="00401EAB"/>
    <w:rsid w:val="00402109"/>
    <w:rsid w:val="00402AF5"/>
    <w:rsid w:val="00402C64"/>
    <w:rsid w:val="00403271"/>
    <w:rsid w:val="00403378"/>
    <w:rsid w:val="00403883"/>
    <w:rsid w:val="004046E2"/>
    <w:rsid w:val="00404714"/>
    <w:rsid w:val="00404856"/>
    <w:rsid w:val="00404C31"/>
    <w:rsid w:val="00404EFC"/>
    <w:rsid w:val="00404FA4"/>
    <w:rsid w:val="00406247"/>
    <w:rsid w:val="004064DF"/>
    <w:rsid w:val="004064F9"/>
    <w:rsid w:val="004072BB"/>
    <w:rsid w:val="004072EC"/>
    <w:rsid w:val="00407D75"/>
    <w:rsid w:val="00410C3A"/>
    <w:rsid w:val="00410FE9"/>
    <w:rsid w:val="004110EC"/>
    <w:rsid w:val="0041114D"/>
    <w:rsid w:val="00411808"/>
    <w:rsid w:val="00411DA0"/>
    <w:rsid w:val="00412332"/>
    <w:rsid w:val="004124A3"/>
    <w:rsid w:val="00412B62"/>
    <w:rsid w:val="00412B74"/>
    <w:rsid w:val="00412EE0"/>
    <w:rsid w:val="004130D2"/>
    <w:rsid w:val="004131ED"/>
    <w:rsid w:val="00413A99"/>
    <w:rsid w:val="00413B38"/>
    <w:rsid w:val="00413C5E"/>
    <w:rsid w:val="00413CDE"/>
    <w:rsid w:val="004143D6"/>
    <w:rsid w:val="00414465"/>
    <w:rsid w:val="004148BB"/>
    <w:rsid w:val="00414956"/>
    <w:rsid w:val="00414CB1"/>
    <w:rsid w:val="00414D82"/>
    <w:rsid w:val="0041599B"/>
    <w:rsid w:val="00415B9E"/>
    <w:rsid w:val="00415EA5"/>
    <w:rsid w:val="004160F7"/>
    <w:rsid w:val="004162EE"/>
    <w:rsid w:val="00417C8A"/>
    <w:rsid w:val="00417F83"/>
    <w:rsid w:val="004207BE"/>
    <w:rsid w:val="00420A3A"/>
    <w:rsid w:val="00420D27"/>
    <w:rsid w:val="00420D50"/>
    <w:rsid w:val="00421D5E"/>
    <w:rsid w:val="00421F41"/>
    <w:rsid w:val="0042220C"/>
    <w:rsid w:val="00422532"/>
    <w:rsid w:val="00422B36"/>
    <w:rsid w:val="00422F85"/>
    <w:rsid w:val="00423D91"/>
    <w:rsid w:val="00424392"/>
    <w:rsid w:val="00424505"/>
    <w:rsid w:val="004245F3"/>
    <w:rsid w:val="00424A55"/>
    <w:rsid w:val="00424A68"/>
    <w:rsid w:val="00424B94"/>
    <w:rsid w:val="004251E1"/>
    <w:rsid w:val="00425A64"/>
    <w:rsid w:val="00425E4A"/>
    <w:rsid w:val="00426ED9"/>
    <w:rsid w:val="00427035"/>
    <w:rsid w:val="00427077"/>
    <w:rsid w:val="004274D1"/>
    <w:rsid w:val="00427ACA"/>
    <w:rsid w:val="00430055"/>
    <w:rsid w:val="0043062F"/>
    <w:rsid w:val="00430CDF"/>
    <w:rsid w:val="00430ED1"/>
    <w:rsid w:val="00431442"/>
    <w:rsid w:val="004317F9"/>
    <w:rsid w:val="00431852"/>
    <w:rsid w:val="00431E0F"/>
    <w:rsid w:val="004323F0"/>
    <w:rsid w:val="00433020"/>
    <w:rsid w:val="0043308E"/>
    <w:rsid w:val="00433210"/>
    <w:rsid w:val="00433284"/>
    <w:rsid w:val="0043341A"/>
    <w:rsid w:val="0043356D"/>
    <w:rsid w:val="004336B3"/>
    <w:rsid w:val="00433AAB"/>
    <w:rsid w:val="00433B14"/>
    <w:rsid w:val="00433D43"/>
    <w:rsid w:val="00434838"/>
    <w:rsid w:val="00434FC2"/>
    <w:rsid w:val="00435326"/>
    <w:rsid w:val="004357D2"/>
    <w:rsid w:val="0043661D"/>
    <w:rsid w:val="004402AC"/>
    <w:rsid w:val="00440561"/>
    <w:rsid w:val="00440739"/>
    <w:rsid w:val="00440D50"/>
    <w:rsid w:val="004417E6"/>
    <w:rsid w:val="00441C62"/>
    <w:rsid w:val="00442628"/>
    <w:rsid w:val="00442A50"/>
    <w:rsid w:val="00442B8C"/>
    <w:rsid w:val="0044303D"/>
    <w:rsid w:val="00443CE0"/>
    <w:rsid w:val="00444428"/>
    <w:rsid w:val="00444A5D"/>
    <w:rsid w:val="00444DD4"/>
    <w:rsid w:val="00444DE2"/>
    <w:rsid w:val="00445187"/>
    <w:rsid w:val="00446161"/>
    <w:rsid w:val="00446B49"/>
    <w:rsid w:val="00446C19"/>
    <w:rsid w:val="00447647"/>
    <w:rsid w:val="004477ED"/>
    <w:rsid w:val="004477F6"/>
    <w:rsid w:val="004502F7"/>
    <w:rsid w:val="00450394"/>
    <w:rsid w:val="00450611"/>
    <w:rsid w:val="00450B93"/>
    <w:rsid w:val="00451035"/>
    <w:rsid w:val="004510A7"/>
    <w:rsid w:val="004510F1"/>
    <w:rsid w:val="004511DD"/>
    <w:rsid w:val="004515B2"/>
    <w:rsid w:val="00451F4D"/>
    <w:rsid w:val="00452621"/>
    <w:rsid w:val="00452A4B"/>
    <w:rsid w:val="00452FED"/>
    <w:rsid w:val="004532F1"/>
    <w:rsid w:val="00453D6E"/>
    <w:rsid w:val="00454A4D"/>
    <w:rsid w:val="00455201"/>
    <w:rsid w:val="004554CE"/>
    <w:rsid w:val="00455619"/>
    <w:rsid w:val="00455A1D"/>
    <w:rsid w:val="00455B2A"/>
    <w:rsid w:val="004561B7"/>
    <w:rsid w:val="004566C1"/>
    <w:rsid w:val="00456864"/>
    <w:rsid w:val="00456B79"/>
    <w:rsid w:val="00456F09"/>
    <w:rsid w:val="00457639"/>
    <w:rsid w:val="004577D7"/>
    <w:rsid w:val="004578F6"/>
    <w:rsid w:val="00457AEB"/>
    <w:rsid w:val="00457D5D"/>
    <w:rsid w:val="0046012A"/>
    <w:rsid w:val="00460548"/>
    <w:rsid w:val="004614CE"/>
    <w:rsid w:val="00461C98"/>
    <w:rsid w:val="004626BC"/>
    <w:rsid w:val="00463231"/>
    <w:rsid w:val="004637AF"/>
    <w:rsid w:val="00463A0E"/>
    <w:rsid w:val="004642E9"/>
    <w:rsid w:val="0046448C"/>
    <w:rsid w:val="0046474C"/>
    <w:rsid w:val="00464811"/>
    <w:rsid w:val="004648B2"/>
    <w:rsid w:val="004649A4"/>
    <w:rsid w:val="004649FF"/>
    <w:rsid w:val="00464CD2"/>
    <w:rsid w:val="00465321"/>
    <w:rsid w:val="004653CE"/>
    <w:rsid w:val="0046569C"/>
    <w:rsid w:val="00465CA9"/>
    <w:rsid w:val="004662DE"/>
    <w:rsid w:val="00466345"/>
    <w:rsid w:val="00466759"/>
    <w:rsid w:val="004668E4"/>
    <w:rsid w:val="00467232"/>
    <w:rsid w:val="0046723B"/>
    <w:rsid w:val="004674F6"/>
    <w:rsid w:val="00467F85"/>
    <w:rsid w:val="0047063C"/>
    <w:rsid w:val="00470817"/>
    <w:rsid w:val="0047082D"/>
    <w:rsid w:val="00470998"/>
    <w:rsid w:val="004711CF"/>
    <w:rsid w:val="004713CD"/>
    <w:rsid w:val="00471F6C"/>
    <w:rsid w:val="00472718"/>
    <w:rsid w:val="00472A8B"/>
    <w:rsid w:val="00472C52"/>
    <w:rsid w:val="00472D6F"/>
    <w:rsid w:val="00472EBB"/>
    <w:rsid w:val="004733B2"/>
    <w:rsid w:val="00473F8A"/>
    <w:rsid w:val="00474596"/>
    <w:rsid w:val="00474A26"/>
    <w:rsid w:val="00474AF3"/>
    <w:rsid w:val="00475336"/>
    <w:rsid w:val="004754D2"/>
    <w:rsid w:val="0047560C"/>
    <w:rsid w:val="00475B5D"/>
    <w:rsid w:val="00476252"/>
    <w:rsid w:val="00476895"/>
    <w:rsid w:val="00476BC4"/>
    <w:rsid w:val="00476F6E"/>
    <w:rsid w:val="004773DD"/>
    <w:rsid w:val="0047799D"/>
    <w:rsid w:val="0048003E"/>
    <w:rsid w:val="00480171"/>
    <w:rsid w:val="00480760"/>
    <w:rsid w:val="00480766"/>
    <w:rsid w:val="00481316"/>
    <w:rsid w:val="00481561"/>
    <w:rsid w:val="004815DD"/>
    <w:rsid w:val="00481972"/>
    <w:rsid w:val="00481EEA"/>
    <w:rsid w:val="00482389"/>
    <w:rsid w:val="004826E0"/>
    <w:rsid w:val="00482932"/>
    <w:rsid w:val="0048331B"/>
    <w:rsid w:val="004835BB"/>
    <w:rsid w:val="00483737"/>
    <w:rsid w:val="004838AB"/>
    <w:rsid w:val="00483C27"/>
    <w:rsid w:val="00483FB9"/>
    <w:rsid w:val="00484451"/>
    <w:rsid w:val="004844B1"/>
    <w:rsid w:val="00484708"/>
    <w:rsid w:val="00484960"/>
    <w:rsid w:val="00485112"/>
    <w:rsid w:val="0048531B"/>
    <w:rsid w:val="00485512"/>
    <w:rsid w:val="004855C4"/>
    <w:rsid w:val="00486046"/>
    <w:rsid w:val="00486203"/>
    <w:rsid w:val="0048626D"/>
    <w:rsid w:val="0048650F"/>
    <w:rsid w:val="004866AB"/>
    <w:rsid w:val="00486E34"/>
    <w:rsid w:val="004874A9"/>
    <w:rsid w:val="004902D5"/>
    <w:rsid w:val="00490CD7"/>
    <w:rsid w:val="004915DA"/>
    <w:rsid w:val="00491603"/>
    <w:rsid w:val="00491780"/>
    <w:rsid w:val="00491B90"/>
    <w:rsid w:val="00491BBF"/>
    <w:rsid w:val="004920D3"/>
    <w:rsid w:val="00492930"/>
    <w:rsid w:val="00492B84"/>
    <w:rsid w:val="00493117"/>
    <w:rsid w:val="004934D5"/>
    <w:rsid w:val="0049359D"/>
    <w:rsid w:val="0049360B"/>
    <w:rsid w:val="00493942"/>
    <w:rsid w:val="00494706"/>
    <w:rsid w:val="00494C68"/>
    <w:rsid w:val="00495745"/>
    <w:rsid w:val="004959E1"/>
    <w:rsid w:val="00495A64"/>
    <w:rsid w:val="00495F59"/>
    <w:rsid w:val="00496B49"/>
    <w:rsid w:val="00496CAA"/>
    <w:rsid w:val="00496FC7"/>
    <w:rsid w:val="004977F9"/>
    <w:rsid w:val="004A03DD"/>
    <w:rsid w:val="004A05FA"/>
    <w:rsid w:val="004A07C6"/>
    <w:rsid w:val="004A07F8"/>
    <w:rsid w:val="004A0D18"/>
    <w:rsid w:val="004A1270"/>
    <w:rsid w:val="004A1535"/>
    <w:rsid w:val="004A1537"/>
    <w:rsid w:val="004A1801"/>
    <w:rsid w:val="004A18CF"/>
    <w:rsid w:val="004A1A42"/>
    <w:rsid w:val="004A20C8"/>
    <w:rsid w:val="004A2387"/>
    <w:rsid w:val="004A23AF"/>
    <w:rsid w:val="004A24EE"/>
    <w:rsid w:val="004A2682"/>
    <w:rsid w:val="004A280B"/>
    <w:rsid w:val="004A2CD6"/>
    <w:rsid w:val="004A2E34"/>
    <w:rsid w:val="004A30F5"/>
    <w:rsid w:val="004A4AB4"/>
    <w:rsid w:val="004A4D5E"/>
    <w:rsid w:val="004A5036"/>
    <w:rsid w:val="004A5A08"/>
    <w:rsid w:val="004A5A4F"/>
    <w:rsid w:val="004A5BB5"/>
    <w:rsid w:val="004A5EAA"/>
    <w:rsid w:val="004A5F9C"/>
    <w:rsid w:val="004A62B1"/>
    <w:rsid w:val="004A63FD"/>
    <w:rsid w:val="004A689C"/>
    <w:rsid w:val="004A6A44"/>
    <w:rsid w:val="004A6AA5"/>
    <w:rsid w:val="004A6C41"/>
    <w:rsid w:val="004A6EC5"/>
    <w:rsid w:val="004A7AD3"/>
    <w:rsid w:val="004A7F74"/>
    <w:rsid w:val="004B03C9"/>
    <w:rsid w:val="004B0439"/>
    <w:rsid w:val="004B113A"/>
    <w:rsid w:val="004B1C77"/>
    <w:rsid w:val="004B1EB7"/>
    <w:rsid w:val="004B2549"/>
    <w:rsid w:val="004B2E17"/>
    <w:rsid w:val="004B2F04"/>
    <w:rsid w:val="004B3B08"/>
    <w:rsid w:val="004B486D"/>
    <w:rsid w:val="004B48E3"/>
    <w:rsid w:val="004B536A"/>
    <w:rsid w:val="004B5407"/>
    <w:rsid w:val="004B59F4"/>
    <w:rsid w:val="004B5C4D"/>
    <w:rsid w:val="004B60CB"/>
    <w:rsid w:val="004B6979"/>
    <w:rsid w:val="004B6A7A"/>
    <w:rsid w:val="004B6AF2"/>
    <w:rsid w:val="004B6F8C"/>
    <w:rsid w:val="004B73D6"/>
    <w:rsid w:val="004B76C0"/>
    <w:rsid w:val="004B7AB7"/>
    <w:rsid w:val="004B7C5C"/>
    <w:rsid w:val="004C0366"/>
    <w:rsid w:val="004C0695"/>
    <w:rsid w:val="004C0B41"/>
    <w:rsid w:val="004C0C71"/>
    <w:rsid w:val="004C0CD6"/>
    <w:rsid w:val="004C0D40"/>
    <w:rsid w:val="004C18D6"/>
    <w:rsid w:val="004C2154"/>
    <w:rsid w:val="004C28A5"/>
    <w:rsid w:val="004C2AE1"/>
    <w:rsid w:val="004C44A4"/>
    <w:rsid w:val="004C4633"/>
    <w:rsid w:val="004C4F0F"/>
    <w:rsid w:val="004C5442"/>
    <w:rsid w:val="004C59E0"/>
    <w:rsid w:val="004C6164"/>
    <w:rsid w:val="004C6B21"/>
    <w:rsid w:val="004C745A"/>
    <w:rsid w:val="004C74AC"/>
    <w:rsid w:val="004C74E4"/>
    <w:rsid w:val="004C755B"/>
    <w:rsid w:val="004C77BE"/>
    <w:rsid w:val="004C7C79"/>
    <w:rsid w:val="004C7CCD"/>
    <w:rsid w:val="004D0136"/>
    <w:rsid w:val="004D026C"/>
    <w:rsid w:val="004D036B"/>
    <w:rsid w:val="004D0609"/>
    <w:rsid w:val="004D1A5E"/>
    <w:rsid w:val="004D1CD1"/>
    <w:rsid w:val="004D20A4"/>
    <w:rsid w:val="004D315F"/>
    <w:rsid w:val="004D3179"/>
    <w:rsid w:val="004D3640"/>
    <w:rsid w:val="004D3A38"/>
    <w:rsid w:val="004D3BF8"/>
    <w:rsid w:val="004D4693"/>
    <w:rsid w:val="004D51E0"/>
    <w:rsid w:val="004D5215"/>
    <w:rsid w:val="004D5852"/>
    <w:rsid w:val="004D5895"/>
    <w:rsid w:val="004D5A3A"/>
    <w:rsid w:val="004D6266"/>
    <w:rsid w:val="004D6456"/>
    <w:rsid w:val="004D6774"/>
    <w:rsid w:val="004D6DC1"/>
    <w:rsid w:val="004D6E16"/>
    <w:rsid w:val="004E014F"/>
    <w:rsid w:val="004E0791"/>
    <w:rsid w:val="004E0E21"/>
    <w:rsid w:val="004E0FA0"/>
    <w:rsid w:val="004E12AA"/>
    <w:rsid w:val="004E1F2B"/>
    <w:rsid w:val="004E220B"/>
    <w:rsid w:val="004E3384"/>
    <w:rsid w:val="004E3628"/>
    <w:rsid w:val="004E3BB5"/>
    <w:rsid w:val="004E3E46"/>
    <w:rsid w:val="004E3EE8"/>
    <w:rsid w:val="004E43B0"/>
    <w:rsid w:val="004E4457"/>
    <w:rsid w:val="004E4B3D"/>
    <w:rsid w:val="004E4C2C"/>
    <w:rsid w:val="004E4E15"/>
    <w:rsid w:val="004E4F96"/>
    <w:rsid w:val="004E5EDE"/>
    <w:rsid w:val="004E691F"/>
    <w:rsid w:val="004E7331"/>
    <w:rsid w:val="004E7A6E"/>
    <w:rsid w:val="004E7CDC"/>
    <w:rsid w:val="004E7DC1"/>
    <w:rsid w:val="004E7EB3"/>
    <w:rsid w:val="004F00AB"/>
    <w:rsid w:val="004F01E4"/>
    <w:rsid w:val="004F05F9"/>
    <w:rsid w:val="004F0834"/>
    <w:rsid w:val="004F0A72"/>
    <w:rsid w:val="004F1231"/>
    <w:rsid w:val="004F1916"/>
    <w:rsid w:val="004F2623"/>
    <w:rsid w:val="004F2654"/>
    <w:rsid w:val="004F3138"/>
    <w:rsid w:val="004F337C"/>
    <w:rsid w:val="004F3846"/>
    <w:rsid w:val="004F3CEE"/>
    <w:rsid w:val="004F401E"/>
    <w:rsid w:val="004F41CB"/>
    <w:rsid w:val="004F462E"/>
    <w:rsid w:val="004F49B5"/>
    <w:rsid w:val="004F5A1E"/>
    <w:rsid w:val="004F7198"/>
    <w:rsid w:val="004F75DF"/>
    <w:rsid w:val="0050015A"/>
    <w:rsid w:val="00500349"/>
    <w:rsid w:val="00500C30"/>
    <w:rsid w:val="00501163"/>
    <w:rsid w:val="00501866"/>
    <w:rsid w:val="00501896"/>
    <w:rsid w:val="00501D29"/>
    <w:rsid w:val="00502249"/>
    <w:rsid w:val="00502792"/>
    <w:rsid w:val="00502D3A"/>
    <w:rsid w:val="005035E6"/>
    <w:rsid w:val="005039C0"/>
    <w:rsid w:val="00503C42"/>
    <w:rsid w:val="00504002"/>
    <w:rsid w:val="00504796"/>
    <w:rsid w:val="00504C35"/>
    <w:rsid w:val="0050559C"/>
    <w:rsid w:val="00506722"/>
    <w:rsid w:val="00506D5E"/>
    <w:rsid w:val="00506D99"/>
    <w:rsid w:val="00506DCC"/>
    <w:rsid w:val="005076ED"/>
    <w:rsid w:val="005078BC"/>
    <w:rsid w:val="0050797F"/>
    <w:rsid w:val="00510CA1"/>
    <w:rsid w:val="00511458"/>
    <w:rsid w:val="005119A4"/>
    <w:rsid w:val="00511F98"/>
    <w:rsid w:val="00512175"/>
    <w:rsid w:val="005121CD"/>
    <w:rsid w:val="00512604"/>
    <w:rsid w:val="00512CF2"/>
    <w:rsid w:val="00512DAB"/>
    <w:rsid w:val="00513515"/>
    <w:rsid w:val="00513B20"/>
    <w:rsid w:val="0051474A"/>
    <w:rsid w:val="00515399"/>
    <w:rsid w:val="0051546E"/>
    <w:rsid w:val="00515722"/>
    <w:rsid w:val="0051595D"/>
    <w:rsid w:val="00515AC8"/>
    <w:rsid w:val="00515F64"/>
    <w:rsid w:val="00516235"/>
    <w:rsid w:val="0051684F"/>
    <w:rsid w:val="00516ABB"/>
    <w:rsid w:val="00516D74"/>
    <w:rsid w:val="00517069"/>
    <w:rsid w:val="00517766"/>
    <w:rsid w:val="00520001"/>
    <w:rsid w:val="0052012A"/>
    <w:rsid w:val="00520483"/>
    <w:rsid w:val="005209E2"/>
    <w:rsid w:val="00520D65"/>
    <w:rsid w:val="00520E95"/>
    <w:rsid w:val="005219E1"/>
    <w:rsid w:val="00521B2D"/>
    <w:rsid w:val="00521B5D"/>
    <w:rsid w:val="00521C7A"/>
    <w:rsid w:val="0052247B"/>
    <w:rsid w:val="00522597"/>
    <w:rsid w:val="00522B46"/>
    <w:rsid w:val="00522F1C"/>
    <w:rsid w:val="00523EA3"/>
    <w:rsid w:val="005243F7"/>
    <w:rsid w:val="005247F0"/>
    <w:rsid w:val="00525485"/>
    <w:rsid w:val="00525673"/>
    <w:rsid w:val="00526113"/>
    <w:rsid w:val="00526F50"/>
    <w:rsid w:val="005270CD"/>
    <w:rsid w:val="00527164"/>
    <w:rsid w:val="005279B6"/>
    <w:rsid w:val="00527A2C"/>
    <w:rsid w:val="005300AF"/>
    <w:rsid w:val="005304FE"/>
    <w:rsid w:val="005307AF"/>
    <w:rsid w:val="00530C89"/>
    <w:rsid w:val="0053143C"/>
    <w:rsid w:val="0053165E"/>
    <w:rsid w:val="0053198F"/>
    <w:rsid w:val="00531A48"/>
    <w:rsid w:val="00531E6D"/>
    <w:rsid w:val="00532A79"/>
    <w:rsid w:val="00533311"/>
    <w:rsid w:val="005335AA"/>
    <w:rsid w:val="005338A2"/>
    <w:rsid w:val="005338D4"/>
    <w:rsid w:val="00534400"/>
    <w:rsid w:val="0053448C"/>
    <w:rsid w:val="005345BE"/>
    <w:rsid w:val="005349A0"/>
    <w:rsid w:val="005356A3"/>
    <w:rsid w:val="00535730"/>
    <w:rsid w:val="00535923"/>
    <w:rsid w:val="00536134"/>
    <w:rsid w:val="005364F0"/>
    <w:rsid w:val="00536AE6"/>
    <w:rsid w:val="00537AC7"/>
    <w:rsid w:val="00537CA0"/>
    <w:rsid w:val="00540069"/>
    <w:rsid w:val="00540526"/>
    <w:rsid w:val="005408DB"/>
    <w:rsid w:val="00540962"/>
    <w:rsid w:val="00540BC4"/>
    <w:rsid w:val="00540DD5"/>
    <w:rsid w:val="00540FA4"/>
    <w:rsid w:val="0054101B"/>
    <w:rsid w:val="0054112C"/>
    <w:rsid w:val="005412FA"/>
    <w:rsid w:val="005418CB"/>
    <w:rsid w:val="00541A24"/>
    <w:rsid w:val="00542487"/>
    <w:rsid w:val="00542638"/>
    <w:rsid w:val="0054289C"/>
    <w:rsid w:val="005428C4"/>
    <w:rsid w:val="00542C42"/>
    <w:rsid w:val="00543055"/>
    <w:rsid w:val="005431F3"/>
    <w:rsid w:val="00543A8E"/>
    <w:rsid w:val="0054484A"/>
    <w:rsid w:val="00544A64"/>
    <w:rsid w:val="00544E36"/>
    <w:rsid w:val="00545429"/>
    <w:rsid w:val="005454D4"/>
    <w:rsid w:val="00545BB8"/>
    <w:rsid w:val="005467DD"/>
    <w:rsid w:val="0054689B"/>
    <w:rsid w:val="00546DA7"/>
    <w:rsid w:val="00546F2A"/>
    <w:rsid w:val="00547573"/>
    <w:rsid w:val="00547775"/>
    <w:rsid w:val="00547E58"/>
    <w:rsid w:val="00550866"/>
    <w:rsid w:val="00550ABA"/>
    <w:rsid w:val="005511EB"/>
    <w:rsid w:val="00551A66"/>
    <w:rsid w:val="00551EC4"/>
    <w:rsid w:val="00552287"/>
    <w:rsid w:val="0055251C"/>
    <w:rsid w:val="00553D1B"/>
    <w:rsid w:val="005540A0"/>
    <w:rsid w:val="00554D79"/>
    <w:rsid w:val="0055527E"/>
    <w:rsid w:val="00555B00"/>
    <w:rsid w:val="00556167"/>
    <w:rsid w:val="0055651F"/>
    <w:rsid w:val="0055665E"/>
    <w:rsid w:val="00556F8F"/>
    <w:rsid w:val="0055744C"/>
    <w:rsid w:val="00557526"/>
    <w:rsid w:val="00557768"/>
    <w:rsid w:val="00557BF7"/>
    <w:rsid w:val="0056023D"/>
    <w:rsid w:val="0056057C"/>
    <w:rsid w:val="00561838"/>
    <w:rsid w:val="00561D2C"/>
    <w:rsid w:val="00561F4A"/>
    <w:rsid w:val="00562341"/>
    <w:rsid w:val="00563256"/>
    <w:rsid w:val="00563472"/>
    <w:rsid w:val="005638B7"/>
    <w:rsid w:val="00563EFA"/>
    <w:rsid w:val="0056403A"/>
    <w:rsid w:val="00564D63"/>
    <w:rsid w:val="00565951"/>
    <w:rsid w:val="00565E8A"/>
    <w:rsid w:val="005661D6"/>
    <w:rsid w:val="005662A1"/>
    <w:rsid w:val="00566736"/>
    <w:rsid w:val="00566FA7"/>
    <w:rsid w:val="005674D6"/>
    <w:rsid w:val="0056757D"/>
    <w:rsid w:val="00567796"/>
    <w:rsid w:val="00567B33"/>
    <w:rsid w:val="005701A1"/>
    <w:rsid w:val="005704AF"/>
    <w:rsid w:val="005705D1"/>
    <w:rsid w:val="00570B0C"/>
    <w:rsid w:val="005715F9"/>
    <w:rsid w:val="00572502"/>
    <w:rsid w:val="00572DAB"/>
    <w:rsid w:val="00572F5B"/>
    <w:rsid w:val="0057387C"/>
    <w:rsid w:val="00573FDE"/>
    <w:rsid w:val="0057407A"/>
    <w:rsid w:val="005741BB"/>
    <w:rsid w:val="00574765"/>
    <w:rsid w:val="00575578"/>
    <w:rsid w:val="0057571D"/>
    <w:rsid w:val="00575A17"/>
    <w:rsid w:val="00575A21"/>
    <w:rsid w:val="00576DE4"/>
    <w:rsid w:val="00577791"/>
    <w:rsid w:val="005777A1"/>
    <w:rsid w:val="00577922"/>
    <w:rsid w:val="005802C4"/>
    <w:rsid w:val="00581F5D"/>
    <w:rsid w:val="00583A4C"/>
    <w:rsid w:val="00583F43"/>
    <w:rsid w:val="00584432"/>
    <w:rsid w:val="00584721"/>
    <w:rsid w:val="00585F71"/>
    <w:rsid w:val="0058694D"/>
    <w:rsid w:val="00586961"/>
    <w:rsid w:val="00586C08"/>
    <w:rsid w:val="00587018"/>
    <w:rsid w:val="00587090"/>
    <w:rsid w:val="005871AB"/>
    <w:rsid w:val="00587950"/>
    <w:rsid w:val="00587ABE"/>
    <w:rsid w:val="00587DF6"/>
    <w:rsid w:val="005907FF"/>
    <w:rsid w:val="00590AA9"/>
    <w:rsid w:val="00590F25"/>
    <w:rsid w:val="00591352"/>
    <w:rsid w:val="005913FE"/>
    <w:rsid w:val="00591E9F"/>
    <w:rsid w:val="005923F3"/>
    <w:rsid w:val="005925C2"/>
    <w:rsid w:val="005929B9"/>
    <w:rsid w:val="005929EB"/>
    <w:rsid w:val="00592C59"/>
    <w:rsid w:val="0059324A"/>
    <w:rsid w:val="005934A2"/>
    <w:rsid w:val="0059384F"/>
    <w:rsid w:val="00593B20"/>
    <w:rsid w:val="00593DC3"/>
    <w:rsid w:val="00593E66"/>
    <w:rsid w:val="005946F5"/>
    <w:rsid w:val="00594BB2"/>
    <w:rsid w:val="00594CD9"/>
    <w:rsid w:val="00594E01"/>
    <w:rsid w:val="005953CE"/>
    <w:rsid w:val="00595610"/>
    <w:rsid w:val="00595847"/>
    <w:rsid w:val="00595B60"/>
    <w:rsid w:val="00595CFF"/>
    <w:rsid w:val="00595FC5"/>
    <w:rsid w:val="00597514"/>
    <w:rsid w:val="0059766C"/>
    <w:rsid w:val="00597B4F"/>
    <w:rsid w:val="00597D52"/>
    <w:rsid w:val="00597F65"/>
    <w:rsid w:val="00597F66"/>
    <w:rsid w:val="005A031B"/>
    <w:rsid w:val="005A07DE"/>
    <w:rsid w:val="005A1000"/>
    <w:rsid w:val="005A203B"/>
    <w:rsid w:val="005A20C9"/>
    <w:rsid w:val="005A22DC"/>
    <w:rsid w:val="005A29ED"/>
    <w:rsid w:val="005A2FBB"/>
    <w:rsid w:val="005A307E"/>
    <w:rsid w:val="005A3457"/>
    <w:rsid w:val="005A397A"/>
    <w:rsid w:val="005A39C2"/>
    <w:rsid w:val="005A41D3"/>
    <w:rsid w:val="005A4C7F"/>
    <w:rsid w:val="005A4DDE"/>
    <w:rsid w:val="005A55A6"/>
    <w:rsid w:val="005A567D"/>
    <w:rsid w:val="005A59CF"/>
    <w:rsid w:val="005A5A50"/>
    <w:rsid w:val="005A5BAF"/>
    <w:rsid w:val="005A6063"/>
    <w:rsid w:val="005A644B"/>
    <w:rsid w:val="005A66DA"/>
    <w:rsid w:val="005A6B8F"/>
    <w:rsid w:val="005A6D65"/>
    <w:rsid w:val="005A7155"/>
    <w:rsid w:val="005A7709"/>
    <w:rsid w:val="005A77C3"/>
    <w:rsid w:val="005B0466"/>
    <w:rsid w:val="005B087E"/>
    <w:rsid w:val="005B0C9A"/>
    <w:rsid w:val="005B0E6B"/>
    <w:rsid w:val="005B1164"/>
    <w:rsid w:val="005B11CB"/>
    <w:rsid w:val="005B11D6"/>
    <w:rsid w:val="005B1802"/>
    <w:rsid w:val="005B29D0"/>
    <w:rsid w:val="005B3218"/>
    <w:rsid w:val="005B353F"/>
    <w:rsid w:val="005B3C2D"/>
    <w:rsid w:val="005B3F59"/>
    <w:rsid w:val="005B4C6B"/>
    <w:rsid w:val="005B4D90"/>
    <w:rsid w:val="005B55B9"/>
    <w:rsid w:val="005B55EE"/>
    <w:rsid w:val="005B5D02"/>
    <w:rsid w:val="005B6A87"/>
    <w:rsid w:val="005B7185"/>
    <w:rsid w:val="005B74D3"/>
    <w:rsid w:val="005B7B3B"/>
    <w:rsid w:val="005C0451"/>
    <w:rsid w:val="005C046F"/>
    <w:rsid w:val="005C078A"/>
    <w:rsid w:val="005C0B8D"/>
    <w:rsid w:val="005C1230"/>
    <w:rsid w:val="005C1837"/>
    <w:rsid w:val="005C1C6F"/>
    <w:rsid w:val="005C25D4"/>
    <w:rsid w:val="005C2F16"/>
    <w:rsid w:val="005C33FF"/>
    <w:rsid w:val="005C3EAB"/>
    <w:rsid w:val="005C4066"/>
    <w:rsid w:val="005C40B3"/>
    <w:rsid w:val="005C40D7"/>
    <w:rsid w:val="005C46B2"/>
    <w:rsid w:val="005C47E5"/>
    <w:rsid w:val="005C48EA"/>
    <w:rsid w:val="005C545E"/>
    <w:rsid w:val="005C54F0"/>
    <w:rsid w:val="005C5CCA"/>
    <w:rsid w:val="005C5FC6"/>
    <w:rsid w:val="005C6380"/>
    <w:rsid w:val="005C64FD"/>
    <w:rsid w:val="005C6611"/>
    <w:rsid w:val="005C6B36"/>
    <w:rsid w:val="005C6DA1"/>
    <w:rsid w:val="005C709A"/>
    <w:rsid w:val="005C7963"/>
    <w:rsid w:val="005D0474"/>
    <w:rsid w:val="005D0532"/>
    <w:rsid w:val="005D07D4"/>
    <w:rsid w:val="005D0C31"/>
    <w:rsid w:val="005D14ED"/>
    <w:rsid w:val="005D16F6"/>
    <w:rsid w:val="005D1B71"/>
    <w:rsid w:val="005D23FE"/>
    <w:rsid w:val="005D3117"/>
    <w:rsid w:val="005D371E"/>
    <w:rsid w:val="005D3BC9"/>
    <w:rsid w:val="005D4268"/>
    <w:rsid w:val="005D491B"/>
    <w:rsid w:val="005D586E"/>
    <w:rsid w:val="005D5939"/>
    <w:rsid w:val="005D5F4D"/>
    <w:rsid w:val="005D5FE0"/>
    <w:rsid w:val="005D6810"/>
    <w:rsid w:val="005D6F95"/>
    <w:rsid w:val="005D7222"/>
    <w:rsid w:val="005D786D"/>
    <w:rsid w:val="005D7AB0"/>
    <w:rsid w:val="005D7F6B"/>
    <w:rsid w:val="005E01F6"/>
    <w:rsid w:val="005E07FC"/>
    <w:rsid w:val="005E0A42"/>
    <w:rsid w:val="005E14C1"/>
    <w:rsid w:val="005E157E"/>
    <w:rsid w:val="005E19DD"/>
    <w:rsid w:val="005E1EBC"/>
    <w:rsid w:val="005E265F"/>
    <w:rsid w:val="005E27B3"/>
    <w:rsid w:val="005E2A82"/>
    <w:rsid w:val="005E2DB7"/>
    <w:rsid w:val="005E3282"/>
    <w:rsid w:val="005E3374"/>
    <w:rsid w:val="005E3814"/>
    <w:rsid w:val="005E38BE"/>
    <w:rsid w:val="005E4616"/>
    <w:rsid w:val="005E4C45"/>
    <w:rsid w:val="005E4E34"/>
    <w:rsid w:val="005E4F50"/>
    <w:rsid w:val="005E5AF9"/>
    <w:rsid w:val="005E6082"/>
    <w:rsid w:val="005E6463"/>
    <w:rsid w:val="005E6ECA"/>
    <w:rsid w:val="005E7181"/>
    <w:rsid w:val="005E7374"/>
    <w:rsid w:val="005E7BC5"/>
    <w:rsid w:val="005F01B9"/>
    <w:rsid w:val="005F096B"/>
    <w:rsid w:val="005F0C23"/>
    <w:rsid w:val="005F0CD7"/>
    <w:rsid w:val="005F0F0F"/>
    <w:rsid w:val="005F0F18"/>
    <w:rsid w:val="005F128C"/>
    <w:rsid w:val="005F17F8"/>
    <w:rsid w:val="005F1CBE"/>
    <w:rsid w:val="005F277D"/>
    <w:rsid w:val="005F2C64"/>
    <w:rsid w:val="005F2CFA"/>
    <w:rsid w:val="005F2D8A"/>
    <w:rsid w:val="005F42DA"/>
    <w:rsid w:val="005F459C"/>
    <w:rsid w:val="005F5073"/>
    <w:rsid w:val="005F530F"/>
    <w:rsid w:val="005F638B"/>
    <w:rsid w:val="005F697F"/>
    <w:rsid w:val="005F6AF2"/>
    <w:rsid w:val="005F6D50"/>
    <w:rsid w:val="005F7178"/>
    <w:rsid w:val="005F7562"/>
    <w:rsid w:val="00600314"/>
    <w:rsid w:val="00600520"/>
    <w:rsid w:val="00601214"/>
    <w:rsid w:val="006013E1"/>
    <w:rsid w:val="00601461"/>
    <w:rsid w:val="006015B0"/>
    <w:rsid w:val="00601FC3"/>
    <w:rsid w:val="00602876"/>
    <w:rsid w:val="00602E21"/>
    <w:rsid w:val="006033A2"/>
    <w:rsid w:val="006035AF"/>
    <w:rsid w:val="006037C4"/>
    <w:rsid w:val="00604147"/>
    <w:rsid w:val="0060488E"/>
    <w:rsid w:val="0060490E"/>
    <w:rsid w:val="00604B7A"/>
    <w:rsid w:val="00604CDE"/>
    <w:rsid w:val="00605080"/>
    <w:rsid w:val="0060571F"/>
    <w:rsid w:val="0060588D"/>
    <w:rsid w:val="00605A52"/>
    <w:rsid w:val="00605C4B"/>
    <w:rsid w:val="0060608D"/>
    <w:rsid w:val="006065B5"/>
    <w:rsid w:val="00606D0E"/>
    <w:rsid w:val="006076EB"/>
    <w:rsid w:val="00610126"/>
    <w:rsid w:val="00610330"/>
    <w:rsid w:val="0061039C"/>
    <w:rsid w:val="006104D9"/>
    <w:rsid w:val="00610788"/>
    <w:rsid w:val="00610E83"/>
    <w:rsid w:val="0061105A"/>
    <w:rsid w:val="0061174C"/>
    <w:rsid w:val="00611B2E"/>
    <w:rsid w:val="00611C4E"/>
    <w:rsid w:val="00611EC4"/>
    <w:rsid w:val="00612086"/>
    <w:rsid w:val="0061219A"/>
    <w:rsid w:val="00612832"/>
    <w:rsid w:val="006128C1"/>
    <w:rsid w:val="00612B65"/>
    <w:rsid w:val="00612D7E"/>
    <w:rsid w:val="006130C0"/>
    <w:rsid w:val="006131A6"/>
    <w:rsid w:val="00613313"/>
    <w:rsid w:val="006135EB"/>
    <w:rsid w:val="00613AFB"/>
    <w:rsid w:val="00613B7A"/>
    <w:rsid w:val="00613F5D"/>
    <w:rsid w:val="00614149"/>
    <w:rsid w:val="00614D23"/>
    <w:rsid w:val="00614D29"/>
    <w:rsid w:val="00614D6E"/>
    <w:rsid w:val="00614DA8"/>
    <w:rsid w:val="006153BC"/>
    <w:rsid w:val="006155DE"/>
    <w:rsid w:val="006165DA"/>
    <w:rsid w:val="00616D2A"/>
    <w:rsid w:val="00616EDA"/>
    <w:rsid w:val="0061719B"/>
    <w:rsid w:val="00617ED4"/>
    <w:rsid w:val="00617F15"/>
    <w:rsid w:val="00617F71"/>
    <w:rsid w:val="006204B7"/>
    <w:rsid w:val="0062071D"/>
    <w:rsid w:val="00621151"/>
    <w:rsid w:val="00621717"/>
    <w:rsid w:val="00621E9B"/>
    <w:rsid w:val="00621F6F"/>
    <w:rsid w:val="00621FFF"/>
    <w:rsid w:val="00622070"/>
    <w:rsid w:val="0062233E"/>
    <w:rsid w:val="00622A3B"/>
    <w:rsid w:val="00622AB0"/>
    <w:rsid w:val="00622B79"/>
    <w:rsid w:val="00623CA1"/>
    <w:rsid w:val="00623E79"/>
    <w:rsid w:val="00623EC4"/>
    <w:rsid w:val="006242A4"/>
    <w:rsid w:val="006242FD"/>
    <w:rsid w:val="00624985"/>
    <w:rsid w:val="0062531C"/>
    <w:rsid w:val="00625BB9"/>
    <w:rsid w:val="00625BE4"/>
    <w:rsid w:val="00626369"/>
    <w:rsid w:val="00626E76"/>
    <w:rsid w:val="006270A6"/>
    <w:rsid w:val="006272CF"/>
    <w:rsid w:val="006272D2"/>
    <w:rsid w:val="0062748A"/>
    <w:rsid w:val="00627A9C"/>
    <w:rsid w:val="00627C3B"/>
    <w:rsid w:val="00627E36"/>
    <w:rsid w:val="00627E48"/>
    <w:rsid w:val="0063004F"/>
    <w:rsid w:val="00630357"/>
    <w:rsid w:val="00630392"/>
    <w:rsid w:val="00630937"/>
    <w:rsid w:val="00630D43"/>
    <w:rsid w:val="00630D52"/>
    <w:rsid w:val="00631139"/>
    <w:rsid w:val="006314B4"/>
    <w:rsid w:val="006315AC"/>
    <w:rsid w:val="00631EFD"/>
    <w:rsid w:val="0063238F"/>
    <w:rsid w:val="00633130"/>
    <w:rsid w:val="00633423"/>
    <w:rsid w:val="00634168"/>
    <w:rsid w:val="0063439D"/>
    <w:rsid w:val="006348B6"/>
    <w:rsid w:val="00634BFD"/>
    <w:rsid w:val="00634C05"/>
    <w:rsid w:val="00634D29"/>
    <w:rsid w:val="00634DC6"/>
    <w:rsid w:val="0063516B"/>
    <w:rsid w:val="00635635"/>
    <w:rsid w:val="0063590D"/>
    <w:rsid w:val="00635B8F"/>
    <w:rsid w:val="00635F65"/>
    <w:rsid w:val="00636502"/>
    <w:rsid w:val="00636611"/>
    <w:rsid w:val="00636965"/>
    <w:rsid w:val="00636A02"/>
    <w:rsid w:val="00636CED"/>
    <w:rsid w:val="00637202"/>
    <w:rsid w:val="006374F4"/>
    <w:rsid w:val="006375E2"/>
    <w:rsid w:val="00637A29"/>
    <w:rsid w:val="006406E2"/>
    <w:rsid w:val="00641231"/>
    <w:rsid w:val="006412D4"/>
    <w:rsid w:val="00641544"/>
    <w:rsid w:val="00641583"/>
    <w:rsid w:val="00641BD1"/>
    <w:rsid w:val="0064215D"/>
    <w:rsid w:val="006423A9"/>
    <w:rsid w:val="006427DF"/>
    <w:rsid w:val="0064286C"/>
    <w:rsid w:val="00642AC4"/>
    <w:rsid w:val="0064349D"/>
    <w:rsid w:val="00643A3E"/>
    <w:rsid w:val="00643C46"/>
    <w:rsid w:val="0064445D"/>
    <w:rsid w:val="00644676"/>
    <w:rsid w:val="006448C2"/>
    <w:rsid w:val="00644BB8"/>
    <w:rsid w:val="00645A2C"/>
    <w:rsid w:val="0064678C"/>
    <w:rsid w:val="00646998"/>
    <w:rsid w:val="006469D6"/>
    <w:rsid w:val="00646AB2"/>
    <w:rsid w:val="00646B46"/>
    <w:rsid w:val="00647281"/>
    <w:rsid w:val="00647427"/>
    <w:rsid w:val="006478B5"/>
    <w:rsid w:val="00647E2A"/>
    <w:rsid w:val="00650CF7"/>
    <w:rsid w:val="006511D0"/>
    <w:rsid w:val="0065169E"/>
    <w:rsid w:val="0065183A"/>
    <w:rsid w:val="00651899"/>
    <w:rsid w:val="00651D48"/>
    <w:rsid w:val="00651D7A"/>
    <w:rsid w:val="006527A4"/>
    <w:rsid w:val="00652847"/>
    <w:rsid w:val="00652959"/>
    <w:rsid w:val="006530B6"/>
    <w:rsid w:val="00653399"/>
    <w:rsid w:val="00653817"/>
    <w:rsid w:val="00653C97"/>
    <w:rsid w:val="00653DE8"/>
    <w:rsid w:val="00654586"/>
    <w:rsid w:val="00654D31"/>
    <w:rsid w:val="00654ECA"/>
    <w:rsid w:val="00655324"/>
    <w:rsid w:val="00655929"/>
    <w:rsid w:val="00655D37"/>
    <w:rsid w:val="00656A6D"/>
    <w:rsid w:val="00657278"/>
    <w:rsid w:val="0065777C"/>
    <w:rsid w:val="006577FE"/>
    <w:rsid w:val="00657CA6"/>
    <w:rsid w:val="0066013F"/>
    <w:rsid w:val="00660483"/>
    <w:rsid w:val="00660CD0"/>
    <w:rsid w:val="006619DD"/>
    <w:rsid w:val="00662979"/>
    <w:rsid w:val="006629B0"/>
    <w:rsid w:val="00662A09"/>
    <w:rsid w:val="006633D5"/>
    <w:rsid w:val="006638CE"/>
    <w:rsid w:val="00663EC6"/>
    <w:rsid w:val="00664196"/>
    <w:rsid w:val="006642E4"/>
    <w:rsid w:val="00664B50"/>
    <w:rsid w:val="00664BA8"/>
    <w:rsid w:val="00664DE5"/>
    <w:rsid w:val="00664EB6"/>
    <w:rsid w:val="0066501D"/>
    <w:rsid w:val="00665686"/>
    <w:rsid w:val="00665A3F"/>
    <w:rsid w:val="00665C41"/>
    <w:rsid w:val="00665E13"/>
    <w:rsid w:val="00666905"/>
    <w:rsid w:val="00666C92"/>
    <w:rsid w:val="006670D2"/>
    <w:rsid w:val="006678F6"/>
    <w:rsid w:val="0067082E"/>
    <w:rsid w:val="00670A5A"/>
    <w:rsid w:val="00670B0E"/>
    <w:rsid w:val="0067125B"/>
    <w:rsid w:val="006713A7"/>
    <w:rsid w:val="00671E40"/>
    <w:rsid w:val="00671F10"/>
    <w:rsid w:val="006721F6"/>
    <w:rsid w:val="00672520"/>
    <w:rsid w:val="00673668"/>
    <w:rsid w:val="006738C3"/>
    <w:rsid w:val="00673D32"/>
    <w:rsid w:val="006740CA"/>
    <w:rsid w:val="0067466F"/>
    <w:rsid w:val="006749C0"/>
    <w:rsid w:val="00674ACB"/>
    <w:rsid w:val="006750AF"/>
    <w:rsid w:val="0067573D"/>
    <w:rsid w:val="00675B14"/>
    <w:rsid w:val="00675BC2"/>
    <w:rsid w:val="00675DB4"/>
    <w:rsid w:val="006764A0"/>
    <w:rsid w:val="006764B6"/>
    <w:rsid w:val="00676801"/>
    <w:rsid w:val="0067687C"/>
    <w:rsid w:val="00677356"/>
    <w:rsid w:val="00677495"/>
    <w:rsid w:val="00677A93"/>
    <w:rsid w:val="00680191"/>
    <w:rsid w:val="006808EE"/>
    <w:rsid w:val="00680C02"/>
    <w:rsid w:val="006815B1"/>
    <w:rsid w:val="00681691"/>
    <w:rsid w:val="006817A8"/>
    <w:rsid w:val="0068323A"/>
    <w:rsid w:val="0068347C"/>
    <w:rsid w:val="00683492"/>
    <w:rsid w:val="006834CE"/>
    <w:rsid w:val="00683B6C"/>
    <w:rsid w:val="0068422B"/>
    <w:rsid w:val="00684455"/>
    <w:rsid w:val="0068453F"/>
    <w:rsid w:val="00684EBF"/>
    <w:rsid w:val="0068554A"/>
    <w:rsid w:val="00685657"/>
    <w:rsid w:val="00685FD7"/>
    <w:rsid w:val="00687F9F"/>
    <w:rsid w:val="00690553"/>
    <w:rsid w:val="0069060C"/>
    <w:rsid w:val="00690A2E"/>
    <w:rsid w:val="00690ADF"/>
    <w:rsid w:val="00690B19"/>
    <w:rsid w:val="00690B51"/>
    <w:rsid w:val="00691EAE"/>
    <w:rsid w:val="00691F30"/>
    <w:rsid w:val="00692165"/>
    <w:rsid w:val="0069268A"/>
    <w:rsid w:val="0069365D"/>
    <w:rsid w:val="00693BD7"/>
    <w:rsid w:val="00693C1D"/>
    <w:rsid w:val="006944A6"/>
    <w:rsid w:val="0069492F"/>
    <w:rsid w:val="00694D5F"/>
    <w:rsid w:val="0069569F"/>
    <w:rsid w:val="006957AC"/>
    <w:rsid w:val="00695872"/>
    <w:rsid w:val="006959C1"/>
    <w:rsid w:val="00695FBC"/>
    <w:rsid w:val="0069619D"/>
    <w:rsid w:val="00696576"/>
    <w:rsid w:val="00696A44"/>
    <w:rsid w:val="00696E96"/>
    <w:rsid w:val="006971E5"/>
    <w:rsid w:val="006A0559"/>
    <w:rsid w:val="006A084E"/>
    <w:rsid w:val="006A0974"/>
    <w:rsid w:val="006A14A8"/>
    <w:rsid w:val="006A1956"/>
    <w:rsid w:val="006A1EC0"/>
    <w:rsid w:val="006A1F40"/>
    <w:rsid w:val="006A24F1"/>
    <w:rsid w:val="006A2668"/>
    <w:rsid w:val="006A27F0"/>
    <w:rsid w:val="006A300B"/>
    <w:rsid w:val="006A3159"/>
    <w:rsid w:val="006A3B36"/>
    <w:rsid w:val="006A3B66"/>
    <w:rsid w:val="006A3C0A"/>
    <w:rsid w:val="006A3C5F"/>
    <w:rsid w:val="006A3D68"/>
    <w:rsid w:val="006A40F7"/>
    <w:rsid w:val="006A4501"/>
    <w:rsid w:val="006A55F7"/>
    <w:rsid w:val="006A65F3"/>
    <w:rsid w:val="006A687B"/>
    <w:rsid w:val="006A6965"/>
    <w:rsid w:val="006A6998"/>
    <w:rsid w:val="006A6BA7"/>
    <w:rsid w:val="006A6DE1"/>
    <w:rsid w:val="006A6ED3"/>
    <w:rsid w:val="006A6EED"/>
    <w:rsid w:val="006A6F49"/>
    <w:rsid w:val="006A738F"/>
    <w:rsid w:val="006A7EA6"/>
    <w:rsid w:val="006B0546"/>
    <w:rsid w:val="006B0558"/>
    <w:rsid w:val="006B084C"/>
    <w:rsid w:val="006B0DE4"/>
    <w:rsid w:val="006B0F44"/>
    <w:rsid w:val="006B19E7"/>
    <w:rsid w:val="006B1BD6"/>
    <w:rsid w:val="006B1D45"/>
    <w:rsid w:val="006B1F38"/>
    <w:rsid w:val="006B2702"/>
    <w:rsid w:val="006B2753"/>
    <w:rsid w:val="006B3263"/>
    <w:rsid w:val="006B3A57"/>
    <w:rsid w:val="006B3CF5"/>
    <w:rsid w:val="006B3D53"/>
    <w:rsid w:val="006B3D90"/>
    <w:rsid w:val="006B3DDF"/>
    <w:rsid w:val="006B4228"/>
    <w:rsid w:val="006B44F8"/>
    <w:rsid w:val="006B4783"/>
    <w:rsid w:val="006B5B97"/>
    <w:rsid w:val="006B600A"/>
    <w:rsid w:val="006B652C"/>
    <w:rsid w:val="006B668A"/>
    <w:rsid w:val="006B6CE5"/>
    <w:rsid w:val="006B7AAA"/>
    <w:rsid w:val="006B7BFA"/>
    <w:rsid w:val="006B7C21"/>
    <w:rsid w:val="006B7F78"/>
    <w:rsid w:val="006C00E7"/>
    <w:rsid w:val="006C016B"/>
    <w:rsid w:val="006C01A8"/>
    <w:rsid w:val="006C03BE"/>
    <w:rsid w:val="006C0892"/>
    <w:rsid w:val="006C177C"/>
    <w:rsid w:val="006C20EE"/>
    <w:rsid w:val="006C212C"/>
    <w:rsid w:val="006C21BD"/>
    <w:rsid w:val="006C2F26"/>
    <w:rsid w:val="006C3699"/>
    <w:rsid w:val="006C3760"/>
    <w:rsid w:val="006C39F6"/>
    <w:rsid w:val="006C4034"/>
    <w:rsid w:val="006C4794"/>
    <w:rsid w:val="006C53CB"/>
    <w:rsid w:val="006C559E"/>
    <w:rsid w:val="006C59E8"/>
    <w:rsid w:val="006C5C96"/>
    <w:rsid w:val="006C60DE"/>
    <w:rsid w:val="006C696C"/>
    <w:rsid w:val="006C6BDE"/>
    <w:rsid w:val="006C6EB4"/>
    <w:rsid w:val="006C6ED0"/>
    <w:rsid w:val="006C72BE"/>
    <w:rsid w:val="006C7C41"/>
    <w:rsid w:val="006C7D61"/>
    <w:rsid w:val="006D0140"/>
    <w:rsid w:val="006D0724"/>
    <w:rsid w:val="006D099B"/>
    <w:rsid w:val="006D129D"/>
    <w:rsid w:val="006D1457"/>
    <w:rsid w:val="006D1753"/>
    <w:rsid w:val="006D1ADC"/>
    <w:rsid w:val="006D1C0E"/>
    <w:rsid w:val="006D1E46"/>
    <w:rsid w:val="006D2232"/>
    <w:rsid w:val="006D29ED"/>
    <w:rsid w:val="006D2AAA"/>
    <w:rsid w:val="006D33C4"/>
    <w:rsid w:val="006D352B"/>
    <w:rsid w:val="006D3A49"/>
    <w:rsid w:val="006D3AB4"/>
    <w:rsid w:val="006D3F5B"/>
    <w:rsid w:val="006D40BE"/>
    <w:rsid w:val="006D4184"/>
    <w:rsid w:val="006D4358"/>
    <w:rsid w:val="006D450A"/>
    <w:rsid w:val="006D4871"/>
    <w:rsid w:val="006D4EDB"/>
    <w:rsid w:val="006D4FAA"/>
    <w:rsid w:val="006D55F6"/>
    <w:rsid w:val="006D590C"/>
    <w:rsid w:val="006D59BD"/>
    <w:rsid w:val="006D603F"/>
    <w:rsid w:val="006D6955"/>
    <w:rsid w:val="006D73BA"/>
    <w:rsid w:val="006D7424"/>
    <w:rsid w:val="006D7582"/>
    <w:rsid w:val="006D75A5"/>
    <w:rsid w:val="006E0889"/>
    <w:rsid w:val="006E09DE"/>
    <w:rsid w:val="006E0C11"/>
    <w:rsid w:val="006E0EA0"/>
    <w:rsid w:val="006E17CF"/>
    <w:rsid w:val="006E1BD1"/>
    <w:rsid w:val="006E1CA7"/>
    <w:rsid w:val="006E1F4D"/>
    <w:rsid w:val="006E22D9"/>
    <w:rsid w:val="006E2B7B"/>
    <w:rsid w:val="006E2DEE"/>
    <w:rsid w:val="006E315A"/>
    <w:rsid w:val="006E37B7"/>
    <w:rsid w:val="006E39D2"/>
    <w:rsid w:val="006E3A45"/>
    <w:rsid w:val="006E433B"/>
    <w:rsid w:val="006E4427"/>
    <w:rsid w:val="006E4C11"/>
    <w:rsid w:val="006E4D31"/>
    <w:rsid w:val="006E52D4"/>
    <w:rsid w:val="006E5A43"/>
    <w:rsid w:val="006E5BE1"/>
    <w:rsid w:val="006E6111"/>
    <w:rsid w:val="006E6147"/>
    <w:rsid w:val="006E6D09"/>
    <w:rsid w:val="006E7049"/>
    <w:rsid w:val="006E7328"/>
    <w:rsid w:val="006E78B8"/>
    <w:rsid w:val="006E7CF2"/>
    <w:rsid w:val="006F0002"/>
    <w:rsid w:val="006F26CE"/>
    <w:rsid w:val="006F28AF"/>
    <w:rsid w:val="006F29EB"/>
    <w:rsid w:val="006F302A"/>
    <w:rsid w:val="006F31C4"/>
    <w:rsid w:val="006F325A"/>
    <w:rsid w:val="006F3C38"/>
    <w:rsid w:val="006F4886"/>
    <w:rsid w:val="006F48BF"/>
    <w:rsid w:val="006F5063"/>
    <w:rsid w:val="006F514E"/>
    <w:rsid w:val="006F520D"/>
    <w:rsid w:val="006F5739"/>
    <w:rsid w:val="006F79F4"/>
    <w:rsid w:val="006F7FA0"/>
    <w:rsid w:val="0070047C"/>
    <w:rsid w:val="007004DC"/>
    <w:rsid w:val="00700DC3"/>
    <w:rsid w:val="00701295"/>
    <w:rsid w:val="0070135E"/>
    <w:rsid w:val="00701427"/>
    <w:rsid w:val="007016CF"/>
    <w:rsid w:val="00701A95"/>
    <w:rsid w:val="00702112"/>
    <w:rsid w:val="0070212A"/>
    <w:rsid w:val="00703498"/>
    <w:rsid w:val="00703499"/>
    <w:rsid w:val="00703587"/>
    <w:rsid w:val="0070378F"/>
    <w:rsid w:val="00704179"/>
    <w:rsid w:val="00704294"/>
    <w:rsid w:val="0070513B"/>
    <w:rsid w:val="007057C4"/>
    <w:rsid w:val="00705900"/>
    <w:rsid w:val="0070627C"/>
    <w:rsid w:val="00706A34"/>
    <w:rsid w:val="0070735A"/>
    <w:rsid w:val="00707521"/>
    <w:rsid w:val="0070752B"/>
    <w:rsid w:val="00707578"/>
    <w:rsid w:val="00707CEE"/>
    <w:rsid w:val="00707D6A"/>
    <w:rsid w:val="00711BD8"/>
    <w:rsid w:val="00711CB7"/>
    <w:rsid w:val="00711DF8"/>
    <w:rsid w:val="007120D2"/>
    <w:rsid w:val="0071217A"/>
    <w:rsid w:val="00712B86"/>
    <w:rsid w:val="00712BAF"/>
    <w:rsid w:val="007132CE"/>
    <w:rsid w:val="0071333E"/>
    <w:rsid w:val="00713444"/>
    <w:rsid w:val="0071369D"/>
    <w:rsid w:val="00713900"/>
    <w:rsid w:val="00714B9C"/>
    <w:rsid w:val="00714E1E"/>
    <w:rsid w:val="00714F7E"/>
    <w:rsid w:val="0071545A"/>
    <w:rsid w:val="00715B17"/>
    <w:rsid w:val="00716E86"/>
    <w:rsid w:val="00716EAE"/>
    <w:rsid w:val="00716FF8"/>
    <w:rsid w:val="007171F7"/>
    <w:rsid w:val="00717996"/>
    <w:rsid w:val="00717CD2"/>
    <w:rsid w:val="00717DF6"/>
    <w:rsid w:val="00717FD5"/>
    <w:rsid w:val="00720D99"/>
    <w:rsid w:val="00720F31"/>
    <w:rsid w:val="007211C3"/>
    <w:rsid w:val="007214F6"/>
    <w:rsid w:val="007219E1"/>
    <w:rsid w:val="00721AE1"/>
    <w:rsid w:val="00721B33"/>
    <w:rsid w:val="00721DF6"/>
    <w:rsid w:val="007224AF"/>
    <w:rsid w:val="007226C2"/>
    <w:rsid w:val="0072270E"/>
    <w:rsid w:val="00722D68"/>
    <w:rsid w:val="007232E7"/>
    <w:rsid w:val="007232FE"/>
    <w:rsid w:val="007234DE"/>
    <w:rsid w:val="00724018"/>
    <w:rsid w:val="007246FF"/>
    <w:rsid w:val="00724A86"/>
    <w:rsid w:val="00724F10"/>
    <w:rsid w:val="0072575C"/>
    <w:rsid w:val="0072580C"/>
    <w:rsid w:val="00725813"/>
    <w:rsid w:val="007259EE"/>
    <w:rsid w:val="007268D5"/>
    <w:rsid w:val="007271B6"/>
    <w:rsid w:val="00727374"/>
    <w:rsid w:val="0072739F"/>
    <w:rsid w:val="00727AC2"/>
    <w:rsid w:val="00727BE7"/>
    <w:rsid w:val="00727EF2"/>
    <w:rsid w:val="00731ED0"/>
    <w:rsid w:val="00732243"/>
    <w:rsid w:val="00732577"/>
    <w:rsid w:val="007329A1"/>
    <w:rsid w:val="00732A6E"/>
    <w:rsid w:val="0073317F"/>
    <w:rsid w:val="007338AA"/>
    <w:rsid w:val="007339A8"/>
    <w:rsid w:val="00734309"/>
    <w:rsid w:val="007343BC"/>
    <w:rsid w:val="00734DF1"/>
    <w:rsid w:val="007350C0"/>
    <w:rsid w:val="007351AA"/>
    <w:rsid w:val="0073539D"/>
    <w:rsid w:val="00735BE9"/>
    <w:rsid w:val="00735DAD"/>
    <w:rsid w:val="007362E5"/>
    <w:rsid w:val="00736435"/>
    <w:rsid w:val="007366ED"/>
    <w:rsid w:val="0073690F"/>
    <w:rsid w:val="00736C87"/>
    <w:rsid w:val="00736E6F"/>
    <w:rsid w:val="00736FAC"/>
    <w:rsid w:val="00737174"/>
    <w:rsid w:val="007376ED"/>
    <w:rsid w:val="00737724"/>
    <w:rsid w:val="00737A47"/>
    <w:rsid w:val="00737DDB"/>
    <w:rsid w:val="00737F69"/>
    <w:rsid w:val="00740072"/>
    <w:rsid w:val="007410C1"/>
    <w:rsid w:val="00741414"/>
    <w:rsid w:val="00741B6C"/>
    <w:rsid w:val="00741C33"/>
    <w:rsid w:val="00741D44"/>
    <w:rsid w:val="00742086"/>
    <w:rsid w:val="00742CBD"/>
    <w:rsid w:val="00742E2E"/>
    <w:rsid w:val="00742E42"/>
    <w:rsid w:val="00743030"/>
    <w:rsid w:val="00743B33"/>
    <w:rsid w:val="00743BAE"/>
    <w:rsid w:val="007442DF"/>
    <w:rsid w:val="00744CA5"/>
    <w:rsid w:val="007452AB"/>
    <w:rsid w:val="007453A2"/>
    <w:rsid w:val="00745A0C"/>
    <w:rsid w:val="00745BAE"/>
    <w:rsid w:val="00746159"/>
    <w:rsid w:val="00746287"/>
    <w:rsid w:val="007464C6"/>
    <w:rsid w:val="007469B3"/>
    <w:rsid w:val="0074713B"/>
    <w:rsid w:val="00747161"/>
    <w:rsid w:val="00747647"/>
    <w:rsid w:val="0074780A"/>
    <w:rsid w:val="007478FB"/>
    <w:rsid w:val="007479AD"/>
    <w:rsid w:val="00747A73"/>
    <w:rsid w:val="00747CE9"/>
    <w:rsid w:val="00747EF4"/>
    <w:rsid w:val="00750DB2"/>
    <w:rsid w:val="00750F4B"/>
    <w:rsid w:val="00751672"/>
    <w:rsid w:val="00751B1D"/>
    <w:rsid w:val="00752258"/>
    <w:rsid w:val="00753106"/>
    <w:rsid w:val="00753238"/>
    <w:rsid w:val="00753611"/>
    <w:rsid w:val="0075373D"/>
    <w:rsid w:val="00753BB7"/>
    <w:rsid w:val="00753CA0"/>
    <w:rsid w:val="00753EEE"/>
    <w:rsid w:val="00754234"/>
    <w:rsid w:val="0075462A"/>
    <w:rsid w:val="00754CA6"/>
    <w:rsid w:val="00755144"/>
    <w:rsid w:val="00755F32"/>
    <w:rsid w:val="007561DC"/>
    <w:rsid w:val="007565CE"/>
    <w:rsid w:val="00756AA6"/>
    <w:rsid w:val="0075760C"/>
    <w:rsid w:val="00757A97"/>
    <w:rsid w:val="0076073A"/>
    <w:rsid w:val="0076099E"/>
    <w:rsid w:val="007609DA"/>
    <w:rsid w:val="00760DE6"/>
    <w:rsid w:val="00761032"/>
    <w:rsid w:val="007610F3"/>
    <w:rsid w:val="00761133"/>
    <w:rsid w:val="00761560"/>
    <w:rsid w:val="0076163E"/>
    <w:rsid w:val="0076187B"/>
    <w:rsid w:val="00762287"/>
    <w:rsid w:val="00762CBC"/>
    <w:rsid w:val="00764221"/>
    <w:rsid w:val="00764274"/>
    <w:rsid w:val="0076460F"/>
    <w:rsid w:val="00764F5B"/>
    <w:rsid w:val="007652B8"/>
    <w:rsid w:val="00765331"/>
    <w:rsid w:val="00765CC9"/>
    <w:rsid w:val="0076672D"/>
    <w:rsid w:val="00767260"/>
    <w:rsid w:val="00767F1E"/>
    <w:rsid w:val="007700C1"/>
    <w:rsid w:val="0077036C"/>
    <w:rsid w:val="007706C3"/>
    <w:rsid w:val="00770D90"/>
    <w:rsid w:val="0077177C"/>
    <w:rsid w:val="00771D3E"/>
    <w:rsid w:val="007724AD"/>
    <w:rsid w:val="00772567"/>
    <w:rsid w:val="007725A8"/>
    <w:rsid w:val="007729D1"/>
    <w:rsid w:val="00772E21"/>
    <w:rsid w:val="00773AE6"/>
    <w:rsid w:val="00773E14"/>
    <w:rsid w:val="00774236"/>
    <w:rsid w:val="00774712"/>
    <w:rsid w:val="007747CD"/>
    <w:rsid w:val="00774DBC"/>
    <w:rsid w:val="00775AD7"/>
    <w:rsid w:val="00775BDB"/>
    <w:rsid w:val="00775FDF"/>
    <w:rsid w:val="007761EA"/>
    <w:rsid w:val="0077644F"/>
    <w:rsid w:val="007765F6"/>
    <w:rsid w:val="00776ADA"/>
    <w:rsid w:val="00776BF0"/>
    <w:rsid w:val="00777606"/>
    <w:rsid w:val="00777970"/>
    <w:rsid w:val="007779F7"/>
    <w:rsid w:val="007802E5"/>
    <w:rsid w:val="007810A3"/>
    <w:rsid w:val="0078146A"/>
    <w:rsid w:val="00781521"/>
    <w:rsid w:val="0078165C"/>
    <w:rsid w:val="007819A9"/>
    <w:rsid w:val="00781A5F"/>
    <w:rsid w:val="0078237B"/>
    <w:rsid w:val="007825CE"/>
    <w:rsid w:val="007825F7"/>
    <w:rsid w:val="00782927"/>
    <w:rsid w:val="00782A09"/>
    <w:rsid w:val="007834F6"/>
    <w:rsid w:val="007838FB"/>
    <w:rsid w:val="0078438B"/>
    <w:rsid w:val="00784486"/>
    <w:rsid w:val="007849A6"/>
    <w:rsid w:val="00784E4F"/>
    <w:rsid w:val="00785901"/>
    <w:rsid w:val="00785C94"/>
    <w:rsid w:val="00785C9F"/>
    <w:rsid w:val="00786469"/>
    <w:rsid w:val="0078658D"/>
    <w:rsid w:val="0078667F"/>
    <w:rsid w:val="007867AC"/>
    <w:rsid w:val="007871C6"/>
    <w:rsid w:val="00787D5B"/>
    <w:rsid w:val="007904A8"/>
    <w:rsid w:val="00790BCC"/>
    <w:rsid w:val="00791076"/>
    <w:rsid w:val="0079123A"/>
    <w:rsid w:val="0079162D"/>
    <w:rsid w:val="00792672"/>
    <w:rsid w:val="00792792"/>
    <w:rsid w:val="0079294B"/>
    <w:rsid w:val="00792DF2"/>
    <w:rsid w:val="00793359"/>
    <w:rsid w:val="0079429C"/>
    <w:rsid w:val="0079532A"/>
    <w:rsid w:val="00795BA3"/>
    <w:rsid w:val="00795DE4"/>
    <w:rsid w:val="00795ED5"/>
    <w:rsid w:val="00796773"/>
    <w:rsid w:val="00796CD2"/>
    <w:rsid w:val="0079708D"/>
    <w:rsid w:val="0079790F"/>
    <w:rsid w:val="00797F0C"/>
    <w:rsid w:val="007A0068"/>
    <w:rsid w:val="007A097D"/>
    <w:rsid w:val="007A1548"/>
    <w:rsid w:val="007A1842"/>
    <w:rsid w:val="007A193F"/>
    <w:rsid w:val="007A1EE2"/>
    <w:rsid w:val="007A255B"/>
    <w:rsid w:val="007A2590"/>
    <w:rsid w:val="007A28CE"/>
    <w:rsid w:val="007A2E1C"/>
    <w:rsid w:val="007A30B2"/>
    <w:rsid w:val="007A371B"/>
    <w:rsid w:val="007A4223"/>
    <w:rsid w:val="007A4231"/>
    <w:rsid w:val="007A599C"/>
    <w:rsid w:val="007A61DD"/>
    <w:rsid w:val="007A64CB"/>
    <w:rsid w:val="007A6952"/>
    <w:rsid w:val="007A6E21"/>
    <w:rsid w:val="007A702A"/>
    <w:rsid w:val="007A7859"/>
    <w:rsid w:val="007B073E"/>
    <w:rsid w:val="007B08E8"/>
    <w:rsid w:val="007B0AB8"/>
    <w:rsid w:val="007B0B96"/>
    <w:rsid w:val="007B1226"/>
    <w:rsid w:val="007B138D"/>
    <w:rsid w:val="007B165C"/>
    <w:rsid w:val="007B1F15"/>
    <w:rsid w:val="007B2783"/>
    <w:rsid w:val="007B2B80"/>
    <w:rsid w:val="007B2F4D"/>
    <w:rsid w:val="007B3132"/>
    <w:rsid w:val="007B31CC"/>
    <w:rsid w:val="007B3CED"/>
    <w:rsid w:val="007B44A7"/>
    <w:rsid w:val="007B4B28"/>
    <w:rsid w:val="007B4C59"/>
    <w:rsid w:val="007B4D5D"/>
    <w:rsid w:val="007B54C9"/>
    <w:rsid w:val="007B5ACB"/>
    <w:rsid w:val="007B6D73"/>
    <w:rsid w:val="007B7D9F"/>
    <w:rsid w:val="007C0414"/>
    <w:rsid w:val="007C0914"/>
    <w:rsid w:val="007C0AE8"/>
    <w:rsid w:val="007C0B6B"/>
    <w:rsid w:val="007C0E94"/>
    <w:rsid w:val="007C1391"/>
    <w:rsid w:val="007C15FC"/>
    <w:rsid w:val="007C185D"/>
    <w:rsid w:val="007C1880"/>
    <w:rsid w:val="007C19D6"/>
    <w:rsid w:val="007C1D68"/>
    <w:rsid w:val="007C1DA1"/>
    <w:rsid w:val="007C1E1D"/>
    <w:rsid w:val="007C248D"/>
    <w:rsid w:val="007C26DD"/>
    <w:rsid w:val="007C276C"/>
    <w:rsid w:val="007C278F"/>
    <w:rsid w:val="007C292D"/>
    <w:rsid w:val="007C2C76"/>
    <w:rsid w:val="007C2ED9"/>
    <w:rsid w:val="007C331C"/>
    <w:rsid w:val="007C3576"/>
    <w:rsid w:val="007C4231"/>
    <w:rsid w:val="007C44FC"/>
    <w:rsid w:val="007C45C3"/>
    <w:rsid w:val="007C491B"/>
    <w:rsid w:val="007C4EC8"/>
    <w:rsid w:val="007C51CF"/>
    <w:rsid w:val="007C5357"/>
    <w:rsid w:val="007C5A02"/>
    <w:rsid w:val="007C5A3D"/>
    <w:rsid w:val="007C6289"/>
    <w:rsid w:val="007C6707"/>
    <w:rsid w:val="007C73B6"/>
    <w:rsid w:val="007C7EA9"/>
    <w:rsid w:val="007C7FCE"/>
    <w:rsid w:val="007D00B9"/>
    <w:rsid w:val="007D074D"/>
    <w:rsid w:val="007D0D64"/>
    <w:rsid w:val="007D1F1E"/>
    <w:rsid w:val="007D398D"/>
    <w:rsid w:val="007D3EB4"/>
    <w:rsid w:val="007D3EBA"/>
    <w:rsid w:val="007D425A"/>
    <w:rsid w:val="007D4366"/>
    <w:rsid w:val="007D4E4E"/>
    <w:rsid w:val="007D5DC7"/>
    <w:rsid w:val="007D64CC"/>
    <w:rsid w:val="007D67AD"/>
    <w:rsid w:val="007D72C3"/>
    <w:rsid w:val="007D751F"/>
    <w:rsid w:val="007D75F2"/>
    <w:rsid w:val="007D79CC"/>
    <w:rsid w:val="007D7BF9"/>
    <w:rsid w:val="007E0B90"/>
    <w:rsid w:val="007E0EA4"/>
    <w:rsid w:val="007E0EE7"/>
    <w:rsid w:val="007E145F"/>
    <w:rsid w:val="007E26B5"/>
    <w:rsid w:val="007E2E68"/>
    <w:rsid w:val="007E3A61"/>
    <w:rsid w:val="007E438A"/>
    <w:rsid w:val="007E4537"/>
    <w:rsid w:val="007E4D65"/>
    <w:rsid w:val="007E4FC2"/>
    <w:rsid w:val="007E5049"/>
    <w:rsid w:val="007E507E"/>
    <w:rsid w:val="007E53CA"/>
    <w:rsid w:val="007E5847"/>
    <w:rsid w:val="007E5B34"/>
    <w:rsid w:val="007E5C9B"/>
    <w:rsid w:val="007E62D6"/>
    <w:rsid w:val="007E6D23"/>
    <w:rsid w:val="007E6EB7"/>
    <w:rsid w:val="007E7409"/>
    <w:rsid w:val="007E76F3"/>
    <w:rsid w:val="007E7855"/>
    <w:rsid w:val="007F06DF"/>
    <w:rsid w:val="007F0703"/>
    <w:rsid w:val="007F08A9"/>
    <w:rsid w:val="007F1840"/>
    <w:rsid w:val="007F1AEC"/>
    <w:rsid w:val="007F254C"/>
    <w:rsid w:val="007F2B9E"/>
    <w:rsid w:val="007F37B0"/>
    <w:rsid w:val="007F414E"/>
    <w:rsid w:val="007F44C0"/>
    <w:rsid w:val="007F482C"/>
    <w:rsid w:val="007F48A3"/>
    <w:rsid w:val="007F4AFE"/>
    <w:rsid w:val="007F4BA4"/>
    <w:rsid w:val="007F4F3B"/>
    <w:rsid w:val="007F52C5"/>
    <w:rsid w:val="007F5EA8"/>
    <w:rsid w:val="007F60FC"/>
    <w:rsid w:val="007F63D8"/>
    <w:rsid w:val="007F6FE0"/>
    <w:rsid w:val="007F7163"/>
    <w:rsid w:val="007F761B"/>
    <w:rsid w:val="007F7944"/>
    <w:rsid w:val="007F7C2C"/>
    <w:rsid w:val="007F7E71"/>
    <w:rsid w:val="00800135"/>
    <w:rsid w:val="008001A6"/>
    <w:rsid w:val="0080045A"/>
    <w:rsid w:val="00800959"/>
    <w:rsid w:val="00800F05"/>
    <w:rsid w:val="00800F8C"/>
    <w:rsid w:val="00801049"/>
    <w:rsid w:val="008015E1"/>
    <w:rsid w:val="008019CF"/>
    <w:rsid w:val="00801B8A"/>
    <w:rsid w:val="00801FA3"/>
    <w:rsid w:val="008028DF"/>
    <w:rsid w:val="00802D34"/>
    <w:rsid w:val="00802F9A"/>
    <w:rsid w:val="00804202"/>
    <w:rsid w:val="008051A6"/>
    <w:rsid w:val="00805452"/>
    <w:rsid w:val="008057A1"/>
    <w:rsid w:val="00805AD4"/>
    <w:rsid w:val="00805CEB"/>
    <w:rsid w:val="00805D4E"/>
    <w:rsid w:val="008060F2"/>
    <w:rsid w:val="008072A8"/>
    <w:rsid w:val="00807A9C"/>
    <w:rsid w:val="00807BA4"/>
    <w:rsid w:val="00807FF4"/>
    <w:rsid w:val="00810F3C"/>
    <w:rsid w:val="0081101B"/>
    <w:rsid w:val="0081149D"/>
    <w:rsid w:val="00812767"/>
    <w:rsid w:val="00812836"/>
    <w:rsid w:val="00812B4C"/>
    <w:rsid w:val="00812BD7"/>
    <w:rsid w:val="00813072"/>
    <w:rsid w:val="00814DBB"/>
    <w:rsid w:val="00815413"/>
    <w:rsid w:val="008154C3"/>
    <w:rsid w:val="00815687"/>
    <w:rsid w:val="00815EB1"/>
    <w:rsid w:val="00815FCA"/>
    <w:rsid w:val="008160FB"/>
    <w:rsid w:val="0081661A"/>
    <w:rsid w:val="008166E2"/>
    <w:rsid w:val="008167C9"/>
    <w:rsid w:val="008168D9"/>
    <w:rsid w:val="0081754C"/>
    <w:rsid w:val="00817890"/>
    <w:rsid w:val="00817A8A"/>
    <w:rsid w:val="00817CA8"/>
    <w:rsid w:val="00820220"/>
    <w:rsid w:val="0082064E"/>
    <w:rsid w:val="00820BEF"/>
    <w:rsid w:val="0082172C"/>
    <w:rsid w:val="00821E08"/>
    <w:rsid w:val="0082266F"/>
    <w:rsid w:val="00822A31"/>
    <w:rsid w:val="00823783"/>
    <w:rsid w:val="00823A9D"/>
    <w:rsid w:val="00823EDF"/>
    <w:rsid w:val="0082447D"/>
    <w:rsid w:val="0082453C"/>
    <w:rsid w:val="00824604"/>
    <w:rsid w:val="00824704"/>
    <w:rsid w:val="0082547D"/>
    <w:rsid w:val="00825490"/>
    <w:rsid w:val="008255E9"/>
    <w:rsid w:val="00825752"/>
    <w:rsid w:val="0082764B"/>
    <w:rsid w:val="00830556"/>
    <w:rsid w:val="00830590"/>
    <w:rsid w:val="00830B9F"/>
    <w:rsid w:val="00830F8E"/>
    <w:rsid w:val="008312B0"/>
    <w:rsid w:val="0083134A"/>
    <w:rsid w:val="00831456"/>
    <w:rsid w:val="008322F1"/>
    <w:rsid w:val="008329CC"/>
    <w:rsid w:val="00832AB4"/>
    <w:rsid w:val="00832FC0"/>
    <w:rsid w:val="00833357"/>
    <w:rsid w:val="00833449"/>
    <w:rsid w:val="008338EC"/>
    <w:rsid w:val="00833907"/>
    <w:rsid w:val="00833A8E"/>
    <w:rsid w:val="00834446"/>
    <w:rsid w:val="0083473E"/>
    <w:rsid w:val="00835069"/>
    <w:rsid w:val="00835145"/>
    <w:rsid w:val="00835179"/>
    <w:rsid w:val="0083550C"/>
    <w:rsid w:val="00835BA1"/>
    <w:rsid w:val="008361B2"/>
    <w:rsid w:val="00836260"/>
    <w:rsid w:val="00836399"/>
    <w:rsid w:val="00836457"/>
    <w:rsid w:val="0083681D"/>
    <w:rsid w:val="008368BB"/>
    <w:rsid w:val="0083779B"/>
    <w:rsid w:val="00837AB6"/>
    <w:rsid w:val="00837BDE"/>
    <w:rsid w:val="00837CCB"/>
    <w:rsid w:val="0084032E"/>
    <w:rsid w:val="00840A7C"/>
    <w:rsid w:val="00840A95"/>
    <w:rsid w:val="00841054"/>
    <w:rsid w:val="0084258C"/>
    <w:rsid w:val="00842715"/>
    <w:rsid w:val="008427E2"/>
    <w:rsid w:val="00842BEE"/>
    <w:rsid w:val="00842E05"/>
    <w:rsid w:val="00842E21"/>
    <w:rsid w:val="00843230"/>
    <w:rsid w:val="0084346F"/>
    <w:rsid w:val="00843B82"/>
    <w:rsid w:val="00843C69"/>
    <w:rsid w:val="0084421B"/>
    <w:rsid w:val="00844569"/>
    <w:rsid w:val="00844E81"/>
    <w:rsid w:val="0084501E"/>
    <w:rsid w:val="00845169"/>
    <w:rsid w:val="00845245"/>
    <w:rsid w:val="008455A6"/>
    <w:rsid w:val="008455FF"/>
    <w:rsid w:val="00845A8B"/>
    <w:rsid w:val="00845B0E"/>
    <w:rsid w:val="00846A55"/>
    <w:rsid w:val="0084702D"/>
    <w:rsid w:val="008471C1"/>
    <w:rsid w:val="00850933"/>
    <w:rsid w:val="00850C97"/>
    <w:rsid w:val="008513A9"/>
    <w:rsid w:val="00853237"/>
    <w:rsid w:val="00853EAA"/>
    <w:rsid w:val="00854221"/>
    <w:rsid w:val="00854CEB"/>
    <w:rsid w:val="00854FF1"/>
    <w:rsid w:val="00855C31"/>
    <w:rsid w:val="008565BF"/>
    <w:rsid w:val="008565E0"/>
    <w:rsid w:val="00856D3C"/>
    <w:rsid w:val="00856EC5"/>
    <w:rsid w:val="00857392"/>
    <w:rsid w:val="00857E4A"/>
    <w:rsid w:val="00857F8F"/>
    <w:rsid w:val="008601EC"/>
    <w:rsid w:val="00860288"/>
    <w:rsid w:val="00860358"/>
    <w:rsid w:val="00861165"/>
    <w:rsid w:val="008612F7"/>
    <w:rsid w:val="008613D0"/>
    <w:rsid w:val="008616EB"/>
    <w:rsid w:val="00861997"/>
    <w:rsid w:val="0086275F"/>
    <w:rsid w:val="008627CD"/>
    <w:rsid w:val="00862B84"/>
    <w:rsid w:val="00862BF6"/>
    <w:rsid w:val="00863376"/>
    <w:rsid w:val="008633AE"/>
    <w:rsid w:val="008636BB"/>
    <w:rsid w:val="00863790"/>
    <w:rsid w:val="008639F4"/>
    <w:rsid w:val="00863AEC"/>
    <w:rsid w:val="00863C9C"/>
    <w:rsid w:val="00864785"/>
    <w:rsid w:val="008648CD"/>
    <w:rsid w:val="0086531E"/>
    <w:rsid w:val="0086557B"/>
    <w:rsid w:val="008657C0"/>
    <w:rsid w:val="008657EA"/>
    <w:rsid w:val="008659FF"/>
    <w:rsid w:val="00865A6D"/>
    <w:rsid w:val="00865C3B"/>
    <w:rsid w:val="00865D97"/>
    <w:rsid w:val="00866484"/>
    <w:rsid w:val="00867188"/>
    <w:rsid w:val="00867435"/>
    <w:rsid w:val="00867723"/>
    <w:rsid w:val="00867971"/>
    <w:rsid w:val="008700C9"/>
    <w:rsid w:val="00870291"/>
    <w:rsid w:val="00870EB9"/>
    <w:rsid w:val="00870F5A"/>
    <w:rsid w:val="0087129C"/>
    <w:rsid w:val="008712FA"/>
    <w:rsid w:val="00871399"/>
    <w:rsid w:val="00871BEB"/>
    <w:rsid w:val="00871C13"/>
    <w:rsid w:val="00872156"/>
    <w:rsid w:val="00872D37"/>
    <w:rsid w:val="00872EB6"/>
    <w:rsid w:val="00873001"/>
    <w:rsid w:val="00873568"/>
    <w:rsid w:val="00873C2E"/>
    <w:rsid w:val="008746C5"/>
    <w:rsid w:val="00874A3E"/>
    <w:rsid w:val="008752FB"/>
    <w:rsid w:val="008753AA"/>
    <w:rsid w:val="00875C65"/>
    <w:rsid w:val="00875F52"/>
    <w:rsid w:val="008762A4"/>
    <w:rsid w:val="008765B0"/>
    <w:rsid w:val="008765D1"/>
    <w:rsid w:val="00876D3B"/>
    <w:rsid w:val="00876EC4"/>
    <w:rsid w:val="008777F4"/>
    <w:rsid w:val="00877BFE"/>
    <w:rsid w:val="00880153"/>
    <w:rsid w:val="008804CE"/>
    <w:rsid w:val="00880932"/>
    <w:rsid w:val="008819B1"/>
    <w:rsid w:val="00881B9E"/>
    <w:rsid w:val="00882768"/>
    <w:rsid w:val="00883008"/>
    <w:rsid w:val="0088300E"/>
    <w:rsid w:val="0088318D"/>
    <w:rsid w:val="008837F5"/>
    <w:rsid w:val="00883815"/>
    <w:rsid w:val="00883A8A"/>
    <w:rsid w:val="00883D46"/>
    <w:rsid w:val="00883D7F"/>
    <w:rsid w:val="00883ECE"/>
    <w:rsid w:val="00884068"/>
    <w:rsid w:val="0088499F"/>
    <w:rsid w:val="00884E99"/>
    <w:rsid w:val="00886F11"/>
    <w:rsid w:val="00886F35"/>
    <w:rsid w:val="0088713B"/>
    <w:rsid w:val="00887406"/>
    <w:rsid w:val="00887458"/>
    <w:rsid w:val="00887C49"/>
    <w:rsid w:val="00887D87"/>
    <w:rsid w:val="0089079B"/>
    <w:rsid w:val="00890A4C"/>
    <w:rsid w:val="00890F29"/>
    <w:rsid w:val="00891550"/>
    <w:rsid w:val="00891835"/>
    <w:rsid w:val="00891D45"/>
    <w:rsid w:val="00891E2F"/>
    <w:rsid w:val="008923C7"/>
    <w:rsid w:val="00892452"/>
    <w:rsid w:val="00892944"/>
    <w:rsid w:val="008929C6"/>
    <w:rsid w:val="00892C22"/>
    <w:rsid w:val="00893180"/>
    <w:rsid w:val="00893573"/>
    <w:rsid w:val="008935EB"/>
    <w:rsid w:val="00893E7A"/>
    <w:rsid w:val="00894029"/>
    <w:rsid w:val="00894CA4"/>
    <w:rsid w:val="0089517E"/>
    <w:rsid w:val="00895A1B"/>
    <w:rsid w:val="00895A9F"/>
    <w:rsid w:val="00896A4F"/>
    <w:rsid w:val="008975C4"/>
    <w:rsid w:val="00897CE0"/>
    <w:rsid w:val="008A0655"/>
    <w:rsid w:val="008A0953"/>
    <w:rsid w:val="008A102D"/>
    <w:rsid w:val="008A283C"/>
    <w:rsid w:val="008A2DD7"/>
    <w:rsid w:val="008A3350"/>
    <w:rsid w:val="008A337E"/>
    <w:rsid w:val="008A3637"/>
    <w:rsid w:val="008A3CD3"/>
    <w:rsid w:val="008A3E4C"/>
    <w:rsid w:val="008A431B"/>
    <w:rsid w:val="008A43E5"/>
    <w:rsid w:val="008A5219"/>
    <w:rsid w:val="008A57DF"/>
    <w:rsid w:val="008A5A78"/>
    <w:rsid w:val="008A65A3"/>
    <w:rsid w:val="008A673B"/>
    <w:rsid w:val="008A67AE"/>
    <w:rsid w:val="008A681C"/>
    <w:rsid w:val="008A6AB6"/>
    <w:rsid w:val="008A6B63"/>
    <w:rsid w:val="008A6E01"/>
    <w:rsid w:val="008A6E77"/>
    <w:rsid w:val="008A6F4C"/>
    <w:rsid w:val="008A704F"/>
    <w:rsid w:val="008A7362"/>
    <w:rsid w:val="008A7B6A"/>
    <w:rsid w:val="008A7CD0"/>
    <w:rsid w:val="008A7E35"/>
    <w:rsid w:val="008B0033"/>
    <w:rsid w:val="008B0581"/>
    <w:rsid w:val="008B088D"/>
    <w:rsid w:val="008B10F0"/>
    <w:rsid w:val="008B1D95"/>
    <w:rsid w:val="008B22C0"/>
    <w:rsid w:val="008B243A"/>
    <w:rsid w:val="008B25B4"/>
    <w:rsid w:val="008B2870"/>
    <w:rsid w:val="008B2ACD"/>
    <w:rsid w:val="008B2F38"/>
    <w:rsid w:val="008B31E4"/>
    <w:rsid w:val="008B354E"/>
    <w:rsid w:val="008B3C2C"/>
    <w:rsid w:val="008B3E27"/>
    <w:rsid w:val="008B43D0"/>
    <w:rsid w:val="008B581B"/>
    <w:rsid w:val="008B5AB9"/>
    <w:rsid w:val="008B6587"/>
    <w:rsid w:val="008B6611"/>
    <w:rsid w:val="008B70AE"/>
    <w:rsid w:val="008B71A7"/>
    <w:rsid w:val="008B747B"/>
    <w:rsid w:val="008B76E4"/>
    <w:rsid w:val="008B7CCF"/>
    <w:rsid w:val="008C063F"/>
    <w:rsid w:val="008C0640"/>
    <w:rsid w:val="008C099E"/>
    <w:rsid w:val="008C1101"/>
    <w:rsid w:val="008C13B0"/>
    <w:rsid w:val="008C1578"/>
    <w:rsid w:val="008C16B8"/>
    <w:rsid w:val="008C22C1"/>
    <w:rsid w:val="008C23DF"/>
    <w:rsid w:val="008C2902"/>
    <w:rsid w:val="008C31DC"/>
    <w:rsid w:val="008C330E"/>
    <w:rsid w:val="008C3CA0"/>
    <w:rsid w:val="008C3F0C"/>
    <w:rsid w:val="008C4FDC"/>
    <w:rsid w:val="008C5ABB"/>
    <w:rsid w:val="008C5ACF"/>
    <w:rsid w:val="008C6AE2"/>
    <w:rsid w:val="008C703A"/>
    <w:rsid w:val="008C7633"/>
    <w:rsid w:val="008C77D0"/>
    <w:rsid w:val="008D00FC"/>
    <w:rsid w:val="008D01C7"/>
    <w:rsid w:val="008D0916"/>
    <w:rsid w:val="008D0940"/>
    <w:rsid w:val="008D0C37"/>
    <w:rsid w:val="008D0D4E"/>
    <w:rsid w:val="008D0E4E"/>
    <w:rsid w:val="008D10F4"/>
    <w:rsid w:val="008D17D8"/>
    <w:rsid w:val="008D287C"/>
    <w:rsid w:val="008D2929"/>
    <w:rsid w:val="008D2E5F"/>
    <w:rsid w:val="008D2E7A"/>
    <w:rsid w:val="008D3142"/>
    <w:rsid w:val="008D31D1"/>
    <w:rsid w:val="008D32DF"/>
    <w:rsid w:val="008D3734"/>
    <w:rsid w:val="008D38D6"/>
    <w:rsid w:val="008D3B4B"/>
    <w:rsid w:val="008D3EB6"/>
    <w:rsid w:val="008D402D"/>
    <w:rsid w:val="008D411D"/>
    <w:rsid w:val="008D4169"/>
    <w:rsid w:val="008D443C"/>
    <w:rsid w:val="008D4E65"/>
    <w:rsid w:val="008D57F3"/>
    <w:rsid w:val="008D6821"/>
    <w:rsid w:val="008D73DA"/>
    <w:rsid w:val="008D7923"/>
    <w:rsid w:val="008E051D"/>
    <w:rsid w:val="008E07C0"/>
    <w:rsid w:val="008E0842"/>
    <w:rsid w:val="008E159E"/>
    <w:rsid w:val="008E1751"/>
    <w:rsid w:val="008E176E"/>
    <w:rsid w:val="008E1DF2"/>
    <w:rsid w:val="008E21EC"/>
    <w:rsid w:val="008E26D7"/>
    <w:rsid w:val="008E2BD8"/>
    <w:rsid w:val="008E340E"/>
    <w:rsid w:val="008E345F"/>
    <w:rsid w:val="008E354C"/>
    <w:rsid w:val="008E35FD"/>
    <w:rsid w:val="008E37B5"/>
    <w:rsid w:val="008E3A10"/>
    <w:rsid w:val="008E3CA1"/>
    <w:rsid w:val="008E3D09"/>
    <w:rsid w:val="008E4896"/>
    <w:rsid w:val="008E536F"/>
    <w:rsid w:val="008E5ABC"/>
    <w:rsid w:val="008E61EC"/>
    <w:rsid w:val="008E65FA"/>
    <w:rsid w:val="008E66EE"/>
    <w:rsid w:val="008E6AB3"/>
    <w:rsid w:val="008E6DA1"/>
    <w:rsid w:val="008E7481"/>
    <w:rsid w:val="008E7820"/>
    <w:rsid w:val="008E7FFB"/>
    <w:rsid w:val="008F127C"/>
    <w:rsid w:val="008F17CF"/>
    <w:rsid w:val="008F1B62"/>
    <w:rsid w:val="008F2105"/>
    <w:rsid w:val="008F25EF"/>
    <w:rsid w:val="008F2A35"/>
    <w:rsid w:val="008F2D62"/>
    <w:rsid w:val="008F3203"/>
    <w:rsid w:val="008F323A"/>
    <w:rsid w:val="008F3AB2"/>
    <w:rsid w:val="008F41C8"/>
    <w:rsid w:val="008F4544"/>
    <w:rsid w:val="008F4743"/>
    <w:rsid w:val="008F47D5"/>
    <w:rsid w:val="008F49C8"/>
    <w:rsid w:val="008F5031"/>
    <w:rsid w:val="008F50D7"/>
    <w:rsid w:val="008F512E"/>
    <w:rsid w:val="008F52B6"/>
    <w:rsid w:val="008F5D77"/>
    <w:rsid w:val="008F6273"/>
    <w:rsid w:val="008F6A9D"/>
    <w:rsid w:val="008F6AB2"/>
    <w:rsid w:val="008F6D08"/>
    <w:rsid w:val="008F6D4E"/>
    <w:rsid w:val="008F708C"/>
    <w:rsid w:val="008F7254"/>
    <w:rsid w:val="008F7762"/>
    <w:rsid w:val="008F7ABC"/>
    <w:rsid w:val="008F7DDC"/>
    <w:rsid w:val="008F7E31"/>
    <w:rsid w:val="008F7FA8"/>
    <w:rsid w:val="00900E7C"/>
    <w:rsid w:val="0090143B"/>
    <w:rsid w:val="00901811"/>
    <w:rsid w:val="00901D9C"/>
    <w:rsid w:val="009024BD"/>
    <w:rsid w:val="009033FA"/>
    <w:rsid w:val="009034AC"/>
    <w:rsid w:val="009042AD"/>
    <w:rsid w:val="009044AD"/>
    <w:rsid w:val="00904510"/>
    <w:rsid w:val="009047B4"/>
    <w:rsid w:val="00904A27"/>
    <w:rsid w:val="00904A7E"/>
    <w:rsid w:val="009052D1"/>
    <w:rsid w:val="009059B6"/>
    <w:rsid w:val="00905E4B"/>
    <w:rsid w:val="00906430"/>
    <w:rsid w:val="00906C44"/>
    <w:rsid w:val="00906EAB"/>
    <w:rsid w:val="009071FE"/>
    <w:rsid w:val="00907242"/>
    <w:rsid w:val="00907465"/>
    <w:rsid w:val="009076ED"/>
    <w:rsid w:val="00907C53"/>
    <w:rsid w:val="00907D28"/>
    <w:rsid w:val="00907FC1"/>
    <w:rsid w:val="009104AC"/>
    <w:rsid w:val="00910689"/>
    <w:rsid w:val="00910A55"/>
    <w:rsid w:val="00910F31"/>
    <w:rsid w:val="009111D5"/>
    <w:rsid w:val="00911675"/>
    <w:rsid w:val="0091181D"/>
    <w:rsid w:val="009119B3"/>
    <w:rsid w:val="00911AC8"/>
    <w:rsid w:val="00911E77"/>
    <w:rsid w:val="0091218F"/>
    <w:rsid w:val="00912CE1"/>
    <w:rsid w:val="00913562"/>
    <w:rsid w:val="00913816"/>
    <w:rsid w:val="00913979"/>
    <w:rsid w:val="009139AF"/>
    <w:rsid w:val="00913B4E"/>
    <w:rsid w:val="00913CAE"/>
    <w:rsid w:val="00914F33"/>
    <w:rsid w:val="00915204"/>
    <w:rsid w:val="00915248"/>
    <w:rsid w:val="00915323"/>
    <w:rsid w:val="00916FA9"/>
    <w:rsid w:val="00917138"/>
    <w:rsid w:val="00917467"/>
    <w:rsid w:val="0091757E"/>
    <w:rsid w:val="009179EE"/>
    <w:rsid w:val="00917C20"/>
    <w:rsid w:val="009205A1"/>
    <w:rsid w:val="00920EB3"/>
    <w:rsid w:val="00920F09"/>
    <w:rsid w:val="00921671"/>
    <w:rsid w:val="0092183C"/>
    <w:rsid w:val="00922641"/>
    <w:rsid w:val="009226DD"/>
    <w:rsid w:val="00923500"/>
    <w:rsid w:val="00923C8E"/>
    <w:rsid w:val="00923ED7"/>
    <w:rsid w:val="009240E4"/>
    <w:rsid w:val="009241AD"/>
    <w:rsid w:val="00924545"/>
    <w:rsid w:val="00924B3F"/>
    <w:rsid w:val="009255EE"/>
    <w:rsid w:val="00925C7E"/>
    <w:rsid w:val="009260C7"/>
    <w:rsid w:val="00926548"/>
    <w:rsid w:val="009268EA"/>
    <w:rsid w:val="009278F3"/>
    <w:rsid w:val="00927B2D"/>
    <w:rsid w:val="00930D5A"/>
    <w:rsid w:val="00930FF9"/>
    <w:rsid w:val="00931525"/>
    <w:rsid w:val="009317D4"/>
    <w:rsid w:val="00931836"/>
    <w:rsid w:val="00931DB2"/>
    <w:rsid w:val="00931FE4"/>
    <w:rsid w:val="009321E3"/>
    <w:rsid w:val="0093274D"/>
    <w:rsid w:val="00932901"/>
    <w:rsid w:val="00932A4D"/>
    <w:rsid w:val="00932AEC"/>
    <w:rsid w:val="009332E6"/>
    <w:rsid w:val="009334B3"/>
    <w:rsid w:val="00933B7C"/>
    <w:rsid w:val="00933DEA"/>
    <w:rsid w:val="00933EC2"/>
    <w:rsid w:val="00934124"/>
    <w:rsid w:val="0093417F"/>
    <w:rsid w:val="009343E8"/>
    <w:rsid w:val="009351FC"/>
    <w:rsid w:val="00935A2C"/>
    <w:rsid w:val="00935D02"/>
    <w:rsid w:val="00936181"/>
    <w:rsid w:val="009363E0"/>
    <w:rsid w:val="00936B18"/>
    <w:rsid w:val="009377EE"/>
    <w:rsid w:val="00937DA1"/>
    <w:rsid w:val="00937EF6"/>
    <w:rsid w:val="00940AD3"/>
    <w:rsid w:val="00941245"/>
    <w:rsid w:val="009416E5"/>
    <w:rsid w:val="00941A21"/>
    <w:rsid w:val="00941F09"/>
    <w:rsid w:val="009422E1"/>
    <w:rsid w:val="009427F5"/>
    <w:rsid w:val="00942D48"/>
    <w:rsid w:val="00942E12"/>
    <w:rsid w:val="00942EC5"/>
    <w:rsid w:val="00944E17"/>
    <w:rsid w:val="00945253"/>
    <w:rsid w:val="00945529"/>
    <w:rsid w:val="00946409"/>
    <w:rsid w:val="00946624"/>
    <w:rsid w:val="009468B3"/>
    <w:rsid w:val="00946F49"/>
    <w:rsid w:val="00947433"/>
    <w:rsid w:val="009477B2"/>
    <w:rsid w:val="009478AE"/>
    <w:rsid w:val="0095081A"/>
    <w:rsid w:val="00950FAA"/>
    <w:rsid w:val="0095189E"/>
    <w:rsid w:val="00952196"/>
    <w:rsid w:val="009525AC"/>
    <w:rsid w:val="00952F92"/>
    <w:rsid w:val="00953005"/>
    <w:rsid w:val="009531F0"/>
    <w:rsid w:val="00953433"/>
    <w:rsid w:val="00953866"/>
    <w:rsid w:val="00953883"/>
    <w:rsid w:val="009543FF"/>
    <w:rsid w:val="0095445F"/>
    <w:rsid w:val="00954503"/>
    <w:rsid w:val="00954D17"/>
    <w:rsid w:val="00954E7E"/>
    <w:rsid w:val="00955B96"/>
    <w:rsid w:val="00955CFC"/>
    <w:rsid w:val="0095618D"/>
    <w:rsid w:val="00956B12"/>
    <w:rsid w:val="00956DA7"/>
    <w:rsid w:val="00957274"/>
    <w:rsid w:val="009577F0"/>
    <w:rsid w:val="00957BA8"/>
    <w:rsid w:val="009602B8"/>
    <w:rsid w:val="0096050D"/>
    <w:rsid w:val="0096103F"/>
    <w:rsid w:val="0096110F"/>
    <w:rsid w:val="00961D41"/>
    <w:rsid w:val="00961E75"/>
    <w:rsid w:val="00962223"/>
    <w:rsid w:val="009623EF"/>
    <w:rsid w:val="00962484"/>
    <w:rsid w:val="0096250B"/>
    <w:rsid w:val="00962AC2"/>
    <w:rsid w:val="00963798"/>
    <w:rsid w:val="00963F69"/>
    <w:rsid w:val="009643B2"/>
    <w:rsid w:val="00964F2F"/>
    <w:rsid w:val="009650CD"/>
    <w:rsid w:val="00965336"/>
    <w:rsid w:val="00965AA5"/>
    <w:rsid w:val="00965E72"/>
    <w:rsid w:val="00965F60"/>
    <w:rsid w:val="00966224"/>
    <w:rsid w:val="009672F3"/>
    <w:rsid w:val="00967D71"/>
    <w:rsid w:val="009711A6"/>
    <w:rsid w:val="00971562"/>
    <w:rsid w:val="0097169E"/>
    <w:rsid w:val="00971A32"/>
    <w:rsid w:val="00971B01"/>
    <w:rsid w:val="00971B32"/>
    <w:rsid w:val="00972227"/>
    <w:rsid w:val="0097222B"/>
    <w:rsid w:val="0097265F"/>
    <w:rsid w:val="009730E7"/>
    <w:rsid w:val="00973D76"/>
    <w:rsid w:val="009743B4"/>
    <w:rsid w:val="009744B7"/>
    <w:rsid w:val="00974C2D"/>
    <w:rsid w:val="00974CD9"/>
    <w:rsid w:val="00974E2B"/>
    <w:rsid w:val="00975459"/>
    <w:rsid w:val="00975644"/>
    <w:rsid w:val="0097597A"/>
    <w:rsid w:val="009759B6"/>
    <w:rsid w:val="00975CBF"/>
    <w:rsid w:val="00975E54"/>
    <w:rsid w:val="0097634F"/>
    <w:rsid w:val="009768AA"/>
    <w:rsid w:val="00977AA0"/>
    <w:rsid w:val="00980246"/>
    <w:rsid w:val="009804C7"/>
    <w:rsid w:val="00981F58"/>
    <w:rsid w:val="00982527"/>
    <w:rsid w:val="00982C56"/>
    <w:rsid w:val="00984229"/>
    <w:rsid w:val="00984888"/>
    <w:rsid w:val="00984CD8"/>
    <w:rsid w:val="00985C48"/>
    <w:rsid w:val="0098604F"/>
    <w:rsid w:val="00986800"/>
    <w:rsid w:val="00986A3C"/>
    <w:rsid w:val="00986DB7"/>
    <w:rsid w:val="00986E0D"/>
    <w:rsid w:val="00987453"/>
    <w:rsid w:val="00987BF6"/>
    <w:rsid w:val="00990065"/>
    <w:rsid w:val="009906AF"/>
    <w:rsid w:val="009920EB"/>
    <w:rsid w:val="00992410"/>
    <w:rsid w:val="00992577"/>
    <w:rsid w:val="0099289C"/>
    <w:rsid w:val="00993307"/>
    <w:rsid w:val="00993789"/>
    <w:rsid w:val="0099399D"/>
    <w:rsid w:val="00993C05"/>
    <w:rsid w:val="00994432"/>
    <w:rsid w:val="00994A42"/>
    <w:rsid w:val="00994D41"/>
    <w:rsid w:val="00995648"/>
    <w:rsid w:val="009956D5"/>
    <w:rsid w:val="00995EBF"/>
    <w:rsid w:val="00995F44"/>
    <w:rsid w:val="009961D1"/>
    <w:rsid w:val="00996307"/>
    <w:rsid w:val="0099643A"/>
    <w:rsid w:val="00996E57"/>
    <w:rsid w:val="00996F2C"/>
    <w:rsid w:val="00997073"/>
    <w:rsid w:val="009977A8"/>
    <w:rsid w:val="009A0E2C"/>
    <w:rsid w:val="009A1230"/>
    <w:rsid w:val="009A1336"/>
    <w:rsid w:val="009A160B"/>
    <w:rsid w:val="009A1CE7"/>
    <w:rsid w:val="009A1E02"/>
    <w:rsid w:val="009A24A7"/>
    <w:rsid w:val="009A2F54"/>
    <w:rsid w:val="009A3789"/>
    <w:rsid w:val="009A37CC"/>
    <w:rsid w:val="009A3C70"/>
    <w:rsid w:val="009A3CCB"/>
    <w:rsid w:val="009A479C"/>
    <w:rsid w:val="009A544B"/>
    <w:rsid w:val="009A653E"/>
    <w:rsid w:val="009A6661"/>
    <w:rsid w:val="009A70AC"/>
    <w:rsid w:val="009A7A48"/>
    <w:rsid w:val="009B075F"/>
    <w:rsid w:val="009B0889"/>
    <w:rsid w:val="009B093B"/>
    <w:rsid w:val="009B0E2B"/>
    <w:rsid w:val="009B1607"/>
    <w:rsid w:val="009B1D06"/>
    <w:rsid w:val="009B1DA1"/>
    <w:rsid w:val="009B1F16"/>
    <w:rsid w:val="009B2CD9"/>
    <w:rsid w:val="009B3BFA"/>
    <w:rsid w:val="009B3F96"/>
    <w:rsid w:val="009B41F6"/>
    <w:rsid w:val="009B4A69"/>
    <w:rsid w:val="009B53F8"/>
    <w:rsid w:val="009B5587"/>
    <w:rsid w:val="009B56D6"/>
    <w:rsid w:val="009B594A"/>
    <w:rsid w:val="009B5964"/>
    <w:rsid w:val="009B59D6"/>
    <w:rsid w:val="009B649B"/>
    <w:rsid w:val="009B6522"/>
    <w:rsid w:val="009B6693"/>
    <w:rsid w:val="009B6B8C"/>
    <w:rsid w:val="009B7D12"/>
    <w:rsid w:val="009B7E39"/>
    <w:rsid w:val="009B7EBF"/>
    <w:rsid w:val="009B7F69"/>
    <w:rsid w:val="009C0617"/>
    <w:rsid w:val="009C091F"/>
    <w:rsid w:val="009C0F2F"/>
    <w:rsid w:val="009C1112"/>
    <w:rsid w:val="009C234E"/>
    <w:rsid w:val="009C2886"/>
    <w:rsid w:val="009C2E8C"/>
    <w:rsid w:val="009C2EEC"/>
    <w:rsid w:val="009C2F64"/>
    <w:rsid w:val="009C3489"/>
    <w:rsid w:val="009C364D"/>
    <w:rsid w:val="009C3BAF"/>
    <w:rsid w:val="009C3E5C"/>
    <w:rsid w:val="009C429A"/>
    <w:rsid w:val="009C469F"/>
    <w:rsid w:val="009C4A58"/>
    <w:rsid w:val="009C4D79"/>
    <w:rsid w:val="009C4DF6"/>
    <w:rsid w:val="009C5310"/>
    <w:rsid w:val="009C568F"/>
    <w:rsid w:val="009C5717"/>
    <w:rsid w:val="009C572B"/>
    <w:rsid w:val="009C6430"/>
    <w:rsid w:val="009C7DB7"/>
    <w:rsid w:val="009D073A"/>
    <w:rsid w:val="009D0E70"/>
    <w:rsid w:val="009D0F51"/>
    <w:rsid w:val="009D11D0"/>
    <w:rsid w:val="009D1382"/>
    <w:rsid w:val="009D163A"/>
    <w:rsid w:val="009D19DF"/>
    <w:rsid w:val="009D1B28"/>
    <w:rsid w:val="009D1DC0"/>
    <w:rsid w:val="009D1F21"/>
    <w:rsid w:val="009D305E"/>
    <w:rsid w:val="009D33C4"/>
    <w:rsid w:val="009D4392"/>
    <w:rsid w:val="009D4784"/>
    <w:rsid w:val="009D4F24"/>
    <w:rsid w:val="009D4F4B"/>
    <w:rsid w:val="009D51DB"/>
    <w:rsid w:val="009D5718"/>
    <w:rsid w:val="009D57C5"/>
    <w:rsid w:val="009D6C01"/>
    <w:rsid w:val="009D71A9"/>
    <w:rsid w:val="009E0207"/>
    <w:rsid w:val="009E137F"/>
    <w:rsid w:val="009E1717"/>
    <w:rsid w:val="009E1737"/>
    <w:rsid w:val="009E1F38"/>
    <w:rsid w:val="009E22C8"/>
    <w:rsid w:val="009E2537"/>
    <w:rsid w:val="009E26BA"/>
    <w:rsid w:val="009E2E0F"/>
    <w:rsid w:val="009E2E17"/>
    <w:rsid w:val="009E3052"/>
    <w:rsid w:val="009E38E5"/>
    <w:rsid w:val="009E3EDF"/>
    <w:rsid w:val="009E4189"/>
    <w:rsid w:val="009E41C0"/>
    <w:rsid w:val="009E4261"/>
    <w:rsid w:val="009E4561"/>
    <w:rsid w:val="009E492A"/>
    <w:rsid w:val="009E4A46"/>
    <w:rsid w:val="009E5246"/>
    <w:rsid w:val="009E57B6"/>
    <w:rsid w:val="009E605E"/>
    <w:rsid w:val="009E60DC"/>
    <w:rsid w:val="009E62BC"/>
    <w:rsid w:val="009E6B21"/>
    <w:rsid w:val="009E7AA2"/>
    <w:rsid w:val="009E7E3B"/>
    <w:rsid w:val="009E7F6E"/>
    <w:rsid w:val="009F019B"/>
    <w:rsid w:val="009F0336"/>
    <w:rsid w:val="009F0427"/>
    <w:rsid w:val="009F0538"/>
    <w:rsid w:val="009F0770"/>
    <w:rsid w:val="009F08EA"/>
    <w:rsid w:val="009F0F10"/>
    <w:rsid w:val="009F16BE"/>
    <w:rsid w:val="009F1EF6"/>
    <w:rsid w:val="009F21E7"/>
    <w:rsid w:val="009F222B"/>
    <w:rsid w:val="009F2D30"/>
    <w:rsid w:val="009F31F9"/>
    <w:rsid w:val="009F45B3"/>
    <w:rsid w:val="009F4657"/>
    <w:rsid w:val="009F47EE"/>
    <w:rsid w:val="009F511B"/>
    <w:rsid w:val="009F52F8"/>
    <w:rsid w:val="009F5AE6"/>
    <w:rsid w:val="009F63AD"/>
    <w:rsid w:val="009F65AA"/>
    <w:rsid w:val="009F6689"/>
    <w:rsid w:val="009F6CF0"/>
    <w:rsid w:val="009F6E1C"/>
    <w:rsid w:val="009F6F31"/>
    <w:rsid w:val="009F786D"/>
    <w:rsid w:val="009F7911"/>
    <w:rsid w:val="009F7914"/>
    <w:rsid w:val="009F7969"/>
    <w:rsid w:val="009F7975"/>
    <w:rsid w:val="009F7CBA"/>
    <w:rsid w:val="009F7E9D"/>
    <w:rsid w:val="00A000F7"/>
    <w:rsid w:val="00A0019D"/>
    <w:rsid w:val="00A01146"/>
    <w:rsid w:val="00A0186E"/>
    <w:rsid w:val="00A01A83"/>
    <w:rsid w:val="00A03400"/>
    <w:rsid w:val="00A03405"/>
    <w:rsid w:val="00A036B7"/>
    <w:rsid w:val="00A03D88"/>
    <w:rsid w:val="00A03F0B"/>
    <w:rsid w:val="00A04090"/>
    <w:rsid w:val="00A0419E"/>
    <w:rsid w:val="00A04598"/>
    <w:rsid w:val="00A048D3"/>
    <w:rsid w:val="00A04B28"/>
    <w:rsid w:val="00A04F28"/>
    <w:rsid w:val="00A0524F"/>
    <w:rsid w:val="00A05323"/>
    <w:rsid w:val="00A05844"/>
    <w:rsid w:val="00A063BA"/>
    <w:rsid w:val="00A06D84"/>
    <w:rsid w:val="00A074DA"/>
    <w:rsid w:val="00A07827"/>
    <w:rsid w:val="00A100EE"/>
    <w:rsid w:val="00A10853"/>
    <w:rsid w:val="00A10898"/>
    <w:rsid w:val="00A11081"/>
    <w:rsid w:val="00A1120D"/>
    <w:rsid w:val="00A11A79"/>
    <w:rsid w:val="00A11CF3"/>
    <w:rsid w:val="00A11FE5"/>
    <w:rsid w:val="00A1204E"/>
    <w:rsid w:val="00A121B0"/>
    <w:rsid w:val="00A123C0"/>
    <w:rsid w:val="00A1323D"/>
    <w:rsid w:val="00A13B27"/>
    <w:rsid w:val="00A1568B"/>
    <w:rsid w:val="00A15FF1"/>
    <w:rsid w:val="00A16714"/>
    <w:rsid w:val="00A16AD0"/>
    <w:rsid w:val="00A17306"/>
    <w:rsid w:val="00A1783B"/>
    <w:rsid w:val="00A2002E"/>
    <w:rsid w:val="00A20470"/>
    <w:rsid w:val="00A206FD"/>
    <w:rsid w:val="00A20FD7"/>
    <w:rsid w:val="00A210D9"/>
    <w:rsid w:val="00A214E3"/>
    <w:rsid w:val="00A21829"/>
    <w:rsid w:val="00A21D9A"/>
    <w:rsid w:val="00A22940"/>
    <w:rsid w:val="00A22950"/>
    <w:rsid w:val="00A229C8"/>
    <w:rsid w:val="00A2329B"/>
    <w:rsid w:val="00A233E0"/>
    <w:rsid w:val="00A2370B"/>
    <w:rsid w:val="00A2472D"/>
    <w:rsid w:val="00A26534"/>
    <w:rsid w:val="00A2659A"/>
    <w:rsid w:val="00A267C6"/>
    <w:rsid w:val="00A268E3"/>
    <w:rsid w:val="00A26A4F"/>
    <w:rsid w:val="00A26BEB"/>
    <w:rsid w:val="00A270A2"/>
    <w:rsid w:val="00A27391"/>
    <w:rsid w:val="00A27427"/>
    <w:rsid w:val="00A2768A"/>
    <w:rsid w:val="00A279AE"/>
    <w:rsid w:val="00A27C79"/>
    <w:rsid w:val="00A27EE9"/>
    <w:rsid w:val="00A307C0"/>
    <w:rsid w:val="00A311B3"/>
    <w:rsid w:val="00A324D6"/>
    <w:rsid w:val="00A32761"/>
    <w:rsid w:val="00A32F0E"/>
    <w:rsid w:val="00A33010"/>
    <w:rsid w:val="00A3321E"/>
    <w:rsid w:val="00A335F2"/>
    <w:rsid w:val="00A336DF"/>
    <w:rsid w:val="00A33A79"/>
    <w:rsid w:val="00A33D55"/>
    <w:rsid w:val="00A33EB4"/>
    <w:rsid w:val="00A344F3"/>
    <w:rsid w:val="00A35EA3"/>
    <w:rsid w:val="00A36126"/>
    <w:rsid w:val="00A3682E"/>
    <w:rsid w:val="00A36A24"/>
    <w:rsid w:val="00A36C2B"/>
    <w:rsid w:val="00A3790E"/>
    <w:rsid w:val="00A37D61"/>
    <w:rsid w:val="00A37FA7"/>
    <w:rsid w:val="00A40465"/>
    <w:rsid w:val="00A40718"/>
    <w:rsid w:val="00A40C28"/>
    <w:rsid w:val="00A40FC0"/>
    <w:rsid w:val="00A41195"/>
    <w:rsid w:val="00A41365"/>
    <w:rsid w:val="00A416CA"/>
    <w:rsid w:val="00A419C1"/>
    <w:rsid w:val="00A42BB1"/>
    <w:rsid w:val="00A42F8B"/>
    <w:rsid w:val="00A43B64"/>
    <w:rsid w:val="00A44449"/>
    <w:rsid w:val="00A4450C"/>
    <w:rsid w:val="00A448C2"/>
    <w:rsid w:val="00A44B6B"/>
    <w:rsid w:val="00A454F0"/>
    <w:rsid w:val="00A4563E"/>
    <w:rsid w:val="00A45D8F"/>
    <w:rsid w:val="00A46176"/>
    <w:rsid w:val="00A46521"/>
    <w:rsid w:val="00A467AE"/>
    <w:rsid w:val="00A46E29"/>
    <w:rsid w:val="00A46E5F"/>
    <w:rsid w:val="00A47390"/>
    <w:rsid w:val="00A47766"/>
    <w:rsid w:val="00A47F1C"/>
    <w:rsid w:val="00A50246"/>
    <w:rsid w:val="00A50CDF"/>
    <w:rsid w:val="00A50F1F"/>
    <w:rsid w:val="00A51A11"/>
    <w:rsid w:val="00A51D80"/>
    <w:rsid w:val="00A52266"/>
    <w:rsid w:val="00A53277"/>
    <w:rsid w:val="00A53382"/>
    <w:rsid w:val="00A53813"/>
    <w:rsid w:val="00A53932"/>
    <w:rsid w:val="00A53B77"/>
    <w:rsid w:val="00A542BE"/>
    <w:rsid w:val="00A5456A"/>
    <w:rsid w:val="00A54F9B"/>
    <w:rsid w:val="00A55B5C"/>
    <w:rsid w:val="00A55EA8"/>
    <w:rsid w:val="00A56122"/>
    <w:rsid w:val="00A561AC"/>
    <w:rsid w:val="00A57727"/>
    <w:rsid w:val="00A57842"/>
    <w:rsid w:val="00A57987"/>
    <w:rsid w:val="00A60164"/>
    <w:rsid w:val="00A6036B"/>
    <w:rsid w:val="00A61040"/>
    <w:rsid w:val="00A61A84"/>
    <w:rsid w:val="00A61C60"/>
    <w:rsid w:val="00A61C79"/>
    <w:rsid w:val="00A61CAC"/>
    <w:rsid w:val="00A61CD7"/>
    <w:rsid w:val="00A61E0F"/>
    <w:rsid w:val="00A61EDA"/>
    <w:rsid w:val="00A61F69"/>
    <w:rsid w:val="00A62A7F"/>
    <w:rsid w:val="00A63011"/>
    <w:rsid w:val="00A6307A"/>
    <w:rsid w:val="00A63A8C"/>
    <w:rsid w:val="00A63BEA"/>
    <w:rsid w:val="00A646E0"/>
    <w:rsid w:val="00A65757"/>
    <w:rsid w:val="00A65C40"/>
    <w:rsid w:val="00A660DC"/>
    <w:rsid w:val="00A6633D"/>
    <w:rsid w:val="00A66726"/>
    <w:rsid w:val="00A66BD4"/>
    <w:rsid w:val="00A67BEE"/>
    <w:rsid w:val="00A67C6A"/>
    <w:rsid w:val="00A70830"/>
    <w:rsid w:val="00A709A6"/>
    <w:rsid w:val="00A70E5D"/>
    <w:rsid w:val="00A70FC2"/>
    <w:rsid w:val="00A71339"/>
    <w:rsid w:val="00A71637"/>
    <w:rsid w:val="00A717D4"/>
    <w:rsid w:val="00A72031"/>
    <w:rsid w:val="00A72A13"/>
    <w:rsid w:val="00A73A57"/>
    <w:rsid w:val="00A7465D"/>
    <w:rsid w:val="00A74683"/>
    <w:rsid w:val="00A74E13"/>
    <w:rsid w:val="00A755D8"/>
    <w:rsid w:val="00A75A80"/>
    <w:rsid w:val="00A75DB0"/>
    <w:rsid w:val="00A764F2"/>
    <w:rsid w:val="00A76FEF"/>
    <w:rsid w:val="00A77188"/>
    <w:rsid w:val="00A774FF"/>
    <w:rsid w:val="00A775BE"/>
    <w:rsid w:val="00A778EE"/>
    <w:rsid w:val="00A77994"/>
    <w:rsid w:val="00A779BC"/>
    <w:rsid w:val="00A80267"/>
    <w:rsid w:val="00A804BA"/>
    <w:rsid w:val="00A80DCA"/>
    <w:rsid w:val="00A80EF6"/>
    <w:rsid w:val="00A8159E"/>
    <w:rsid w:val="00A815CD"/>
    <w:rsid w:val="00A8174F"/>
    <w:rsid w:val="00A824A6"/>
    <w:rsid w:val="00A82E9C"/>
    <w:rsid w:val="00A836BF"/>
    <w:rsid w:val="00A83B2E"/>
    <w:rsid w:val="00A83B4A"/>
    <w:rsid w:val="00A844BE"/>
    <w:rsid w:val="00A84518"/>
    <w:rsid w:val="00A848EE"/>
    <w:rsid w:val="00A8497F"/>
    <w:rsid w:val="00A84B87"/>
    <w:rsid w:val="00A85DBC"/>
    <w:rsid w:val="00A8600F"/>
    <w:rsid w:val="00A86065"/>
    <w:rsid w:val="00A86D04"/>
    <w:rsid w:val="00A874C7"/>
    <w:rsid w:val="00A87F33"/>
    <w:rsid w:val="00A90291"/>
    <w:rsid w:val="00A90538"/>
    <w:rsid w:val="00A906AC"/>
    <w:rsid w:val="00A908DD"/>
    <w:rsid w:val="00A9097A"/>
    <w:rsid w:val="00A90CDA"/>
    <w:rsid w:val="00A92A5D"/>
    <w:rsid w:val="00A92DDB"/>
    <w:rsid w:val="00A92E42"/>
    <w:rsid w:val="00A92F13"/>
    <w:rsid w:val="00A935C9"/>
    <w:rsid w:val="00A9396B"/>
    <w:rsid w:val="00A93C60"/>
    <w:rsid w:val="00A94317"/>
    <w:rsid w:val="00A9442D"/>
    <w:rsid w:val="00A9454A"/>
    <w:rsid w:val="00A94FC0"/>
    <w:rsid w:val="00A94FFD"/>
    <w:rsid w:val="00A95692"/>
    <w:rsid w:val="00A978E5"/>
    <w:rsid w:val="00A97A51"/>
    <w:rsid w:val="00A97D3F"/>
    <w:rsid w:val="00AA10CF"/>
    <w:rsid w:val="00AA14D2"/>
    <w:rsid w:val="00AA164E"/>
    <w:rsid w:val="00AA181B"/>
    <w:rsid w:val="00AA2144"/>
    <w:rsid w:val="00AA2309"/>
    <w:rsid w:val="00AA23D0"/>
    <w:rsid w:val="00AA24BF"/>
    <w:rsid w:val="00AA2595"/>
    <w:rsid w:val="00AA2F10"/>
    <w:rsid w:val="00AA3777"/>
    <w:rsid w:val="00AA41E3"/>
    <w:rsid w:val="00AA4909"/>
    <w:rsid w:val="00AA4E7D"/>
    <w:rsid w:val="00AA4EA3"/>
    <w:rsid w:val="00AA555F"/>
    <w:rsid w:val="00AA6B6E"/>
    <w:rsid w:val="00AA6D00"/>
    <w:rsid w:val="00AA7280"/>
    <w:rsid w:val="00AA740C"/>
    <w:rsid w:val="00AA7C77"/>
    <w:rsid w:val="00AA7E3D"/>
    <w:rsid w:val="00AB06AB"/>
    <w:rsid w:val="00AB09CC"/>
    <w:rsid w:val="00AB1649"/>
    <w:rsid w:val="00AB2838"/>
    <w:rsid w:val="00AB2893"/>
    <w:rsid w:val="00AB3025"/>
    <w:rsid w:val="00AB4218"/>
    <w:rsid w:val="00AB4D7C"/>
    <w:rsid w:val="00AB51FF"/>
    <w:rsid w:val="00AB614E"/>
    <w:rsid w:val="00AB6B98"/>
    <w:rsid w:val="00AB739E"/>
    <w:rsid w:val="00AB751A"/>
    <w:rsid w:val="00AB7C55"/>
    <w:rsid w:val="00AB7F89"/>
    <w:rsid w:val="00AC08C7"/>
    <w:rsid w:val="00AC18F6"/>
    <w:rsid w:val="00AC1A00"/>
    <w:rsid w:val="00AC1D67"/>
    <w:rsid w:val="00AC1F3C"/>
    <w:rsid w:val="00AC28D3"/>
    <w:rsid w:val="00AC2B6D"/>
    <w:rsid w:val="00AC30A5"/>
    <w:rsid w:val="00AC315C"/>
    <w:rsid w:val="00AC3373"/>
    <w:rsid w:val="00AC33D1"/>
    <w:rsid w:val="00AC3408"/>
    <w:rsid w:val="00AC3F19"/>
    <w:rsid w:val="00AC437D"/>
    <w:rsid w:val="00AC4640"/>
    <w:rsid w:val="00AC5A9F"/>
    <w:rsid w:val="00AC5D32"/>
    <w:rsid w:val="00AC5E42"/>
    <w:rsid w:val="00AC5F79"/>
    <w:rsid w:val="00AC6139"/>
    <w:rsid w:val="00AC6AD7"/>
    <w:rsid w:val="00AC6AD9"/>
    <w:rsid w:val="00AC6EF5"/>
    <w:rsid w:val="00AC73A5"/>
    <w:rsid w:val="00AC7778"/>
    <w:rsid w:val="00AC7C8E"/>
    <w:rsid w:val="00AD0355"/>
    <w:rsid w:val="00AD038A"/>
    <w:rsid w:val="00AD0448"/>
    <w:rsid w:val="00AD0D14"/>
    <w:rsid w:val="00AD1426"/>
    <w:rsid w:val="00AD1623"/>
    <w:rsid w:val="00AD1630"/>
    <w:rsid w:val="00AD1B47"/>
    <w:rsid w:val="00AD23DD"/>
    <w:rsid w:val="00AD25A0"/>
    <w:rsid w:val="00AD2DE7"/>
    <w:rsid w:val="00AD2E18"/>
    <w:rsid w:val="00AD31E1"/>
    <w:rsid w:val="00AD3CFE"/>
    <w:rsid w:val="00AD3D8F"/>
    <w:rsid w:val="00AD3E91"/>
    <w:rsid w:val="00AD4148"/>
    <w:rsid w:val="00AD4415"/>
    <w:rsid w:val="00AD489B"/>
    <w:rsid w:val="00AD4B4A"/>
    <w:rsid w:val="00AD4C39"/>
    <w:rsid w:val="00AD5407"/>
    <w:rsid w:val="00AD5676"/>
    <w:rsid w:val="00AD5AFA"/>
    <w:rsid w:val="00AD5CCC"/>
    <w:rsid w:val="00AD6EA1"/>
    <w:rsid w:val="00AD6F97"/>
    <w:rsid w:val="00AD7AAD"/>
    <w:rsid w:val="00AE0176"/>
    <w:rsid w:val="00AE0E06"/>
    <w:rsid w:val="00AE1989"/>
    <w:rsid w:val="00AE1DDE"/>
    <w:rsid w:val="00AE3219"/>
    <w:rsid w:val="00AE3A80"/>
    <w:rsid w:val="00AE3C09"/>
    <w:rsid w:val="00AE409F"/>
    <w:rsid w:val="00AE479D"/>
    <w:rsid w:val="00AE4A18"/>
    <w:rsid w:val="00AE4BCE"/>
    <w:rsid w:val="00AE4D1B"/>
    <w:rsid w:val="00AE4D73"/>
    <w:rsid w:val="00AE59E7"/>
    <w:rsid w:val="00AE659E"/>
    <w:rsid w:val="00AE6DEB"/>
    <w:rsid w:val="00AE6FD8"/>
    <w:rsid w:val="00AE76BA"/>
    <w:rsid w:val="00AE76EA"/>
    <w:rsid w:val="00AF04B2"/>
    <w:rsid w:val="00AF0516"/>
    <w:rsid w:val="00AF1205"/>
    <w:rsid w:val="00AF123C"/>
    <w:rsid w:val="00AF148C"/>
    <w:rsid w:val="00AF14EA"/>
    <w:rsid w:val="00AF1A22"/>
    <w:rsid w:val="00AF1C16"/>
    <w:rsid w:val="00AF2668"/>
    <w:rsid w:val="00AF397A"/>
    <w:rsid w:val="00AF4215"/>
    <w:rsid w:val="00AF42C6"/>
    <w:rsid w:val="00AF42FB"/>
    <w:rsid w:val="00AF4B3C"/>
    <w:rsid w:val="00AF4E6A"/>
    <w:rsid w:val="00AF4FD3"/>
    <w:rsid w:val="00AF55A3"/>
    <w:rsid w:val="00AF5ED1"/>
    <w:rsid w:val="00AF67D0"/>
    <w:rsid w:val="00AF6822"/>
    <w:rsid w:val="00AF6A5D"/>
    <w:rsid w:val="00AF6BE3"/>
    <w:rsid w:val="00AF796E"/>
    <w:rsid w:val="00AF7D64"/>
    <w:rsid w:val="00B000C0"/>
    <w:rsid w:val="00B00493"/>
    <w:rsid w:val="00B00528"/>
    <w:rsid w:val="00B00B0B"/>
    <w:rsid w:val="00B00F58"/>
    <w:rsid w:val="00B010D7"/>
    <w:rsid w:val="00B01176"/>
    <w:rsid w:val="00B01C43"/>
    <w:rsid w:val="00B023E7"/>
    <w:rsid w:val="00B0258D"/>
    <w:rsid w:val="00B025C3"/>
    <w:rsid w:val="00B026C0"/>
    <w:rsid w:val="00B026C4"/>
    <w:rsid w:val="00B02A0B"/>
    <w:rsid w:val="00B0407F"/>
    <w:rsid w:val="00B048F0"/>
    <w:rsid w:val="00B04D29"/>
    <w:rsid w:val="00B05377"/>
    <w:rsid w:val="00B05677"/>
    <w:rsid w:val="00B057B2"/>
    <w:rsid w:val="00B05A3C"/>
    <w:rsid w:val="00B05F81"/>
    <w:rsid w:val="00B06221"/>
    <w:rsid w:val="00B06323"/>
    <w:rsid w:val="00B065E1"/>
    <w:rsid w:val="00B06735"/>
    <w:rsid w:val="00B06AEF"/>
    <w:rsid w:val="00B06B8B"/>
    <w:rsid w:val="00B070A3"/>
    <w:rsid w:val="00B072A5"/>
    <w:rsid w:val="00B1021D"/>
    <w:rsid w:val="00B106E4"/>
    <w:rsid w:val="00B10D1A"/>
    <w:rsid w:val="00B11123"/>
    <w:rsid w:val="00B1126B"/>
    <w:rsid w:val="00B11C93"/>
    <w:rsid w:val="00B1218A"/>
    <w:rsid w:val="00B122D2"/>
    <w:rsid w:val="00B125EA"/>
    <w:rsid w:val="00B1295D"/>
    <w:rsid w:val="00B129D0"/>
    <w:rsid w:val="00B13099"/>
    <w:rsid w:val="00B136AF"/>
    <w:rsid w:val="00B13987"/>
    <w:rsid w:val="00B140F6"/>
    <w:rsid w:val="00B141EF"/>
    <w:rsid w:val="00B14849"/>
    <w:rsid w:val="00B1484E"/>
    <w:rsid w:val="00B15A9C"/>
    <w:rsid w:val="00B15C8F"/>
    <w:rsid w:val="00B1632B"/>
    <w:rsid w:val="00B16489"/>
    <w:rsid w:val="00B16C7E"/>
    <w:rsid w:val="00B17850"/>
    <w:rsid w:val="00B20315"/>
    <w:rsid w:val="00B2077F"/>
    <w:rsid w:val="00B207E8"/>
    <w:rsid w:val="00B20BE6"/>
    <w:rsid w:val="00B2166D"/>
    <w:rsid w:val="00B21E44"/>
    <w:rsid w:val="00B22F6A"/>
    <w:rsid w:val="00B233B7"/>
    <w:rsid w:val="00B24AEB"/>
    <w:rsid w:val="00B24BD6"/>
    <w:rsid w:val="00B24CEA"/>
    <w:rsid w:val="00B2545D"/>
    <w:rsid w:val="00B25569"/>
    <w:rsid w:val="00B25947"/>
    <w:rsid w:val="00B25DE2"/>
    <w:rsid w:val="00B26106"/>
    <w:rsid w:val="00B2610F"/>
    <w:rsid w:val="00B2631F"/>
    <w:rsid w:val="00B271B6"/>
    <w:rsid w:val="00B274B5"/>
    <w:rsid w:val="00B275B9"/>
    <w:rsid w:val="00B2768F"/>
    <w:rsid w:val="00B279BB"/>
    <w:rsid w:val="00B27B97"/>
    <w:rsid w:val="00B27CBA"/>
    <w:rsid w:val="00B303DA"/>
    <w:rsid w:val="00B306CF"/>
    <w:rsid w:val="00B3085B"/>
    <w:rsid w:val="00B30A8D"/>
    <w:rsid w:val="00B30C05"/>
    <w:rsid w:val="00B30C8E"/>
    <w:rsid w:val="00B3199F"/>
    <w:rsid w:val="00B31FF7"/>
    <w:rsid w:val="00B32F68"/>
    <w:rsid w:val="00B33964"/>
    <w:rsid w:val="00B33C7B"/>
    <w:rsid w:val="00B33D20"/>
    <w:rsid w:val="00B33EBF"/>
    <w:rsid w:val="00B33FBB"/>
    <w:rsid w:val="00B34224"/>
    <w:rsid w:val="00B3434C"/>
    <w:rsid w:val="00B34B95"/>
    <w:rsid w:val="00B34DD4"/>
    <w:rsid w:val="00B3507A"/>
    <w:rsid w:val="00B3531A"/>
    <w:rsid w:val="00B35336"/>
    <w:rsid w:val="00B3626E"/>
    <w:rsid w:val="00B36DCD"/>
    <w:rsid w:val="00B3715B"/>
    <w:rsid w:val="00B37169"/>
    <w:rsid w:val="00B37993"/>
    <w:rsid w:val="00B37CAA"/>
    <w:rsid w:val="00B37E7D"/>
    <w:rsid w:val="00B410BE"/>
    <w:rsid w:val="00B410D5"/>
    <w:rsid w:val="00B41856"/>
    <w:rsid w:val="00B41AA1"/>
    <w:rsid w:val="00B41C40"/>
    <w:rsid w:val="00B42A27"/>
    <w:rsid w:val="00B431D1"/>
    <w:rsid w:val="00B43442"/>
    <w:rsid w:val="00B43AAC"/>
    <w:rsid w:val="00B4468A"/>
    <w:rsid w:val="00B455DD"/>
    <w:rsid w:val="00B46718"/>
    <w:rsid w:val="00B46D60"/>
    <w:rsid w:val="00B46DE6"/>
    <w:rsid w:val="00B47D93"/>
    <w:rsid w:val="00B505CC"/>
    <w:rsid w:val="00B506D0"/>
    <w:rsid w:val="00B50B9C"/>
    <w:rsid w:val="00B50E42"/>
    <w:rsid w:val="00B514AB"/>
    <w:rsid w:val="00B515F7"/>
    <w:rsid w:val="00B528AE"/>
    <w:rsid w:val="00B53972"/>
    <w:rsid w:val="00B54607"/>
    <w:rsid w:val="00B54862"/>
    <w:rsid w:val="00B54880"/>
    <w:rsid w:val="00B55A82"/>
    <w:rsid w:val="00B55CA9"/>
    <w:rsid w:val="00B55F8D"/>
    <w:rsid w:val="00B56409"/>
    <w:rsid w:val="00B566E7"/>
    <w:rsid w:val="00B577C3"/>
    <w:rsid w:val="00B5785F"/>
    <w:rsid w:val="00B603FF"/>
    <w:rsid w:val="00B606A8"/>
    <w:rsid w:val="00B6146C"/>
    <w:rsid w:val="00B61757"/>
    <w:rsid w:val="00B61868"/>
    <w:rsid w:val="00B61E88"/>
    <w:rsid w:val="00B6201D"/>
    <w:rsid w:val="00B6269D"/>
    <w:rsid w:val="00B626F2"/>
    <w:rsid w:val="00B62B83"/>
    <w:rsid w:val="00B63007"/>
    <w:rsid w:val="00B63C07"/>
    <w:rsid w:val="00B64139"/>
    <w:rsid w:val="00B64A8F"/>
    <w:rsid w:val="00B64C12"/>
    <w:rsid w:val="00B654AD"/>
    <w:rsid w:val="00B658B3"/>
    <w:rsid w:val="00B6594E"/>
    <w:rsid w:val="00B65DA5"/>
    <w:rsid w:val="00B65DF6"/>
    <w:rsid w:val="00B667CA"/>
    <w:rsid w:val="00B66B72"/>
    <w:rsid w:val="00B66B85"/>
    <w:rsid w:val="00B670AC"/>
    <w:rsid w:val="00B67170"/>
    <w:rsid w:val="00B674E9"/>
    <w:rsid w:val="00B676AF"/>
    <w:rsid w:val="00B67832"/>
    <w:rsid w:val="00B679D4"/>
    <w:rsid w:val="00B67D56"/>
    <w:rsid w:val="00B7094E"/>
    <w:rsid w:val="00B70CF2"/>
    <w:rsid w:val="00B70DAF"/>
    <w:rsid w:val="00B71F5D"/>
    <w:rsid w:val="00B72530"/>
    <w:rsid w:val="00B7253A"/>
    <w:rsid w:val="00B72A19"/>
    <w:rsid w:val="00B72D7A"/>
    <w:rsid w:val="00B72DA4"/>
    <w:rsid w:val="00B72E1C"/>
    <w:rsid w:val="00B7306F"/>
    <w:rsid w:val="00B73779"/>
    <w:rsid w:val="00B73FEE"/>
    <w:rsid w:val="00B73FF0"/>
    <w:rsid w:val="00B74D0A"/>
    <w:rsid w:val="00B74DD0"/>
    <w:rsid w:val="00B75425"/>
    <w:rsid w:val="00B755B3"/>
    <w:rsid w:val="00B75D43"/>
    <w:rsid w:val="00B76FA5"/>
    <w:rsid w:val="00B76FEE"/>
    <w:rsid w:val="00B77013"/>
    <w:rsid w:val="00B771AD"/>
    <w:rsid w:val="00B77215"/>
    <w:rsid w:val="00B7765F"/>
    <w:rsid w:val="00B7783F"/>
    <w:rsid w:val="00B807B9"/>
    <w:rsid w:val="00B809FD"/>
    <w:rsid w:val="00B80CCB"/>
    <w:rsid w:val="00B80FCA"/>
    <w:rsid w:val="00B8137F"/>
    <w:rsid w:val="00B81562"/>
    <w:rsid w:val="00B81799"/>
    <w:rsid w:val="00B81889"/>
    <w:rsid w:val="00B81AEA"/>
    <w:rsid w:val="00B81FA3"/>
    <w:rsid w:val="00B8282F"/>
    <w:rsid w:val="00B828F6"/>
    <w:rsid w:val="00B82C47"/>
    <w:rsid w:val="00B8360A"/>
    <w:rsid w:val="00B840B2"/>
    <w:rsid w:val="00B8460A"/>
    <w:rsid w:val="00B84921"/>
    <w:rsid w:val="00B84AB9"/>
    <w:rsid w:val="00B84D06"/>
    <w:rsid w:val="00B850AE"/>
    <w:rsid w:val="00B850DF"/>
    <w:rsid w:val="00B8562B"/>
    <w:rsid w:val="00B85C9B"/>
    <w:rsid w:val="00B8647D"/>
    <w:rsid w:val="00B86F7F"/>
    <w:rsid w:val="00B86FB3"/>
    <w:rsid w:val="00B8711C"/>
    <w:rsid w:val="00B872BE"/>
    <w:rsid w:val="00B87568"/>
    <w:rsid w:val="00B878DD"/>
    <w:rsid w:val="00B87B79"/>
    <w:rsid w:val="00B87BC8"/>
    <w:rsid w:val="00B90224"/>
    <w:rsid w:val="00B90337"/>
    <w:rsid w:val="00B90779"/>
    <w:rsid w:val="00B90CD6"/>
    <w:rsid w:val="00B90F4B"/>
    <w:rsid w:val="00B91531"/>
    <w:rsid w:val="00B92049"/>
    <w:rsid w:val="00B934BA"/>
    <w:rsid w:val="00B937F7"/>
    <w:rsid w:val="00B93F30"/>
    <w:rsid w:val="00B943BE"/>
    <w:rsid w:val="00B94621"/>
    <w:rsid w:val="00B950CC"/>
    <w:rsid w:val="00B95830"/>
    <w:rsid w:val="00B9594E"/>
    <w:rsid w:val="00B95F9C"/>
    <w:rsid w:val="00B96082"/>
    <w:rsid w:val="00B967A5"/>
    <w:rsid w:val="00B9705C"/>
    <w:rsid w:val="00B971A2"/>
    <w:rsid w:val="00B9744E"/>
    <w:rsid w:val="00B979C3"/>
    <w:rsid w:val="00B979F1"/>
    <w:rsid w:val="00B97D95"/>
    <w:rsid w:val="00BA013F"/>
    <w:rsid w:val="00BA040B"/>
    <w:rsid w:val="00BA0512"/>
    <w:rsid w:val="00BA09B8"/>
    <w:rsid w:val="00BA1B86"/>
    <w:rsid w:val="00BA1E04"/>
    <w:rsid w:val="00BA29FA"/>
    <w:rsid w:val="00BA31B7"/>
    <w:rsid w:val="00BA3F44"/>
    <w:rsid w:val="00BA4839"/>
    <w:rsid w:val="00BA4B5B"/>
    <w:rsid w:val="00BA4CE5"/>
    <w:rsid w:val="00BA4F9E"/>
    <w:rsid w:val="00BA558E"/>
    <w:rsid w:val="00BA5B80"/>
    <w:rsid w:val="00BA5CC5"/>
    <w:rsid w:val="00BA6440"/>
    <w:rsid w:val="00BA6500"/>
    <w:rsid w:val="00BA6851"/>
    <w:rsid w:val="00BA7234"/>
    <w:rsid w:val="00BB0A8A"/>
    <w:rsid w:val="00BB0C17"/>
    <w:rsid w:val="00BB15DF"/>
    <w:rsid w:val="00BB17B6"/>
    <w:rsid w:val="00BB1922"/>
    <w:rsid w:val="00BB1F11"/>
    <w:rsid w:val="00BB2762"/>
    <w:rsid w:val="00BB2961"/>
    <w:rsid w:val="00BB296B"/>
    <w:rsid w:val="00BB2AF5"/>
    <w:rsid w:val="00BB3129"/>
    <w:rsid w:val="00BB3850"/>
    <w:rsid w:val="00BB3B2B"/>
    <w:rsid w:val="00BB3C9C"/>
    <w:rsid w:val="00BB3E7C"/>
    <w:rsid w:val="00BB41F3"/>
    <w:rsid w:val="00BB4988"/>
    <w:rsid w:val="00BB55D4"/>
    <w:rsid w:val="00BB5DE6"/>
    <w:rsid w:val="00BB628C"/>
    <w:rsid w:val="00BB660D"/>
    <w:rsid w:val="00BB66D7"/>
    <w:rsid w:val="00BB7133"/>
    <w:rsid w:val="00BB7574"/>
    <w:rsid w:val="00BB76C0"/>
    <w:rsid w:val="00BB78BC"/>
    <w:rsid w:val="00BC0603"/>
    <w:rsid w:val="00BC0662"/>
    <w:rsid w:val="00BC1F5B"/>
    <w:rsid w:val="00BC29D7"/>
    <w:rsid w:val="00BC31C5"/>
    <w:rsid w:val="00BC32A0"/>
    <w:rsid w:val="00BC3345"/>
    <w:rsid w:val="00BC33EB"/>
    <w:rsid w:val="00BC3677"/>
    <w:rsid w:val="00BC3678"/>
    <w:rsid w:val="00BC42EA"/>
    <w:rsid w:val="00BC5145"/>
    <w:rsid w:val="00BC51FC"/>
    <w:rsid w:val="00BC5B89"/>
    <w:rsid w:val="00BC6122"/>
    <w:rsid w:val="00BC6F43"/>
    <w:rsid w:val="00BC7118"/>
    <w:rsid w:val="00BC799A"/>
    <w:rsid w:val="00BC7E61"/>
    <w:rsid w:val="00BD08ED"/>
    <w:rsid w:val="00BD15A1"/>
    <w:rsid w:val="00BD16AD"/>
    <w:rsid w:val="00BD1B91"/>
    <w:rsid w:val="00BD2983"/>
    <w:rsid w:val="00BD2BA7"/>
    <w:rsid w:val="00BD34C8"/>
    <w:rsid w:val="00BD3C46"/>
    <w:rsid w:val="00BD3D05"/>
    <w:rsid w:val="00BD444E"/>
    <w:rsid w:val="00BD48CA"/>
    <w:rsid w:val="00BD4A10"/>
    <w:rsid w:val="00BD4CCC"/>
    <w:rsid w:val="00BD4F24"/>
    <w:rsid w:val="00BD559F"/>
    <w:rsid w:val="00BD59F0"/>
    <w:rsid w:val="00BD5A34"/>
    <w:rsid w:val="00BD5C2C"/>
    <w:rsid w:val="00BD5EC9"/>
    <w:rsid w:val="00BD6307"/>
    <w:rsid w:val="00BD6986"/>
    <w:rsid w:val="00BD69A8"/>
    <w:rsid w:val="00BD6CC2"/>
    <w:rsid w:val="00BD6D71"/>
    <w:rsid w:val="00BD7346"/>
    <w:rsid w:val="00BE02AA"/>
    <w:rsid w:val="00BE07E7"/>
    <w:rsid w:val="00BE0A46"/>
    <w:rsid w:val="00BE0C61"/>
    <w:rsid w:val="00BE1B19"/>
    <w:rsid w:val="00BE2049"/>
    <w:rsid w:val="00BE2374"/>
    <w:rsid w:val="00BE2C33"/>
    <w:rsid w:val="00BE2D14"/>
    <w:rsid w:val="00BE2F7B"/>
    <w:rsid w:val="00BE359F"/>
    <w:rsid w:val="00BE36E8"/>
    <w:rsid w:val="00BE4311"/>
    <w:rsid w:val="00BE43DD"/>
    <w:rsid w:val="00BE4AC0"/>
    <w:rsid w:val="00BE4B82"/>
    <w:rsid w:val="00BE50D5"/>
    <w:rsid w:val="00BE5847"/>
    <w:rsid w:val="00BE6885"/>
    <w:rsid w:val="00BE74A1"/>
    <w:rsid w:val="00BF0498"/>
    <w:rsid w:val="00BF0741"/>
    <w:rsid w:val="00BF0953"/>
    <w:rsid w:val="00BF0AA1"/>
    <w:rsid w:val="00BF0C73"/>
    <w:rsid w:val="00BF0FC4"/>
    <w:rsid w:val="00BF17C6"/>
    <w:rsid w:val="00BF193F"/>
    <w:rsid w:val="00BF2136"/>
    <w:rsid w:val="00BF22AF"/>
    <w:rsid w:val="00BF293D"/>
    <w:rsid w:val="00BF3BEE"/>
    <w:rsid w:val="00BF3DE1"/>
    <w:rsid w:val="00BF43D6"/>
    <w:rsid w:val="00BF4458"/>
    <w:rsid w:val="00BF4610"/>
    <w:rsid w:val="00BF49B6"/>
    <w:rsid w:val="00BF5128"/>
    <w:rsid w:val="00BF5860"/>
    <w:rsid w:val="00BF5C13"/>
    <w:rsid w:val="00BF6ABB"/>
    <w:rsid w:val="00BF7027"/>
    <w:rsid w:val="00BF7C30"/>
    <w:rsid w:val="00BF7D32"/>
    <w:rsid w:val="00C0035D"/>
    <w:rsid w:val="00C00911"/>
    <w:rsid w:val="00C00C29"/>
    <w:rsid w:val="00C00CE5"/>
    <w:rsid w:val="00C011F4"/>
    <w:rsid w:val="00C01582"/>
    <w:rsid w:val="00C01B67"/>
    <w:rsid w:val="00C01D00"/>
    <w:rsid w:val="00C025FA"/>
    <w:rsid w:val="00C026D4"/>
    <w:rsid w:val="00C02EAF"/>
    <w:rsid w:val="00C0348C"/>
    <w:rsid w:val="00C034A6"/>
    <w:rsid w:val="00C03C38"/>
    <w:rsid w:val="00C03C8F"/>
    <w:rsid w:val="00C03C98"/>
    <w:rsid w:val="00C04395"/>
    <w:rsid w:val="00C0491D"/>
    <w:rsid w:val="00C05273"/>
    <w:rsid w:val="00C05F65"/>
    <w:rsid w:val="00C06660"/>
    <w:rsid w:val="00C07289"/>
    <w:rsid w:val="00C0778F"/>
    <w:rsid w:val="00C07EFC"/>
    <w:rsid w:val="00C101BC"/>
    <w:rsid w:val="00C10615"/>
    <w:rsid w:val="00C112E9"/>
    <w:rsid w:val="00C1153D"/>
    <w:rsid w:val="00C123DD"/>
    <w:rsid w:val="00C13279"/>
    <w:rsid w:val="00C134D6"/>
    <w:rsid w:val="00C13551"/>
    <w:rsid w:val="00C137F8"/>
    <w:rsid w:val="00C13E8A"/>
    <w:rsid w:val="00C141BF"/>
    <w:rsid w:val="00C14F31"/>
    <w:rsid w:val="00C16070"/>
    <w:rsid w:val="00C16243"/>
    <w:rsid w:val="00C167A4"/>
    <w:rsid w:val="00C16CD1"/>
    <w:rsid w:val="00C170CA"/>
    <w:rsid w:val="00C17353"/>
    <w:rsid w:val="00C17A19"/>
    <w:rsid w:val="00C2050B"/>
    <w:rsid w:val="00C2051A"/>
    <w:rsid w:val="00C20780"/>
    <w:rsid w:val="00C20832"/>
    <w:rsid w:val="00C2100A"/>
    <w:rsid w:val="00C212B1"/>
    <w:rsid w:val="00C21BD6"/>
    <w:rsid w:val="00C21DA5"/>
    <w:rsid w:val="00C2287B"/>
    <w:rsid w:val="00C230A7"/>
    <w:rsid w:val="00C23229"/>
    <w:rsid w:val="00C23B74"/>
    <w:rsid w:val="00C23B9A"/>
    <w:rsid w:val="00C23C48"/>
    <w:rsid w:val="00C23EC2"/>
    <w:rsid w:val="00C24394"/>
    <w:rsid w:val="00C24812"/>
    <w:rsid w:val="00C2496E"/>
    <w:rsid w:val="00C24E85"/>
    <w:rsid w:val="00C25C36"/>
    <w:rsid w:val="00C25CCA"/>
    <w:rsid w:val="00C25FAF"/>
    <w:rsid w:val="00C266A4"/>
    <w:rsid w:val="00C270D7"/>
    <w:rsid w:val="00C27137"/>
    <w:rsid w:val="00C27564"/>
    <w:rsid w:val="00C301F0"/>
    <w:rsid w:val="00C30C8F"/>
    <w:rsid w:val="00C30D2B"/>
    <w:rsid w:val="00C318CA"/>
    <w:rsid w:val="00C31D8E"/>
    <w:rsid w:val="00C31E6F"/>
    <w:rsid w:val="00C325CB"/>
    <w:rsid w:val="00C328C2"/>
    <w:rsid w:val="00C32A66"/>
    <w:rsid w:val="00C33105"/>
    <w:rsid w:val="00C33CC1"/>
    <w:rsid w:val="00C33E5A"/>
    <w:rsid w:val="00C33FD7"/>
    <w:rsid w:val="00C3426A"/>
    <w:rsid w:val="00C34332"/>
    <w:rsid w:val="00C34689"/>
    <w:rsid w:val="00C3497F"/>
    <w:rsid w:val="00C34A6D"/>
    <w:rsid w:val="00C34C85"/>
    <w:rsid w:val="00C35AE5"/>
    <w:rsid w:val="00C35D78"/>
    <w:rsid w:val="00C3642C"/>
    <w:rsid w:val="00C3697A"/>
    <w:rsid w:val="00C36CAA"/>
    <w:rsid w:val="00C3749E"/>
    <w:rsid w:val="00C3790D"/>
    <w:rsid w:val="00C37B3C"/>
    <w:rsid w:val="00C37BA1"/>
    <w:rsid w:val="00C37F52"/>
    <w:rsid w:val="00C402EF"/>
    <w:rsid w:val="00C404FD"/>
    <w:rsid w:val="00C409D4"/>
    <w:rsid w:val="00C40FF2"/>
    <w:rsid w:val="00C41230"/>
    <w:rsid w:val="00C4147B"/>
    <w:rsid w:val="00C415C8"/>
    <w:rsid w:val="00C41601"/>
    <w:rsid w:val="00C41D22"/>
    <w:rsid w:val="00C438F5"/>
    <w:rsid w:val="00C43A50"/>
    <w:rsid w:val="00C43FA1"/>
    <w:rsid w:val="00C44144"/>
    <w:rsid w:val="00C4499B"/>
    <w:rsid w:val="00C4499F"/>
    <w:rsid w:val="00C44C9E"/>
    <w:rsid w:val="00C44CC6"/>
    <w:rsid w:val="00C44D28"/>
    <w:rsid w:val="00C455F5"/>
    <w:rsid w:val="00C45BD9"/>
    <w:rsid w:val="00C45C38"/>
    <w:rsid w:val="00C46436"/>
    <w:rsid w:val="00C46C30"/>
    <w:rsid w:val="00C46D5D"/>
    <w:rsid w:val="00C47493"/>
    <w:rsid w:val="00C47623"/>
    <w:rsid w:val="00C47852"/>
    <w:rsid w:val="00C47BB1"/>
    <w:rsid w:val="00C50175"/>
    <w:rsid w:val="00C50339"/>
    <w:rsid w:val="00C50944"/>
    <w:rsid w:val="00C50C67"/>
    <w:rsid w:val="00C51048"/>
    <w:rsid w:val="00C5237C"/>
    <w:rsid w:val="00C531C2"/>
    <w:rsid w:val="00C53D34"/>
    <w:rsid w:val="00C53F2A"/>
    <w:rsid w:val="00C54494"/>
    <w:rsid w:val="00C54A2E"/>
    <w:rsid w:val="00C5524B"/>
    <w:rsid w:val="00C5577C"/>
    <w:rsid w:val="00C55AB5"/>
    <w:rsid w:val="00C55C93"/>
    <w:rsid w:val="00C55FA2"/>
    <w:rsid w:val="00C560CB"/>
    <w:rsid w:val="00C56859"/>
    <w:rsid w:val="00C57958"/>
    <w:rsid w:val="00C60E05"/>
    <w:rsid w:val="00C61251"/>
    <w:rsid w:val="00C61DD9"/>
    <w:rsid w:val="00C626AE"/>
    <w:rsid w:val="00C62E45"/>
    <w:rsid w:val="00C6322C"/>
    <w:rsid w:val="00C635ED"/>
    <w:rsid w:val="00C63B36"/>
    <w:rsid w:val="00C64400"/>
    <w:rsid w:val="00C65190"/>
    <w:rsid w:val="00C6557A"/>
    <w:rsid w:val="00C6564D"/>
    <w:rsid w:val="00C65FBE"/>
    <w:rsid w:val="00C660DD"/>
    <w:rsid w:val="00C665C9"/>
    <w:rsid w:val="00C66780"/>
    <w:rsid w:val="00C66921"/>
    <w:rsid w:val="00C66C7E"/>
    <w:rsid w:val="00C6726A"/>
    <w:rsid w:val="00C67A48"/>
    <w:rsid w:val="00C707D1"/>
    <w:rsid w:val="00C70BDC"/>
    <w:rsid w:val="00C712EF"/>
    <w:rsid w:val="00C71753"/>
    <w:rsid w:val="00C71F6B"/>
    <w:rsid w:val="00C71FAC"/>
    <w:rsid w:val="00C72202"/>
    <w:rsid w:val="00C723B7"/>
    <w:rsid w:val="00C72709"/>
    <w:rsid w:val="00C74319"/>
    <w:rsid w:val="00C7523A"/>
    <w:rsid w:val="00C7537F"/>
    <w:rsid w:val="00C753CB"/>
    <w:rsid w:val="00C75C2B"/>
    <w:rsid w:val="00C75DA2"/>
    <w:rsid w:val="00C770BE"/>
    <w:rsid w:val="00C771F3"/>
    <w:rsid w:val="00C7758B"/>
    <w:rsid w:val="00C776BD"/>
    <w:rsid w:val="00C778B7"/>
    <w:rsid w:val="00C7798E"/>
    <w:rsid w:val="00C77D03"/>
    <w:rsid w:val="00C77E86"/>
    <w:rsid w:val="00C803BE"/>
    <w:rsid w:val="00C803D7"/>
    <w:rsid w:val="00C805E4"/>
    <w:rsid w:val="00C80EC2"/>
    <w:rsid w:val="00C81240"/>
    <w:rsid w:val="00C81613"/>
    <w:rsid w:val="00C81FBF"/>
    <w:rsid w:val="00C82109"/>
    <w:rsid w:val="00C827D4"/>
    <w:rsid w:val="00C82C32"/>
    <w:rsid w:val="00C839DE"/>
    <w:rsid w:val="00C83BE6"/>
    <w:rsid w:val="00C83CE5"/>
    <w:rsid w:val="00C83E23"/>
    <w:rsid w:val="00C84335"/>
    <w:rsid w:val="00C84CA1"/>
    <w:rsid w:val="00C84D1F"/>
    <w:rsid w:val="00C858ED"/>
    <w:rsid w:val="00C85A21"/>
    <w:rsid w:val="00C85B41"/>
    <w:rsid w:val="00C85EC7"/>
    <w:rsid w:val="00C86FD6"/>
    <w:rsid w:val="00C8741E"/>
    <w:rsid w:val="00C87577"/>
    <w:rsid w:val="00C8764E"/>
    <w:rsid w:val="00C87DB4"/>
    <w:rsid w:val="00C87FF3"/>
    <w:rsid w:val="00C90011"/>
    <w:rsid w:val="00C9019A"/>
    <w:rsid w:val="00C904FD"/>
    <w:rsid w:val="00C90AA5"/>
    <w:rsid w:val="00C92251"/>
    <w:rsid w:val="00C929C1"/>
    <w:rsid w:val="00C93076"/>
    <w:rsid w:val="00C9467E"/>
    <w:rsid w:val="00C94BFC"/>
    <w:rsid w:val="00C94FF6"/>
    <w:rsid w:val="00C9508B"/>
    <w:rsid w:val="00C95A55"/>
    <w:rsid w:val="00C95CDE"/>
    <w:rsid w:val="00C968DB"/>
    <w:rsid w:val="00C96FA1"/>
    <w:rsid w:val="00C9715E"/>
    <w:rsid w:val="00C97667"/>
    <w:rsid w:val="00C97809"/>
    <w:rsid w:val="00CA0242"/>
    <w:rsid w:val="00CA0FC3"/>
    <w:rsid w:val="00CA19ED"/>
    <w:rsid w:val="00CA1A00"/>
    <w:rsid w:val="00CA1BF7"/>
    <w:rsid w:val="00CA1C7F"/>
    <w:rsid w:val="00CA2839"/>
    <w:rsid w:val="00CA2B5A"/>
    <w:rsid w:val="00CA30B0"/>
    <w:rsid w:val="00CA31AF"/>
    <w:rsid w:val="00CA3E06"/>
    <w:rsid w:val="00CA43FB"/>
    <w:rsid w:val="00CA4595"/>
    <w:rsid w:val="00CA5D0F"/>
    <w:rsid w:val="00CA65AD"/>
    <w:rsid w:val="00CA686E"/>
    <w:rsid w:val="00CA7100"/>
    <w:rsid w:val="00CA75B8"/>
    <w:rsid w:val="00CA7EB8"/>
    <w:rsid w:val="00CB0316"/>
    <w:rsid w:val="00CB0578"/>
    <w:rsid w:val="00CB1877"/>
    <w:rsid w:val="00CB1B32"/>
    <w:rsid w:val="00CB1EC5"/>
    <w:rsid w:val="00CB253E"/>
    <w:rsid w:val="00CB2DF7"/>
    <w:rsid w:val="00CB2EE5"/>
    <w:rsid w:val="00CB31BD"/>
    <w:rsid w:val="00CB4188"/>
    <w:rsid w:val="00CB43E8"/>
    <w:rsid w:val="00CB4C0D"/>
    <w:rsid w:val="00CB4DB6"/>
    <w:rsid w:val="00CB52B8"/>
    <w:rsid w:val="00CB5381"/>
    <w:rsid w:val="00CB5A0E"/>
    <w:rsid w:val="00CB5FC7"/>
    <w:rsid w:val="00CB6C22"/>
    <w:rsid w:val="00CB6E83"/>
    <w:rsid w:val="00CB76A1"/>
    <w:rsid w:val="00CB76CF"/>
    <w:rsid w:val="00CC03DA"/>
    <w:rsid w:val="00CC05A1"/>
    <w:rsid w:val="00CC0D7B"/>
    <w:rsid w:val="00CC0FB7"/>
    <w:rsid w:val="00CC1EF7"/>
    <w:rsid w:val="00CC21FC"/>
    <w:rsid w:val="00CC2F2D"/>
    <w:rsid w:val="00CC3844"/>
    <w:rsid w:val="00CC3D4A"/>
    <w:rsid w:val="00CC3E33"/>
    <w:rsid w:val="00CC44FE"/>
    <w:rsid w:val="00CC461C"/>
    <w:rsid w:val="00CC4645"/>
    <w:rsid w:val="00CC470A"/>
    <w:rsid w:val="00CC4FF1"/>
    <w:rsid w:val="00CC592E"/>
    <w:rsid w:val="00CC5DD3"/>
    <w:rsid w:val="00CC664D"/>
    <w:rsid w:val="00CC735B"/>
    <w:rsid w:val="00CC7DA5"/>
    <w:rsid w:val="00CC7EB6"/>
    <w:rsid w:val="00CD0B0F"/>
    <w:rsid w:val="00CD0D27"/>
    <w:rsid w:val="00CD0D4D"/>
    <w:rsid w:val="00CD0E0B"/>
    <w:rsid w:val="00CD0E85"/>
    <w:rsid w:val="00CD181F"/>
    <w:rsid w:val="00CD211A"/>
    <w:rsid w:val="00CD25E6"/>
    <w:rsid w:val="00CD27E8"/>
    <w:rsid w:val="00CD2BF8"/>
    <w:rsid w:val="00CD2CE6"/>
    <w:rsid w:val="00CD2D2A"/>
    <w:rsid w:val="00CD2E8E"/>
    <w:rsid w:val="00CD34E4"/>
    <w:rsid w:val="00CD381B"/>
    <w:rsid w:val="00CD387E"/>
    <w:rsid w:val="00CD3BBC"/>
    <w:rsid w:val="00CD4AFC"/>
    <w:rsid w:val="00CD4B98"/>
    <w:rsid w:val="00CD561C"/>
    <w:rsid w:val="00CD5786"/>
    <w:rsid w:val="00CD5BC4"/>
    <w:rsid w:val="00CD5E0C"/>
    <w:rsid w:val="00CD6060"/>
    <w:rsid w:val="00CD60D2"/>
    <w:rsid w:val="00CD63B5"/>
    <w:rsid w:val="00CD6621"/>
    <w:rsid w:val="00CD690A"/>
    <w:rsid w:val="00CD6CA1"/>
    <w:rsid w:val="00CD6D65"/>
    <w:rsid w:val="00CD7B47"/>
    <w:rsid w:val="00CD7CFF"/>
    <w:rsid w:val="00CD7D25"/>
    <w:rsid w:val="00CD7F02"/>
    <w:rsid w:val="00CE048F"/>
    <w:rsid w:val="00CE0666"/>
    <w:rsid w:val="00CE0B5C"/>
    <w:rsid w:val="00CE0C77"/>
    <w:rsid w:val="00CE109D"/>
    <w:rsid w:val="00CE1A2A"/>
    <w:rsid w:val="00CE1B2A"/>
    <w:rsid w:val="00CE3244"/>
    <w:rsid w:val="00CE3FB7"/>
    <w:rsid w:val="00CE4737"/>
    <w:rsid w:val="00CE4885"/>
    <w:rsid w:val="00CE4E51"/>
    <w:rsid w:val="00CE5354"/>
    <w:rsid w:val="00CE67D2"/>
    <w:rsid w:val="00CE68EA"/>
    <w:rsid w:val="00CE6925"/>
    <w:rsid w:val="00CE6AC0"/>
    <w:rsid w:val="00CE6E78"/>
    <w:rsid w:val="00CE79A9"/>
    <w:rsid w:val="00CE7FD3"/>
    <w:rsid w:val="00CF02A2"/>
    <w:rsid w:val="00CF0A76"/>
    <w:rsid w:val="00CF0C5C"/>
    <w:rsid w:val="00CF0D1A"/>
    <w:rsid w:val="00CF0D59"/>
    <w:rsid w:val="00CF0F60"/>
    <w:rsid w:val="00CF15A4"/>
    <w:rsid w:val="00CF241F"/>
    <w:rsid w:val="00CF2858"/>
    <w:rsid w:val="00CF28BD"/>
    <w:rsid w:val="00CF2B9C"/>
    <w:rsid w:val="00CF2F09"/>
    <w:rsid w:val="00CF318C"/>
    <w:rsid w:val="00CF34DA"/>
    <w:rsid w:val="00CF3562"/>
    <w:rsid w:val="00CF35A0"/>
    <w:rsid w:val="00CF38FD"/>
    <w:rsid w:val="00CF3C9D"/>
    <w:rsid w:val="00CF3E8E"/>
    <w:rsid w:val="00CF3EA6"/>
    <w:rsid w:val="00CF3FF0"/>
    <w:rsid w:val="00CF46D3"/>
    <w:rsid w:val="00CF4929"/>
    <w:rsid w:val="00CF4B77"/>
    <w:rsid w:val="00CF5069"/>
    <w:rsid w:val="00CF5700"/>
    <w:rsid w:val="00CF5A41"/>
    <w:rsid w:val="00CF5EEC"/>
    <w:rsid w:val="00CF6285"/>
    <w:rsid w:val="00CF64A4"/>
    <w:rsid w:val="00CF67E8"/>
    <w:rsid w:val="00CF6822"/>
    <w:rsid w:val="00CF68EE"/>
    <w:rsid w:val="00CF6A87"/>
    <w:rsid w:val="00CF6E69"/>
    <w:rsid w:val="00CF7790"/>
    <w:rsid w:val="00D00334"/>
    <w:rsid w:val="00D003AA"/>
    <w:rsid w:val="00D0106B"/>
    <w:rsid w:val="00D0110D"/>
    <w:rsid w:val="00D01390"/>
    <w:rsid w:val="00D017CC"/>
    <w:rsid w:val="00D01CB6"/>
    <w:rsid w:val="00D02162"/>
    <w:rsid w:val="00D025C9"/>
    <w:rsid w:val="00D028A2"/>
    <w:rsid w:val="00D02BE8"/>
    <w:rsid w:val="00D02C36"/>
    <w:rsid w:val="00D03172"/>
    <w:rsid w:val="00D031C6"/>
    <w:rsid w:val="00D0350A"/>
    <w:rsid w:val="00D039C8"/>
    <w:rsid w:val="00D03B59"/>
    <w:rsid w:val="00D042F1"/>
    <w:rsid w:val="00D04335"/>
    <w:rsid w:val="00D0507B"/>
    <w:rsid w:val="00D0535C"/>
    <w:rsid w:val="00D058AB"/>
    <w:rsid w:val="00D05B3B"/>
    <w:rsid w:val="00D05F5C"/>
    <w:rsid w:val="00D06597"/>
    <w:rsid w:val="00D065A1"/>
    <w:rsid w:val="00D06BBE"/>
    <w:rsid w:val="00D070A1"/>
    <w:rsid w:val="00D07445"/>
    <w:rsid w:val="00D10D58"/>
    <w:rsid w:val="00D1171A"/>
    <w:rsid w:val="00D11D13"/>
    <w:rsid w:val="00D11DBF"/>
    <w:rsid w:val="00D1239F"/>
    <w:rsid w:val="00D1253A"/>
    <w:rsid w:val="00D126C6"/>
    <w:rsid w:val="00D12741"/>
    <w:rsid w:val="00D12A0D"/>
    <w:rsid w:val="00D12BF9"/>
    <w:rsid w:val="00D12ED8"/>
    <w:rsid w:val="00D133AD"/>
    <w:rsid w:val="00D14122"/>
    <w:rsid w:val="00D150D1"/>
    <w:rsid w:val="00D15418"/>
    <w:rsid w:val="00D15657"/>
    <w:rsid w:val="00D15BB5"/>
    <w:rsid w:val="00D1613F"/>
    <w:rsid w:val="00D16C15"/>
    <w:rsid w:val="00D16F0F"/>
    <w:rsid w:val="00D21BEE"/>
    <w:rsid w:val="00D21CF4"/>
    <w:rsid w:val="00D22202"/>
    <w:rsid w:val="00D2240E"/>
    <w:rsid w:val="00D22ADD"/>
    <w:rsid w:val="00D230D9"/>
    <w:rsid w:val="00D23353"/>
    <w:rsid w:val="00D235A7"/>
    <w:rsid w:val="00D238F4"/>
    <w:rsid w:val="00D239E7"/>
    <w:rsid w:val="00D241D9"/>
    <w:rsid w:val="00D247D7"/>
    <w:rsid w:val="00D247DF"/>
    <w:rsid w:val="00D24BED"/>
    <w:rsid w:val="00D2510B"/>
    <w:rsid w:val="00D251E6"/>
    <w:rsid w:val="00D25CFB"/>
    <w:rsid w:val="00D26324"/>
    <w:rsid w:val="00D2667C"/>
    <w:rsid w:val="00D26E40"/>
    <w:rsid w:val="00D274B3"/>
    <w:rsid w:val="00D27591"/>
    <w:rsid w:val="00D2785F"/>
    <w:rsid w:val="00D278BC"/>
    <w:rsid w:val="00D300BB"/>
    <w:rsid w:val="00D306D1"/>
    <w:rsid w:val="00D308D6"/>
    <w:rsid w:val="00D30C28"/>
    <w:rsid w:val="00D30E6D"/>
    <w:rsid w:val="00D31421"/>
    <w:rsid w:val="00D317D0"/>
    <w:rsid w:val="00D325C7"/>
    <w:rsid w:val="00D32623"/>
    <w:rsid w:val="00D32873"/>
    <w:rsid w:val="00D32C4E"/>
    <w:rsid w:val="00D33274"/>
    <w:rsid w:val="00D33E04"/>
    <w:rsid w:val="00D33E17"/>
    <w:rsid w:val="00D34301"/>
    <w:rsid w:val="00D34AC1"/>
    <w:rsid w:val="00D34CCF"/>
    <w:rsid w:val="00D352D0"/>
    <w:rsid w:val="00D35614"/>
    <w:rsid w:val="00D3573B"/>
    <w:rsid w:val="00D358D2"/>
    <w:rsid w:val="00D35A29"/>
    <w:rsid w:val="00D35A69"/>
    <w:rsid w:val="00D369B1"/>
    <w:rsid w:val="00D36C79"/>
    <w:rsid w:val="00D36DD6"/>
    <w:rsid w:val="00D36E6F"/>
    <w:rsid w:val="00D36EA1"/>
    <w:rsid w:val="00D37234"/>
    <w:rsid w:val="00D377A2"/>
    <w:rsid w:val="00D37A5A"/>
    <w:rsid w:val="00D400F3"/>
    <w:rsid w:val="00D411C6"/>
    <w:rsid w:val="00D411E4"/>
    <w:rsid w:val="00D412A8"/>
    <w:rsid w:val="00D4197E"/>
    <w:rsid w:val="00D41DFE"/>
    <w:rsid w:val="00D42347"/>
    <w:rsid w:val="00D4295A"/>
    <w:rsid w:val="00D42D96"/>
    <w:rsid w:val="00D43045"/>
    <w:rsid w:val="00D43F37"/>
    <w:rsid w:val="00D45DA6"/>
    <w:rsid w:val="00D46170"/>
    <w:rsid w:val="00D46326"/>
    <w:rsid w:val="00D47AD4"/>
    <w:rsid w:val="00D47BAD"/>
    <w:rsid w:val="00D50607"/>
    <w:rsid w:val="00D506AA"/>
    <w:rsid w:val="00D50900"/>
    <w:rsid w:val="00D5107C"/>
    <w:rsid w:val="00D5274D"/>
    <w:rsid w:val="00D52960"/>
    <w:rsid w:val="00D5297B"/>
    <w:rsid w:val="00D53529"/>
    <w:rsid w:val="00D53880"/>
    <w:rsid w:val="00D53C14"/>
    <w:rsid w:val="00D53E43"/>
    <w:rsid w:val="00D54295"/>
    <w:rsid w:val="00D54507"/>
    <w:rsid w:val="00D55C84"/>
    <w:rsid w:val="00D5611C"/>
    <w:rsid w:val="00D5680B"/>
    <w:rsid w:val="00D56982"/>
    <w:rsid w:val="00D56D92"/>
    <w:rsid w:val="00D56EB2"/>
    <w:rsid w:val="00D57113"/>
    <w:rsid w:val="00D579AC"/>
    <w:rsid w:val="00D60099"/>
    <w:rsid w:val="00D60A7A"/>
    <w:rsid w:val="00D6136C"/>
    <w:rsid w:val="00D6208A"/>
    <w:rsid w:val="00D62193"/>
    <w:rsid w:val="00D62257"/>
    <w:rsid w:val="00D62442"/>
    <w:rsid w:val="00D62888"/>
    <w:rsid w:val="00D62AB3"/>
    <w:rsid w:val="00D62ADB"/>
    <w:rsid w:val="00D6300B"/>
    <w:rsid w:val="00D632C9"/>
    <w:rsid w:val="00D634FD"/>
    <w:rsid w:val="00D638E0"/>
    <w:rsid w:val="00D63E73"/>
    <w:rsid w:val="00D6405C"/>
    <w:rsid w:val="00D6435D"/>
    <w:rsid w:val="00D6526A"/>
    <w:rsid w:val="00D655DB"/>
    <w:rsid w:val="00D65C51"/>
    <w:rsid w:val="00D65EE4"/>
    <w:rsid w:val="00D6634D"/>
    <w:rsid w:val="00D663D5"/>
    <w:rsid w:val="00D6691D"/>
    <w:rsid w:val="00D67FA8"/>
    <w:rsid w:val="00D70026"/>
    <w:rsid w:val="00D700E9"/>
    <w:rsid w:val="00D7088B"/>
    <w:rsid w:val="00D714EB"/>
    <w:rsid w:val="00D719D6"/>
    <w:rsid w:val="00D71CC7"/>
    <w:rsid w:val="00D71FB2"/>
    <w:rsid w:val="00D7226D"/>
    <w:rsid w:val="00D725F8"/>
    <w:rsid w:val="00D72603"/>
    <w:rsid w:val="00D7261B"/>
    <w:rsid w:val="00D72D5A"/>
    <w:rsid w:val="00D73AB0"/>
    <w:rsid w:val="00D73B9F"/>
    <w:rsid w:val="00D74391"/>
    <w:rsid w:val="00D74516"/>
    <w:rsid w:val="00D74A7A"/>
    <w:rsid w:val="00D74DE6"/>
    <w:rsid w:val="00D75137"/>
    <w:rsid w:val="00D75154"/>
    <w:rsid w:val="00D751CE"/>
    <w:rsid w:val="00D753E1"/>
    <w:rsid w:val="00D76089"/>
    <w:rsid w:val="00D7684C"/>
    <w:rsid w:val="00D76C15"/>
    <w:rsid w:val="00D772EA"/>
    <w:rsid w:val="00D77C2B"/>
    <w:rsid w:val="00D80E9E"/>
    <w:rsid w:val="00D81199"/>
    <w:rsid w:val="00D81759"/>
    <w:rsid w:val="00D81D6A"/>
    <w:rsid w:val="00D82213"/>
    <w:rsid w:val="00D82BDA"/>
    <w:rsid w:val="00D83B79"/>
    <w:rsid w:val="00D83C74"/>
    <w:rsid w:val="00D841BA"/>
    <w:rsid w:val="00D8464C"/>
    <w:rsid w:val="00D84A0D"/>
    <w:rsid w:val="00D84D26"/>
    <w:rsid w:val="00D85813"/>
    <w:rsid w:val="00D85FAC"/>
    <w:rsid w:val="00D86226"/>
    <w:rsid w:val="00D86327"/>
    <w:rsid w:val="00D87105"/>
    <w:rsid w:val="00D873FF"/>
    <w:rsid w:val="00D8772F"/>
    <w:rsid w:val="00D877FE"/>
    <w:rsid w:val="00D87909"/>
    <w:rsid w:val="00D87DED"/>
    <w:rsid w:val="00D87E47"/>
    <w:rsid w:val="00D904CB"/>
    <w:rsid w:val="00D904DD"/>
    <w:rsid w:val="00D90C0E"/>
    <w:rsid w:val="00D911CA"/>
    <w:rsid w:val="00D9156B"/>
    <w:rsid w:val="00D91CA0"/>
    <w:rsid w:val="00D91D2E"/>
    <w:rsid w:val="00D91DF6"/>
    <w:rsid w:val="00D92177"/>
    <w:rsid w:val="00D92265"/>
    <w:rsid w:val="00D922BA"/>
    <w:rsid w:val="00D924D7"/>
    <w:rsid w:val="00D9306B"/>
    <w:rsid w:val="00D934A9"/>
    <w:rsid w:val="00D94577"/>
    <w:rsid w:val="00D94725"/>
    <w:rsid w:val="00D948A9"/>
    <w:rsid w:val="00D951DD"/>
    <w:rsid w:val="00D95B2E"/>
    <w:rsid w:val="00D96237"/>
    <w:rsid w:val="00D96AAE"/>
    <w:rsid w:val="00D96B0F"/>
    <w:rsid w:val="00D96BE8"/>
    <w:rsid w:val="00D96E07"/>
    <w:rsid w:val="00D96F54"/>
    <w:rsid w:val="00D97AC7"/>
    <w:rsid w:val="00DA0206"/>
    <w:rsid w:val="00DA039D"/>
    <w:rsid w:val="00DA03F5"/>
    <w:rsid w:val="00DA1448"/>
    <w:rsid w:val="00DA23A2"/>
    <w:rsid w:val="00DA27D1"/>
    <w:rsid w:val="00DA288A"/>
    <w:rsid w:val="00DA350E"/>
    <w:rsid w:val="00DA3747"/>
    <w:rsid w:val="00DA3916"/>
    <w:rsid w:val="00DA3CE3"/>
    <w:rsid w:val="00DA3EDE"/>
    <w:rsid w:val="00DA41E4"/>
    <w:rsid w:val="00DA4725"/>
    <w:rsid w:val="00DA484C"/>
    <w:rsid w:val="00DA5214"/>
    <w:rsid w:val="00DA5396"/>
    <w:rsid w:val="00DA55D7"/>
    <w:rsid w:val="00DA5FD3"/>
    <w:rsid w:val="00DA68D4"/>
    <w:rsid w:val="00DA6CBE"/>
    <w:rsid w:val="00DB0A3A"/>
    <w:rsid w:val="00DB111A"/>
    <w:rsid w:val="00DB1747"/>
    <w:rsid w:val="00DB1C70"/>
    <w:rsid w:val="00DB1C7D"/>
    <w:rsid w:val="00DB1D7F"/>
    <w:rsid w:val="00DB2F02"/>
    <w:rsid w:val="00DB2F0A"/>
    <w:rsid w:val="00DB3046"/>
    <w:rsid w:val="00DB3C29"/>
    <w:rsid w:val="00DB409D"/>
    <w:rsid w:val="00DB414A"/>
    <w:rsid w:val="00DB44AD"/>
    <w:rsid w:val="00DB4B86"/>
    <w:rsid w:val="00DB4D5B"/>
    <w:rsid w:val="00DB5F8D"/>
    <w:rsid w:val="00DB6622"/>
    <w:rsid w:val="00DB676B"/>
    <w:rsid w:val="00DB694B"/>
    <w:rsid w:val="00DB7198"/>
    <w:rsid w:val="00DB7286"/>
    <w:rsid w:val="00DB738F"/>
    <w:rsid w:val="00DB7539"/>
    <w:rsid w:val="00DB7628"/>
    <w:rsid w:val="00DB7A5E"/>
    <w:rsid w:val="00DB7EFC"/>
    <w:rsid w:val="00DB7F26"/>
    <w:rsid w:val="00DC075C"/>
    <w:rsid w:val="00DC0846"/>
    <w:rsid w:val="00DC15A5"/>
    <w:rsid w:val="00DC1798"/>
    <w:rsid w:val="00DC1A65"/>
    <w:rsid w:val="00DC2C88"/>
    <w:rsid w:val="00DC2CF5"/>
    <w:rsid w:val="00DC2FCA"/>
    <w:rsid w:val="00DC3108"/>
    <w:rsid w:val="00DC3561"/>
    <w:rsid w:val="00DC3E59"/>
    <w:rsid w:val="00DC427C"/>
    <w:rsid w:val="00DC4C7A"/>
    <w:rsid w:val="00DC4EB6"/>
    <w:rsid w:val="00DC5EC6"/>
    <w:rsid w:val="00DC62BA"/>
    <w:rsid w:val="00DC6A51"/>
    <w:rsid w:val="00DC6B5B"/>
    <w:rsid w:val="00DC6E43"/>
    <w:rsid w:val="00DC70AB"/>
    <w:rsid w:val="00DC7762"/>
    <w:rsid w:val="00DC7C58"/>
    <w:rsid w:val="00DD0856"/>
    <w:rsid w:val="00DD0F1E"/>
    <w:rsid w:val="00DD1A67"/>
    <w:rsid w:val="00DD24B7"/>
    <w:rsid w:val="00DD2991"/>
    <w:rsid w:val="00DD3AD4"/>
    <w:rsid w:val="00DD42FA"/>
    <w:rsid w:val="00DD4816"/>
    <w:rsid w:val="00DD4B3B"/>
    <w:rsid w:val="00DD4C3D"/>
    <w:rsid w:val="00DD4D76"/>
    <w:rsid w:val="00DD52F3"/>
    <w:rsid w:val="00DD5B20"/>
    <w:rsid w:val="00DD6DB1"/>
    <w:rsid w:val="00DD6EF2"/>
    <w:rsid w:val="00DD70A1"/>
    <w:rsid w:val="00DD70D1"/>
    <w:rsid w:val="00DD7F89"/>
    <w:rsid w:val="00DE0429"/>
    <w:rsid w:val="00DE0AAA"/>
    <w:rsid w:val="00DE1523"/>
    <w:rsid w:val="00DE15D8"/>
    <w:rsid w:val="00DE1B78"/>
    <w:rsid w:val="00DE1FC0"/>
    <w:rsid w:val="00DE2362"/>
    <w:rsid w:val="00DE28C9"/>
    <w:rsid w:val="00DE2F6D"/>
    <w:rsid w:val="00DE3010"/>
    <w:rsid w:val="00DE36E2"/>
    <w:rsid w:val="00DE3863"/>
    <w:rsid w:val="00DE39BC"/>
    <w:rsid w:val="00DE3FF3"/>
    <w:rsid w:val="00DE4214"/>
    <w:rsid w:val="00DE433B"/>
    <w:rsid w:val="00DE4849"/>
    <w:rsid w:val="00DE4D60"/>
    <w:rsid w:val="00DE5584"/>
    <w:rsid w:val="00DE5753"/>
    <w:rsid w:val="00DE5969"/>
    <w:rsid w:val="00DE5EDD"/>
    <w:rsid w:val="00DE64D3"/>
    <w:rsid w:val="00DE6542"/>
    <w:rsid w:val="00DE6738"/>
    <w:rsid w:val="00DE697D"/>
    <w:rsid w:val="00DE6CFD"/>
    <w:rsid w:val="00DE6EC8"/>
    <w:rsid w:val="00DE6F01"/>
    <w:rsid w:val="00DE740F"/>
    <w:rsid w:val="00DF0553"/>
    <w:rsid w:val="00DF0908"/>
    <w:rsid w:val="00DF0991"/>
    <w:rsid w:val="00DF0D95"/>
    <w:rsid w:val="00DF10C2"/>
    <w:rsid w:val="00DF19A7"/>
    <w:rsid w:val="00DF2CBC"/>
    <w:rsid w:val="00DF2CDE"/>
    <w:rsid w:val="00DF32CA"/>
    <w:rsid w:val="00DF3402"/>
    <w:rsid w:val="00DF3437"/>
    <w:rsid w:val="00DF3C55"/>
    <w:rsid w:val="00DF3EB2"/>
    <w:rsid w:val="00DF470E"/>
    <w:rsid w:val="00DF4FD8"/>
    <w:rsid w:val="00DF50B2"/>
    <w:rsid w:val="00DF5D3C"/>
    <w:rsid w:val="00DF5FAD"/>
    <w:rsid w:val="00DF5FE5"/>
    <w:rsid w:val="00DF6729"/>
    <w:rsid w:val="00DF683A"/>
    <w:rsid w:val="00DF7E08"/>
    <w:rsid w:val="00DF7E59"/>
    <w:rsid w:val="00DF7F5B"/>
    <w:rsid w:val="00E0114C"/>
    <w:rsid w:val="00E011B1"/>
    <w:rsid w:val="00E0180A"/>
    <w:rsid w:val="00E018C3"/>
    <w:rsid w:val="00E01C53"/>
    <w:rsid w:val="00E02404"/>
    <w:rsid w:val="00E02A5D"/>
    <w:rsid w:val="00E02AFE"/>
    <w:rsid w:val="00E02B44"/>
    <w:rsid w:val="00E0349F"/>
    <w:rsid w:val="00E0397A"/>
    <w:rsid w:val="00E03C59"/>
    <w:rsid w:val="00E03DB3"/>
    <w:rsid w:val="00E04DFF"/>
    <w:rsid w:val="00E0514D"/>
    <w:rsid w:val="00E0520E"/>
    <w:rsid w:val="00E053A6"/>
    <w:rsid w:val="00E05865"/>
    <w:rsid w:val="00E0615B"/>
    <w:rsid w:val="00E068DB"/>
    <w:rsid w:val="00E06BC6"/>
    <w:rsid w:val="00E06BDD"/>
    <w:rsid w:val="00E06CC1"/>
    <w:rsid w:val="00E06CFF"/>
    <w:rsid w:val="00E06D81"/>
    <w:rsid w:val="00E0713A"/>
    <w:rsid w:val="00E07540"/>
    <w:rsid w:val="00E078DF"/>
    <w:rsid w:val="00E07980"/>
    <w:rsid w:val="00E07ACA"/>
    <w:rsid w:val="00E07C6B"/>
    <w:rsid w:val="00E10627"/>
    <w:rsid w:val="00E10BE7"/>
    <w:rsid w:val="00E10C5A"/>
    <w:rsid w:val="00E10DCE"/>
    <w:rsid w:val="00E1137E"/>
    <w:rsid w:val="00E113B6"/>
    <w:rsid w:val="00E12536"/>
    <w:rsid w:val="00E128D9"/>
    <w:rsid w:val="00E129ED"/>
    <w:rsid w:val="00E12F28"/>
    <w:rsid w:val="00E13582"/>
    <w:rsid w:val="00E13C6E"/>
    <w:rsid w:val="00E13D12"/>
    <w:rsid w:val="00E14190"/>
    <w:rsid w:val="00E1450F"/>
    <w:rsid w:val="00E1457B"/>
    <w:rsid w:val="00E14592"/>
    <w:rsid w:val="00E1467B"/>
    <w:rsid w:val="00E14705"/>
    <w:rsid w:val="00E1493C"/>
    <w:rsid w:val="00E14D5C"/>
    <w:rsid w:val="00E1511F"/>
    <w:rsid w:val="00E15911"/>
    <w:rsid w:val="00E16521"/>
    <w:rsid w:val="00E1663D"/>
    <w:rsid w:val="00E1670D"/>
    <w:rsid w:val="00E172C0"/>
    <w:rsid w:val="00E1752D"/>
    <w:rsid w:val="00E1796E"/>
    <w:rsid w:val="00E17C26"/>
    <w:rsid w:val="00E202C9"/>
    <w:rsid w:val="00E20417"/>
    <w:rsid w:val="00E20606"/>
    <w:rsid w:val="00E20771"/>
    <w:rsid w:val="00E207AB"/>
    <w:rsid w:val="00E2119A"/>
    <w:rsid w:val="00E218F4"/>
    <w:rsid w:val="00E21BBA"/>
    <w:rsid w:val="00E21F2E"/>
    <w:rsid w:val="00E21FDD"/>
    <w:rsid w:val="00E2296F"/>
    <w:rsid w:val="00E22E6C"/>
    <w:rsid w:val="00E23140"/>
    <w:rsid w:val="00E23618"/>
    <w:rsid w:val="00E23680"/>
    <w:rsid w:val="00E241A4"/>
    <w:rsid w:val="00E24DCE"/>
    <w:rsid w:val="00E25021"/>
    <w:rsid w:val="00E250C2"/>
    <w:rsid w:val="00E252BC"/>
    <w:rsid w:val="00E25D36"/>
    <w:rsid w:val="00E264BC"/>
    <w:rsid w:val="00E26783"/>
    <w:rsid w:val="00E268E5"/>
    <w:rsid w:val="00E27071"/>
    <w:rsid w:val="00E30D01"/>
    <w:rsid w:val="00E31424"/>
    <w:rsid w:val="00E31CA7"/>
    <w:rsid w:val="00E31D49"/>
    <w:rsid w:val="00E32078"/>
    <w:rsid w:val="00E3258B"/>
    <w:rsid w:val="00E327B0"/>
    <w:rsid w:val="00E328FB"/>
    <w:rsid w:val="00E32AFC"/>
    <w:rsid w:val="00E32B26"/>
    <w:rsid w:val="00E32B74"/>
    <w:rsid w:val="00E33343"/>
    <w:rsid w:val="00E33A73"/>
    <w:rsid w:val="00E33AB0"/>
    <w:rsid w:val="00E33D78"/>
    <w:rsid w:val="00E358D8"/>
    <w:rsid w:val="00E35B80"/>
    <w:rsid w:val="00E3699F"/>
    <w:rsid w:val="00E36CC5"/>
    <w:rsid w:val="00E3723D"/>
    <w:rsid w:val="00E37BBF"/>
    <w:rsid w:val="00E404BD"/>
    <w:rsid w:val="00E40780"/>
    <w:rsid w:val="00E412F6"/>
    <w:rsid w:val="00E4132C"/>
    <w:rsid w:val="00E41B95"/>
    <w:rsid w:val="00E41BEE"/>
    <w:rsid w:val="00E42004"/>
    <w:rsid w:val="00E42221"/>
    <w:rsid w:val="00E4253A"/>
    <w:rsid w:val="00E42D59"/>
    <w:rsid w:val="00E436B8"/>
    <w:rsid w:val="00E43894"/>
    <w:rsid w:val="00E440A1"/>
    <w:rsid w:val="00E44391"/>
    <w:rsid w:val="00E45147"/>
    <w:rsid w:val="00E4544C"/>
    <w:rsid w:val="00E45841"/>
    <w:rsid w:val="00E45C7C"/>
    <w:rsid w:val="00E46187"/>
    <w:rsid w:val="00E46259"/>
    <w:rsid w:val="00E46A65"/>
    <w:rsid w:val="00E47282"/>
    <w:rsid w:val="00E50588"/>
    <w:rsid w:val="00E51AA1"/>
    <w:rsid w:val="00E51D3E"/>
    <w:rsid w:val="00E51E7A"/>
    <w:rsid w:val="00E52029"/>
    <w:rsid w:val="00E522B0"/>
    <w:rsid w:val="00E5241C"/>
    <w:rsid w:val="00E53062"/>
    <w:rsid w:val="00E530AE"/>
    <w:rsid w:val="00E530B6"/>
    <w:rsid w:val="00E53AB5"/>
    <w:rsid w:val="00E55161"/>
    <w:rsid w:val="00E5558C"/>
    <w:rsid w:val="00E55A79"/>
    <w:rsid w:val="00E5609B"/>
    <w:rsid w:val="00E561CF"/>
    <w:rsid w:val="00E562C7"/>
    <w:rsid w:val="00E566DE"/>
    <w:rsid w:val="00E56CAF"/>
    <w:rsid w:val="00E56D99"/>
    <w:rsid w:val="00E5744D"/>
    <w:rsid w:val="00E575FE"/>
    <w:rsid w:val="00E57F7D"/>
    <w:rsid w:val="00E60560"/>
    <w:rsid w:val="00E60BFD"/>
    <w:rsid w:val="00E62648"/>
    <w:rsid w:val="00E62B5F"/>
    <w:rsid w:val="00E62D38"/>
    <w:rsid w:val="00E6320F"/>
    <w:rsid w:val="00E6335B"/>
    <w:rsid w:val="00E633B4"/>
    <w:rsid w:val="00E6340F"/>
    <w:rsid w:val="00E63765"/>
    <w:rsid w:val="00E639C5"/>
    <w:rsid w:val="00E64823"/>
    <w:rsid w:val="00E64959"/>
    <w:rsid w:val="00E654CD"/>
    <w:rsid w:val="00E654F3"/>
    <w:rsid w:val="00E660BD"/>
    <w:rsid w:val="00E66620"/>
    <w:rsid w:val="00E66703"/>
    <w:rsid w:val="00E66782"/>
    <w:rsid w:val="00E6718D"/>
    <w:rsid w:val="00E67404"/>
    <w:rsid w:val="00E679F7"/>
    <w:rsid w:val="00E70017"/>
    <w:rsid w:val="00E7036F"/>
    <w:rsid w:val="00E70E55"/>
    <w:rsid w:val="00E71795"/>
    <w:rsid w:val="00E7187A"/>
    <w:rsid w:val="00E71A8A"/>
    <w:rsid w:val="00E72EED"/>
    <w:rsid w:val="00E731FD"/>
    <w:rsid w:val="00E736A1"/>
    <w:rsid w:val="00E73E15"/>
    <w:rsid w:val="00E73EDC"/>
    <w:rsid w:val="00E744A5"/>
    <w:rsid w:val="00E74D58"/>
    <w:rsid w:val="00E74DCF"/>
    <w:rsid w:val="00E74FB8"/>
    <w:rsid w:val="00E7535C"/>
    <w:rsid w:val="00E757C3"/>
    <w:rsid w:val="00E75A6B"/>
    <w:rsid w:val="00E75D4C"/>
    <w:rsid w:val="00E75ED9"/>
    <w:rsid w:val="00E75F72"/>
    <w:rsid w:val="00E76792"/>
    <w:rsid w:val="00E76AE8"/>
    <w:rsid w:val="00E76BE4"/>
    <w:rsid w:val="00E76DA7"/>
    <w:rsid w:val="00E76EC6"/>
    <w:rsid w:val="00E77593"/>
    <w:rsid w:val="00E778A8"/>
    <w:rsid w:val="00E779C0"/>
    <w:rsid w:val="00E77BA0"/>
    <w:rsid w:val="00E77EEF"/>
    <w:rsid w:val="00E80855"/>
    <w:rsid w:val="00E813F3"/>
    <w:rsid w:val="00E82089"/>
    <w:rsid w:val="00E824D6"/>
    <w:rsid w:val="00E824FC"/>
    <w:rsid w:val="00E82765"/>
    <w:rsid w:val="00E82A02"/>
    <w:rsid w:val="00E832CF"/>
    <w:rsid w:val="00E84183"/>
    <w:rsid w:val="00E84916"/>
    <w:rsid w:val="00E85DA6"/>
    <w:rsid w:val="00E85EF7"/>
    <w:rsid w:val="00E86033"/>
    <w:rsid w:val="00E860FB"/>
    <w:rsid w:val="00E86325"/>
    <w:rsid w:val="00E86489"/>
    <w:rsid w:val="00E868E9"/>
    <w:rsid w:val="00E8774F"/>
    <w:rsid w:val="00E87994"/>
    <w:rsid w:val="00E87AF3"/>
    <w:rsid w:val="00E87DF6"/>
    <w:rsid w:val="00E87E06"/>
    <w:rsid w:val="00E90019"/>
    <w:rsid w:val="00E90040"/>
    <w:rsid w:val="00E905EF"/>
    <w:rsid w:val="00E90D55"/>
    <w:rsid w:val="00E917CF"/>
    <w:rsid w:val="00E91D5D"/>
    <w:rsid w:val="00E91DBE"/>
    <w:rsid w:val="00E922B1"/>
    <w:rsid w:val="00E92B91"/>
    <w:rsid w:val="00E92BC1"/>
    <w:rsid w:val="00E93B93"/>
    <w:rsid w:val="00E93D79"/>
    <w:rsid w:val="00E941DA"/>
    <w:rsid w:val="00E94437"/>
    <w:rsid w:val="00E944BF"/>
    <w:rsid w:val="00E948F1"/>
    <w:rsid w:val="00E95042"/>
    <w:rsid w:val="00E953F3"/>
    <w:rsid w:val="00E963D2"/>
    <w:rsid w:val="00E9685D"/>
    <w:rsid w:val="00E97864"/>
    <w:rsid w:val="00E97A84"/>
    <w:rsid w:val="00E97B78"/>
    <w:rsid w:val="00EA03B7"/>
    <w:rsid w:val="00EA059C"/>
    <w:rsid w:val="00EA0B59"/>
    <w:rsid w:val="00EA0D74"/>
    <w:rsid w:val="00EA153E"/>
    <w:rsid w:val="00EA1B16"/>
    <w:rsid w:val="00EA1E30"/>
    <w:rsid w:val="00EA1EC8"/>
    <w:rsid w:val="00EA2290"/>
    <w:rsid w:val="00EA2767"/>
    <w:rsid w:val="00EA2CC1"/>
    <w:rsid w:val="00EA41DE"/>
    <w:rsid w:val="00EA43C2"/>
    <w:rsid w:val="00EA44DD"/>
    <w:rsid w:val="00EA48C7"/>
    <w:rsid w:val="00EA646F"/>
    <w:rsid w:val="00EA69A7"/>
    <w:rsid w:val="00EA6A68"/>
    <w:rsid w:val="00EA75B5"/>
    <w:rsid w:val="00EA7C69"/>
    <w:rsid w:val="00EB040B"/>
    <w:rsid w:val="00EB0A9F"/>
    <w:rsid w:val="00EB0EC6"/>
    <w:rsid w:val="00EB0F13"/>
    <w:rsid w:val="00EB13DD"/>
    <w:rsid w:val="00EB1979"/>
    <w:rsid w:val="00EB1A3F"/>
    <w:rsid w:val="00EB1A5E"/>
    <w:rsid w:val="00EB1DBC"/>
    <w:rsid w:val="00EB2601"/>
    <w:rsid w:val="00EB2DD6"/>
    <w:rsid w:val="00EB343C"/>
    <w:rsid w:val="00EB37EF"/>
    <w:rsid w:val="00EB3C05"/>
    <w:rsid w:val="00EB409E"/>
    <w:rsid w:val="00EB561A"/>
    <w:rsid w:val="00EB5773"/>
    <w:rsid w:val="00EB5EE1"/>
    <w:rsid w:val="00EB61BB"/>
    <w:rsid w:val="00EB6B93"/>
    <w:rsid w:val="00EB721D"/>
    <w:rsid w:val="00EB7361"/>
    <w:rsid w:val="00EB7E9E"/>
    <w:rsid w:val="00EB7F8B"/>
    <w:rsid w:val="00EC0142"/>
    <w:rsid w:val="00EC0252"/>
    <w:rsid w:val="00EC0A67"/>
    <w:rsid w:val="00EC0D03"/>
    <w:rsid w:val="00EC106F"/>
    <w:rsid w:val="00EC1702"/>
    <w:rsid w:val="00EC1937"/>
    <w:rsid w:val="00EC2961"/>
    <w:rsid w:val="00EC2F09"/>
    <w:rsid w:val="00EC33D8"/>
    <w:rsid w:val="00EC363D"/>
    <w:rsid w:val="00EC402C"/>
    <w:rsid w:val="00EC4079"/>
    <w:rsid w:val="00EC43AA"/>
    <w:rsid w:val="00EC4421"/>
    <w:rsid w:val="00EC4A20"/>
    <w:rsid w:val="00EC4D0B"/>
    <w:rsid w:val="00EC4E45"/>
    <w:rsid w:val="00EC4E62"/>
    <w:rsid w:val="00EC585B"/>
    <w:rsid w:val="00EC60C0"/>
    <w:rsid w:val="00EC641B"/>
    <w:rsid w:val="00EC68C1"/>
    <w:rsid w:val="00EC6A5B"/>
    <w:rsid w:val="00EC6EB2"/>
    <w:rsid w:val="00EC6F5C"/>
    <w:rsid w:val="00EC7854"/>
    <w:rsid w:val="00EC78D7"/>
    <w:rsid w:val="00EC7944"/>
    <w:rsid w:val="00EC7B2D"/>
    <w:rsid w:val="00ED0186"/>
    <w:rsid w:val="00ED0A6D"/>
    <w:rsid w:val="00ED0B35"/>
    <w:rsid w:val="00ED0D4A"/>
    <w:rsid w:val="00ED1212"/>
    <w:rsid w:val="00ED169B"/>
    <w:rsid w:val="00ED1D21"/>
    <w:rsid w:val="00ED23AF"/>
    <w:rsid w:val="00ED23D0"/>
    <w:rsid w:val="00ED2B5D"/>
    <w:rsid w:val="00ED3C00"/>
    <w:rsid w:val="00ED49EB"/>
    <w:rsid w:val="00ED4B24"/>
    <w:rsid w:val="00ED4DA5"/>
    <w:rsid w:val="00ED5E5C"/>
    <w:rsid w:val="00ED7484"/>
    <w:rsid w:val="00ED748C"/>
    <w:rsid w:val="00ED7955"/>
    <w:rsid w:val="00ED7993"/>
    <w:rsid w:val="00ED7D25"/>
    <w:rsid w:val="00ED7E92"/>
    <w:rsid w:val="00ED7FB9"/>
    <w:rsid w:val="00EE004E"/>
    <w:rsid w:val="00EE07D9"/>
    <w:rsid w:val="00EE0BD5"/>
    <w:rsid w:val="00EE0DE2"/>
    <w:rsid w:val="00EE1369"/>
    <w:rsid w:val="00EE1802"/>
    <w:rsid w:val="00EE1B13"/>
    <w:rsid w:val="00EE1FB9"/>
    <w:rsid w:val="00EE222E"/>
    <w:rsid w:val="00EE243E"/>
    <w:rsid w:val="00EE2A17"/>
    <w:rsid w:val="00EE2C15"/>
    <w:rsid w:val="00EE2E60"/>
    <w:rsid w:val="00EE354D"/>
    <w:rsid w:val="00EE3752"/>
    <w:rsid w:val="00EE37F7"/>
    <w:rsid w:val="00EE3B5C"/>
    <w:rsid w:val="00EE50E2"/>
    <w:rsid w:val="00EE54F4"/>
    <w:rsid w:val="00EE5709"/>
    <w:rsid w:val="00EE5985"/>
    <w:rsid w:val="00EE5AB5"/>
    <w:rsid w:val="00EE5C54"/>
    <w:rsid w:val="00EE6C2D"/>
    <w:rsid w:val="00EE762F"/>
    <w:rsid w:val="00EE79BA"/>
    <w:rsid w:val="00EE7A9A"/>
    <w:rsid w:val="00EF01C4"/>
    <w:rsid w:val="00EF05FF"/>
    <w:rsid w:val="00EF08FF"/>
    <w:rsid w:val="00EF0D21"/>
    <w:rsid w:val="00EF0FF3"/>
    <w:rsid w:val="00EF1143"/>
    <w:rsid w:val="00EF1341"/>
    <w:rsid w:val="00EF1793"/>
    <w:rsid w:val="00EF192C"/>
    <w:rsid w:val="00EF1BAC"/>
    <w:rsid w:val="00EF1D62"/>
    <w:rsid w:val="00EF20D9"/>
    <w:rsid w:val="00EF33C3"/>
    <w:rsid w:val="00EF37A2"/>
    <w:rsid w:val="00EF3C5A"/>
    <w:rsid w:val="00EF3CE4"/>
    <w:rsid w:val="00EF4489"/>
    <w:rsid w:val="00EF455F"/>
    <w:rsid w:val="00EF4676"/>
    <w:rsid w:val="00EF4ABB"/>
    <w:rsid w:val="00EF4CC1"/>
    <w:rsid w:val="00EF4F4B"/>
    <w:rsid w:val="00EF5054"/>
    <w:rsid w:val="00EF55CA"/>
    <w:rsid w:val="00EF6482"/>
    <w:rsid w:val="00EF6666"/>
    <w:rsid w:val="00EF6CAD"/>
    <w:rsid w:val="00EF76C7"/>
    <w:rsid w:val="00EF7EF1"/>
    <w:rsid w:val="00F0014B"/>
    <w:rsid w:val="00F00448"/>
    <w:rsid w:val="00F00928"/>
    <w:rsid w:val="00F00E7C"/>
    <w:rsid w:val="00F01467"/>
    <w:rsid w:val="00F01D65"/>
    <w:rsid w:val="00F023E8"/>
    <w:rsid w:val="00F0257C"/>
    <w:rsid w:val="00F02632"/>
    <w:rsid w:val="00F028E3"/>
    <w:rsid w:val="00F02B2D"/>
    <w:rsid w:val="00F02D3A"/>
    <w:rsid w:val="00F02E5F"/>
    <w:rsid w:val="00F03F8C"/>
    <w:rsid w:val="00F043F9"/>
    <w:rsid w:val="00F04677"/>
    <w:rsid w:val="00F048E7"/>
    <w:rsid w:val="00F0496B"/>
    <w:rsid w:val="00F04973"/>
    <w:rsid w:val="00F04B3A"/>
    <w:rsid w:val="00F04D0A"/>
    <w:rsid w:val="00F050A0"/>
    <w:rsid w:val="00F051CF"/>
    <w:rsid w:val="00F0533B"/>
    <w:rsid w:val="00F05BA1"/>
    <w:rsid w:val="00F06360"/>
    <w:rsid w:val="00F06B17"/>
    <w:rsid w:val="00F06B41"/>
    <w:rsid w:val="00F07267"/>
    <w:rsid w:val="00F1058C"/>
    <w:rsid w:val="00F10D43"/>
    <w:rsid w:val="00F115B8"/>
    <w:rsid w:val="00F117FC"/>
    <w:rsid w:val="00F11848"/>
    <w:rsid w:val="00F11868"/>
    <w:rsid w:val="00F1248A"/>
    <w:rsid w:val="00F12CB3"/>
    <w:rsid w:val="00F12DCD"/>
    <w:rsid w:val="00F13DD3"/>
    <w:rsid w:val="00F14499"/>
    <w:rsid w:val="00F14597"/>
    <w:rsid w:val="00F147E3"/>
    <w:rsid w:val="00F149EA"/>
    <w:rsid w:val="00F14BDE"/>
    <w:rsid w:val="00F15814"/>
    <w:rsid w:val="00F158E2"/>
    <w:rsid w:val="00F15A30"/>
    <w:rsid w:val="00F16248"/>
    <w:rsid w:val="00F16301"/>
    <w:rsid w:val="00F16BEF"/>
    <w:rsid w:val="00F16C7C"/>
    <w:rsid w:val="00F1743D"/>
    <w:rsid w:val="00F175A6"/>
    <w:rsid w:val="00F17604"/>
    <w:rsid w:val="00F176E7"/>
    <w:rsid w:val="00F17A55"/>
    <w:rsid w:val="00F17F1B"/>
    <w:rsid w:val="00F202C0"/>
    <w:rsid w:val="00F20676"/>
    <w:rsid w:val="00F20F49"/>
    <w:rsid w:val="00F2187F"/>
    <w:rsid w:val="00F2207E"/>
    <w:rsid w:val="00F22A21"/>
    <w:rsid w:val="00F22E3C"/>
    <w:rsid w:val="00F22E5D"/>
    <w:rsid w:val="00F23588"/>
    <w:rsid w:val="00F235C9"/>
    <w:rsid w:val="00F237C2"/>
    <w:rsid w:val="00F23808"/>
    <w:rsid w:val="00F23C1D"/>
    <w:rsid w:val="00F23D7E"/>
    <w:rsid w:val="00F23F31"/>
    <w:rsid w:val="00F247F2"/>
    <w:rsid w:val="00F254EB"/>
    <w:rsid w:val="00F25857"/>
    <w:rsid w:val="00F25C8C"/>
    <w:rsid w:val="00F272E8"/>
    <w:rsid w:val="00F274CF"/>
    <w:rsid w:val="00F27789"/>
    <w:rsid w:val="00F27B3D"/>
    <w:rsid w:val="00F27C7C"/>
    <w:rsid w:val="00F30731"/>
    <w:rsid w:val="00F30997"/>
    <w:rsid w:val="00F30CF4"/>
    <w:rsid w:val="00F3112B"/>
    <w:rsid w:val="00F31157"/>
    <w:rsid w:val="00F31641"/>
    <w:rsid w:val="00F321F5"/>
    <w:rsid w:val="00F32216"/>
    <w:rsid w:val="00F3227A"/>
    <w:rsid w:val="00F32E31"/>
    <w:rsid w:val="00F32E3F"/>
    <w:rsid w:val="00F337FE"/>
    <w:rsid w:val="00F33DE2"/>
    <w:rsid w:val="00F33DEB"/>
    <w:rsid w:val="00F33E60"/>
    <w:rsid w:val="00F3436A"/>
    <w:rsid w:val="00F34403"/>
    <w:rsid w:val="00F3456C"/>
    <w:rsid w:val="00F3461D"/>
    <w:rsid w:val="00F346CC"/>
    <w:rsid w:val="00F35391"/>
    <w:rsid w:val="00F35472"/>
    <w:rsid w:val="00F35707"/>
    <w:rsid w:val="00F3729E"/>
    <w:rsid w:val="00F37AB3"/>
    <w:rsid w:val="00F37EB9"/>
    <w:rsid w:val="00F40088"/>
    <w:rsid w:val="00F40DF7"/>
    <w:rsid w:val="00F40EC5"/>
    <w:rsid w:val="00F410A3"/>
    <w:rsid w:val="00F410E1"/>
    <w:rsid w:val="00F4158C"/>
    <w:rsid w:val="00F416A2"/>
    <w:rsid w:val="00F4187B"/>
    <w:rsid w:val="00F41F2F"/>
    <w:rsid w:val="00F4242E"/>
    <w:rsid w:val="00F42519"/>
    <w:rsid w:val="00F42AA2"/>
    <w:rsid w:val="00F43861"/>
    <w:rsid w:val="00F4386B"/>
    <w:rsid w:val="00F4395C"/>
    <w:rsid w:val="00F43B0B"/>
    <w:rsid w:val="00F43BC7"/>
    <w:rsid w:val="00F44E5F"/>
    <w:rsid w:val="00F44F16"/>
    <w:rsid w:val="00F454CF"/>
    <w:rsid w:val="00F45AC5"/>
    <w:rsid w:val="00F45E54"/>
    <w:rsid w:val="00F4611C"/>
    <w:rsid w:val="00F46BBA"/>
    <w:rsid w:val="00F47ECC"/>
    <w:rsid w:val="00F50151"/>
    <w:rsid w:val="00F50AE2"/>
    <w:rsid w:val="00F51020"/>
    <w:rsid w:val="00F51378"/>
    <w:rsid w:val="00F51B78"/>
    <w:rsid w:val="00F52111"/>
    <w:rsid w:val="00F52974"/>
    <w:rsid w:val="00F53099"/>
    <w:rsid w:val="00F535C5"/>
    <w:rsid w:val="00F53AAC"/>
    <w:rsid w:val="00F53AD4"/>
    <w:rsid w:val="00F5495D"/>
    <w:rsid w:val="00F54965"/>
    <w:rsid w:val="00F54B1C"/>
    <w:rsid w:val="00F550ED"/>
    <w:rsid w:val="00F5551D"/>
    <w:rsid w:val="00F565B9"/>
    <w:rsid w:val="00F5693E"/>
    <w:rsid w:val="00F56971"/>
    <w:rsid w:val="00F574B6"/>
    <w:rsid w:val="00F57657"/>
    <w:rsid w:val="00F57775"/>
    <w:rsid w:val="00F578E0"/>
    <w:rsid w:val="00F579E6"/>
    <w:rsid w:val="00F57EE7"/>
    <w:rsid w:val="00F60E8B"/>
    <w:rsid w:val="00F6108E"/>
    <w:rsid w:val="00F61472"/>
    <w:rsid w:val="00F61C9F"/>
    <w:rsid w:val="00F61CC9"/>
    <w:rsid w:val="00F61DDC"/>
    <w:rsid w:val="00F622F8"/>
    <w:rsid w:val="00F632A5"/>
    <w:rsid w:val="00F63339"/>
    <w:rsid w:val="00F634F8"/>
    <w:rsid w:val="00F6369B"/>
    <w:rsid w:val="00F637B8"/>
    <w:rsid w:val="00F64843"/>
    <w:rsid w:val="00F649C1"/>
    <w:rsid w:val="00F65353"/>
    <w:rsid w:val="00F65361"/>
    <w:rsid w:val="00F65648"/>
    <w:rsid w:val="00F65900"/>
    <w:rsid w:val="00F65A38"/>
    <w:rsid w:val="00F66115"/>
    <w:rsid w:val="00F664E9"/>
    <w:rsid w:val="00F66B6E"/>
    <w:rsid w:val="00F67172"/>
    <w:rsid w:val="00F6757B"/>
    <w:rsid w:val="00F67D79"/>
    <w:rsid w:val="00F70007"/>
    <w:rsid w:val="00F704F3"/>
    <w:rsid w:val="00F70C04"/>
    <w:rsid w:val="00F70FCE"/>
    <w:rsid w:val="00F71398"/>
    <w:rsid w:val="00F71790"/>
    <w:rsid w:val="00F719D3"/>
    <w:rsid w:val="00F71BE6"/>
    <w:rsid w:val="00F7239B"/>
    <w:rsid w:val="00F724B9"/>
    <w:rsid w:val="00F7298C"/>
    <w:rsid w:val="00F72A7C"/>
    <w:rsid w:val="00F72C4B"/>
    <w:rsid w:val="00F72DC5"/>
    <w:rsid w:val="00F730B4"/>
    <w:rsid w:val="00F730DE"/>
    <w:rsid w:val="00F73C5A"/>
    <w:rsid w:val="00F740DE"/>
    <w:rsid w:val="00F74406"/>
    <w:rsid w:val="00F7474E"/>
    <w:rsid w:val="00F75362"/>
    <w:rsid w:val="00F763BD"/>
    <w:rsid w:val="00F76899"/>
    <w:rsid w:val="00F77939"/>
    <w:rsid w:val="00F77B8F"/>
    <w:rsid w:val="00F802DE"/>
    <w:rsid w:val="00F80380"/>
    <w:rsid w:val="00F80515"/>
    <w:rsid w:val="00F80954"/>
    <w:rsid w:val="00F8215E"/>
    <w:rsid w:val="00F8256E"/>
    <w:rsid w:val="00F828E9"/>
    <w:rsid w:val="00F82A23"/>
    <w:rsid w:val="00F82C51"/>
    <w:rsid w:val="00F82CAE"/>
    <w:rsid w:val="00F82FB3"/>
    <w:rsid w:val="00F83300"/>
    <w:rsid w:val="00F8398F"/>
    <w:rsid w:val="00F83E03"/>
    <w:rsid w:val="00F84058"/>
    <w:rsid w:val="00F8406F"/>
    <w:rsid w:val="00F84542"/>
    <w:rsid w:val="00F84BC1"/>
    <w:rsid w:val="00F851F3"/>
    <w:rsid w:val="00F85311"/>
    <w:rsid w:val="00F8547E"/>
    <w:rsid w:val="00F85510"/>
    <w:rsid w:val="00F85513"/>
    <w:rsid w:val="00F85DCC"/>
    <w:rsid w:val="00F865F8"/>
    <w:rsid w:val="00F866EC"/>
    <w:rsid w:val="00F86820"/>
    <w:rsid w:val="00F86EE3"/>
    <w:rsid w:val="00F87055"/>
    <w:rsid w:val="00F8730A"/>
    <w:rsid w:val="00F9014E"/>
    <w:rsid w:val="00F901D5"/>
    <w:rsid w:val="00F90359"/>
    <w:rsid w:val="00F907B3"/>
    <w:rsid w:val="00F908A2"/>
    <w:rsid w:val="00F9094A"/>
    <w:rsid w:val="00F90BDB"/>
    <w:rsid w:val="00F913AF"/>
    <w:rsid w:val="00F91435"/>
    <w:rsid w:val="00F914BF"/>
    <w:rsid w:val="00F91509"/>
    <w:rsid w:val="00F91634"/>
    <w:rsid w:val="00F91885"/>
    <w:rsid w:val="00F91BDF"/>
    <w:rsid w:val="00F92025"/>
    <w:rsid w:val="00F93CB3"/>
    <w:rsid w:val="00F93D9A"/>
    <w:rsid w:val="00F93FB2"/>
    <w:rsid w:val="00F9418C"/>
    <w:rsid w:val="00F94464"/>
    <w:rsid w:val="00F9447E"/>
    <w:rsid w:val="00F94697"/>
    <w:rsid w:val="00F94EBD"/>
    <w:rsid w:val="00F952FE"/>
    <w:rsid w:val="00F95793"/>
    <w:rsid w:val="00F95A5F"/>
    <w:rsid w:val="00F9612D"/>
    <w:rsid w:val="00F966A5"/>
    <w:rsid w:val="00F96849"/>
    <w:rsid w:val="00F969EF"/>
    <w:rsid w:val="00F96E6C"/>
    <w:rsid w:val="00F97097"/>
    <w:rsid w:val="00F974BE"/>
    <w:rsid w:val="00F97D72"/>
    <w:rsid w:val="00FA05F8"/>
    <w:rsid w:val="00FA0D72"/>
    <w:rsid w:val="00FA0FFB"/>
    <w:rsid w:val="00FA1521"/>
    <w:rsid w:val="00FA1D1B"/>
    <w:rsid w:val="00FA222C"/>
    <w:rsid w:val="00FA26C7"/>
    <w:rsid w:val="00FA2FAE"/>
    <w:rsid w:val="00FA3198"/>
    <w:rsid w:val="00FA35BE"/>
    <w:rsid w:val="00FA36EF"/>
    <w:rsid w:val="00FA3BA8"/>
    <w:rsid w:val="00FA3F84"/>
    <w:rsid w:val="00FA4C6E"/>
    <w:rsid w:val="00FA4FFE"/>
    <w:rsid w:val="00FA51EB"/>
    <w:rsid w:val="00FA53A4"/>
    <w:rsid w:val="00FA53DD"/>
    <w:rsid w:val="00FA550B"/>
    <w:rsid w:val="00FA5928"/>
    <w:rsid w:val="00FA623F"/>
    <w:rsid w:val="00FA6B28"/>
    <w:rsid w:val="00FA714C"/>
    <w:rsid w:val="00FA71B2"/>
    <w:rsid w:val="00FA79CE"/>
    <w:rsid w:val="00FA7B46"/>
    <w:rsid w:val="00FA7D7C"/>
    <w:rsid w:val="00FB02CC"/>
    <w:rsid w:val="00FB20D3"/>
    <w:rsid w:val="00FB22E5"/>
    <w:rsid w:val="00FB3006"/>
    <w:rsid w:val="00FB3A46"/>
    <w:rsid w:val="00FB3AC4"/>
    <w:rsid w:val="00FB3CDB"/>
    <w:rsid w:val="00FB3D45"/>
    <w:rsid w:val="00FB4279"/>
    <w:rsid w:val="00FB4330"/>
    <w:rsid w:val="00FB443F"/>
    <w:rsid w:val="00FB4496"/>
    <w:rsid w:val="00FB45C5"/>
    <w:rsid w:val="00FB48E4"/>
    <w:rsid w:val="00FB4F38"/>
    <w:rsid w:val="00FB5381"/>
    <w:rsid w:val="00FB552D"/>
    <w:rsid w:val="00FB6A7D"/>
    <w:rsid w:val="00FB776E"/>
    <w:rsid w:val="00FB791D"/>
    <w:rsid w:val="00FB7CDD"/>
    <w:rsid w:val="00FC0159"/>
    <w:rsid w:val="00FC03C5"/>
    <w:rsid w:val="00FC078B"/>
    <w:rsid w:val="00FC0A77"/>
    <w:rsid w:val="00FC101B"/>
    <w:rsid w:val="00FC18D0"/>
    <w:rsid w:val="00FC2324"/>
    <w:rsid w:val="00FC2461"/>
    <w:rsid w:val="00FC2B8E"/>
    <w:rsid w:val="00FC2C06"/>
    <w:rsid w:val="00FC346F"/>
    <w:rsid w:val="00FC3779"/>
    <w:rsid w:val="00FC384C"/>
    <w:rsid w:val="00FC3A77"/>
    <w:rsid w:val="00FC3C23"/>
    <w:rsid w:val="00FC42C9"/>
    <w:rsid w:val="00FC4550"/>
    <w:rsid w:val="00FC4EEF"/>
    <w:rsid w:val="00FC4F80"/>
    <w:rsid w:val="00FC5125"/>
    <w:rsid w:val="00FC51FF"/>
    <w:rsid w:val="00FC5E52"/>
    <w:rsid w:val="00FC5FB4"/>
    <w:rsid w:val="00FC6544"/>
    <w:rsid w:val="00FC67F8"/>
    <w:rsid w:val="00FC6EB7"/>
    <w:rsid w:val="00FC742E"/>
    <w:rsid w:val="00FC7D61"/>
    <w:rsid w:val="00FC7E74"/>
    <w:rsid w:val="00FD0264"/>
    <w:rsid w:val="00FD0D02"/>
    <w:rsid w:val="00FD0D84"/>
    <w:rsid w:val="00FD109E"/>
    <w:rsid w:val="00FD1524"/>
    <w:rsid w:val="00FD2443"/>
    <w:rsid w:val="00FD356B"/>
    <w:rsid w:val="00FD3B6B"/>
    <w:rsid w:val="00FD44DB"/>
    <w:rsid w:val="00FD479E"/>
    <w:rsid w:val="00FD47D1"/>
    <w:rsid w:val="00FD49C9"/>
    <w:rsid w:val="00FD4D08"/>
    <w:rsid w:val="00FD57F3"/>
    <w:rsid w:val="00FD5ADC"/>
    <w:rsid w:val="00FD5FB3"/>
    <w:rsid w:val="00FD6582"/>
    <w:rsid w:val="00FD6C60"/>
    <w:rsid w:val="00FD6CE3"/>
    <w:rsid w:val="00FD7820"/>
    <w:rsid w:val="00FD79E2"/>
    <w:rsid w:val="00FD7A43"/>
    <w:rsid w:val="00FD7DDA"/>
    <w:rsid w:val="00FE01BF"/>
    <w:rsid w:val="00FE0E36"/>
    <w:rsid w:val="00FE11D2"/>
    <w:rsid w:val="00FE19E1"/>
    <w:rsid w:val="00FE1E9F"/>
    <w:rsid w:val="00FE2D2A"/>
    <w:rsid w:val="00FE3134"/>
    <w:rsid w:val="00FE40AE"/>
    <w:rsid w:val="00FE4594"/>
    <w:rsid w:val="00FE45A3"/>
    <w:rsid w:val="00FE55E8"/>
    <w:rsid w:val="00FE5BC9"/>
    <w:rsid w:val="00FE6D74"/>
    <w:rsid w:val="00FE790F"/>
    <w:rsid w:val="00FE7C09"/>
    <w:rsid w:val="00FE7D99"/>
    <w:rsid w:val="00FF0833"/>
    <w:rsid w:val="00FF0CE8"/>
    <w:rsid w:val="00FF129C"/>
    <w:rsid w:val="00FF1EC8"/>
    <w:rsid w:val="00FF23F0"/>
    <w:rsid w:val="00FF2BA2"/>
    <w:rsid w:val="00FF2C74"/>
    <w:rsid w:val="00FF2F27"/>
    <w:rsid w:val="00FF2FA1"/>
    <w:rsid w:val="00FF38F4"/>
    <w:rsid w:val="00FF48BE"/>
    <w:rsid w:val="00FF50AE"/>
    <w:rsid w:val="00FF50CA"/>
    <w:rsid w:val="00FF51DF"/>
    <w:rsid w:val="00FF5BA3"/>
    <w:rsid w:val="00FF5E97"/>
    <w:rsid w:val="00FF61B0"/>
    <w:rsid w:val="00FF61FF"/>
    <w:rsid w:val="00FF6E79"/>
    <w:rsid w:val="00FF6F65"/>
    <w:rsid w:val="00FF720E"/>
    <w:rsid w:val="00FF7552"/>
    <w:rsid w:val="00FF767E"/>
    <w:rsid w:val="00FF7804"/>
    <w:rsid w:val="00FF7BC8"/>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3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CE7FD3"/>
    <w:pPr>
      <w:shd w:val="clear" w:color="auto" w:fill="000080"/>
    </w:pPr>
    <w:rPr>
      <w:rFonts w:ascii="Tahoma" w:hAnsi="Tahoma" w:cs="Tahoma"/>
    </w:rPr>
  </w:style>
  <w:style w:type="paragraph" w:styleId="BalloonText">
    <w:name w:val="Balloon Text"/>
    <w:basedOn w:val="Normal"/>
    <w:link w:val="BalloonTextChar"/>
    <w:uiPriority w:val="99"/>
    <w:semiHidden/>
    <w:rsid w:val="00CE7FD3"/>
    <w:rPr>
      <w:rFonts w:ascii="Tahoma" w:hAnsi="Tahoma" w:cs="Tahoma"/>
      <w:sz w:val="16"/>
      <w:szCs w:val="16"/>
    </w:rPr>
  </w:style>
  <w:style w:type="paragraph" w:styleId="Header">
    <w:name w:val="header"/>
    <w:basedOn w:val="Normal"/>
    <w:link w:val="HeaderChar"/>
    <w:uiPriority w:val="99"/>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uiPriority w:val="99"/>
    <w:semiHidden/>
    <w:rsid w:val="004E1F2B"/>
    <w:rPr>
      <w:sz w:val="20"/>
      <w:szCs w:val="20"/>
    </w:rPr>
  </w:style>
  <w:style w:type="character" w:styleId="FootnoteReference">
    <w:name w:val="footnote reference"/>
    <w:basedOn w:val="DefaultParagraphFont"/>
    <w:uiPriority w:val="99"/>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uiPriority w:val="99"/>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uiPriority w:val="99"/>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uiPriority w:val="99"/>
    <w:rsid w:val="009E5246"/>
    <w:pPr>
      <w:spacing w:after="200"/>
    </w:pPr>
    <w:rPr>
      <w:sz w:val="24"/>
      <w:szCs w:val="24"/>
      <w:lang w:val="en-GB" w:eastAsia="en-US"/>
    </w:rPr>
  </w:style>
  <w:style w:type="paragraph" w:styleId="BodyText">
    <w:name w:val="Body Text"/>
    <w:basedOn w:val="Normal"/>
    <w:link w:val="BodyTextChar"/>
    <w:uiPriority w:val="99"/>
    <w:rsid w:val="005E4616"/>
    <w:rPr>
      <w:szCs w:val="20"/>
      <w:lang w:val="en-US" w:bidi="ar-SA"/>
    </w:rPr>
  </w:style>
  <w:style w:type="character" w:customStyle="1" w:styleId="BodyTextChar">
    <w:name w:val="Body Text Char"/>
    <w:basedOn w:val="DefaultParagraphFont"/>
    <w:link w:val="BodyText"/>
    <w:uiPriority w:val="99"/>
    <w:rsid w:val="005E4616"/>
    <w:rPr>
      <w:sz w:val="24"/>
      <w:lang w:val="en-US" w:eastAsia="en-US"/>
    </w:rPr>
  </w:style>
  <w:style w:type="paragraph" w:styleId="ListParagraph">
    <w:name w:val="List Paragraph"/>
    <w:basedOn w:val="Normal"/>
    <w:link w:val="ListParagraphChar"/>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uiPriority w:val="99"/>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uiPriority w:val="99"/>
    <w:semiHidden/>
    <w:rsid w:val="00980246"/>
    <w:rPr>
      <w:rFonts w:ascii="Tahoma" w:hAnsi="Tahoma" w:cs="Tahoma"/>
      <w:sz w:val="16"/>
      <w:szCs w:val="16"/>
      <w:lang w:eastAsia="en-US" w:bidi="he-IL"/>
    </w:rPr>
  </w:style>
  <w:style w:type="character" w:customStyle="1" w:styleId="HeaderChar">
    <w:name w:val="Header Char"/>
    <w:basedOn w:val="DefaultParagraphFont"/>
    <w:link w:val="Header"/>
    <w:uiPriority w:val="99"/>
    <w:rsid w:val="00980246"/>
    <w:rPr>
      <w:sz w:val="24"/>
      <w:szCs w:val="24"/>
      <w:lang w:eastAsia="en-US" w:bidi="he-IL"/>
    </w:rPr>
  </w:style>
  <w:style w:type="character" w:customStyle="1" w:styleId="FootnoteTextChar">
    <w:name w:val="Footnote Text Char"/>
    <w:basedOn w:val="DefaultParagraphFont"/>
    <w:link w:val="FootnoteText"/>
    <w:uiPriority w:val="99"/>
    <w:semiHidden/>
    <w:rsid w:val="00980246"/>
    <w:rPr>
      <w:lang w:eastAsia="en-US" w:bidi="he-IL"/>
    </w:rPr>
  </w:style>
  <w:style w:type="character" w:customStyle="1" w:styleId="CommentSubjectChar">
    <w:name w:val="Comment Subject Char"/>
    <w:basedOn w:val="CommentTextChar"/>
    <w:link w:val="CommentSubject"/>
    <w:uiPriority w:val="99"/>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EB2DD6"/>
    <w:pPr>
      <w:spacing w:before="120"/>
      <w:jc w:val="left"/>
    </w:pPr>
    <w:rPr>
      <w:b/>
      <w:sz w:val="24"/>
    </w:rPr>
  </w:style>
  <w:style w:type="paragraph" w:styleId="TOC2">
    <w:name w:val="toc 2"/>
    <w:basedOn w:val="Normal"/>
    <w:next w:val="Normal"/>
    <w:autoRedefine/>
    <w:uiPriority w:val="39"/>
    <w:unhideWhenUsed/>
    <w:rsid w:val="00EB2DD6"/>
    <w:pPr>
      <w:ind w:left="220"/>
      <w:jc w:val="left"/>
    </w:pPr>
    <w:rPr>
      <w:b/>
      <w:szCs w:val="22"/>
    </w:rPr>
  </w:style>
  <w:style w:type="paragraph" w:styleId="TOC3">
    <w:name w:val="toc 3"/>
    <w:basedOn w:val="Normal"/>
    <w:next w:val="Normal"/>
    <w:autoRedefine/>
    <w:uiPriority w:val="39"/>
    <w:unhideWhenUsed/>
    <w:rsid w:val="00EB2DD6"/>
    <w:pPr>
      <w:ind w:left="440"/>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 w:type="character" w:styleId="Strong">
    <w:name w:val="Strong"/>
    <w:basedOn w:val="DefaultParagraphFont"/>
    <w:uiPriority w:val="22"/>
    <w:qFormat/>
    <w:rsid w:val="00B91531"/>
    <w:rPr>
      <w:b/>
      <w:bCs/>
    </w:rPr>
  </w:style>
  <w:style w:type="paragraph" w:styleId="Quote">
    <w:name w:val="Quote"/>
    <w:basedOn w:val="Normal"/>
    <w:link w:val="QuoteChar"/>
    <w:qFormat/>
    <w:rsid w:val="004046E2"/>
    <w:pPr>
      <w:tabs>
        <w:tab w:val="left" w:pos="1134"/>
        <w:tab w:val="left" w:pos="3686"/>
      </w:tabs>
      <w:spacing w:after="240"/>
      <w:ind w:left="340"/>
    </w:pPr>
    <w:rPr>
      <w:rFonts w:ascii="Times New Roman" w:hAnsi="Times New Roman"/>
      <w:sz w:val="24"/>
      <w:lang w:bidi="ar-SA"/>
    </w:rPr>
  </w:style>
  <w:style w:type="character" w:customStyle="1" w:styleId="QuoteChar">
    <w:name w:val="Quote Char"/>
    <w:basedOn w:val="DefaultParagraphFont"/>
    <w:link w:val="Quote"/>
    <w:rsid w:val="004046E2"/>
    <w:rPr>
      <w:sz w:val="24"/>
      <w:szCs w:val="24"/>
      <w:lang w:eastAsia="en-US"/>
    </w:rPr>
  </w:style>
  <w:style w:type="character" w:customStyle="1" w:styleId="ListParagraphChar">
    <w:name w:val="List Paragraph Char"/>
    <w:basedOn w:val="DefaultParagraphFont"/>
    <w:link w:val="ListParagraph"/>
    <w:uiPriority w:val="34"/>
    <w:rsid w:val="00F72DC5"/>
    <w:rPr>
      <w:rFonts w:asciiTheme="minorHAnsi" w:hAnsiTheme="minorHAnsi"/>
      <w:sz w:val="22"/>
      <w:szCs w:val="24"/>
      <w:lang w:eastAsia="en-US" w:bidi="he-IL"/>
    </w:rPr>
  </w:style>
  <w:style w:type="paragraph" w:customStyle="1" w:styleId="abclist">
    <w:name w:val="abc list"/>
    <w:basedOn w:val="ListParagraph"/>
    <w:link w:val="abclistChar"/>
    <w:qFormat/>
    <w:rsid w:val="00F72DC5"/>
    <w:pPr>
      <w:numPr>
        <w:numId w:val="1"/>
      </w:numPr>
      <w:tabs>
        <w:tab w:val="left" w:pos="284"/>
      </w:tabs>
      <w:spacing w:after="240"/>
    </w:pPr>
    <w:rPr>
      <w:rFonts w:eastAsiaTheme="minorHAnsi" w:cstheme="minorBidi"/>
      <w:sz w:val="24"/>
      <w:szCs w:val="22"/>
    </w:rPr>
  </w:style>
  <w:style w:type="paragraph" w:customStyle="1" w:styleId="abclist2">
    <w:name w:val="abc list2"/>
    <w:basedOn w:val="abclist"/>
    <w:link w:val="abclist2Char"/>
    <w:qFormat/>
    <w:rsid w:val="00F72DC5"/>
    <w:pPr>
      <w:numPr>
        <w:numId w:val="0"/>
      </w:numPr>
      <w:tabs>
        <w:tab w:val="clear" w:pos="284"/>
        <w:tab w:val="left" w:pos="426"/>
      </w:tabs>
      <w:ind w:left="426" w:hanging="426"/>
    </w:pPr>
  </w:style>
  <w:style w:type="character" w:customStyle="1" w:styleId="abclistChar">
    <w:name w:val="abc list Char"/>
    <w:basedOn w:val="ListParagraphChar"/>
    <w:link w:val="abclist"/>
    <w:rsid w:val="00F72DC5"/>
    <w:rPr>
      <w:rFonts w:asciiTheme="minorHAnsi" w:eastAsiaTheme="minorHAnsi" w:hAnsiTheme="minorHAnsi" w:cstheme="minorBidi"/>
      <w:sz w:val="24"/>
      <w:szCs w:val="22"/>
      <w:lang w:eastAsia="en-US" w:bidi="he-IL"/>
    </w:rPr>
  </w:style>
  <w:style w:type="character" w:customStyle="1" w:styleId="abclist2Char">
    <w:name w:val="abc list2 Char"/>
    <w:basedOn w:val="abclistChar"/>
    <w:link w:val="abclist2"/>
    <w:rsid w:val="00F72DC5"/>
    <w:rPr>
      <w:rFonts w:asciiTheme="minorHAnsi" w:eastAsiaTheme="minorHAnsi" w:hAnsiTheme="minorHAnsi" w:cstheme="minorBidi"/>
      <w:sz w:val="24"/>
      <w:szCs w:val="22"/>
      <w:lang w:eastAsia="en-US" w:bidi="he-IL"/>
    </w:rPr>
  </w:style>
  <w:style w:type="paragraph" w:customStyle="1" w:styleId="Paranumbered">
    <w:name w:val="Para numbered"/>
    <w:basedOn w:val="Normal"/>
    <w:rsid w:val="00232DCF"/>
    <w:pPr>
      <w:numPr>
        <w:numId w:val="11"/>
      </w:numPr>
      <w:spacing w:after="240"/>
    </w:pPr>
    <w:rPr>
      <w:rFonts w:ascii="Times New Roman" w:hAnsi="Times New Roman"/>
      <w:sz w:val="24"/>
      <w:lang w:bidi="ar-SA"/>
    </w:rPr>
  </w:style>
  <w:style w:type="paragraph" w:customStyle="1" w:styleId="Recommendationfinalpoint">
    <w:name w:val="Recommendation final point"/>
    <w:basedOn w:val="Bulletindent"/>
    <w:next w:val="Paranumbered"/>
    <w:qFormat/>
    <w:rsid w:val="00232DCF"/>
    <w:pPr>
      <w:numPr>
        <w:numId w:val="12"/>
      </w:numPr>
      <w:tabs>
        <w:tab w:val="left" w:pos="425"/>
      </w:tabs>
      <w:spacing w:after="240"/>
      <w:ind w:left="357" w:hanging="357"/>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CE7FD3"/>
    <w:pPr>
      <w:shd w:val="clear" w:color="auto" w:fill="000080"/>
    </w:pPr>
    <w:rPr>
      <w:rFonts w:ascii="Tahoma" w:hAnsi="Tahoma" w:cs="Tahoma"/>
    </w:rPr>
  </w:style>
  <w:style w:type="paragraph" w:styleId="BalloonText">
    <w:name w:val="Balloon Text"/>
    <w:basedOn w:val="Normal"/>
    <w:link w:val="BalloonTextChar"/>
    <w:uiPriority w:val="99"/>
    <w:semiHidden/>
    <w:rsid w:val="00CE7FD3"/>
    <w:rPr>
      <w:rFonts w:ascii="Tahoma" w:hAnsi="Tahoma" w:cs="Tahoma"/>
      <w:sz w:val="16"/>
      <w:szCs w:val="16"/>
    </w:rPr>
  </w:style>
  <w:style w:type="paragraph" w:styleId="Header">
    <w:name w:val="header"/>
    <w:basedOn w:val="Normal"/>
    <w:link w:val="HeaderChar"/>
    <w:uiPriority w:val="99"/>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uiPriority w:val="99"/>
    <w:semiHidden/>
    <w:rsid w:val="004E1F2B"/>
    <w:rPr>
      <w:sz w:val="20"/>
      <w:szCs w:val="20"/>
    </w:rPr>
  </w:style>
  <w:style w:type="character" w:styleId="FootnoteReference">
    <w:name w:val="footnote reference"/>
    <w:basedOn w:val="DefaultParagraphFont"/>
    <w:uiPriority w:val="99"/>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uiPriority w:val="99"/>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uiPriority w:val="99"/>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uiPriority w:val="99"/>
    <w:rsid w:val="009E5246"/>
    <w:pPr>
      <w:spacing w:after="200"/>
    </w:pPr>
    <w:rPr>
      <w:sz w:val="24"/>
      <w:szCs w:val="24"/>
      <w:lang w:val="en-GB" w:eastAsia="en-US"/>
    </w:rPr>
  </w:style>
  <w:style w:type="paragraph" w:styleId="BodyText">
    <w:name w:val="Body Text"/>
    <w:basedOn w:val="Normal"/>
    <w:link w:val="BodyTextChar"/>
    <w:uiPriority w:val="99"/>
    <w:rsid w:val="005E4616"/>
    <w:rPr>
      <w:szCs w:val="20"/>
      <w:lang w:val="en-US" w:bidi="ar-SA"/>
    </w:rPr>
  </w:style>
  <w:style w:type="character" w:customStyle="1" w:styleId="BodyTextChar">
    <w:name w:val="Body Text Char"/>
    <w:basedOn w:val="DefaultParagraphFont"/>
    <w:link w:val="BodyText"/>
    <w:uiPriority w:val="99"/>
    <w:rsid w:val="005E4616"/>
    <w:rPr>
      <w:sz w:val="24"/>
      <w:lang w:val="en-US" w:eastAsia="en-US"/>
    </w:rPr>
  </w:style>
  <w:style w:type="paragraph" w:styleId="ListParagraph">
    <w:name w:val="List Paragraph"/>
    <w:basedOn w:val="Normal"/>
    <w:link w:val="ListParagraphChar"/>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uiPriority w:val="99"/>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uiPriority w:val="99"/>
    <w:semiHidden/>
    <w:rsid w:val="00980246"/>
    <w:rPr>
      <w:rFonts w:ascii="Tahoma" w:hAnsi="Tahoma" w:cs="Tahoma"/>
      <w:sz w:val="16"/>
      <w:szCs w:val="16"/>
      <w:lang w:eastAsia="en-US" w:bidi="he-IL"/>
    </w:rPr>
  </w:style>
  <w:style w:type="character" w:customStyle="1" w:styleId="HeaderChar">
    <w:name w:val="Header Char"/>
    <w:basedOn w:val="DefaultParagraphFont"/>
    <w:link w:val="Header"/>
    <w:uiPriority w:val="99"/>
    <w:rsid w:val="00980246"/>
    <w:rPr>
      <w:sz w:val="24"/>
      <w:szCs w:val="24"/>
      <w:lang w:eastAsia="en-US" w:bidi="he-IL"/>
    </w:rPr>
  </w:style>
  <w:style w:type="character" w:customStyle="1" w:styleId="FootnoteTextChar">
    <w:name w:val="Footnote Text Char"/>
    <w:basedOn w:val="DefaultParagraphFont"/>
    <w:link w:val="FootnoteText"/>
    <w:uiPriority w:val="99"/>
    <w:semiHidden/>
    <w:rsid w:val="00980246"/>
    <w:rPr>
      <w:lang w:eastAsia="en-US" w:bidi="he-IL"/>
    </w:rPr>
  </w:style>
  <w:style w:type="character" w:customStyle="1" w:styleId="CommentSubjectChar">
    <w:name w:val="Comment Subject Char"/>
    <w:basedOn w:val="CommentTextChar"/>
    <w:link w:val="CommentSubject"/>
    <w:uiPriority w:val="99"/>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EB2DD6"/>
    <w:pPr>
      <w:spacing w:before="120"/>
      <w:jc w:val="left"/>
    </w:pPr>
    <w:rPr>
      <w:b/>
      <w:sz w:val="24"/>
    </w:rPr>
  </w:style>
  <w:style w:type="paragraph" w:styleId="TOC2">
    <w:name w:val="toc 2"/>
    <w:basedOn w:val="Normal"/>
    <w:next w:val="Normal"/>
    <w:autoRedefine/>
    <w:uiPriority w:val="39"/>
    <w:unhideWhenUsed/>
    <w:rsid w:val="00EB2DD6"/>
    <w:pPr>
      <w:ind w:left="220"/>
      <w:jc w:val="left"/>
    </w:pPr>
    <w:rPr>
      <w:b/>
      <w:szCs w:val="22"/>
    </w:rPr>
  </w:style>
  <w:style w:type="paragraph" w:styleId="TOC3">
    <w:name w:val="toc 3"/>
    <w:basedOn w:val="Normal"/>
    <w:next w:val="Normal"/>
    <w:autoRedefine/>
    <w:uiPriority w:val="39"/>
    <w:unhideWhenUsed/>
    <w:rsid w:val="00EB2DD6"/>
    <w:pPr>
      <w:ind w:left="440"/>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 w:type="character" w:styleId="Strong">
    <w:name w:val="Strong"/>
    <w:basedOn w:val="DefaultParagraphFont"/>
    <w:uiPriority w:val="22"/>
    <w:qFormat/>
    <w:rsid w:val="00B91531"/>
    <w:rPr>
      <w:b/>
      <w:bCs/>
    </w:rPr>
  </w:style>
  <w:style w:type="paragraph" w:styleId="Quote">
    <w:name w:val="Quote"/>
    <w:basedOn w:val="Normal"/>
    <w:link w:val="QuoteChar"/>
    <w:qFormat/>
    <w:rsid w:val="004046E2"/>
    <w:pPr>
      <w:tabs>
        <w:tab w:val="left" w:pos="1134"/>
        <w:tab w:val="left" w:pos="3686"/>
      </w:tabs>
      <w:spacing w:after="240"/>
      <w:ind w:left="340"/>
    </w:pPr>
    <w:rPr>
      <w:rFonts w:ascii="Times New Roman" w:hAnsi="Times New Roman"/>
      <w:sz w:val="24"/>
      <w:lang w:bidi="ar-SA"/>
    </w:rPr>
  </w:style>
  <w:style w:type="character" w:customStyle="1" w:styleId="QuoteChar">
    <w:name w:val="Quote Char"/>
    <w:basedOn w:val="DefaultParagraphFont"/>
    <w:link w:val="Quote"/>
    <w:rsid w:val="004046E2"/>
    <w:rPr>
      <w:sz w:val="24"/>
      <w:szCs w:val="24"/>
      <w:lang w:eastAsia="en-US"/>
    </w:rPr>
  </w:style>
  <w:style w:type="character" w:customStyle="1" w:styleId="ListParagraphChar">
    <w:name w:val="List Paragraph Char"/>
    <w:basedOn w:val="DefaultParagraphFont"/>
    <w:link w:val="ListParagraph"/>
    <w:uiPriority w:val="34"/>
    <w:rsid w:val="00F72DC5"/>
    <w:rPr>
      <w:rFonts w:asciiTheme="minorHAnsi" w:hAnsiTheme="minorHAnsi"/>
      <w:sz w:val="22"/>
      <w:szCs w:val="24"/>
      <w:lang w:eastAsia="en-US" w:bidi="he-IL"/>
    </w:rPr>
  </w:style>
  <w:style w:type="paragraph" w:customStyle="1" w:styleId="abclist">
    <w:name w:val="abc list"/>
    <w:basedOn w:val="ListParagraph"/>
    <w:link w:val="abclistChar"/>
    <w:qFormat/>
    <w:rsid w:val="00F72DC5"/>
    <w:pPr>
      <w:numPr>
        <w:numId w:val="1"/>
      </w:numPr>
      <w:tabs>
        <w:tab w:val="left" w:pos="284"/>
      </w:tabs>
      <w:spacing w:after="240"/>
    </w:pPr>
    <w:rPr>
      <w:rFonts w:eastAsiaTheme="minorHAnsi" w:cstheme="minorBidi"/>
      <w:sz w:val="24"/>
      <w:szCs w:val="22"/>
    </w:rPr>
  </w:style>
  <w:style w:type="paragraph" w:customStyle="1" w:styleId="abclist2">
    <w:name w:val="abc list2"/>
    <w:basedOn w:val="abclist"/>
    <w:link w:val="abclist2Char"/>
    <w:qFormat/>
    <w:rsid w:val="00F72DC5"/>
    <w:pPr>
      <w:numPr>
        <w:numId w:val="0"/>
      </w:numPr>
      <w:tabs>
        <w:tab w:val="clear" w:pos="284"/>
        <w:tab w:val="left" w:pos="426"/>
      </w:tabs>
      <w:ind w:left="426" w:hanging="426"/>
    </w:pPr>
  </w:style>
  <w:style w:type="character" w:customStyle="1" w:styleId="abclistChar">
    <w:name w:val="abc list Char"/>
    <w:basedOn w:val="ListParagraphChar"/>
    <w:link w:val="abclist"/>
    <w:rsid w:val="00F72DC5"/>
    <w:rPr>
      <w:rFonts w:asciiTheme="minorHAnsi" w:eastAsiaTheme="minorHAnsi" w:hAnsiTheme="minorHAnsi" w:cstheme="minorBidi"/>
      <w:sz w:val="24"/>
      <w:szCs w:val="22"/>
      <w:lang w:eastAsia="en-US" w:bidi="he-IL"/>
    </w:rPr>
  </w:style>
  <w:style w:type="character" w:customStyle="1" w:styleId="abclist2Char">
    <w:name w:val="abc list2 Char"/>
    <w:basedOn w:val="abclistChar"/>
    <w:link w:val="abclist2"/>
    <w:rsid w:val="00F72DC5"/>
    <w:rPr>
      <w:rFonts w:asciiTheme="minorHAnsi" w:eastAsiaTheme="minorHAnsi" w:hAnsiTheme="minorHAnsi" w:cstheme="minorBidi"/>
      <w:sz w:val="24"/>
      <w:szCs w:val="22"/>
      <w:lang w:eastAsia="en-US" w:bidi="he-IL"/>
    </w:rPr>
  </w:style>
  <w:style w:type="paragraph" w:customStyle="1" w:styleId="Paranumbered">
    <w:name w:val="Para numbered"/>
    <w:basedOn w:val="Normal"/>
    <w:rsid w:val="00232DCF"/>
    <w:pPr>
      <w:numPr>
        <w:numId w:val="11"/>
      </w:numPr>
      <w:spacing w:after="240"/>
    </w:pPr>
    <w:rPr>
      <w:rFonts w:ascii="Times New Roman" w:hAnsi="Times New Roman"/>
      <w:sz w:val="24"/>
      <w:lang w:bidi="ar-SA"/>
    </w:rPr>
  </w:style>
  <w:style w:type="paragraph" w:customStyle="1" w:styleId="Recommendationfinalpoint">
    <w:name w:val="Recommendation final point"/>
    <w:basedOn w:val="Bulletindent"/>
    <w:next w:val="Paranumbered"/>
    <w:qFormat/>
    <w:rsid w:val="00232DCF"/>
    <w:pPr>
      <w:numPr>
        <w:numId w:val="12"/>
      </w:numPr>
      <w:tabs>
        <w:tab w:val="left" w:pos="425"/>
      </w:tabs>
      <w:spacing w:after="240"/>
      <w:ind w:left="357" w:hanging="357"/>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928">
      <w:bodyDiv w:val="1"/>
      <w:marLeft w:val="0"/>
      <w:marRight w:val="0"/>
      <w:marTop w:val="0"/>
      <w:marBottom w:val="0"/>
      <w:divBdr>
        <w:top w:val="none" w:sz="0" w:space="0" w:color="auto"/>
        <w:left w:val="none" w:sz="0" w:space="0" w:color="auto"/>
        <w:bottom w:val="none" w:sz="0" w:space="0" w:color="auto"/>
        <w:right w:val="none" w:sz="0" w:space="0" w:color="auto"/>
      </w:divBdr>
    </w:div>
    <w:div w:id="19481019">
      <w:bodyDiv w:val="1"/>
      <w:marLeft w:val="0"/>
      <w:marRight w:val="0"/>
      <w:marTop w:val="0"/>
      <w:marBottom w:val="0"/>
      <w:divBdr>
        <w:top w:val="none" w:sz="0" w:space="0" w:color="auto"/>
        <w:left w:val="none" w:sz="0" w:space="0" w:color="auto"/>
        <w:bottom w:val="none" w:sz="0" w:space="0" w:color="auto"/>
        <w:right w:val="none" w:sz="0" w:space="0" w:color="auto"/>
      </w:divBdr>
    </w:div>
    <w:div w:id="38747662">
      <w:bodyDiv w:val="1"/>
      <w:marLeft w:val="0"/>
      <w:marRight w:val="0"/>
      <w:marTop w:val="0"/>
      <w:marBottom w:val="0"/>
      <w:divBdr>
        <w:top w:val="none" w:sz="0" w:space="0" w:color="auto"/>
        <w:left w:val="none" w:sz="0" w:space="0" w:color="auto"/>
        <w:bottom w:val="none" w:sz="0" w:space="0" w:color="auto"/>
        <w:right w:val="none" w:sz="0" w:space="0" w:color="auto"/>
      </w:divBdr>
    </w:div>
    <w:div w:id="76247826">
      <w:bodyDiv w:val="1"/>
      <w:marLeft w:val="0"/>
      <w:marRight w:val="0"/>
      <w:marTop w:val="0"/>
      <w:marBottom w:val="0"/>
      <w:divBdr>
        <w:top w:val="none" w:sz="0" w:space="0" w:color="auto"/>
        <w:left w:val="none" w:sz="0" w:space="0" w:color="auto"/>
        <w:bottom w:val="none" w:sz="0" w:space="0" w:color="auto"/>
        <w:right w:val="none" w:sz="0" w:space="0" w:color="auto"/>
      </w:divBdr>
    </w:div>
    <w:div w:id="84424373">
      <w:bodyDiv w:val="1"/>
      <w:marLeft w:val="0"/>
      <w:marRight w:val="0"/>
      <w:marTop w:val="0"/>
      <w:marBottom w:val="0"/>
      <w:divBdr>
        <w:top w:val="none" w:sz="0" w:space="0" w:color="auto"/>
        <w:left w:val="none" w:sz="0" w:space="0" w:color="auto"/>
        <w:bottom w:val="none" w:sz="0" w:space="0" w:color="auto"/>
        <w:right w:val="none" w:sz="0" w:space="0" w:color="auto"/>
      </w:divBdr>
    </w:div>
    <w:div w:id="85268222">
      <w:bodyDiv w:val="1"/>
      <w:marLeft w:val="0"/>
      <w:marRight w:val="0"/>
      <w:marTop w:val="0"/>
      <w:marBottom w:val="0"/>
      <w:divBdr>
        <w:top w:val="none" w:sz="0" w:space="0" w:color="auto"/>
        <w:left w:val="none" w:sz="0" w:space="0" w:color="auto"/>
        <w:bottom w:val="none" w:sz="0" w:space="0" w:color="auto"/>
        <w:right w:val="none" w:sz="0" w:space="0" w:color="auto"/>
      </w:divBdr>
    </w:div>
    <w:div w:id="102263798">
      <w:bodyDiv w:val="1"/>
      <w:marLeft w:val="0"/>
      <w:marRight w:val="0"/>
      <w:marTop w:val="0"/>
      <w:marBottom w:val="0"/>
      <w:divBdr>
        <w:top w:val="none" w:sz="0" w:space="0" w:color="auto"/>
        <w:left w:val="none" w:sz="0" w:space="0" w:color="auto"/>
        <w:bottom w:val="none" w:sz="0" w:space="0" w:color="auto"/>
        <w:right w:val="none" w:sz="0" w:space="0" w:color="auto"/>
      </w:divBdr>
    </w:div>
    <w:div w:id="102530597">
      <w:bodyDiv w:val="1"/>
      <w:marLeft w:val="0"/>
      <w:marRight w:val="0"/>
      <w:marTop w:val="0"/>
      <w:marBottom w:val="0"/>
      <w:divBdr>
        <w:top w:val="none" w:sz="0" w:space="0" w:color="auto"/>
        <w:left w:val="none" w:sz="0" w:space="0" w:color="auto"/>
        <w:bottom w:val="none" w:sz="0" w:space="0" w:color="auto"/>
        <w:right w:val="none" w:sz="0" w:space="0" w:color="auto"/>
      </w:divBdr>
    </w:div>
    <w:div w:id="126162975">
      <w:bodyDiv w:val="1"/>
      <w:marLeft w:val="0"/>
      <w:marRight w:val="0"/>
      <w:marTop w:val="0"/>
      <w:marBottom w:val="0"/>
      <w:divBdr>
        <w:top w:val="none" w:sz="0" w:space="0" w:color="auto"/>
        <w:left w:val="none" w:sz="0" w:space="0" w:color="auto"/>
        <w:bottom w:val="none" w:sz="0" w:space="0" w:color="auto"/>
        <w:right w:val="none" w:sz="0" w:space="0" w:color="auto"/>
      </w:divBdr>
    </w:div>
    <w:div w:id="159154042">
      <w:bodyDiv w:val="1"/>
      <w:marLeft w:val="0"/>
      <w:marRight w:val="0"/>
      <w:marTop w:val="0"/>
      <w:marBottom w:val="0"/>
      <w:divBdr>
        <w:top w:val="none" w:sz="0" w:space="0" w:color="auto"/>
        <w:left w:val="none" w:sz="0" w:space="0" w:color="auto"/>
        <w:bottom w:val="none" w:sz="0" w:space="0" w:color="auto"/>
        <w:right w:val="none" w:sz="0" w:space="0" w:color="auto"/>
      </w:divBdr>
    </w:div>
    <w:div w:id="161507933">
      <w:bodyDiv w:val="1"/>
      <w:marLeft w:val="0"/>
      <w:marRight w:val="0"/>
      <w:marTop w:val="0"/>
      <w:marBottom w:val="0"/>
      <w:divBdr>
        <w:top w:val="none" w:sz="0" w:space="0" w:color="auto"/>
        <w:left w:val="none" w:sz="0" w:space="0" w:color="auto"/>
        <w:bottom w:val="none" w:sz="0" w:space="0" w:color="auto"/>
        <w:right w:val="none" w:sz="0" w:space="0" w:color="auto"/>
      </w:divBdr>
    </w:div>
    <w:div w:id="179466554">
      <w:bodyDiv w:val="1"/>
      <w:marLeft w:val="0"/>
      <w:marRight w:val="0"/>
      <w:marTop w:val="0"/>
      <w:marBottom w:val="0"/>
      <w:divBdr>
        <w:top w:val="none" w:sz="0" w:space="0" w:color="auto"/>
        <w:left w:val="none" w:sz="0" w:space="0" w:color="auto"/>
        <w:bottom w:val="none" w:sz="0" w:space="0" w:color="auto"/>
        <w:right w:val="none" w:sz="0" w:space="0" w:color="auto"/>
      </w:divBdr>
    </w:div>
    <w:div w:id="185949696">
      <w:bodyDiv w:val="1"/>
      <w:marLeft w:val="0"/>
      <w:marRight w:val="0"/>
      <w:marTop w:val="0"/>
      <w:marBottom w:val="0"/>
      <w:divBdr>
        <w:top w:val="none" w:sz="0" w:space="0" w:color="auto"/>
        <w:left w:val="none" w:sz="0" w:space="0" w:color="auto"/>
        <w:bottom w:val="none" w:sz="0" w:space="0" w:color="auto"/>
        <w:right w:val="none" w:sz="0" w:space="0" w:color="auto"/>
      </w:divBdr>
    </w:div>
    <w:div w:id="192309079">
      <w:bodyDiv w:val="1"/>
      <w:marLeft w:val="0"/>
      <w:marRight w:val="0"/>
      <w:marTop w:val="0"/>
      <w:marBottom w:val="0"/>
      <w:divBdr>
        <w:top w:val="none" w:sz="0" w:space="0" w:color="auto"/>
        <w:left w:val="none" w:sz="0" w:space="0" w:color="auto"/>
        <w:bottom w:val="none" w:sz="0" w:space="0" w:color="auto"/>
        <w:right w:val="none" w:sz="0" w:space="0" w:color="auto"/>
      </w:divBdr>
    </w:div>
    <w:div w:id="202524155">
      <w:bodyDiv w:val="1"/>
      <w:marLeft w:val="0"/>
      <w:marRight w:val="0"/>
      <w:marTop w:val="0"/>
      <w:marBottom w:val="0"/>
      <w:divBdr>
        <w:top w:val="none" w:sz="0" w:space="0" w:color="auto"/>
        <w:left w:val="none" w:sz="0" w:space="0" w:color="auto"/>
        <w:bottom w:val="none" w:sz="0" w:space="0" w:color="auto"/>
        <w:right w:val="none" w:sz="0" w:space="0" w:color="auto"/>
      </w:divBdr>
    </w:div>
    <w:div w:id="222373975">
      <w:bodyDiv w:val="1"/>
      <w:marLeft w:val="0"/>
      <w:marRight w:val="0"/>
      <w:marTop w:val="0"/>
      <w:marBottom w:val="0"/>
      <w:divBdr>
        <w:top w:val="none" w:sz="0" w:space="0" w:color="auto"/>
        <w:left w:val="none" w:sz="0" w:space="0" w:color="auto"/>
        <w:bottom w:val="none" w:sz="0" w:space="0" w:color="auto"/>
        <w:right w:val="none" w:sz="0" w:space="0" w:color="auto"/>
      </w:divBdr>
    </w:div>
    <w:div w:id="223108598">
      <w:bodyDiv w:val="1"/>
      <w:marLeft w:val="0"/>
      <w:marRight w:val="0"/>
      <w:marTop w:val="0"/>
      <w:marBottom w:val="0"/>
      <w:divBdr>
        <w:top w:val="none" w:sz="0" w:space="0" w:color="auto"/>
        <w:left w:val="none" w:sz="0" w:space="0" w:color="auto"/>
        <w:bottom w:val="none" w:sz="0" w:space="0" w:color="auto"/>
        <w:right w:val="none" w:sz="0" w:space="0" w:color="auto"/>
      </w:divBdr>
    </w:div>
    <w:div w:id="272791492">
      <w:bodyDiv w:val="1"/>
      <w:marLeft w:val="0"/>
      <w:marRight w:val="0"/>
      <w:marTop w:val="0"/>
      <w:marBottom w:val="0"/>
      <w:divBdr>
        <w:top w:val="none" w:sz="0" w:space="0" w:color="auto"/>
        <w:left w:val="none" w:sz="0" w:space="0" w:color="auto"/>
        <w:bottom w:val="none" w:sz="0" w:space="0" w:color="auto"/>
        <w:right w:val="none" w:sz="0" w:space="0" w:color="auto"/>
      </w:divBdr>
    </w:div>
    <w:div w:id="284509061">
      <w:bodyDiv w:val="1"/>
      <w:marLeft w:val="0"/>
      <w:marRight w:val="0"/>
      <w:marTop w:val="0"/>
      <w:marBottom w:val="0"/>
      <w:divBdr>
        <w:top w:val="none" w:sz="0" w:space="0" w:color="auto"/>
        <w:left w:val="none" w:sz="0" w:space="0" w:color="auto"/>
        <w:bottom w:val="none" w:sz="0" w:space="0" w:color="auto"/>
        <w:right w:val="none" w:sz="0" w:space="0" w:color="auto"/>
      </w:divBdr>
    </w:div>
    <w:div w:id="335575133">
      <w:bodyDiv w:val="1"/>
      <w:marLeft w:val="0"/>
      <w:marRight w:val="0"/>
      <w:marTop w:val="0"/>
      <w:marBottom w:val="0"/>
      <w:divBdr>
        <w:top w:val="none" w:sz="0" w:space="0" w:color="auto"/>
        <w:left w:val="none" w:sz="0" w:space="0" w:color="auto"/>
        <w:bottom w:val="none" w:sz="0" w:space="0" w:color="auto"/>
        <w:right w:val="none" w:sz="0" w:space="0" w:color="auto"/>
      </w:divBdr>
    </w:div>
    <w:div w:id="344863395">
      <w:bodyDiv w:val="1"/>
      <w:marLeft w:val="0"/>
      <w:marRight w:val="0"/>
      <w:marTop w:val="0"/>
      <w:marBottom w:val="0"/>
      <w:divBdr>
        <w:top w:val="none" w:sz="0" w:space="0" w:color="auto"/>
        <w:left w:val="none" w:sz="0" w:space="0" w:color="auto"/>
        <w:bottom w:val="none" w:sz="0" w:space="0" w:color="auto"/>
        <w:right w:val="none" w:sz="0" w:space="0" w:color="auto"/>
      </w:divBdr>
    </w:div>
    <w:div w:id="371273000">
      <w:bodyDiv w:val="1"/>
      <w:marLeft w:val="0"/>
      <w:marRight w:val="0"/>
      <w:marTop w:val="0"/>
      <w:marBottom w:val="0"/>
      <w:divBdr>
        <w:top w:val="none" w:sz="0" w:space="0" w:color="auto"/>
        <w:left w:val="none" w:sz="0" w:space="0" w:color="auto"/>
        <w:bottom w:val="none" w:sz="0" w:space="0" w:color="auto"/>
        <w:right w:val="none" w:sz="0" w:space="0" w:color="auto"/>
      </w:divBdr>
    </w:div>
    <w:div w:id="376468472">
      <w:bodyDiv w:val="1"/>
      <w:marLeft w:val="0"/>
      <w:marRight w:val="0"/>
      <w:marTop w:val="0"/>
      <w:marBottom w:val="0"/>
      <w:divBdr>
        <w:top w:val="none" w:sz="0" w:space="0" w:color="auto"/>
        <w:left w:val="none" w:sz="0" w:space="0" w:color="auto"/>
        <w:bottom w:val="none" w:sz="0" w:space="0" w:color="auto"/>
        <w:right w:val="none" w:sz="0" w:space="0" w:color="auto"/>
      </w:divBdr>
    </w:div>
    <w:div w:id="392124773">
      <w:bodyDiv w:val="1"/>
      <w:marLeft w:val="0"/>
      <w:marRight w:val="0"/>
      <w:marTop w:val="0"/>
      <w:marBottom w:val="0"/>
      <w:divBdr>
        <w:top w:val="none" w:sz="0" w:space="0" w:color="auto"/>
        <w:left w:val="none" w:sz="0" w:space="0" w:color="auto"/>
        <w:bottom w:val="none" w:sz="0" w:space="0" w:color="auto"/>
        <w:right w:val="none" w:sz="0" w:space="0" w:color="auto"/>
      </w:divBdr>
    </w:div>
    <w:div w:id="392968925">
      <w:bodyDiv w:val="1"/>
      <w:marLeft w:val="0"/>
      <w:marRight w:val="0"/>
      <w:marTop w:val="0"/>
      <w:marBottom w:val="0"/>
      <w:divBdr>
        <w:top w:val="none" w:sz="0" w:space="0" w:color="auto"/>
        <w:left w:val="none" w:sz="0" w:space="0" w:color="auto"/>
        <w:bottom w:val="none" w:sz="0" w:space="0" w:color="auto"/>
        <w:right w:val="none" w:sz="0" w:space="0" w:color="auto"/>
      </w:divBdr>
    </w:div>
    <w:div w:id="427428151">
      <w:bodyDiv w:val="1"/>
      <w:marLeft w:val="0"/>
      <w:marRight w:val="0"/>
      <w:marTop w:val="0"/>
      <w:marBottom w:val="0"/>
      <w:divBdr>
        <w:top w:val="none" w:sz="0" w:space="0" w:color="auto"/>
        <w:left w:val="none" w:sz="0" w:space="0" w:color="auto"/>
        <w:bottom w:val="none" w:sz="0" w:space="0" w:color="auto"/>
        <w:right w:val="none" w:sz="0" w:space="0" w:color="auto"/>
      </w:divBdr>
    </w:div>
    <w:div w:id="435903242">
      <w:bodyDiv w:val="1"/>
      <w:marLeft w:val="0"/>
      <w:marRight w:val="0"/>
      <w:marTop w:val="0"/>
      <w:marBottom w:val="0"/>
      <w:divBdr>
        <w:top w:val="none" w:sz="0" w:space="0" w:color="auto"/>
        <w:left w:val="none" w:sz="0" w:space="0" w:color="auto"/>
        <w:bottom w:val="none" w:sz="0" w:space="0" w:color="auto"/>
        <w:right w:val="none" w:sz="0" w:space="0" w:color="auto"/>
      </w:divBdr>
    </w:div>
    <w:div w:id="470173145">
      <w:bodyDiv w:val="1"/>
      <w:marLeft w:val="0"/>
      <w:marRight w:val="0"/>
      <w:marTop w:val="0"/>
      <w:marBottom w:val="0"/>
      <w:divBdr>
        <w:top w:val="none" w:sz="0" w:space="0" w:color="auto"/>
        <w:left w:val="none" w:sz="0" w:space="0" w:color="auto"/>
        <w:bottom w:val="none" w:sz="0" w:space="0" w:color="auto"/>
        <w:right w:val="none" w:sz="0" w:space="0" w:color="auto"/>
      </w:divBdr>
    </w:div>
    <w:div w:id="485169874">
      <w:bodyDiv w:val="1"/>
      <w:marLeft w:val="0"/>
      <w:marRight w:val="0"/>
      <w:marTop w:val="0"/>
      <w:marBottom w:val="0"/>
      <w:divBdr>
        <w:top w:val="none" w:sz="0" w:space="0" w:color="auto"/>
        <w:left w:val="none" w:sz="0" w:space="0" w:color="auto"/>
        <w:bottom w:val="none" w:sz="0" w:space="0" w:color="auto"/>
        <w:right w:val="none" w:sz="0" w:space="0" w:color="auto"/>
      </w:divBdr>
    </w:div>
    <w:div w:id="489440742">
      <w:bodyDiv w:val="1"/>
      <w:marLeft w:val="0"/>
      <w:marRight w:val="0"/>
      <w:marTop w:val="0"/>
      <w:marBottom w:val="0"/>
      <w:divBdr>
        <w:top w:val="none" w:sz="0" w:space="0" w:color="auto"/>
        <w:left w:val="none" w:sz="0" w:space="0" w:color="auto"/>
        <w:bottom w:val="none" w:sz="0" w:space="0" w:color="auto"/>
        <w:right w:val="none" w:sz="0" w:space="0" w:color="auto"/>
      </w:divBdr>
    </w:div>
    <w:div w:id="495536934">
      <w:bodyDiv w:val="1"/>
      <w:marLeft w:val="0"/>
      <w:marRight w:val="0"/>
      <w:marTop w:val="0"/>
      <w:marBottom w:val="0"/>
      <w:divBdr>
        <w:top w:val="none" w:sz="0" w:space="0" w:color="auto"/>
        <w:left w:val="none" w:sz="0" w:space="0" w:color="auto"/>
        <w:bottom w:val="none" w:sz="0" w:space="0" w:color="auto"/>
        <w:right w:val="none" w:sz="0" w:space="0" w:color="auto"/>
      </w:divBdr>
    </w:div>
    <w:div w:id="536046593">
      <w:bodyDiv w:val="1"/>
      <w:marLeft w:val="0"/>
      <w:marRight w:val="0"/>
      <w:marTop w:val="0"/>
      <w:marBottom w:val="0"/>
      <w:divBdr>
        <w:top w:val="none" w:sz="0" w:space="0" w:color="auto"/>
        <w:left w:val="none" w:sz="0" w:space="0" w:color="auto"/>
        <w:bottom w:val="none" w:sz="0" w:space="0" w:color="auto"/>
        <w:right w:val="none" w:sz="0" w:space="0" w:color="auto"/>
      </w:divBdr>
    </w:div>
    <w:div w:id="540477751">
      <w:bodyDiv w:val="1"/>
      <w:marLeft w:val="0"/>
      <w:marRight w:val="0"/>
      <w:marTop w:val="0"/>
      <w:marBottom w:val="0"/>
      <w:divBdr>
        <w:top w:val="none" w:sz="0" w:space="0" w:color="auto"/>
        <w:left w:val="none" w:sz="0" w:space="0" w:color="auto"/>
        <w:bottom w:val="none" w:sz="0" w:space="0" w:color="auto"/>
        <w:right w:val="none" w:sz="0" w:space="0" w:color="auto"/>
      </w:divBdr>
    </w:div>
    <w:div w:id="551766636">
      <w:bodyDiv w:val="1"/>
      <w:marLeft w:val="0"/>
      <w:marRight w:val="0"/>
      <w:marTop w:val="0"/>
      <w:marBottom w:val="0"/>
      <w:divBdr>
        <w:top w:val="none" w:sz="0" w:space="0" w:color="auto"/>
        <w:left w:val="none" w:sz="0" w:space="0" w:color="auto"/>
        <w:bottom w:val="none" w:sz="0" w:space="0" w:color="auto"/>
        <w:right w:val="none" w:sz="0" w:space="0" w:color="auto"/>
      </w:divBdr>
    </w:div>
    <w:div w:id="564297079">
      <w:bodyDiv w:val="1"/>
      <w:marLeft w:val="0"/>
      <w:marRight w:val="0"/>
      <w:marTop w:val="0"/>
      <w:marBottom w:val="0"/>
      <w:divBdr>
        <w:top w:val="none" w:sz="0" w:space="0" w:color="auto"/>
        <w:left w:val="none" w:sz="0" w:space="0" w:color="auto"/>
        <w:bottom w:val="none" w:sz="0" w:space="0" w:color="auto"/>
        <w:right w:val="none" w:sz="0" w:space="0" w:color="auto"/>
      </w:divBdr>
    </w:div>
    <w:div w:id="583807671">
      <w:bodyDiv w:val="1"/>
      <w:marLeft w:val="0"/>
      <w:marRight w:val="0"/>
      <w:marTop w:val="0"/>
      <w:marBottom w:val="0"/>
      <w:divBdr>
        <w:top w:val="none" w:sz="0" w:space="0" w:color="auto"/>
        <w:left w:val="none" w:sz="0" w:space="0" w:color="auto"/>
        <w:bottom w:val="none" w:sz="0" w:space="0" w:color="auto"/>
        <w:right w:val="none" w:sz="0" w:space="0" w:color="auto"/>
      </w:divBdr>
    </w:div>
    <w:div w:id="594364621">
      <w:bodyDiv w:val="1"/>
      <w:marLeft w:val="0"/>
      <w:marRight w:val="0"/>
      <w:marTop w:val="0"/>
      <w:marBottom w:val="0"/>
      <w:divBdr>
        <w:top w:val="none" w:sz="0" w:space="0" w:color="auto"/>
        <w:left w:val="none" w:sz="0" w:space="0" w:color="auto"/>
        <w:bottom w:val="none" w:sz="0" w:space="0" w:color="auto"/>
        <w:right w:val="none" w:sz="0" w:space="0" w:color="auto"/>
      </w:divBdr>
    </w:div>
    <w:div w:id="606347335">
      <w:bodyDiv w:val="1"/>
      <w:marLeft w:val="0"/>
      <w:marRight w:val="0"/>
      <w:marTop w:val="0"/>
      <w:marBottom w:val="0"/>
      <w:divBdr>
        <w:top w:val="none" w:sz="0" w:space="0" w:color="auto"/>
        <w:left w:val="none" w:sz="0" w:space="0" w:color="auto"/>
        <w:bottom w:val="none" w:sz="0" w:space="0" w:color="auto"/>
        <w:right w:val="none" w:sz="0" w:space="0" w:color="auto"/>
      </w:divBdr>
    </w:div>
    <w:div w:id="607784361">
      <w:bodyDiv w:val="1"/>
      <w:marLeft w:val="0"/>
      <w:marRight w:val="0"/>
      <w:marTop w:val="0"/>
      <w:marBottom w:val="0"/>
      <w:divBdr>
        <w:top w:val="none" w:sz="0" w:space="0" w:color="auto"/>
        <w:left w:val="none" w:sz="0" w:space="0" w:color="auto"/>
        <w:bottom w:val="none" w:sz="0" w:space="0" w:color="auto"/>
        <w:right w:val="none" w:sz="0" w:space="0" w:color="auto"/>
      </w:divBdr>
    </w:div>
    <w:div w:id="616957520">
      <w:bodyDiv w:val="1"/>
      <w:marLeft w:val="0"/>
      <w:marRight w:val="0"/>
      <w:marTop w:val="0"/>
      <w:marBottom w:val="0"/>
      <w:divBdr>
        <w:top w:val="none" w:sz="0" w:space="0" w:color="auto"/>
        <w:left w:val="none" w:sz="0" w:space="0" w:color="auto"/>
        <w:bottom w:val="none" w:sz="0" w:space="0" w:color="auto"/>
        <w:right w:val="none" w:sz="0" w:space="0" w:color="auto"/>
      </w:divBdr>
    </w:div>
    <w:div w:id="617300200">
      <w:bodyDiv w:val="1"/>
      <w:marLeft w:val="0"/>
      <w:marRight w:val="0"/>
      <w:marTop w:val="0"/>
      <w:marBottom w:val="0"/>
      <w:divBdr>
        <w:top w:val="none" w:sz="0" w:space="0" w:color="auto"/>
        <w:left w:val="none" w:sz="0" w:space="0" w:color="auto"/>
        <w:bottom w:val="none" w:sz="0" w:space="0" w:color="auto"/>
        <w:right w:val="none" w:sz="0" w:space="0" w:color="auto"/>
      </w:divBdr>
    </w:div>
    <w:div w:id="622423575">
      <w:bodyDiv w:val="1"/>
      <w:marLeft w:val="0"/>
      <w:marRight w:val="0"/>
      <w:marTop w:val="0"/>
      <w:marBottom w:val="0"/>
      <w:divBdr>
        <w:top w:val="none" w:sz="0" w:space="0" w:color="auto"/>
        <w:left w:val="none" w:sz="0" w:space="0" w:color="auto"/>
        <w:bottom w:val="none" w:sz="0" w:space="0" w:color="auto"/>
        <w:right w:val="none" w:sz="0" w:space="0" w:color="auto"/>
      </w:divBdr>
    </w:div>
    <w:div w:id="625041465">
      <w:bodyDiv w:val="1"/>
      <w:marLeft w:val="0"/>
      <w:marRight w:val="0"/>
      <w:marTop w:val="0"/>
      <w:marBottom w:val="0"/>
      <w:divBdr>
        <w:top w:val="none" w:sz="0" w:space="0" w:color="auto"/>
        <w:left w:val="none" w:sz="0" w:space="0" w:color="auto"/>
        <w:bottom w:val="none" w:sz="0" w:space="0" w:color="auto"/>
        <w:right w:val="none" w:sz="0" w:space="0" w:color="auto"/>
      </w:divBdr>
    </w:div>
    <w:div w:id="639649485">
      <w:bodyDiv w:val="1"/>
      <w:marLeft w:val="0"/>
      <w:marRight w:val="0"/>
      <w:marTop w:val="0"/>
      <w:marBottom w:val="0"/>
      <w:divBdr>
        <w:top w:val="none" w:sz="0" w:space="0" w:color="auto"/>
        <w:left w:val="none" w:sz="0" w:space="0" w:color="auto"/>
        <w:bottom w:val="none" w:sz="0" w:space="0" w:color="auto"/>
        <w:right w:val="none" w:sz="0" w:space="0" w:color="auto"/>
      </w:divBdr>
    </w:div>
    <w:div w:id="678778954">
      <w:bodyDiv w:val="1"/>
      <w:marLeft w:val="0"/>
      <w:marRight w:val="0"/>
      <w:marTop w:val="0"/>
      <w:marBottom w:val="0"/>
      <w:divBdr>
        <w:top w:val="none" w:sz="0" w:space="0" w:color="auto"/>
        <w:left w:val="none" w:sz="0" w:space="0" w:color="auto"/>
        <w:bottom w:val="none" w:sz="0" w:space="0" w:color="auto"/>
        <w:right w:val="none" w:sz="0" w:space="0" w:color="auto"/>
      </w:divBdr>
    </w:div>
    <w:div w:id="680666851">
      <w:bodyDiv w:val="1"/>
      <w:marLeft w:val="0"/>
      <w:marRight w:val="0"/>
      <w:marTop w:val="0"/>
      <w:marBottom w:val="0"/>
      <w:divBdr>
        <w:top w:val="none" w:sz="0" w:space="0" w:color="auto"/>
        <w:left w:val="none" w:sz="0" w:space="0" w:color="auto"/>
        <w:bottom w:val="none" w:sz="0" w:space="0" w:color="auto"/>
        <w:right w:val="none" w:sz="0" w:space="0" w:color="auto"/>
      </w:divBdr>
    </w:div>
    <w:div w:id="684209710">
      <w:bodyDiv w:val="1"/>
      <w:marLeft w:val="0"/>
      <w:marRight w:val="0"/>
      <w:marTop w:val="0"/>
      <w:marBottom w:val="0"/>
      <w:divBdr>
        <w:top w:val="none" w:sz="0" w:space="0" w:color="auto"/>
        <w:left w:val="none" w:sz="0" w:space="0" w:color="auto"/>
        <w:bottom w:val="none" w:sz="0" w:space="0" w:color="auto"/>
        <w:right w:val="none" w:sz="0" w:space="0" w:color="auto"/>
      </w:divBdr>
    </w:div>
    <w:div w:id="740568434">
      <w:bodyDiv w:val="1"/>
      <w:marLeft w:val="0"/>
      <w:marRight w:val="0"/>
      <w:marTop w:val="0"/>
      <w:marBottom w:val="0"/>
      <w:divBdr>
        <w:top w:val="none" w:sz="0" w:space="0" w:color="auto"/>
        <w:left w:val="none" w:sz="0" w:space="0" w:color="auto"/>
        <w:bottom w:val="none" w:sz="0" w:space="0" w:color="auto"/>
        <w:right w:val="none" w:sz="0" w:space="0" w:color="auto"/>
      </w:divBdr>
    </w:div>
    <w:div w:id="741683391">
      <w:bodyDiv w:val="1"/>
      <w:marLeft w:val="0"/>
      <w:marRight w:val="0"/>
      <w:marTop w:val="0"/>
      <w:marBottom w:val="0"/>
      <w:divBdr>
        <w:top w:val="none" w:sz="0" w:space="0" w:color="auto"/>
        <w:left w:val="none" w:sz="0" w:space="0" w:color="auto"/>
        <w:bottom w:val="none" w:sz="0" w:space="0" w:color="auto"/>
        <w:right w:val="none" w:sz="0" w:space="0" w:color="auto"/>
      </w:divBdr>
    </w:div>
    <w:div w:id="748892588">
      <w:bodyDiv w:val="1"/>
      <w:marLeft w:val="0"/>
      <w:marRight w:val="0"/>
      <w:marTop w:val="0"/>
      <w:marBottom w:val="0"/>
      <w:divBdr>
        <w:top w:val="none" w:sz="0" w:space="0" w:color="auto"/>
        <w:left w:val="none" w:sz="0" w:space="0" w:color="auto"/>
        <w:bottom w:val="none" w:sz="0" w:space="0" w:color="auto"/>
        <w:right w:val="none" w:sz="0" w:space="0" w:color="auto"/>
      </w:divBdr>
    </w:div>
    <w:div w:id="750977737">
      <w:bodyDiv w:val="1"/>
      <w:marLeft w:val="0"/>
      <w:marRight w:val="0"/>
      <w:marTop w:val="0"/>
      <w:marBottom w:val="0"/>
      <w:divBdr>
        <w:top w:val="none" w:sz="0" w:space="0" w:color="auto"/>
        <w:left w:val="none" w:sz="0" w:space="0" w:color="auto"/>
        <w:bottom w:val="none" w:sz="0" w:space="0" w:color="auto"/>
        <w:right w:val="none" w:sz="0" w:space="0" w:color="auto"/>
      </w:divBdr>
    </w:div>
    <w:div w:id="785735159">
      <w:bodyDiv w:val="1"/>
      <w:marLeft w:val="0"/>
      <w:marRight w:val="0"/>
      <w:marTop w:val="0"/>
      <w:marBottom w:val="0"/>
      <w:divBdr>
        <w:top w:val="none" w:sz="0" w:space="0" w:color="auto"/>
        <w:left w:val="none" w:sz="0" w:space="0" w:color="auto"/>
        <w:bottom w:val="none" w:sz="0" w:space="0" w:color="auto"/>
        <w:right w:val="none" w:sz="0" w:space="0" w:color="auto"/>
      </w:divBdr>
    </w:div>
    <w:div w:id="786702691">
      <w:bodyDiv w:val="1"/>
      <w:marLeft w:val="0"/>
      <w:marRight w:val="0"/>
      <w:marTop w:val="0"/>
      <w:marBottom w:val="0"/>
      <w:divBdr>
        <w:top w:val="none" w:sz="0" w:space="0" w:color="auto"/>
        <w:left w:val="none" w:sz="0" w:space="0" w:color="auto"/>
        <w:bottom w:val="none" w:sz="0" w:space="0" w:color="auto"/>
        <w:right w:val="none" w:sz="0" w:space="0" w:color="auto"/>
      </w:divBdr>
    </w:div>
    <w:div w:id="835153733">
      <w:bodyDiv w:val="1"/>
      <w:marLeft w:val="0"/>
      <w:marRight w:val="0"/>
      <w:marTop w:val="0"/>
      <w:marBottom w:val="0"/>
      <w:divBdr>
        <w:top w:val="none" w:sz="0" w:space="0" w:color="auto"/>
        <w:left w:val="none" w:sz="0" w:space="0" w:color="auto"/>
        <w:bottom w:val="none" w:sz="0" w:space="0" w:color="auto"/>
        <w:right w:val="none" w:sz="0" w:space="0" w:color="auto"/>
      </w:divBdr>
    </w:div>
    <w:div w:id="846872152">
      <w:bodyDiv w:val="1"/>
      <w:marLeft w:val="0"/>
      <w:marRight w:val="0"/>
      <w:marTop w:val="0"/>
      <w:marBottom w:val="0"/>
      <w:divBdr>
        <w:top w:val="none" w:sz="0" w:space="0" w:color="auto"/>
        <w:left w:val="none" w:sz="0" w:space="0" w:color="auto"/>
        <w:bottom w:val="none" w:sz="0" w:space="0" w:color="auto"/>
        <w:right w:val="none" w:sz="0" w:space="0" w:color="auto"/>
      </w:divBdr>
    </w:div>
    <w:div w:id="853803625">
      <w:bodyDiv w:val="1"/>
      <w:marLeft w:val="0"/>
      <w:marRight w:val="0"/>
      <w:marTop w:val="0"/>
      <w:marBottom w:val="0"/>
      <w:divBdr>
        <w:top w:val="none" w:sz="0" w:space="0" w:color="auto"/>
        <w:left w:val="none" w:sz="0" w:space="0" w:color="auto"/>
        <w:bottom w:val="none" w:sz="0" w:space="0" w:color="auto"/>
        <w:right w:val="none" w:sz="0" w:space="0" w:color="auto"/>
      </w:divBdr>
    </w:div>
    <w:div w:id="866210767">
      <w:bodyDiv w:val="1"/>
      <w:marLeft w:val="0"/>
      <w:marRight w:val="0"/>
      <w:marTop w:val="0"/>
      <w:marBottom w:val="0"/>
      <w:divBdr>
        <w:top w:val="none" w:sz="0" w:space="0" w:color="auto"/>
        <w:left w:val="none" w:sz="0" w:space="0" w:color="auto"/>
        <w:bottom w:val="none" w:sz="0" w:space="0" w:color="auto"/>
        <w:right w:val="none" w:sz="0" w:space="0" w:color="auto"/>
      </w:divBdr>
    </w:div>
    <w:div w:id="870340511">
      <w:bodyDiv w:val="1"/>
      <w:marLeft w:val="0"/>
      <w:marRight w:val="0"/>
      <w:marTop w:val="0"/>
      <w:marBottom w:val="0"/>
      <w:divBdr>
        <w:top w:val="none" w:sz="0" w:space="0" w:color="auto"/>
        <w:left w:val="none" w:sz="0" w:space="0" w:color="auto"/>
        <w:bottom w:val="none" w:sz="0" w:space="0" w:color="auto"/>
        <w:right w:val="none" w:sz="0" w:space="0" w:color="auto"/>
      </w:divBdr>
    </w:div>
    <w:div w:id="882207444">
      <w:bodyDiv w:val="1"/>
      <w:marLeft w:val="0"/>
      <w:marRight w:val="0"/>
      <w:marTop w:val="0"/>
      <w:marBottom w:val="0"/>
      <w:divBdr>
        <w:top w:val="none" w:sz="0" w:space="0" w:color="auto"/>
        <w:left w:val="none" w:sz="0" w:space="0" w:color="auto"/>
        <w:bottom w:val="none" w:sz="0" w:space="0" w:color="auto"/>
        <w:right w:val="none" w:sz="0" w:space="0" w:color="auto"/>
      </w:divBdr>
    </w:div>
    <w:div w:id="883174431">
      <w:bodyDiv w:val="1"/>
      <w:marLeft w:val="0"/>
      <w:marRight w:val="0"/>
      <w:marTop w:val="0"/>
      <w:marBottom w:val="0"/>
      <w:divBdr>
        <w:top w:val="none" w:sz="0" w:space="0" w:color="auto"/>
        <w:left w:val="none" w:sz="0" w:space="0" w:color="auto"/>
        <w:bottom w:val="none" w:sz="0" w:space="0" w:color="auto"/>
        <w:right w:val="none" w:sz="0" w:space="0" w:color="auto"/>
      </w:divBdr>
    </w:div>
    <w:div w:id="885525327">
      <w:bodyDiv w:val="1"/>
      <w:marLeft w:val="0"/>
      <w:marRight w:val="0"/>
      <w:marTop w:val="0"/>
      <w:marBottom w:val="0"/>
      <w:divBdr>
        <w:top w:val="none" w:sz="0" w:space="0" w:color="auto"/>
        <w:left w:val="none" w:sz="0" w:space="0" w:color="auto"/>
        <w:bottom w:val="none" w:sz="0" w:space="0" w:color="auto"/>
        <w:right w:val="none" w:sz="0" w:space="0" w:color="auto"/>
      </w:divBdr>
    </w:div>
    <w:div w:id="900865114">
      <w:bodyDiv w:val="1"/>
      <w:marLeft w:val="0"/>
      <w:marRight w:val="0"/>
      <w:marTop w:val="0"/>
      <w:marBottom w:val="0"/>
      <w:divBdr>
        <w:top w:val="none" w:sz="0" w:space="0" w:color="auto"/>
        <w:left w:val="none" w:sz="0" w:space="0" w:color="auto"/>
        <w:bottom w:val="none" w:sz="0" w:space="0" w:color="auto"/>
        <w:right w:val="none" w:sz="0" w:space="0" w:color="auto"/>
      </w:divBdr>
    </w:div>
    <w:div w:id="906958943">
      <w:bodyDiv w:val="1"/>
      <w:marLeft w:val="0"/>
      <w:marRight w:val="0"/>
      <w:marTop w:val="0"/>
      <w:marBottom w:val="0"/>
      <w:divBdr>
        <w:top w:val="none" w:sz="0" w:space="0" w:color="auto"/>
        <w:left w:val="none" w:sz="0" w:space="0" w:color="auto"/>
        <w:bottom w:val="none" w:sz="0" w:space="0" w:color="auto"/>
        <w:right w:val="none" w:sz="0" w:space="0" w:color="auto"/>
      </w:divBdr>
    </w:div>
    <w:div w:id="939877521">
      <w:bodyDiv w:val="1"/>
      <w:marLeft w:val="0"/>
      <w:marRight w:val="0"/>
      <w:marTop w:val="0"/>
      <w:marBottom w:val="0"/>
      <w:divBdr>
        <w:top w:val="none" w:sz="0" w:space="0" w:color="auto"/>
        <w:left w:val="none" w:sz="0" w:space="0" w:color="auto"/>
        <w:bottom w:val="none" w:sz="0" w:space="0" w:color="auto"/>
        <w:right w:val="none" w:sz="0" w:space="0" w:color="auto"/>
      </w:divBdr>
    </w:div>
    <w:div w:id="955404821">
      <w:bodyDiv w:val="1"/>
      <w:marLeft w:val="0"/>
      <w:marRight w:val="0"/>
      <w:marTop w:val="0"/>
      <w:marBottom w:val="0"/>
      <w:divBdr>
        <w:top w:val="none" w:sz="0" w:space="0" w:color="auto"/>
        <w:left w:val="none" w:sz="0" w:space="0" w:color="auto"/>
        <w:bottom w:val="none" w:sz="0" w:space="0" w:color="auto"/>
        <w:right w:val="none" w:sz="0" w:space="0" w:color="auto"/>
      </w:divBdr>
    </w:div>
    <w:div w:id="956255367">
      <w:bodyDiv w:val="1"/>
      <w:marLeft w:val="0"/>
      <w:marRight w:val="0"/>
      <w:marTop w:val="0"/>
      <w:marBottom w:val="0"/>
      <w:divBdr>
        <w:top w:val="none" w:sz="0" w:space="0" w:color="auto"/>
        <w:left w:val="none" w:sz="0" w:space="0" w:color="auto"/>
        <w:bottom w:val="none" w:sz="0" w:space="0" w:color="auto"/>
        <w:right w:val="none" w:sz="0" w:space="0" w:color="auto"/>
      </w:divBdr>
    </w:div>
    <w:div w:id="962731312">
      <w:bodyDiv w:val="1"/>
      <w:marLeft w:val="0"/>
      <w:marRight w:val="0"/>
      <w:marTop w:val="0"/>
      <w:marBottom w:val="0"/>
      <w:divBdr>
        <w:top w:val="none" w:sz="0" w:space="0" w:color="auto"/>
        <w:left w:val="none" w:sz="0" w:space="0" w:color="auto"/>
        <w:bottom w:val="none" w:sz="0" w:space="0" w:color="auto"/>
        <w:right w:val="none" w:sz="0" w:space="0" w:color="auto"/>
      </w:divBdr>
    </w:div>
    <w:div w:id="964429473">
      <w:bodyDiv w:val="1"/>
      <w:marLeft w:val="0"/>
      <w:marRight w:val="0"/>
      <w:marTop w:val="0"/>
      <w:marBottom w:val="0"/>
      <w:divBdr>
        <w:top w:val="none" w:sz="0" w:space="0" w:color="auto"/>
        <w:left w:val="none" w:sz="0" w:space="0" w:color="auto"/>
        <w:bottom w:val="none" w:sz="0" w:space="0" w:color="auto"/>
        <w:right w:val="none" w:sz="0" w:space="0" w:color="auto"/>
      </w:divBdr>
    </w:div>
    <w:div w:id="972561551">
      <w:bodyDiv w:val="1"/>
      <w:marLeft w:val="0"/>
      <w:marRight w:val="0"/>
      <w:marTop w:val="0"/>
      <w:marBottom w:val="0"/>
      <w:divBdr>
        <w:top w:val="none" w:sz="0" w:space="0" w:color="auto"/>
        <w:left w:val="none" w:sz="0" w:space="0" w:color="auto"/>
        <w:bottom w:val="none" w:sz="0" w:space="0" w:color="auto"/>
        <w:right w:val="none" w:sz="0" w:space="0" w:color="auto"/>
      </w:divBdr>
    </w:div>
    <w:div w:id="979459647">
      <w:bodyDiv w:val="1"/>
      <w:marLeft w:val="0"/>
      <w:marRight w:val="0"/>
      <w:marTop w:val="0"/>
      <w:marBottom w:val="0"/>
      <w:divBdr>
        <w:top w:val="none" w:sz="0" w:space="0" w:color="auto"/>
        <w:left w:val="none" w:sz="0" w:space="0" w:color="auto"/>
        <w:bottom w:val="none" w:sz="0" w:space="0" w:color="auto"/>
        <w:right w:val="none" w:sz="0" w:space="0" w:color="auto"/>
      </w:divBdr>
    </w:div>
    <w:div w:id="988751847">
      <w:bodyDiv w:val="1"/>
      <w:marLeft w:val="0"/>
      <w:marRight w:val="0"/>
      <w:marTop w:val="0"/>
      <w:marBottom w:val="0"/>
      <w:divBdr>
        <w:top w:val="none" w:sz="0" w:space="0" w:color="auto"/>
        <w:left w:val="none" w:sz="0" w:space="0" w:color="auto"/>
        <w:bottom w:val="none" w:sz="0" w:space="0" w:color="auto"/>
        <w:right w:val="none" w:sz="0" w:space="0" w:color="auto"/>
      </w:divBdr>
    </w:div>
    <w:div w:id="994457040">
      <w:bodyDiv w:val="1"/>
      <w:marLeft w:val="0"/>
      <w:marRight w:val="0"/>
      <w:marTop w:val="0"/>
      <w:marBottom w:val="0"/>
      <w:divBdr>
        <w:top w:val="none" w:sz="0" w:space="0" w:color="auto"/>
        <w:left w:val="none" w:sz="0" w:space="0" w:color="auto"/>
        <w:bottom w:val="none" w:sz="0" w:space="0" w:color="auto"/>
        <w:right w:val="none" w:sz="0" w:space="0" w:color="auto"/>
      </w:divBdr>
    </w:div>
    <w:div w:id="1036733613">
      <w:bodyDiv w:val="1"/>
      <w:marLeft w:val="0"/>
      <w:marRight w:val="0"/>
      <w:marTop w:val="0"/>
      <w:marBottom w:val="0"/>
      <w:divBdr>
        <w:top w:val="none" w:sz="0" w:space="0" w:color="auto"/>
        <w:left w:val="none" w:sz="0" w:space="0" w:color="auto"/>
        <w:bottom w:val="none" w:sz="0" w:space="0" w:color="auto"/>
        <w:right w:val="none" w:sz="0" w:space="0" w:color="auto"/>
      </w:divBdr>
    </w:div>
    <w:div w:id="1075905500">
      <w:bodyDiv w:val="1"/>
      <w:marLeft w:val="0"/>
      <w:marRight w:val="0"/>
      <w:marTop w:val="0"/>
      <w:marBottom w:val="0"/>
      <w:divBdr>
        <w:top w:val="none" w:sz="0" w:space="0" w:color="auto"/>
        <w:left w:val="none" w:sz="0" w:space="0" w:color="auto"/>
        <w:bottom w:val="none" w:sz="0" w:space="0" w:color="auto"/>
        <w:right w:val="none" w:sz="0" w:space="0" w:color="auto"/>
      </w:divBdr>
    </w:div>
    <w:div w:id="1081484683">
      <w:bodyDiv w:val="1"/>
      <w:marLeft w:val="0"/>
      <w:marRight w:val="0"/>
      <w:marTop w:val="0"/>
      <w:marBottom w:val="0"/>
      <w:divBdr>
        <w:top w:val="none" w:sz="0" w:space="0" w:color="auto"/>
        <w:left w:val="none" w:sz="0" w:space="0" w:color="auto"/>
        <w:bottom w:val="none" w:sz="0" w:space="0" w:color="auto"/>
        <w:right w:val="none" w:sz="0" w:space="0" w:color="auto"/>
      </w:divBdr>
    </w:div>
    <w:div w:id="1085687701">
      <w:bodyDiv w:val="1"/>
      <w:marLeft w:val="0"/>
      <w:marRight w:val="0"/>
      <w:marTop w:val="0"/>
      <w:marBottom w:val="0"/>
      <w:divBdr>
        <w:top w:val="none" w:sz="0" w:space="0" w:color="auto"/>
        <w:left w:val="none" w:sz="0" w:space="0" w:color="auto"/>
        <w:bottom w:val="none" w:sz="0" w:space="0" w:color="auto"/>
        <w:right w:val="none" w:sz="0" w:space="0" w:color="auto"/>
      </w:divBdr>
    </w:div>
    <w:div w:id="1093430065">
      <w:bodyDiv w:val="1"/>
      <w:marLeft w:val="0"/>
      <w:marRight w:val="0"/>
      <w:marTop w:val="0"/>
      <w:marBottom w:val="0"/>
      <w:divBdr>
        <w:top w:val="none" w:sz="0" w:space="0" w:color="auto"/>
        <w:left w:val="none" w:sz="0" w:space="0" w:color="auto"/>
        <w:bottom w:val="none" w:sz="0" w:space="0" w:color="auto"/>
        <w:right w:val="none" w:sz="0" w:space="0" w:color="auto"/>
      </w:divBdr>
    </w:div>
    <w:div w:id="1113329861">
      <w:bodyDiv w:val="1"/>
      <w:marLeft w:val="0"/>
      <w:marRight w:val="0"/>
      <w:marTop w:val="0"/>
      <w:marBottom w:val="0"/>
      <w:divBdr>
        <w:top w:val="none" w:sz="0" w:space="0" w:color="auto"/>
        <w:left w:val="none" w:sz="0" w:space="0" w:color="auto"/>
        <w:bottom w:val="none" w:sz="0" w:space="0" w:color="auto"/>
        <w:right w:val="none" w:sz="0" w:space="0" w:color="auto"/>
      </w:divBdr>
    </w:div>
    <w:div w:id="1139416818">
      <w:bodyDiv w:val="1"/>
      <w:marLeft w:val="0"/>
      <w:marRight w:val="0"/>
      <w:marTop w:val="0"/>
      <w:marBottom w:val="0"/>
      <w:divBdr>
        <w:top w:val="none" w:sz="0" w:space="0" w:color="auto"/>
        <w:left w:val="none" w:sz="0" w:space="0" w:color="auto"/>
        <w:bottom w:val="none" w:sz="0" w:space="0" w:color="auto"/>
        <w:right w:val="none" w:sz="0" w:space="0" w:color="auto"/>
      </w:divBdr>
    </w:div>
    <w:div w:id="1140883424">
      <w:bodyDiv w:val="1"/>
      <w:marLeft w:val="0"/>
      <w:marRight w:val="0"/>
      <w:marTop w:val="0"/>
      <w:marBottom w:val="0"/>
      <w:divBdr>
        <w:top w:val="none" w:sz="0" w:space="0" w:color="auto"/>
        <w:left w:val="none" w:sz="0" w:space="0" w:color="auto"/>
        <w:bottom w:val="none" w:sz="0" w:space="0" w:color="auto"/>
        <w:right w:val="none" w:sz="0" w:space="0" w:color="auto"/>
      </w:divBdr>
    </w:div>
    <w:div w:id="1146362878">
      <w:bodyDiv w:val="1"/>
      <w:marLeft w:val="0"/>
      <w:marRight w:val="0"/>
      <w:marTop w:val="0"/>
      <w:marBottom w:val="0"/>
      <w:divBdr>
        <w:top w:val="none" w:sz="0" w:space="0" w:color="auto"/>
        <w:left w:val="none" w:sz="0" w:space="0" w:color="auto"/>
        <w:bottom w:val="none" w:sz="0" w:space="0" w:color="auto"/>
        <w:right w:val="none" w:sz="0" w:space="0" w:color="auto"/>
      </w:divBdr>
    </w:div>
    <w:div w:id="1182085370">
      <w:bodyDiv w:val="1"/>
      <w:marLeft w:val="0"/>
      <w:marRight w:val="0"/>
      <w:marTop w:val="0"/>
      <w:marBottom w:val="0"/>
      <w:divBdr>
        <w:top w:val="none" w:sz="0" w:space="0" w:color="auto"/>
        <w:left w:val="none" w:sz="0" w:space="0" w:color="auto"/>
        <w:bottom w:val="none" w:sz="0" w:space="0" w:color="auto"/>
        <w:right w:val="none" w:sz="0" w:space="0" w:color="auto"/>
      </w:divBdr>
    </w:div>
    <w:div w:id="1184437852">
      <w:bodyDiv w:val="1"/>
      <w:marLeft w:val="0"/>
      <w:marRight w:val="0"/>
      <w:marTop w:val="0"/>
      <w:marBottom w:val="0"/>
      <w:divBdr>
        <w:top w:val="none" w:sz="0" w:space="0" w:color="auto"/>
        <w:left w:val="none" w:sz="0" w:space="0" w:color="auto"/>
        <w:bottom w:val="none" w:sz="0" w:space="0" w:color="auto"/>
        <w:right w:val="none" w:sz="0" w:space="0" w:color="auto"/>
      </w:divBdr>
    </w:div>
    <w:div w:id="1184437999">
      <w:bodyDiv w:val="1"/>
      <w:marLeft w:val="0"/>
      <w:marRight w:val="0"/>
      <w:marTop w:val="0"/>
      <w:marBottom w:val="0"/>
      <w:divBdr>
        <w:top w:val="none" w:sz="0" w:space="0" w:color="auto"/>
        <w:left w:val="none" w:sz="0" w:space="0" w:color="auto"/>
        <w:bottom w:val="none" w:sz="0" w:space="0" w:color="auto"/>
        <w:right w:val="none" w:sz="0" w:space="0" w:color="auto"/>
      </w:divBdr>
    </w:div>
    <w:div w:id="1266155613">
      <w:bodyDiv w:val="1"/>
      <w:marLeft w:val="0"/>
      <w:marRight w:val="0"/>
      <w:marTop w:val="0"/>
      <w:marBottom w:val="0"/>
      <w:divBdr>
        <w:top w:val="none" w:sz="0" w:space="0" w:color="auto"/>
        <w:left w:val="none" w:sz="0" w:space="0" w:color="auto"/>
        <w:bottom w:val="none" w:sz="0" w:space="0" w:color="auto"/>
        <w:right w:val="none" w:sz="0" w:space="0" w:color="auto"/>
      </w:divBdr>
    </w:div>
    <w:div w:id="1278678403">
      <w:bodyDiv w:val="1"/>
      <w:marLeft w:val="0"/>
      <w:marRight w:val="0"/>
      <w:marTop w:val="0"/>
      <w:marBottom w:val="0"/>
      <w:divBdr>
        <w:top w:val="none" w:sz="0" w:space="0" w:color="auto"/>
        <w:left w:val="none" w:sz="0" w:space="0" w:color="auto"/>
        <w:bottom w:val="none" w:sz="0" w:space="0" w:color="auto"/>
        <w:right w:val="none" w:sz="0" w:space="0" w:color="auto"/>
      </w:divBdr>
    </w:div>
    <w:div w:id="1294822561">
      <w:bodyDiv w:val="1"/>
      <w:marLeft w:val="0"/>
      <w:marRight w:val="0"/>
      <w:marTop w:val="0"/>
      <w:marBottom w:val="0"/>
      <w:divBdr>
        <w:top w:val="none" w:sz="0" w:space="0" w:color="auto"/>
        <w:left w:val="none" w:sz="0" w:space="0" w:color="auto"/>
        <w:bottom w:val="none" w:sz="0" w:space="0" w:color="auto"/>
        <w:right w:val="none" w:sz="0" w:space="0" w:color="auto"/>
      </w:divBdr>
    </w:div>
    <w:div w:id="1299804626">
      <w:bodyDiv w:val="1"/>
      <w:marLeft w:val="0"/>
      <w:marRight w:val="0"/>
      <w:marTop w:val="0"/>
      <w:marBottom w:val="0"/>
      <w:divBdr>
        <w:top w:val="none" w:sz="0" w:space="0" w:color="auto"/>
        <w:left w:val="none" w:sz="0" w:space="0" w:color="auto"/>
        <w:bottom w:val="none" w:sz="0" w:space="0" w:color="auto"/>
        <w:right w:val="none" w:sz="0" w:space="0" w:color="auto"/>
      </w:divBdr>
    </w:div>
    <w:div w:id="1300300477">
      <w:bodyDiv w:val="1"/>
      <w:marLeft w:val="0"/>
      <w:marRight w:val="0"/>
      <w:marTop w:val="0"/>
      <w:marBottom w:val="0"/>
      <w:divBdr>
        <w:top w:val="none" w:sz="0" w:space="0" w:color="auto"/>
        <w:left w:val="none" w:sz="0" w:space="0" w:color="auto"/>
        <w:bottom w:val="none" w:sz="0" w:space="0" w:color="auto"/>
        <w:right w:val="none" w:sz="0" w:space="0" w:color="auto"/>
      </w:divBdr>
    </w:div>
    <w:div w:id="1302540611">
      <w:bodyDiv w:val="1"/>
      <w:marLeft w:val="0"/>
      <w:marRight w:val="0"/>
      <w:marTop w:val="0"/>
      <w:marBottom w:val="0"/>
      <w:divBdr>
        <w:top w:val="none" w:sz="0" w:space="0" w:color="auto"/>
        <w:left w:val="none" w:sz="0" w:space="0" w:color="auto"/>
        <w:bottom w:val="none" w:sz="0" w:space="0" w:color="auto"/>
        <w:right w:val="none" w:sz="0" w:space="0" w:color="auto"/>
      </w:divBdr>
    </w:div>
    <w:div w:id="1311326996">
      <w:bodyDiv w:val="1"/>
      <w:marLeft w:val="0"/>
      <w:marRight w:val="0"/>
      <w:marTop w:val="0"/>
      <w:marBottom w:val="0"/>
      <w:divBdr>
        <w:top w:val="none" w:sz="0" w:space="0" w:color="auto"/>
        <w:left w:val="none" w:sz="0" w:space="0" w:color="auto"/>
        <w:bottom w:val="none" w:sz="0" w:space="0" w:color="auto"/>
        <w:right w:val="none" w:sz="0" w:space="0" w:color="auto"/>
      </w:divBdr>
    </w:div>
    <w:div w:id="1332828821">
      <w:bodyDiv w:val="1"/>
      <w:marLeft w:val="0"/>
      <w:marRight w:val="0"/>
      <w:marTop w:val="0"/>
      <w:marBottom w:val="0"/>
      <w:divBdr>
        <w:top w:val="none" w:sz="0" w:space="0" w:color="auto"/>
        <w:left w:val="none" w:sz="0" w:space="0" w:color="auto"/>
        <w:bottom w:val="none" w:sz="0" w:space="0" w:color="auto"/>
        <w:right w:val="none" w:sz="0" w:space="0" w:color="auto"/>
      </w:divBdr>
    </w:div>
    <w:div w:id="1342702205">
      <w:bodyDiv w:val="1"/>
      <w:marLeft w:val="0"/>
      <w:marRight w:val="0"/>
      <w:marTop w:val="0"/>
      <w:marBottom w:val="0"/>
      <w:divBdr>
        <w:top w:val="none" w:sz="0" w:space="0" w:color="auto"/>
        <w:left w:val="none" w:sz="0" w:space="0" w:color="auto"/>
        <w:bottom w:val="none" w:sz="0" w:space="0" w:color="auto"/>
        <w:right w:val="none" w:sz="0" w:space="0" w:color="auto"/>
      </w:divBdr>
    </w:div>
    <w:div w:id="1349480669">
      <w:bodyDiv w:val="1"/>
      <w:marLeft w:val="0"/>
      <w:marRight w:val="0"/>
      <w:marTop w:val="0"/>
      <w:marBottom w:val="0"/>
      <w:divBdr>
        <w:top w:val="none" w:sz="0" w:space="0" w:color="auto"/>
        <w:left w:val="none" w:sz="0" w:space="0" w:color="auto"/>
        <w:bottom w:val="none" w:sz="0" w:space="0" w:color="auto"/>
        <w:right w:val="none" w:sz="0" w:space="0" w:color="auto"/>
      </w:divBdr>
    </w:div>
    <w:div w:id="1357270645">
      <w:bodyDiv w:val="1"/>
      <w:marLeft w:val="0"/>
      <w:marRight w:val="0"/>
      <w:marTop w:val="0"/>
      <w:marBottom w:val="0"/>
      <w:divBdr>
        <w:top w:val="none" w:sz="0" w:space="0" w:color="auto"/>
        <w:left w:val="none" w:sz="0" w:space="0" w:color="auto"/>
        <w:bottom w:val="none" w:sz="0" w:space="0" w:color="auto"/>
        <w:right w:val="none" w:sz="0" w:space="0" w:color="auto"/>
      </w:divBdr>
    </w:div>
    <w:div w:id="1378819000">
      <w:bodyDiv w:val="1"/>
      <w:marLeft w:val="0"/>
      <w:marRight w:val="0"/>
      <w:marTop w:val="0"/>
      <w:marBottom w:val="0"/>
      <w:divBdr>
        <w:top w:val="none" w:sz="0" w:space="0" w:color="auto"/>
        <w:left w:val="none" w:sz="0" w:space="0" w:color="auto"/>
        <w:bottom w:val="none" w:sz="0" w:space="0" w:color="auto"/>
        <w:right w:val="none" w:sz="0" w:space="0" w:color="auto"/>
      </w:divBdr>
    </w:div>
    <w:div w:id="1395548741">
      <w:bodyDiv w:val="1"/>
      <w:marLeft w:val="0"/>
      <w:marRight w:val="0"/>
      <w:marTop w:val="0"/>
      <w:marBottom w:val="0"/>
      <w:divBdr>
        <w:top w:val="none" w:sz="0" w:space="0" w:color="auto"/>
        <w:left w:val="none" w:sz="0" w:space="0" w:color="auto"/>
        <w:bottom w:val="none" w:sz="0" w:space="0" w:color="auto"/>
        <w:right w:val="none" w:sz="0" w:space="0" w:color="auto"/>
      </w:divBdr>
    </w:div>
    <w:div w:id="1411464162">
      <w:bodyDiv w:val="1"/>
      <w:marLeft w:val="0"/>
      <w:marRight w:val="0"/>
      <w:marTop w:val="0"/>
      <w:marBottom w:val="0"/>
      <w:divBdr>
        <w:top w:val="none" w:sz="0" w:space="0" w:color="auto"/>
        <w:left w:val="none" w:sz="0" w:space="0" w:color="auto"/>
        <w:bottom w:val="none" w:sz="0" w:space="0" w:color="auto"/>
        <w:right w:val="none" w:sz="0" w:space="0" w:color="auto"/>
      </w:divBdr>
    </w:div>
    <w:div w:id="1415472560">
      <w:bodyDiv w:val="1"/>
      <w:marLeft w:val="0"/>
      <w:marRight w:val="0"/>
      <w:marTop w:val="0"/>
      <w:marBottom w:val="0"/>
      <w:divBdr>
        <w:top w:val="none" w:sz="0" w:space="0" w:color="auto"/>
        <w:left w:val="none" w:sz="0" w:space="0" w:color="auto"/>
        <w:bottom w:val="none" w:sz="0" w:space="0" w:color="auto"/>
        <w:right w:val="none" w:sz="0" w:space="0" w:color="auto"/>
      </w:divBdr>
    </w:div>
    <w:div w:id="1439595611">
      <w:bodyDiv w:val="1"/>
      <w:marLeft w:val="0"/>
      <w:marRight w:val="0"/>
      <w:marTop w:val="0"/>
      <w:marBottom w:val="0"/>
      <w:divBdr>
        <w:top w:val="none" w:sz="0" w:space="0" w:color="auto"/>
        <w:left w:val="none" w:sz="0" w:space="0" w:color="auto"/>
        <w:bottom w:val="none" w:sz="0" w:space="0" w:color="auto"/>
        <w:right w:val="none" w:sz="0" w:space="0" w:color="auto"/>
      </w:divBdr>
    </w:div>
    <w:div w:id="1442143029">
      <w:bodyDiv w:val="1"/>
      <w:marLeft w:val="0"/>
      <w:marRight w:val="0"/>
      <w:marTop w:val="0"/>
      <w:marBottom w:val="0"/>
      <w:divBdr>
        <w:top w:val="none" w:sz="0" w:space="0" w:color="auto"/>
        <w:left w:val="none" w:sz="0" w:space="0" w:color="auto"/>
        <w:bottom w:val="none" w:sz="0" w:space="0" w:color="auto"/>
        <w:right w:val="none" w:sz="0" w:space="0" w:color="auto"/>
      </w:divBdr>
    </w:div>
    <w:div w:id="1467314771">
      <w:bodyDiv w:val="1"/>
      <w:marLeft w:val="0"/>
      <w:marRight w:val="0"/>
      <w:marTop w:val="0"/>
      <w:marBottom w:val="0"/>
      <w:divBdr>
        <w:top w:val="none" w:sz="0" w:space="0" w:color="auto"/>
        <w:left w:val="none" w:sz="0" w:space="0" w:color="auto"/>
        <w:bottom w:val="none" w:sz="0" w:space="0" w:color="auto"/>
        <w:right w:val="none" w:sz="0" w:space="0" w:color="auto"/>
      </w:divBdr>
    </w:div>
    <w:div w:id="1478453545">
      <w:bodyDiv w:val="1"/>
      <w:marLeft w:val="0"/>
      <w:marRight w:val="0"/>
      <w:marTop w:val="0"/>
      <w:marBottom w:val="0"/>
      <w:divBdr>
        <w:top w:val="none" w:sz="0" w:space="0" w:color="auto"/>
        <w:left w:val="none" w:sz="0" w:space="0" w:color="auto"/>
        <w:bottom w:val="none" w:sz="0" w:space="0" w:color="auto"/>
        <w:right w:val="none" w:sz="0" w:space="0" w:color="auto"/>
      </w:divBdr>
    </w:div>
    <w:div w:id="1490099563">
      <w:bodyDiv w:val="1"/>
      <w:marLeft w:val="0"/>
      <w:marRight w:val="0"/>
      <w:marTop w:val="0"/>
      <w:marBottom w:val="0"/>
      <w:divBdr>
        <w:top w:val="none" w:sz="0" w:space="0" w:color="auto"/>
        <w:left w:val="none" w:sz="0" w:space="0" w:color="auto"/>
        <w:bottom w:val="none" w:sz="0" w:space="0" w:color="auto"/>
        <w:right w:val="none" w:sz="0" w:space="0" w:color="auto"/>
      </w:divBdr>
    </w:div>
    <w:div w:id="1550605764">
      <w:bodyDiv w:val="1"/>
      <w:marLeft w:val="0"/>
      <w:marRight w:val="0"/>
      <w:marTop w:val="0"/>
      <w:marBottom w:val="0"/>
      <w:divBdr>
        <w:top w:val="none" w:sz="0" w:space="0" w:color="auto"/>
        <w:left w:val="none" w:sz="0" w:space="0" w:color="auto"/>
        <w:bottom w:val="none" w:sz="0" w:space="0" w:color="auto"/>
        <w:right w:val="none" w:sz="0" w:space="0" w:color="auto"/>
      </w:divBdr>
    </w:div>
    <w:div w:id="1555509133">
      <w:bodyDiv w:val="1"/>
      <w:marLeft w:val="0"/>
      <w:marRight w:val="0"/>
      <w:marTop w:val="0"/>
      <w:marBottom w:val="0"/>
      <w:divBdr>
        <w:top w:val="none" w:sz="0" w:space="0" w:color="auto"/>
        <w:left w:val="none" w:sz="0" w:space="0" w:color="auto"/>
        <w:bottom w:val="none" w:sz="0" w:space="0" w:color="auto"/>
        <w:right w:val="none" w:sz="0" w:space="0" w:color="auto"/>
      </w:divBdr>
    </w:div>
    <w:div w:id="1563708210">
      <w:bodyDiv w:val="1"/>
      <w:marLeft w:val="0"/>
      <w:marRight w:val="0"/>
      <w:marTop w:val="0"/>
      <w:marBottom w:val="0"/>
      <w:divBdr>
        <w:top w:val="none" w:sz="0" w:space="0" w:color="auto"/>
        <w:left w:val="none" w:sz="0" w:space="0" w:color="auto"/>
        <w:bottom w:val="none" w:sz="0" w:space="0" w:color="auto"/>
        <w:right w:val="none" w:sz="0" w:space="0" w:color="auto"/>
      </w:divBdr>
    </w:div>
    <w:div w:id="1579634814">
      <w:bodyDiv w:val="1"/>
      <w:marLeft w:val="0"/>
      <w:marRight w:val="0"/>
      <w:marTop w:val="0"/>
      <w:marBottom w:val="0"/>
      <w:divBdr>
        <w:top w:val="none" w:sz="0" w:space="0" w:color="auto"/>
        <w:left w:val="none" w:sz="0" w:space="0" w:color="auto"/>
        <w:bottom w:val="none" w:sz="0" w:space="0" w:color="auto"/>
        <w:right w:val="none" w:sz="0" w:space="0" w:color="auto"/>
      </w:divBdr>
    </w:div>
    <w:div w:id="1587569561">
      <w:bodyDiv w:val="1"/>
      <w:marLeft w:val="0"/>
      <w:marRight w:val="0"/>
      <w:marTop w:val="0"/>
      <w:marBottom w:val="0"/>
      <w:divBdr>
        <w:top w:val="none" w:sz="0" w:space="0" w:color="auto"/>
        <w:left w:val="none" w:sz="0" w:space="0" w:color="auto"/>
        <w:bottom w:val="none" w:sz="0" w:space="0" w:color="auto"/>
        <w:right w:val="none" w:sz="0" w:space="0" w:color="auto"/>
      </w:divBdr>
    </w:div>
    <w:div w:id="1595162060">
      <w:bodyDiv w:val="1"/>
      <w:marLeft w:val="0"/>
      <w:marRight w:val="0"/>
      <w:marTop w:val="0"/>
      <w:marBottom w:val="0"/>
      <w:divBdr>
        <w:top w:val="none" w:sz="0" w:space="0" w:color="auto"/>
        <w:left w:val="none" w:sz="0" w:space="0" w:color="auto"/>
        <w:bottom w:val="none" w:sz="0" w:space="0" w:color="auto"/>
        <w:right w:val="none" w:sz="0" w:space="0" w:color="auto"/>
      </w:divBdr>
    </w:div>
    <w:div w:id="1615476711">
      <w:bodyDiv w:val="1"/>
      <w:marLeft w:val="0"/>
      <w:marRight w:val="0"/>
      <w:marTop w:val="0"/>
      <w:marBottom w:val="0"/>
      <w:divBdr>
        <w:top w:val="none" w:sz="0" w:space="0" w:color="auto"/>
        <w:left w:val="none" w:sz="0" w:space="0" w:color="auto"/>
        <w:bottom w:val="none" w:sz="0" w:space="0" w:color="auto"/>
        <w:right w:val="none" w:sz="0" w:space="0" w:color="auto"/>
      </w:divBdr>
    </w:div>
    <w:div w:id="1630360095">
      <w:bodyDiv w:val="1"/>
      <w:marLeft w:val="0"/>
      <w:marRight w:val="0"/>
      <w:marTop w:val="0"/>
      <w:marBottom w:val="0"/>
      <w:divBdr>
        <w:top w:val="none" w:sz="0" w:space="0" w:color="auto"/>
        <w:left w:val="none" w:sz="0" w:space="0" w:color="auto"/>
        <w:bottom w:val="none" w:sz="0" w:space="0" w:color="auto"/>
        <w:right w:val="none" w:sz="0" w:space="0" w:color="auto"/>
      </w:divBdr>
    </w:div>
    <w:div w:id="1634941528">
      <w:bodyDiv w:val="1"/>
      <w:marLeft w:val="0"/>
      <w:marRight w:val="0"/>
      <w:marTop w:val="0"/>
      <w:marBottom w:val="0"/>
      <w:divBdr>
        <w:top w:val="none" w:sz="0" w:space="0" w:color="auto"/>
        <w:left w:val="none" w:sz="0" w:space="0" w:color="auto"/>
        <w:bottom w:val="none" w:sz="0" w:space="0" w:color="auto"/>
        <w:right w:val="none" w:sz="0" w:space="0" w:color="auto"/>
      </w:divBdr>
    </w:div>
    <w:div w:id="1650859809">
      <w:bodyDiv w:val="1"/>
      <w:marLeft w:val="0"/>
      <w:marRight w:val="0"/>
      <w:marTop w:val="0"/>
      <w:marBottom w:val="0"/>
      <w:divBdr>
        <w:top w:val="none" w:sz="0" w:space="0" w:color="auto"/>
        <w:left w:val="none" w:sz="0" w:space="0" w:color="auto"/>
        <w:bottom w:val="none" w:sz="0" w:space="0" w:color="auto"/>
        <w:right w:val="none" w:sz="0" w:space="0" w:color="auto"/>
      </w:divBdr>
    </w:div>
    <w:div w:id="1661039906">
      <w:bodyDiv w:val="1"/>
      <w:marLeft w:val="0"/>
      <w:marRight w:val="0"/>
      <w:marTop w:val="0"/>
      <w:marBottom w:val="0"/>
      <w:divBdr>
        <w:top w:val="none" w:sz="0" w:space="0" w:color="auto"/>
        <w:left w:val="none" w:sz="0" w:space="0" w:color="auto"/>
        <w:bottom w:val="none" w:sz="0" w:space="0" w:color="auto"/>
        <w:right w:val="none" w:sz="0" w:space="0" w:color="auto"/>
      </w:divBdr>
    </w:div>
    <w:div w:id="1667703009">
      <w:bodyDiv w:val="1"/>
      <w:marLeft w:val="0"/>
      <w:marRight w:val="0"/>
      <w:marTop w:val="0"/>
      <w:marBottom w:val="0"/>
      <w:divBdr>
        <w:top w:val="none" w:sz="0" w:space="0" w:color="auto"/>
        <w:left w:val="none" w:sz="0" w:space="0" w:color="auto"/>
        <w:bottom w:val="none" w:sz="0" w:space="0" w:color="auto"/>
        <w:right w:val="none" w:sz="0" w:space="0" w:color="auto"/>
      </w:divBdr>
    </w:div>
    <w:div w:id="1713766473">
      <w:bodyDiv w:val="1"/>
      <w:marLeft w:val="0"/>
      <w:marRight w:val="0"/>
      <w:marTop w:val="0"/>
      <w:marBottom w:val="0"/>
      <w:divBdr>
        <w:top w:val="none" w:sz="0" w:space="0" w:color="auto"/>
        <w:left w:val="none" w:sz="0" w:space="0" w:color="auto"/>
        <w:bottom w:val="none" w:sz="0" w:space="0" w:color="auto"/>
        <w:right w:val="none" w:sz="0" w:space="0" w:color="auto"/>
      </w:divBdr>
    </w:div>
    <w:div w:id="1726755817">
      <w:bodyDiv w:val="1"/>
      <w:marLeft w:val="0"/>
      <w:marRight w:val="0"/>
      <w:marTop w:val="0"/>
      <w:marBottom w:val="0"/>
      <w:divBdr>
        <w:top w:val="none" w:sz="0" w:space="0" w:color="auto"/>
        <w:left w:val="none" w:sz="0" w:space="0" w:color="auto"/>
        <w:bottom w:val="none" w:sz="0" w:space="0" w:color="auto"/>
        <w:right w:val="none" w:sz="0" w:space="0" w:color="auto"/>
      </w:divBdr>
    </w:div>
    <w:div w:id="1742023894">
      <w:bodyDiv w:val="1"/>
      <w:marLeft w:val="0"/>
      <w:marRight w:val="0"/>
      <w:marTop w:val="0"/>
      <w:marBottom w:val="0"/>
      <w:divBdr>
        <w:top w:val="none" w:sz="0" w:space="0" w:color="auto"/>
        <w:left w:val="none" w:sz="0" w:space="0" w:color="auto"/>
        <w:bottom w:val="none" w:sz="0" w:space="0" w:color="auto"/>
        <w:right w:val="none" w:sz="0" w:space="0" w:color="auto"/>
      </w:divBdr>
    </w:div>
    <w:div w:id="1752392454">
      <w:bodyDiv w:val="1"/>
      <w:marLeft w:val="0"/>
      <w:marRight w:val="0"/>
      <w:marTop w:val="0"/>
      <w:marBottom w:val="0"/>
      <w:divBdr>
        <w:top w:val="none" w:sz="0" w:space="0" w:color="auto"/>
        <w:left w:val="none" w:sz="0" w:space="0" w:color="auto"/>
        <w:bottom w:val="none" w:sz="0" w:space="0" w:color="auto"/>
        <w:right w:val="none" w:sz="0" w:space="0" w:color="auto"/>
      </w:divBdr>
    </w:div>
    <w:div w:id="1800031624">
      <w:bodyDiv w:val="1"/>
      <w:marLeft w:val="0"/>
      <w:marRight w:val="0"/>
      <w:marTop w:val="0"/>
      <w:marBottom w:val="0"/>
      <w:divBdr>
        <w:top w:val="none" w:sz="0" w:space="0" w:color="auto"/>
        <w:left w:val="none" w:sz="0" w:space="0" w:color="auto"/>
        <w:bottom w:val="none" w:sz="0" w:space="0" w:color="auto"/>
        <w:right w:val="none" w:sz="0" w:space="0" w:color="auto"/>
      </w:divBdr>
    </w:div>
    <w:div w:id="1805615083">
      <w:bodyDiv w:val="1"/>
      <w:marLeft w:val="0"/>
      <w:marRight w:val="0"/>
      <w:marTop w:val="0"/>
      <w:marBottom w:val="0"/>
      <w:divBdr>
        <w:top w:val="none" w:sz="0" w:space="0" w:color="auto"/>
        <w:left w:val="none" w:sz="0" w:space="0" w:color="auto"/>
        <w:bottom w:val="none" w:sz="0" w:space="0" w:color="auto"/>
        <w:right w:val="none" w:sz="0" w:space="0" w:color="auto"/>
      </w:divBdr>
    </w:div>
    <w:div w:id="1813908798">
      <w:bodyDiv w:val="1"/>
      <w:marLeft w:val="0"/>
      <w:marRight w:val="0"/>
      <w:marTop w:val="0"/>
      <w:marBottom w:val="0"/>
      <w:divBdr>
        <w:top w:val="none" w:sz="0" w:space="0" w:color="auto"/>
        <w:left w:val="none" w:sz="0" w:space="0" w:color="auto"/>
        <w:bottom w:val="none" w:sz="0" w:space="0" w:color="auto"/>
        <w:right w:val="none" w:sz="0" w:space="0" w:color="auto"/>
      </w:divBdr>
    </w:div>
    <w:div w:id="1830439838">
      <w:bodyDiv w:val="1"/>
      <w:marLeft w:val="0"/>
      <w:marRight w:val="0"/>
      <w:marTop w:val="0"/>
      <w:marBottom w:val="0"/>
      <w:divBdr>
        <w:top w:val="none" w:sz="0" w:space="0" w:color="auto"/>
        <w:left w:val="none" w:sz="0" w:space="0" w:color="auto"/>
        <w:bottom w:val="none" w:sz="0" w:space="0" w:color="auto"/>
        <w:right w:val="none" w:sz="0" w:space="0" w:color="auto"/>
      </w:divBdr>
    </w:div>
    <w:div w:id="1838426006">
      <w:bodyDiv w:val="1"/>
      <w:marLeft w:val="0"/>
      <w:marRight w:val="0"/>
      <w:marTop w:val="0"/>
      <w:marBottom w:val="0"/>
      <w:divBdr>
        <w:top w:val="none" w:sz="0" w:space="0" w:color="auto"/>
        <w:left w:val="none" w:sz="0" w:space="0" w:color="auto"/>
        <w:bottom w:val="none" w:sz="0" w:space="0" w:color="auto"/>
        <w:right w:val="none" w:sz="0" w:space="0" w:color="auto"/>
      </w:divBdr>
    </w:div>
    <w:div w:id="1841502028">
      <w:bodyDiv w:val="1"/>
      <w:marLeft w:val="0"/>
      <w:marRight w:val="0"/>
      <w:marTop w:val="0"/>
      <w:marBottom w:val="0"/>
      <w:divBdr>
        <w:top w:val="none" w:sz="0" w:space="0" w:color="auto"/>
        <w:left w:val="none" w:sz="0" w:space="0" w:color="auto"/>
        <w:bottom w:val="none" w:sz="0" w:space="0" w:color="auto"/>
        <w:right w:val="none" w:sz="0" w:space="0" w:color="auto"/>
      </w:divBdr>
    </w:div>
    <w:div w:id="1852714890">
      <w:bodyDiv w:val="1"/>
      <w:marLeft w:val="0"/>
      <w:marRight w:val="0"/>
      <w:marTop w:val="0"/>
      <w:marBottom w:val="0"/>
      <w:divBdr>
        <w:top w:val="none" w:sz="0" w:space="0" w:color="auto"/>
        <w:left w:val="none" w:sz="0" w:space="0" w:color="auto"/>
        <w:bottom w:val="none" w:sz="0" w:space="0" w:color="auto"/>
        <w:right w:val="none" w:sz="0" w:space="0" w:color="auto"/>
      </w:divBdr>
    </w:div>
    <w:div w:id="1864519063">
      <w:bodyDiv w:val="1"/>
      <w:marLeft w:val="0"/>
      <w:marRight w:val="0"/>
      <w:marTop w:val="0"/>
      <w:marBottom w:val="0"/>
      <w:divBdr>
        <w:top w:val="none" w:sz="0" w:space="0" w:color="auto"/>
        <w:left w:val="none" w:sz="0" w:space="0" w:color="auto"/>
        <w:bottom w:val="none" w:sz="0" w:space="0" w:color="auto"/>
        <w:right w:val="none" w:sz="0" w:space="0" w:color="auto"/>
      </w:divBdr>
    </w:div>
    <w:div w:id="1882591346">
      <w:bodyDiv w:val="1"/>
      <w:marLeft w:val="0"/>
      <w:marRight w:val="0"/>
      <w:marTop w:val="0"/>
      <w:marBottom w:val="0"/>
      <w:divBdr>
        <w:top w:val="none" w:sz="0" w:space="0" w:color="auto"/>
        <w:left w:val="none" w:sz="0" w:space="0" w:color="auto"/>
        <w:bottom w:val="none" w:sz="0" w:space="0" w:color="auto"/>
        <w:right w:val="none" w:sz="0" w:space="0" w:color="auto"/>
      </w:divBdr>
    </w:div>
    <w:div w:id="1890847081">
      <w:bodyDiv w:val="1"/>
      <w:marLeft w:val="0"/>
      <w:marRight w:val="0"/>
      <w:marTop w:val="0"/>
      <w:marBottom w:val="0"/>
      <w:divBdr>
        <w:top w:val="none" w:sz="0" w:space="0" w:color="auto"/>
        <w:left w:val="none" w:sz="0" w:space="0" w:color="auto"/>
        <w:bottom w:val="none" w:sz="0" w:space="0" w:color="auto"/>
        <w:right w:val="none" w:sz="0" w:space="0" w:color="auto"/>
      </w:divBdr>
    </w:div>
    <w:div w:id="1913077357">
      <w:bodyDiv w:val="1"/>
      <w:marLeft w:val="0"/>
      <w:marRight w:val="0"/>
      <w:marTop w:val="0"/>
      <w:marBottom w:val="0"/>
      <w:divBdr>
        <w:top w:val="none" w:sz="0" w:space="0" w:color="auto"/>
        <w:left w:val="none" w:sz="0" w:space="0" w:color="auto"/>
        <w:bottom w:val="none" w:sz="0" w:space="0" w:color="auto"/>
        <w:right w:val="none" w:sz="0" w:space="0" w:color="auto"/>
      </w:divBdr>
    </w:div>
    <w:div w:id="1915554724">
      <w:bodyDiv w:val="1"/>
      <w:marLeft w:val="0"/>
      <w:marRight w:val="0"/>
      <w:marTop w:val="0"/>
      <w:marBottom w:val="0"/>
      <w:divBdr>
        <w:top w:val="none" w:sz="0" w:space="0" w:color="auto"/>
        <w:left w:val="none" w:sz="0" w:space="0" w:color="auto"/>
        <w:bottom w:val="none" w:sz="0" w:space="0" w:color="auto"/>
        <w:right w:val="none" w:sz="0" w:space="0" w:color="auto"/>
      </w:divBdr>
    </w:div>
    <w:div w:id="1917013778">
      <w:bodyDiv w:val="1"/>
      <w:marLeft w:val="0"/>
      <w:marRight w:val="0"/>
      <w:marTop w:val="0"/>
      <w:marBottom w:val="0"/>
      <w:divBdr>
        <w:top w:val="none" w:sz="0" w:space="0" w:color="auto"/>
        <w:left w:val="none" w:sz="0" w:space="0" w:color="auto"/>
        <w:bottom w:val="none" w:sz="0" w:space="0" w:color="auto"/>
        <w:right w:val="none" w:sz="0" w:space="0" w:color="auto"/>
      </w:divBdr>
    </w:div>
    <w:div w:id="1951740847">
      <w:bodyDiv w:val="1"/>
      <w:marLeft w:val="0"/>
      <w:marRight w:val="0"/>
      <w:marTop w:val="0"/>
      <w:marBottom w:val="0"/>
      <w:divBdr>
        <w:top w:val="none" w:sz="0" w:space="0" w:color="auto"/>
        <w:left w:val="none" w:sz="0" w:space="0" w:color="auto"/>
        <w:bottom w:val="none" w:sz="0" w:space="0" w:color="auto"/>
        <w:right w:val="none" w:sz="0" w:space="0" w:color="auto"/>
      </w:divBdr>
    </w:div>
    <w:div w:id="1969898073">
      <w:bodyDiv w:val="1"/>
      <w:marLeft w:val="0"/>
      <w:marRight w:val="0"/>
      <w:marTop w:val="0"/>
      <w:marBottom w:val="0"/>
      <w:divBdr>
        <w:top w:val="none" w:sz="0" w:space="0" w:color="auto"/>
        <w:left w:val="none" w:sz="0" w:space="0" w:color="auto"/>
        <w:bottom w:val="none" w:sz="0" w:space="0" w:color="auto"/>
        <w:right w:val="none" w:sz="0" w:space="0" w:color="auto"/>
      </w:divBdr>
    </w:div>
    <w:div w:id="1983776791">
      <w:bodyDiv w:val="1"/>
      <w:marLeft w:val="0"/>
      <w:marRight w:val="0"/>
      <w:marTop w:val="0"/>
      <w:marBottom w:val="0"/>
      <w:divBdr>
        <w:top w:val="none" w:sz="0" w:space="0" w:color="auto"/>
        <w:left w:val="none" w:sz="0" w:space="0" w:color="auto"/>
        <w:bottom w:val="none" w:sz="0" w:space="0" w:color="auto"/>
        <w:right w:val="none" w:sz="0" w:space="0" w:color="auto"/>
      </w:divBdr>
    </w:div>
    <w:div w:id="2026595443">
      <w:bodyDiv w:val="1"/>
      <w:marLeft w:val="0"/>
      <w:marRight w:val="0"/>
      <w:marTop w:val="0"/>
      <w:marBottom w:val="0"/>
      <w:divBdr>
        <w:top w:val="none" w:sz="0" w:space="0" w:color="auto"/>
        <w:left w:val="none" w:sz="0" w:space="0" w:color="auto"/>
        <w:bottom w:val="none" w:sz="0" w:space="0" w:color="auto"/>
        <w:right w:val="none" w:sz="0" w:space="0" w:color="auto"/>
      </w:divBdr>
    </w:div>
    <w:div w:id="2032762500">
      <w:bodyDiv w:val="1"/>
      <w:marLeft w:val="0"/>
      <w:marRight w:val="0"/>
      <w:marTop w:val="0"/>
      <w:marBottom w:val="0"/>
      <w:divBdr>
        <w:top w:val="none" w:sz="0" w:space="0" w:color="auto"/>
        <w:left w:val="none" w:sz="0" w:space="0" w:color="auto"/>
        <w:bottom w:val="none" w:sz="0" w:space="0" w:color="auto"/>
        <w:right w:val="none" w:sz="0" w:space="0" w:color="auto"/>
      </w:divBdr>
    </w:div>
    <w:div w:id="2064057176">
      <w:bodyDiv w:val="1"/>
      <w:marLeft w:val="0"/>
      <w:marRight w:val="0"/>
      <w:marTop w:val="0"/>
      <w:marBottom w:val="0"/>
      <w:divBdr>
        <w:top w:val="none" w:sz="0" w:space="0" w:color="auto"/>
        <w:left w:val="none" w:sz="0" w:space="0" w:color="auto"/>
        <w:bottom w:val="none" w:sz="0" w:space="0" w:color="auto"/>
        <w:right w:val="none" w:sz="0" w:space="0" w:color="auto"/>
      </w:divBdr>
    </w:div>
    <w:div w:id="2099790504">
      <w:bodyDiv w:val="1"/>
      <w:marLeft w:val="0"/>
      <w:marRight w:val="0"/>
      <w:marTop w:val="0"/>
      <w:marBottom w:val="0"/>
      <w:divBdr>
        <w:top w:val="none" w:sz="0" w:space="0" w:color="auto"/>
        <w:left w:val="none" w:sz="0" w:space="0" w:color="auto"/>
        <w:bottom w:val="none" w:sz="0" w:space="0" w:color="auto"/>
        <w:right w:val="none" w:sz="0" w:space="0" w:color="auto"/>
      </w:divBdr>
    </w:div>
    <w:div w:id="21130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7.xml"/></Relationships>
</file>

<file path=word/charts/_rels/chart1.xml.rels><?xml version="1.0" encoding="UTF-8" standalone="yes"?>
<Relationships xmlns="http://schemas.openxmlformats.org/package/2006/relationships"><Relationship Id="rId1" Type="http://schemas.openxmlformats.org/officeDocument/2006/relationships/oleObject" Target="file:///\\hdc-fps01\data$\Education%20(Current)\DHB%20Reports\2018%20Jan%20to%20Jun\Analysis\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cat>
            <c:strRef>
              <c:f>'Number over time'!$A$1:$J$1</c:f>
              <c:strCache>
                <c:ptCount val="10"/>
                <c:pt idx="0">
                  <c:v>Jul–Dec 13</c:v>
                </c:pt>
                <c:pt idx="1">
                  <c:v>Jan–Jun 14</c:v>
                </c:pt>
                <c:pt idx="2">
                  <c:v>Jul–Dec 14</c:v>
                </c:pt>
                <c:pt idx="3">
                  <c:v>Jan–Jun 15</c:v>
                </c:pt>
                <c:pt idx="4">
                  <c:v>Jul–Dec 15</c:v>
                </c:pt>
                <c:pt idx="5">
                  <c:v>Jan–Jun 16</c:v>
                </c:pt>
                <c:pt idx="6">
                  <c:v>Jul–Dec 16</c:v>
                </c:pt>
                <c:pt idx="7">
                  <c:v>Jan–Jun 17</c:v>
                </c:pt>
                <c:pt idx="8">
                  <c:v>Jul–Dec 17</c:v>
                </c:pt>
                <c:pt idx="9">
                  <c:v>Jan–Jun 18</c:v>
                </c:pt>
              </c:strCache>
            </c:strRef>
          </c:cat>
          <c:val>
            <c:numRef>
              <c:f>'Number over time'!$A$2:$J$2</c:f>
              <c:numCache>
                <c:formatCode>General</c:formatCode>
                <c:ptCount val="10"/>
              </c:numCache>
            </c:numRef>
          </c:val>
          <c:smooth val="0"/>
        </c:ser>
        <c:ser>
          <c:idx val="1"/>
          <c:order val="1"/>
          <c:spPr>
            <a:ln>
              <a:solidFill>
                <a:srgbClr val="C00000"/>
              </a:solidFill>
            </a:ln>
          </c:spPr>
          <c:marker>
            <c:spPr>
              <a:solidFill>
                <a:srgbClr val="C00000"/>
              </a:solidFill>
              <a:ln>
                <a:solidFill>
                  <a:srgbClr val="C00000"/>
                </a:solidFill>
              </a:ln>
            </c:spPr>
          </c:marker>
          <c:cat>
            <c:strRef>
              <c:f>'Number over time'!$A$1:$J$1</c:f>
              <c:strCache>
                <c:ptCount val="10"/>
                <c:pt idx="0">
                  <c:v>Jul–Dec 13</c:v>
                </c:pt>
                <c:pt idx="1">
                  <c:v>Jan–Jun 14</c:v>
                </c:pt>
                <c:pt idx="2">
                  <c:v>Jul–Dec 14</c:v>
                </c:pt>
                <c:pt idx="3">
                  <c:v>Jan–Jun 15</c:v>
                </c:pt>
                <c:pt idx="4">
                  <c:v>Jul–Dec 15</c:v>
                </c:pt>
                <c:pt idx="5">
                  <c:v>Jan–Jun 16</c:v>
                </c:pt>
                <c:pt idx="6">
                  <c:v>Jul–Dec 16</c:v>
                </c:pt>
                <c:pt idx="7">
                  <c:v>Jan–Jun 17</c:v>
                </c:pt>
                <c:pt idx="8">
                  <c:v>Jul–Dec 17</c:v>
                </c:pt>
                <c:pt idx="9">
                  <c:v>Jan–Jun 18</c:v>
                </c:pt>
              </c:strCache>
            </c:strRef>
          </c:cat>
          <c:val>
            <c:numRef>
              <c:f>'Number over time'!$A$3:$J$3</c:f>
              <c:numCache>
                <c:formatCode>General</c:formatCode>
                <c:ptCount val="10"/>
                <c:pt idx="0">
                  <c:v>330</c:v>
                </c:pt>
                <c:pt idx="1">
                  <c:v>330</c:v>
                </c:pt>
                <c:pt idx="2">
                  <c:v>368</c:v>
                </c:pt>
                <c:pt idx="3">
                  <c:v>389</c:v>
                </c:pt>
                <c:pt idx="4">
                  <c:v>422</c:v>
                </c:pt>
                <c:pt idx="5">
                  <c:v>383</c:v>
                </c:pt>
                <c:pt idx="6">
                  <c:v>386</c:v>
                </c:pt>
                <c:pt idx="7">
                  <c:v>477</c:v>
                </c:pt>
                <c:pt idx="8">
                  <c:v>439</c:v>
                </c:pt>
                <c:pt idx="9">
                  <c:v>450</c:v>
                </c:pt>
              </c:numCache>
            </c:numRef>
          </c:val>
          <c:smooth val="0"/>
        </c:ser>
        <c:dLbls>
          <c:showLegendKey val="0"/>
          <c:showVal val="0"/>
          <c:showCatName val="0"/>
          <c:showSerName val="0"/>
          <c:showPercent val="0"/>
          <c:showBubbleSize val="0"/>
        </c:dLbls>
        <c:marker val="1"/>
        <c:smooth val="0"/>
        <c:axId val="80666624"/>
        <c:axId val="80668544"/>
      </c:lineChart>
      <c:catAx>
        <c:axId val="80666624"/>
        <c:scaling>
          <c:orientation val="minMax"/>
        </c:scaling>
        <c:delete val="0"/>
        <c:axPos val="b"/>
        <c:majorTickMark val="out"/>
        <c:minorTickMark val="none"/>
        <c:tickLblPos val="nextTo"/>
        <c:crossAx val="80668544"/>
        <c:crosses val="autoZero"/>
        <c:auto val="1"/>
        <c:lblAlgn val="ctr"/>
        <c:lblOffset val="100"/>
        <c:noMultiLvlLbl val="0"/>
      </c:catAx>
      <c:valAx>
        <c:axId val="80668544"/>
        <c:scaling>
          <c:orientation val="minMax"/>
        </c:scaling>
        <c:delete val="0"/>
        <c:axPos val="l"/>
        <c:majorGridlines/>
        <c:numFmt formatCode="General" sourceLinked="1"/>
        <c:majorTickMark val="out"/>
        <c:minorTickMark val="none"/>
        <c:tickLblPos val="nextTo"/>
        <c:crossAx val="806666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6D879-858F-45E7-AC56-DB3635AA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519F1D5D</Template>
  <TotalTime>0</TotalTime>
  <Pages>27</Pages>
  <Words>7069</Words>
  <Characters>40298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2018-10-26T22:35:00Z</dcterms:created>
  <dcterms:modified xsi:type="dcterms:W3CDTF">2018-10-26T23:49:00Z</dcterms:modified>
</cp:coreProperties>
</file>