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ED14" w14:textId="325B9F13" w:rsidR="00841E1C" w:rsidRDefault="00841E1C" w:rsidP="00286DED">
      <w:pPr>
        <w:jc w:val="center"/>
        <w:rPr>
          <w:b/>
          <w:color w:val="FF0000"/>
          <w:sz w:val="32"/>
          <w:szCs w:val="32"/>
        </w:rPr>
      </w:pPr>
      <w:bookmarkStart w:id="0" w:name="_GoBack"/>
      <w:bookmarkEnd w:id="0"/>
    </w:p>
    <w:p w14:paraId="7FF26AA6" w14:textId="77777777" w:rsidR="004C0176" w:rsidRPr="009F7E9D" w:rsidRDefault="004C0176" w:rsidP="00286DED">
      <w:pPr>
        <w:jc w:val="center"/>
      </w:pPr>
    </w:p>
    <w:p w14:paraId="4C05E1EB" w14:textId="77777777" w:rsidR="00841E1C" w:rsidRPr="009F7E9D" w:rsidRDefault="00841E1C" w:rsidP="00286DED"/>
    <w:p w14:paraId="18B8E36B" w14:textId="77777777" w:rsidR="00841E1C" w:rsidRPr="009F7E9D" w:rsidRDefault="00841E1C" w:rsidP="00286DED"/>
    <w:p w14:paraId="07F93AB2" w14:textId="77777777" w:rsidR="00841E1C" w:rsidRPr="009F7E9D" w:rsidRDefault="00841E1C" w:rsidP="00286DED"/>
    <w:p w14:paraId="7F4D6254" w14:textId="77777777" w:rsidR="00841E1C" w:rsidRPr="009F7E9D" w:rsidRDefault="00841E1C" w:rsidP="00286DED"/>
    <w:p w14:paraId="56C21C09" w14:textId="77777777" w:rsidR="00841E1C" w:rsidRPr="009F7E9D" w:rsidRDefault="00841E1C" w:rsidP="00286DED"/>
    <w:p w14:paraId="6FBA7848" w14:textId="77777777" w:rsidR="00841E1C" w:rsidRPr="009F7E9D" w:rsidRDefault="00841E1C" w:rsidP="00286DED"/>
    <w:p w14:paraId="5FA55B63" w14:textId="77777777" w:rsidR="00841E1C" w:rsidRPr="009F7E9D" w:rsidRDefault="00841E1C" w:rsidP="00286DED"/>
    <w:p w14:paraId="65AFE145" w14:textId="77777777" w:rsidR="00841E1C" w:rsidRPr="009F7E9D" w:rsidRDefault="00841E1C" w:rsidP="00286DED"/>
    <w:p w14:paraId="2761FB05" w14:textId="77777777" w:rsidR="00841E1C" w:rsidRPr="009F7E9D" w:rsidRDefault="00841E1C" w:rsidP="00286DED"/>
    <w:p w14:paraId="74E7B851" w14:textId="77777777" w:rsidR="00841E1C" w:rsidRPr="009F7E9D" w:rsidRDefault="00841E1C" w:rsidP="00286DED"/>
    <w:p w14:paraId="789702E5" w14:textId="77777777" w:rsidR="00841E1C" w:rsidRDefault="00841E1C" w:rsidP="00286DED"/>
    <w:p w14:paraId="5456F49D" w14:textId="77777777" w:rsidR="00841E1C" w:rsidRPr="009F7E9D" w:rsidRDefault="00841E1C" w:rsidP="00286DED"/>
    <w:p w14:paraId="26F31AC1" w14:textId="77777777" w:rsidR="00841E1C" w:rsidRPr="009F7E9D" w:rsidRDefault="00841E1C" w:rsidP="00286DED"/>
    <w:p w14:paraId="57563148" w14:textId="77777777" w:rsidR="00841E1C" w:rsidRPr="009F7E9D" w:rsidRDefault="00841E1C" w:rsidP="00286DED"/>
    <w:p w14:paraId="20AD88D3" w14:textId="77777777" w:rsidR="00841E1C" w:rsidRPr="009F7E9D" w:rsidRDefault="00841E1C" w:rsidP="00286DED"/>
    <w:p w14:paraId="3C66CF2F" w14:textId="77777777" w:rsidR="00841E1C" w:rsidRPr="00A504BF" w:rsidRDefault="00841E1C" w:rsidP="00286DED">
      <w:pPr>
        <w:pStyle w:val="NoSpacing"/>
        <w:jc w:val="center"/>
        <w:rPr>
          <w:rFonts w:eastAsiaTheme="majorEastAsia" w:cstheme="majorBidi"/>
          <w:b/>
          <w:sz w:val="56"/>
          <w:szCs w:val="56"/>
          <w:lang w:val="en-NZ"/>
        </w:rPr>
      </w:pPr>
      <w:r w:rsidRPr="00A504BF">
        <w:rPr>
          <w:rFonts w:eastAsiaTheme="majorEastAsia" w:cstheme="majorBidi"/>
          <w:b/>
          <w:sz w:val="56"/>
          <w:szCs w:val="56"/>
          <w:lang w:val="en-NZ"/>
        </w:rPr>
        <w:t xml:space="preserve">Complaints to HDC involving </w:t>
      </w:r>
    </w:p>
    <w:p w14:paraId="28D04910" w14:textId="45B17A53" w:rsidR="00841E1C" w:rsidRPr="00A504BF" w:rsidRDefault="00841E1C" w:rsidP="00286DED">
      <w:pPr>
        <w:pStyle w:val="NoSpacing"/>
        <w:jc w:val="center"/>
        <w:rPr>
          <w:rFonts w:eastAsiaTheme="majorEastAsia" w:cstheme="majorBidi"/>
          <w:b/>
          <w:sz w:val="56"/>
          <w:szCs w:val="56"/>
          <w:lang w:val="en-NZ"/>
        </w:rPr>
      </w:pPr>
      <w:r w:rsidRPr="00A504BF">
        <w:rPr>
          <w:rFonts w:eastAsiaTheme="majorEastAsia" w:cstheme="majorBidi"/>
          <w:b/>
          <w:sz w:val="56"/>
          <w:szCs w:val="56"/>
          <w:lang w:val="en-NZ"/>
        </w:rPr>
        <w:t>District Health Boards</w:t>
      </w:r>
    </w:p>
    <w:p w14:paraId="7841F153" w14:textId="77777777" w:rsidR="00841E1C" w:rsidRPr="009F7E9D" w:rsidRDefault="00841E1C" w:rsidP="00286DED">
      <w:pPr>
        <w:pStyle w:val="NoSpacing"/>
        <w:jc w:val="center"/>
        <w:rPr>
          <w:rFonts w:eastAsiaTheme="majorEastAsia" w:cstheme="majorBidi"/>
          <w:b/>
          <w:sz w:val="36"/>
          <w:szCs w:val="36"/>
          <w:lang w:val="en-NZ"/>
        </w:rPr>
      </w:pPr>
    </w:p>
    <w:p w14:paraId="14D3F245" w14:textId="615A3847" w:rsidR="00841E1C" w:rsidRPr="006F7F6E" w:rsidRDefault="00841E1C" w:rsidP="00286DED">
      <w:pPr>
        <w:pStyle w:val="NoSpacing"/>
        <w:jc w:val="center"/>
        <w:rPr>
          <w:rFonts w:eastAsiaTheme="majorEastAsia" w:cstheme="majorBidi"/>
          <w:b/>
          <w:sz w:val="36"/>
          <w:szCs w:val="36"/>
          <w:lang w:val="en-NZ"/>
        </w:rPr>
      </w:pPr>
      <w:r w:rsidRPr="006F7F6E">
        <w:rPr>
          <w:rFonts w:eastAsiaTheme="majorEastAsia" w:cstheme="majorBidi"/>
          <w:b/>
          <w:sz w:val="36"/>
          <w:szCs w:val="36"/>
          <w:lang w:val="en-NZ"/>
        </w:rPr>
        <w:t>Repor</w:t>
      </w:r>
      <w:r w:rsidR="00E10828" w:rsidRPr="006F7F6E">
        <w:rPr>
          <w:rFonts w:eastAsiaTheme="majorEastAsia" w:cstheme="majorBidi"/>
          <w:b/>
          <w:sz w:val="36"/>
          <w:szCs w:val="36"/>
          <w:lang w:val="en-NZ"/>
        </w:rPr>
        <w:t>t a</w:t>
      </w:r>
      <w:r w:rsidR="005D5AAB">
        <w:rPr>
          <w:rFonts w:eastAsiaTheme="majorEastAsia" w:cstheme="majorBidi"/>
          <w:b/>
          <w:sz w:val="36"/>
          <w:szCs w:val="36"/>
          <w:lang w:val="en-NZ"/>
        </w:rPr>
        <w:t>nd Analysis for period 1 January to 30 June 2021</w:t>
      </w:r>
    </w:p>
    <w:p w14:paraId="2201F0F3" w14:textId="77777777" w:rsidR="00841E1C" w:rsidRPr="009F7E9D" w:rsidRDefault="00841E1C" w:rsidP="00286DED">
      <w:pPr>
        <w:pStyle w:val="NoSpacing"/>
        <w:jc w:val="center"/>
        <w:rPr>
          <w:rFonts w:eastAsiaTheme="majorEastAsia" w:cstheme="majorBidi"/>
          <w:b/>
          <w:sz w:val="32"/>
          <w:szCs w:val="32"/>
          <w:lang w:val="en-NZ"/>
        </w:rPr>
      </w:pPr>
    </w:p>
    <w:p w14:paraId="3F855060" w14:textId="77777777" w:rsidR="00841E1C" w:rsidRPr="009F7E9D" w:rsidRDefault="00841E1C" w:rsidP="00286DED">
      <w:pPr>
        <w:pStyle w:val="NoSpacing"/>
        <w:jc w:val="center"/>
        <w:rPr>
          <w:rFonts w:eastAsiaTheme="majorEastAsia" w:cstheme="majorBidi"/>
          <w:b/>
          <w:sz w:val="32"/>
          <w:szCs w:val="32"/>
          <w:lang w:val="en-NZ"/>
        </w:rPr>
      </w:pPr>
    </w:p>
    <w:p w14:paraId="78695241" w14:textId="77777777" w:rsidR="00841E1C" w:rsidRPr="009F7E9D" w:rsidRDefault="00841E1C" w:rsidP="00286DED">
      <w:pPr>
        <w:pStyle w:val="NoSpacing"/>
        <w:jc w:val="center"/>
        <w:rPr>
          <w:rFonts w:eastAsiaTheme="majorEastAsia" w:cstheme="majorBidi"/>
          <w:b/>
          <w:sz w:val="32"/>
          <w:szCs w:val="32"/>
          <w:lang w:val="en-NZ"/>
        </w:rPr>
      </w:pPr>
    </w:p>
    <w:p w14:paraId="7B859094" w14:textId="77777777" w:rsidR="00841E1C" w:rsidRPr="009F7E9D" w:rsidRDefault="00841E1C" w:rsidP="00286DED">
      <w:pPr>
        <w:pStyle w:val="NoSpacing"/>
        <w:jc w:val="center"/>
        <w:rPr>
          <w:rFonts w:eastAsiaTheme="majorEastAsia" w:cstheme="majorBidi"/>
          <w:b/>
          <w:sz w:val="32"/>
          <w:szCs w:val="32"/>
          <w:lang w:val="en-NZ"/>
        </w:rPr>
      </w:pPr>
    </w:p>
    <w:p w14:paraId="4E087F77" w14:textId="77777777" w:rsidR="00841E1C" w:rsidRPr="009F7E9D" w:rsidRDefault="00841E1C" w:rsidP="00286DED">
      <w:pPr>
        <w:pStyle w:val="NoSpacing"/>
        <w:jc w:val="center"/>
        <w:rPr>
          <w:rFonts w:eastAsiaTheme="majorEastAsia" w:cstheme="majorBidi"/>
          <w:b/>
          <w:sz w:val="32"/>
          <w:szCs w:val="32"/>
          <w:lang w:val="en-NZ"/>
        </w:rPr>
      </w:pPr>
    </w:p>
    <w:p w14:paraId="370EE241" w14:textId="2131B286" w:rsidR="00841E1C" w:rsidRDefault="00841E1C" w:rsidP="00286DED">
      <w:pPr>
        <w:pStyle w:val="NoSpacing"/>
        <w:jc w:val="center"/>
        <w:rPr>
          <w:rFonts w:eastAsiaTheme="majorEastAsia" w:cstheme="majorBidi"/>
          <w:b/>
          <w:sz w:val="32"/>
          <w:szCs w:val="32"/>
          <w:lang w:val="en-NZ"/>
        </w:rPr>
      </w:pPr>
    </w:p>
    <w:p w14:paraId="0A9A7D66" w14:textId="77777777" w:rsidR="006F7F6E" w:rsidRPr="009F7E9D" w:rsidRDefault="006F7F6E" w:rsidP="00286DED">
      <w:pPr>
        <w:pStyle w:val="NoSpacing"/>
        <w:jc w:val="center"/>
        <w:rPr>
          <w:rFonts w:eastAsiaTheme="majorEastAsia" w:cstheme="majorBidi"/>
          <w:b/>
          <w:sz w:val="32"/>
          <w:szCs w:val="32"/>
          <w:lang w:val="en-NZ"/>
        </w:rPr>
      </w:pPr>
    </w:p>
    <w:p w14:paraId="510AB247" w14:textId="77777777" w:rsidR="00841E1C" w:rsidRPr="009F7E9D" w:rsidRDefault="00841E1C" w:rsidP="00286DED">
      <w:pPr>
        <w:pStyle w:val="NoSpacing"/>
        <w:jc w:val="center"/>
        <w:rPr>
          <w:rFonts w:eastAsiaTheme="majorEastAsia" w:cstheme="majorBidi"/>
          <w:b/>
          <w:sz w:val="32"/>
          <w:szCs w:val="32"/>
          <w:lang w:val="en-NZ"/>
        </w:rPr>
      </w:pPr>
    </w:p>
    <w:p w14:paraId="22661F64" w14:textId="77777777" w:rsidR="00841E1C" w:rsidRPr="009F7E9D" w:rsidRDefault="00841E1C" w:rsidP="00286DED">
      <w:pPr>
        <w:pStyle w:val="NoSpacing"/>
        <w:jc w:val="center"/>
        <w:rPr>
          <w:rFonts w:eastAsiaTheme="majorEastAsia" w:cstheme="majorBidi"/>
          <w:b/>
          <w:sz w:val="32"/>
          <w:szCs w:val="32"/>
          <w:lang w:val="en-NZ"/>
        </w:rPr>
      </w:pPr>
    </w:p>
    <w:p w14:paraId="42CF11C0" w14:textId="77777777" w:rsidR="00841E1C" w:rsidRPr="009F7E9D" w:rsidRDefault="00841E1C" w:rsidP="00286DED">
      <w:pPr>
        <w:pStyle w:val="NoSpacing"/>
        <w:jc w:val="center"/>
        <w:rPr>
          <w:rFonts w:eastAsiaTheme="majorEastAsia" w:cstheme="majorBidi"/>
          <w:b/>
          <w:sz w:val="32"/>
          <w:szCs w:val="32"/>
          <w:lang w:val="en-NZ"/>
        </w:rPr>
      </w:pPr>
    </w:p>
    <w:p w14:paraId="1CE8C519" w14:textId="77777777" w:rsidR="00841E1C" w:rsidRPr="009F7E9D" w:rsidRDefault="00841E1C" w:rsidP="00286DED">
      <w:pPr>
        <w:pStyle w:val="NoSpacing"/>
        <w:jc w:val="center"/>
        <w:rPr>
          <w:rFonts w:eastAsiaTheme="majorEastAsia" w:cstheme="majorBidi"/>
          <w:b/>
          <w:sz w:val="32"/>
          <w:szCs w:val="32"/>
          <w:lang w:val="en-NZ"/>
        </w:rPr>
      </w:pPr>
    </w:p>
    <w:p w14:paraId="28DE1B76" w14:textId="77777777" w:rsidR="00841E1C" w:rsidRPr="009F7E9D" w:rsidRDefault="00841E1C" w:rsidP="00286DED">
      <w:pPr>
        <w:pStyle w:val="NoSpacing"/>
        <w:jc w:val="center"/>
        <w:rPr>
          <w:rFonts w:eastAsiaTheme="majorEastAsia" w:cstheme="majorBidi"/>
          <w:b/>
          <w:sz w:val="32"/>
          <w:szCs w:val="32"/>
          <w:lang w:val="en-NZ"/>
        </w:rPr>
      </w:pPr>
    </w:p>
    <w:p w14:paraId="6BD04D5D" w14:textId="16FFBA9C" w:rsidR="00841E1C" w:rsidRPr="009F7E9D" w:rsidRDefault="00841E1C" w:rsidP="00286DED">
      <w:pPr>
        <w:pStyle w:val="NoSpacing"/>
        <w:jc w:val="center"/>
        <w:rPr>
          <w:rFonts w:eastAsiaTheme="majorEastAsia" w:cstheme="majorBidi"/>
          <w:b/>
          <w:sz w:val="32"/>
          <w:szCs w:val="32"/>
          <w:lang w:val="en-NZ"/>
        </w:rPr>
      </w:pPr>
    </w:p>
    <w:p w14:paraId="3134DE46" w14:textId="6BA6A89E" w:rsidR="00841E1C" w:rsidRPr="009F7E9D" w:rsidRDefault="006F7F6E" w:rsidP="00286DED">
      <w:pPr>
        <w:pStyle w:val="NoSpacing"/>
        <w:jc w:val="center"/>
        <w:rPr>
          <w:rFonts w:eastAsiaTheme="majorEastAsia" w:cstheme="majorBidi"/>
          <w:b/>
          <w:sz w:val="32"/>
          <w:szCs w:val="32"/>
          <w:lang w:val="en-NZ"/>
        </w:rPr>
      </w:pPr>
      <w:r w:rsidRPr="00016E58">
        <w:rPr>
          <w:rFonts w:ascii="Tms Rmn" w:hAnsi="Tms Rmn"/>
          <w:noProof/>
          <w:sz w:val="24"/>
          <w:szCs w:val="24"/>
          <w:lang w:val="en-NZ" w:eastAsia="en-NZ"/>
        </w:rPr>
        <w:drawing>
          <wp:anchor distT="0" distB="0" distL="114300" distR="114300" simplePos="0" relativeHeight="251661824" behindDoc="0" locked="0" layoutInCell="1" allowOverlap="1" wp14:anchorId="0C9305A8" wp14:editId="691813E0">
            <wp:simplePos x="0" y="0"/>
            <wp:positionH relativeFrom="column">
              <wp:posOffset>1474470</wp:posOffset>
            </wp:positionH>
            <wp:positionV relativeFrom="paragraph">
              <wp:posOffset>459958</wp:posOffset>
            </wp:positionV>
            <wp:extent cx="2377818" cy="1290917"/>
            <wp:effectExtent l="0" t="0" r="381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818" cy="1290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FF613" w14:textId="77777777" w:rsidR="00841E1C" w:rsidRDefault="00841E1C" w:rsidP="00286DED">
      <w:pPr>
        <w:jc w:val="center"/>
        <w:sectPr w:rsidR="00841E1C" w:rsidSect="00841E1C">
          <w:headerReference w:type="even" r:id="rId9"/>
          <w:headerReference w:type="default" r:id="rId10"/>
          <w:footerReference w:type="even" r:id="rId11"/>
          <w:footerReference w:type="default" r:id="rId12"/>
          <w:headerReference w:type="first" r:id="rId13"/>
          <w:footerReference w:type="first" r:id="rId14"/>
          <w:pgSz w:w="11906" w:h="16838" w:code="9"/>
          <w:pgMar w:top="1140" w:right="1412" w:bottom="851" w:left="1412" w:header="720" w:footer="590" w:gutter="0"/>
          <w:cols w:space="720"/>
          <w:titlePg/>
          <w:docGrid w:linePitch="360"/>
        </w:sectPr>
      </w:pPr>
    </w:p>
    <w:p w14:paraId="34D01E28" w14:textId="3DBC1E22" w:rsidR="00841E1C" w:rsidRDefault="00841E1C" w:rsidP="00286DED"/>
    <w:p w14:paraId="6C7462A3" w14:textId="77777777" w:rsidR="00ED7A15" w:rsidRDefault="00ED7A15" w:rsidP="00286DED">
      <w:pPr>
        <w:rPr>
          <w:b/>
          <w:szCs w:val="22"/>
        </w:rPr>
      </w:pPr>
    </w:p>
    <w:p w14:paraId="353A213D" w14:textId="77777777" w:rsidR="00ED7A15" w:rsidRDefault="00ED7A15" w:rsidP="00286DED">
      <w:pPr>
        <w:rPr>
          <w:b/>
          <w:szCs w:val="22"/>
        </w:rPr>
      </w:pPr>
    </w:p>
    <w:p w14:paraId="0B151149" w14:textId="77777777" w:rsidR="00ED7A15" w:rsidRDefault="00ED7A15" w:rsidP="00286DED">
      <w:pPr>
        <w:rPr>
          <w:b/>
          <w:szCs w:val="22"/>
        </w:rPr>
      </w:pPr>
    </w:p>
    <w:p w14:paraId="66406ABA" w14:textId="77777777" w:rsidR="00ED7A15" w:rsidRDefault="00ED7A15" w:rsidP="00286DED">
      <w:pPr>
        <w:rPr>
          <w:b/>
          <w:szCs w:val="22"/>
        </w:rPr>
      </w:pPr>
    </w:p>
    <w:p w14:paraId="75466DDE" w14:textId="77777777" w:rsidR="00ED7A15" w:rsidRDefault="00ED7A15" w:rsidP="00286DED">
      <w:pPr>
        <w:rPr>
          <w:b/>
          <w:szCs w:val="22"/>
        </w:rPr>
      </w:pPr>
    </w:p>
    <w:p w14:paraId="3ED02641" w14:textId="77777777" w:rsidR="00ED7A15" w:rsidRDefault="00ED7A15" w:rsidP="00286DED">
      <w:pPr>
        <w:rPr>
          <w:b/>
          <w:szCs w:val="22"/>
        </w:rPr>
      </w:pPr>
    </w:p>
    <w:p w14:paraId="2601F040" w14:textId="77777777" w:rsidR="00ED7A15" w:rsidRDefault="00ED7A15" w:rsidP="00286DED">
      <w:pPr>
        <w:rPr>
          <w:b/>
          <w:szCs w:val="22"/>
        </w:rPr>
      </w:pPr>
    </w:p>
    <w:p w14:paraId="1C2BA71C" w14:textId="77777777" w:rsidR="00ED7A15" w:rsidRDefault="00ED7A15" w:rsidP="00286DED">
      <w:pPr>
        <w:rPr>
          <w:b/>
          <w:szCs w:val="22"/>
        </w:rPr>
      </w:pPr>
    </w:p>
    <w:p w14:paraId="640E9F84" w14:textId="77777777" w:rsidR="00ED7A15" w:rsidRDefault="00ED7A15" w:rsidP="00286DED">
      <w:pPr>
        <w:jc w:val="center"/>
        <w:rPr>
          <w:b/>
          <w:szCs w:val="22"/>
        </w:rPr>
      </w:pPr>
    </w:p>
    <w:p w14:paraId="4F3BB2B2" w14:textId="77777777" w:rsidR="00ED7A15" w:rsidRDefault="00ED7A15" w:rsidP="00286DED">
      <w:pPr>
        <w:rPr>
          <w:b/>
          <w:szCs w:val="22"/>
        </w:rPr>
      </w:pPr>
    </w:p>
    <w:p w14:paraId="6C04BDE8" w14:textId="77777777" w:rsidR="00ED7A15" w:rsidRDefault="00ED7A15" w:rsidP="00286DED">
      <w:pPr>
        <w:rPr>
          <w:b/>
          <w:szCs w:val="22"/>
        </w:rPr>
      </w:pPr>
    </w:p>
    <w:p w14:paraId="5FB71A8F" w14:textId="77777777" w:rsidR="00ED7A15" w:rsidRDefault="00ED7A15" w:rsidP="00286DED">
      <w:pPr>
        <w:rPr>
          <w:b/>
          <w:szCs w:val="22"/>
        </w:rPr>
      </w:pPr>
    </w:p>
    <w:p w14:paraId="4D17B2C3" w14:textId="77777777" w:rsidR="00ED7A15" w:rsidRDefault="00ED7A15" w:rsidP="00286DED">
      <w:pPr>
        <w:rPr>
          <w:b/>
          <w:szCs w:val="22"/>
        </w:rPr>
      </w:pPr>
    </w:p>
    <w:p w14:paraId="0E6D7660" w14:textId="77777777" w:rsidR="00ED7A15" w:rsidRDefault="00ED7A15" w:rsidP="00286DED">
      <w:pPr>
        <w:rPr>
          <w:b/>
          <w:szCs w:val="22"/>
        </w:rPr>
      </w:pPr>
    </w:p>
    <w:p w14:paraId="27141491" w14:textId="77777777" w:rsidR="00ED7A15" w:rsidRDefault="00ED7A15" w:rsidP="00286DED">
      <w:pPr>
        <w:rPr>
          <w:b/>
          <w:szCs w:val="22"/>
        </w:rPr>
      </w:pPr>
    </w:p>
    <w:p w14:paraId="051EFDEA" w14:textId="77777777" w:rsidR="00ED7A15" w:rsidRDefault="00ED7A15" w:rsidP="00286DED">
      <w:pPr>
        <w:rPr>
          <w:b/>
          <w:szCs w:val="22"/>
        </w:rPr>
      </w:pPr>
    </w:p>
    <w:p w14:paraId="3CCBD2EA" w14:textId="77777777" w:rsidR="00ED7A15" w:rsidRDefault="00ED7A15" w:rsidP="00286DED">
      <w:pPr>
        <w:rPr>
          <w:b/>
          <w:szCs w:val="22"/>
        </w:rPr>
      </w:pPr>
    </w:p>
    <w:p w14:paraId="7E6B8318" w14:textId="77777777" w:rsidR="00ED7A15" w:rsidRDefault="00ED7A15" w:rsidP="00286DED">
      <w:pPr>
        <w:rPr>
          <w:b/>
          <w:szCs w:val="22"/>
        </w:rPr>
      </w:pPr>
    </w:p>
    <w:p w14:paraId="434D607C" w14:textId="77777777" w:rsidR="00ED7A15" w:rsidRDefault="00ED7A15" w:rsidP="00286DED">
      <w:pPr>
        <w:rPr>
          <w:b/>
          <w:szCs w:val="22"/>
        </w:rPr>
      </w:pPr>
    </w:p>
    <w:p w14:paraId="381825EE" w14:textId="77777777" w:rsidR="00ED7A15" w:rsidRDefault="00ED7A15" w:rsidP="00286DED">
      <w:pPr>
        <w:rPr>
          <w:b/>
          <w:szCs w:val="22"/>
        </w:rPr>
      </w:pPr>
    </w:p>
    <w:p w14:paraId="279F27C5" w14:textId="77777777" w:rsidR="00ED7A15" w:rsidRDefault="00ED7A15" w:rsidP="00286DED">
      <w:pPr>
        <w:rPr>
          <w:b/>
          <w:szCs w:val="22"/>
        </w:rPr>
      </w:pPr>
    </w:p>
    <w:p w14:paraId="73E93CAA" w14:textId="77777777" w:rsidR="00ED7A15" w:rsidRDefault="00ED7A15" w:rsidP="00286DED">
      <w:pPr>
        <w:rPr>
          <w:b/>
          <w:szCs w:val="22"/>
        </w:rPr>
      </w:pPr>
    </w:p>
    <w:p w14:paraId="22D61F6A" w14:textId="77777777" w:rsidR="00ED7A15" w:rsidRDefault="00ED7A15" w:rsidP="00286DED">
      <w:pPr>
        <w:rPr>
          <w:b/>
          <w:szCs w:val="22"/>
        </w:rPr>
      </w:pPr>
    </w:p>
    <w:p w14:paraId="43A8623A" w14:textId="77777777" w:rsidR="00ED7A15" w:rsidRDefault="00ED7A15" w:rsidP="00286DED">
      <w:pPr>
        <w:rPr>
          <w:b/>
          <w:szCs w:val="22"/>
        </w:rPr>
      </w:pPr>
    </w:p>
    <w:p w14:paraId="313BF9C2" w14:textId="77777777" w:rsidR="00ED7A15" w:rsidRDefault="00ED7A15" w:rsidP="00286DED">
      <w:pPr>
        <w:rPr>
          <w:b/>
          <w:szCs w:val="22"/>
        </w:rPr>
      </w:pPr>
    </w:p>
    <w:p w14:paraId="674D1D59" w14:textId="77777777" w:rsidR="00ED7A15" w:rsidRDefault="00ED7A15" w:rsidP="00286DED">
      <w:pPr>
        <w:rPr>
          <w:b/>
          <w:szCs w:val="22"/>
        </w:rPr>
      </w:pPr>
    </w:p>
    <w:p w14:paraId="0597288C" w14:textId="77777777" w:rsidR="00ED7A15" w:rsidRDefault="00ED7A15" w:rsidP="00286DED">
      <w:pPr>
        <w:rPr>
          <w:b/>
          <w:szCs w:val="22"/>
        </w:rPr>
      </w:pPr>
    </w:p>
    <w:p w14:paraId="482FCC22" w14:textId="77777777" w:rsidR="00ED7A15" w:rsidRDefault="00ED7A15" w:rsidP="00286DED">
      <w:pPr>
        <w:rPr>
          <w:b/>
          <w:szCs w:val="22"/>
        </w:rPr>
      </w:pPr>
    </w:p>
    <w:p w14:paraId="454963BE" w14:textId="77777777" w:rsidR="00ED7A15" w:rsidRDefault="00ED7A15" w:rsidP="00286DED">
      <w:pPr>
        <w:rPr>
          <w:b/>
          <w:szCs w:val="22"/>
        </w:rPr>
      </w:pPr>
    </w:p>
    <w:p w14:paraId="0A6653BD" w14:textId="511B9E67" w:rsidR="00ED7A15" w:rsidRDefault="00ED7A15" w:rsidP="00286DED">
      <w:pPr>
        <w:rPr>
          <w:b/>
          <w:szCs w:val="22"/>
        </w:rPr>
      </w:pPr>
    </w:p>
    <w:p w14:paraId="2B98BCE5" w14:textId="1D93711D" w:rsidR="00E9719B" w:rsidRDefault="00E9719B" w:rsidP="00286DED">
      <w:pPr>
        <w:rPr>
          <w:b/>
          <w:szCs w:val="22"/>
        </w:rPr>
      </w:pPr>
    </w:p>
    <w:p w14:paraId="3C6729CC" w14:textId="5CBB3CCB" w:rsidR="00E9719B" w:rsidRDefault="00E9719B" w:rsidP="00286DED">
      <w:pPr>
        <w:rPr>
          <w:b/>
          <w:szCs w:val="22"/>
        </w:rPr>
      </w:pPr>
    </w:p>
    <w:p w14:paraId="16180EBE" w14:textId="33FA3E14" w:rsidR="00E9719B" w:rsidRDefault="00E9719B" w:rsidP="00286DED">
      <w:pPr>
        <w:rPr>
          <w:b/>
          <w:szCs w:val="22"/>
        </w:rPr>
      </w:pPr>
    </w:p>
    <w:p w14:paraId="222C61CE" w14:textId="77777777" w:rsidR="00E9719B" w:rsidRDefault="00E9719B" w:rsidP="00286DED">
      <w:pPr>
        <w:rPr>
          <w:b/>
          <w:szCs w:val="22"/>
        </w:rPr>
      </w:pPr>
    </w:p>
    <w:p w14:paraId="35ABC4A9" w14:textId="77777777" w:rsidR="00ED7A15" w:rsidRDefault="00ED7A15" w:rsidP="00286DED">
      <w:pPr>
        <w:rPr>
          <w:b/>
          <w:szCs w:val="22"/>
        </w:rPr>
      </w:pPr>
    </w:p>
    <w:p w14:paraId="4F366EDE" w14:textId="77777777" w:rsidR="00ED7A15" w:rsidRDefault="00ED7A15" w:rsidP="00286DED">
      <w:pPr>
        <w:rPr>
          <w:b/>
          <w:szCs w:val="22"/>
        </w:rPr>
      </w:pPr>
    </w:p>
    <w:p w14:paraId="4982ABD6" w14:textId="77777777" w:rsidR="00ED7A15" w:rsidRDefault="00ED7A15" w:rsidP="00286DED">
      <w:pPr>
        <w:rPr>
          <w:b/>
          <w:szCs w:val="22"/>
        </w:rPr>
      </w:pPr>
    </w:p>
    <w:p w14:paraId="3D93AB9D" w14:textId="76482A10" w:rsidR="00ED7A15" w:rsidRPr="00ED7A15" w:rsidRDefault="00ED7A15" w:rsidP="00286DED">
      <w:pPr>
        <w:rPr>
          <w:b/>
          <w:szCs w:val="22"/>
        </w:rPr>
      </w:pPr>
      <w:r w:rsidRPr="00666BAC">
        <w:rPr>
          <w:b/>
          <w:szCs w:val="22"/>
        </w:rPr>
        <w:t>Feedback</w:t>
      </w:r>
    </w:p>
    <w:p w14:paraId="652B87F7" w14:textId="6EFA8F15" w:rsidR="00ED7A15" w:rsidRPr="00ED7A15" w:rsidRDefault="00ED7A15" w:rsidP="00286DED">
      <w:pPr>
        <w:jc w:val="left"/>
        <w:rPr>
          <w:szCs w:val="22"/>
        </w:rPr>
      </w:pPr>
      <w:r w:rsidRPr="00ED7A15">
        <w:rPr>
          <w:szCs w:val="22"/>
        </w:rPr>
        <w:t xml:space="preserve">We welcome your feedback on this report. Please contact </w:t>
      </w:r>
      <w:r w:rsidR="00E10828" w:rsidRPr="00E10828">
        <w:rPr>
          <w:szCs w:val="22"/>
        </w:rPr>
        <w:t>Natasha Davidson</w:t>
      </w:r>
      <w:r>
        <w:rPr>
          <w:szCs w:val="22"/>
        </w:rPr>
        <w:t xml:space="preserve"> </w:t>
      </w:r>
      <w:r w:rsidRPr="00ED7A15">
        <w:rPr>
          <w:szCs w:val="22"/>
        </w:rPr>
        <w:t>at hdc@hdc.org.nz</w:t>
      </w:r>
    </w:p>
    <w:p w14:paraId="520BF814" w14:textId="77777777" w:rsidR="00ED7A15" w:rsidRPr="00ED7A15" w:rsidRDefault="00ED7A15" w:rsidP="00286DED">
      <w:pPr>
        <w:jc w:val="left"/>
        <w:rPr>
          <w:szCs w:val="22"/>
        </w:rPr>
      </w:pPr>
    </w:p>
    <w:p w14:paraId="3038FFF1" w14:textId="35385D38" w:rsidR="00ED7A15" w:rsidRPr="00ED7A15" w:rsidRDefault="00ED7A15" w:rsidP="00286DED">
      <w:pPr>
        <w:jc w:val="left"/>
        <w:rPr>
          <w:b/>
          <w:szCs w:val="22"/>
        </w:rPr>
      </w:pPr>
      <w:r w:rsidRPr="00ED7A15">
        <w:rPr>
          <w:b/>
          <w:szCs w:val="22"/>
        </w:rPr>
        <w:t>Author</w:t>
      </w:r>
      <w:r>
        <w:rPr>
          <w:b/>
          <w:szCs w:val="22"/>
        </w:rPr>
        <w:t>s</w:t>
      </w:r>
    </w:p>
    <w:p w14:paraId="15BF90E0" w14:textId="00B98660" w:rsidR="00ED7A15" w:rsidRPr="00ED7A15" w:rsidRDefault="00E10828" w:rsidP="00286DED">
      <w:pPr>
        <w:jc w:val="left"/>
        <w:rPr>
          <w:szCs w:val="22"/>
        </w:rPr>
      </w:pPr>
      <w:r>
        <w:rPr>
          <w:szCs w:val="22"/>
        </w:rPr>
        <w:t xml:space="preserve">This report was prepared by </w:t>
      </w:r>
      <w:r w:rsidR="00ED7A15" w:rsidRPr="00ED7A15">
        <w:rPr>
          <w:szCs w:val="22"/>
        </w:rPr>
        <w:t>Natasha Davidson (Principal Advisor — Research and Education).</w:t>
      </w:r>
    </w:p>
    <w:p w14:paraId="7125B06C" w14:textId="77777777" w:rsidR="00ED7A15" w:rsidRPr="00ED7A15" w:rsidRDefault="00ED7A15" w:rsidP="00286DED">
      <w:pPr>
        <w:jc w:val="left"/>
        <w:rPr>
          <w:szCs w:val="22"/>
        </w:rPr>
      </w:pPr>
    </w:p>
    <w:p w14:paraId="4DEE1146" w14:textId="628F3B9D" w:rsidR="00ED7A15" w:rsidRPr="00666BAC" w:rsidRDefault="00ED7A15" w:rsidP="00286DED">
      <w:pPr>
        <w:jc w:val="left"/>
        <w:rPr>
          <w:i/>
          <w:szCs w:val="22"/>
        </w:rPr>
      </w:pPr>
      <w:r w:rsidRPr="00ED7A15">
        <w:rPr>
          <w:szCs w:val="22"/>
        </w:rPr>
        <w:t>Citation: The Health and Disability Commissioner</w:t>
      </w:r>
      <w:r w:rsidR="00190A1F">
        <w:rPr>
          <w:szCs w:val="22"/>
        </w:rPr>
        <w:t>. 2022</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E10828">
        <w:rPr>
          <w:i/>
          <w:szCs w:val="22"/>
        </w:rPr>
        <w:t>d A</w:t>
      </w:r>
      <w:r w:rsidR="001F7866">
        <w:rPr>
          <w:i/>
          <w:szCs w:val="22"/>
        </w:rPr>
        <w:t>nalysis for the period 1 January</w:t>
      </w:r>
      <w:r>
        <w:rPr>
          <w:i/>
          <w:szCs w:val="22"/>
        </w:rPr>
        <w:t xml:space="preserve"> to </w:t>
      </w:r>
      <w:r w:rsidR="00752BDE">
        <w:rPr>
          <w:i/>
          <w:szCs w:val="22"/>
        </w:rPr>
        <w:br/>
      </w:r>
      <w:r w:rsidR="00A66A80">
        <w:rPr>
          <w:i/>
          <w:szCs w:val="22"/>
        </w:rPr>
        <w:t>30 June 2021</w:t>
      </w:r>
    </w:p>
    <w:p w14:paraId="411995F4" w14:textId="77777777" w:rsidR="00ED7A15" w:rsidRPr="00666BAC" w:rsidRDefault="00ED7A15" w:rsidP="00286DED">
      <w:pPr>
        <w:jc w:val="left"/>
        <w:rPr>
          <w:szCs w:val="22"/>
        </w:rPr>
      </w:pPr>
    </w:p>
    <w:p w14:paraId="0D9A7E39" w14:textId="501E80B8" w:rsidR="00ED7A15" w:rsidRPr="00666BAC" w:rsidRDefault="00ED7A15" w:rsidP="00286DED">
      <w:pPr>
        <w:jc w:val="left"/>
        <w:rPr>
          <w:szCs w:val="22"/>
        </w:rPr>
      </w:pPr>
      <w:r>
        <w:rPr>
          <w:szCs w:val="22"/>
        </w:rPr>
        <w:t xml:space="preserve">Published in </w:t>
      </w:r>
      <w:r w:rsidR="00190A1F">
        <w:rPr>
          <w:szCs w:val="22"/>
        </w:rPr>
        <w:t>January 2022</w:t>
      </w:r>
    </w:p>
    <w:p w14:paraId="7AE8F63E" w14:textId="77777777" w:rsidR="00ED7A15" w:rsidRPr="00666BAC" w:rsidRDefault="00ED7A15" w:rsidP="00286DED">
      <w:pPr>
        <w:jc w:val="left"/>
        <w:rPr>
          <w:szCs w:val="22"/>
        </w:rPr>
      </w:pPr>
      <w:r w:rsidRPr="00666BAC">
        <w:rPr>
          <w:szCs w:val="22"/>
        </w:rPr>
        <w:t>by the Health and Disability Commissioner</w:t>
      </w:r>
    </w:p>
    <w:p w14:paraId="563BA8CD" w14:textId="77777777" w:rsidR="00ED7A15" w:rsidRPr="00666BAC" w:rsidRDefault="00ED7A15" w:rsidP="00286DED">
      <w:pPr>
        <w:jc w:val="left"/>
        <w:rPr>
          <w:szCs w:val="22"/>
        </w:rPr>
      </w:pPr>
      <w:r w:rsidRPr="00666BAC">
        <w:rPr>
          <w:szCs w:val="22"/>
        </w:rPr>
        <w:t>PO Box 1791, Auckland 1140</w:t>
      </w:r>
    </w:p>
    <w:p w14:paraId="49C7991D" w14:textId="77777777" w:rsidR="00ED7A15" w:rsidRPr="00666BAC" w:rsidRDefault="00ED7A15" w:rsidP="00286DED">
      <w:pPr>
        <w:jc w:val="left"/>
        <w:rPr>
          <w:b/>
          <w:szCs w:val="22"/>
        </w:rPr>
      </w:pPr>
    </w:p>
    <w:p w14:paraId="0949C2CF" w14:textId="2795B659" w:rsidR="00ED7A15" w:rsidRPr="00666BAC" w:rsidRDefault="00190A1F" w:rsidP="00286DED">
      <w:pPr>
        <w:jc w:val="left"/>
        <w:rPr>
          <w:szCs w:val="22"/>
        </w:rPr>
      </w:pPr>
      <w:r>
        <w:rPr>
          <w:szCs w:val="22"/>
        </w:rPr>
        <w:t>©2022</w:t>
      </w:r>
      <w:r w:rsidR="00ED7A15" w:rsidRPr="00666BAC">
        <w:rPr>
          <w:szCs w:val="22"/>
        </w:rPr>
        <w:t xml:space="preserve"> The Health and Disability Commissioner</w:t>
      </w:r>
    </w:p>
    <w:p w14:paraId="6DC3276F" w14:textId="77777777" w:rsidR="00ED7A15" w:rsidRPr="00666BAC" w:rsidRDefault="00ED7A15" w:rsidP="00286DED">
      <w:pPr>
        <w:jc w:val="left"/>
        <w:rPr>
          <w:b/>
          <w:szCs w:val="22"/>
        </w:rPr>
      </w:pPr>
    </w:p>
    <w:p w14:paraId="72CCBBEA" w14:textId="77777777" w:rsidR="00ED7A15" w:rsidRPr="00666BAC" w:rsidRDefault="00ED7A15" w:rsidP="00286DED">
      <w:pPr>
        <w:jc w:val="left"/>
        <w:rPr>
          <w:b/>
          <w:szCs w:val="22"/>
        </w:rPr>
        <w:sectPr w:rsidR="00ED7A15" w:rsidRPr="00666BAC" w:rsidSect="00ED7A15">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14:paraId="2CA085E6" w14:textId="77777777" w:rsidR="00E9719B" w:rsidRDefault="00E9719B" w:rsidP="00286DED">
      <w:pPr>
        <w:spacing w:after="360"/>
        <w:jc w:val="center"/>
        <w:rPr>
          <w:b/>
          <w:color w:val="C00000"/>
          <w:sz w:val="48"/>
          <w:szCs w:val="48"/>
        </w:rPr>
      </w:pPr>
    </w:p>
    <w:p w14:paraId="2F21A38C" w14:textId="66F052AC" w:rsidR="00841E1C" w:rsidRPr="0078382D" w:rsidRDefault="00841E1C" w:rsidP="00286DED">
      <w:pPr>
        <w:spacing w:after="360"/>
        <w:jc w:val="center"/>
        <w:rPr>
          <w:b/>
          <w:color w:val="C00000"/>
          <w:sz w:val="48"/>
          <w:szCs w:val="48"/>
        </w:rPr>
      </w:pPr>
      <w:r w:rsidRPr="0078382D">
        <w:rPr>
          <w:b/>
          <w:color w:val="C00000"/>
          <w:sz w:val="48"/>
          <w:szCs w:val="48"/>
        </w:rPr>
        <w:t>Contents</w:t>
      </w:r>
    </w:p>
    <w:p w14:paraId="054C9AC9" w14:textId="76CC1E96" w:rsidR="008422F7" w:rsidRDefault="007E6810">
      <w:pPr>
        <w:pStyle w:val="TOC1"/>
        <w:rPr>
          <w:rFonts w:eastAsiaTheme="minorEastAsia" w:cstheme="minorBidi"/>
          <w:bCs w:val="0"/>
          <w:lang w:eastAsia="en-NZ" w:bidi="ar-SA"/>
        </w:rPr>
      </w:pPr>
      <w:r>
        <w:fldChar w:fldCharType="begin"/>
      </w:r>
      <w:r>
        <w:instrText xml:space="preserve"> TOC \o "2-3" \h \z \t "Heading 1,1" </w:instrText>
      </w:r>
      <w:r>
        <w:fldChar w:fldCharType="separate"/>
      </w:r>
      <w:hyperlink w:anchor="_Toc90639011" w:history="1">
        <w:r w:rsidR="008422F7" w:rsidRPr="007B0581">
          <w:rPr>
            <w:rStyle w:val="Hyperlink"/>
          </w:rPr>
          <w:t>Commissioner’s Foreword</w:t>
        </w:r>
        <w:r w:rsidR="008422F7">
          <w:rPr>
            <w:webHidden/>
          </w:rPr>
          <w:tab/>
        </w:r>
        <w:r w:rsidR="008422F7">
          <w:rPr>
            <w:webHidden/>
          </w:rPr>
          <w:fldChar w:fldCharType="begin"/>
        </w:r>
        <w:r w:rsidR="008422F7">
          <w:rPr>
            <w:webHidden/>
          </w:rPr>
          <w:instrText xml:space="preserve"> PAGEREF _Toc90639011 \h </w:instrText>
        </w:r>
        <w:r w:rsidR="008422F7">
          <w:rPr>
            <w:webHidden/>
          </w:rPr>
        </w:r>
        <w:r w:rsidR="008422F7">
          <w:rPr>
            <w:webHidden/>
          </w:rPr>
          <w:fldChar w:fldCharType="separate"/>
        </w:r>
        <w:r w:rsidR="0011470E">
          <w:rPr>
            <w:webHidden/>
          </w:rPr>
          <w:t>1</w:t>
        </w:r>
        <w:r w:rsidR="008422F7">
          <w:rPr>
            <w:webHidden/>
          </w:rPr>
          <w:fldChar w:fldCharType="end"/>
        </w:r>
      </w:hyperlink>
    </w:p>
    <w:p w14:paraId="66DAB25C" w14:textId="19598BB9" w:rsidR="008422F7" w:rsidRDefault="0011470E">
      <w:pPr>
        <w:pStyle w:val="TOC1"/>
        <w:rPr>
          <w:rFonts w:eastAsiaTheme="minorEastAsia" w:cstheme="minorBidi"/>
          <w:bCs w:val="0"/>
          <w:lang w:eastAsia="en-NZ" w:bidi="ar-SA"/>
        </w:rPr>
      </w:pPr>
      <w:hyperlink w:anchor="_Toc90639012" w:history="1">
        <w:r w:rsidR="008422F7" w:rsidRPr="007B0581">
          <w:rPr>
            <w:rStyle w:val="Hyperlink"/>
          </w:rPr>
          <w:t>National Data for all District Health Boards</w:t>
        </w:r>
        <w:r w:rsidR="008422F7">
          <w:rPr>
            <w:webHidden/>
          </w:rPr>
          <w:tab/>
        </w:r>
        <w:r w:rsidR="008422F7">
          <w:rPr>
            <w:webHidden/>
          </w:rPr>
          <w:fldChar w:fldCharType="begin"/>
        </w:r>
        <w:r w:rsidR="008422F7">
          <w:rPr>
            <w:webHidden/>
          </w:rPr>
          <w:instrText xml:space="preserve"> PAGEREF _Toc90639012 \h </w:instrText>
        </w:r>
        <w:r w:rsidR="008422F7">
          <w:rPr>
            <w:webHidden/>
          </w:rPr>
        </w:r>
        <w:r w:rsidR="008422F7">
          <w:rPr>
            <w:webHidden/>
          </w:rPr>
          <w:fldChar w:fldCharType="separate"/>
        </w:r>
        <w:r>
          <w:rPr>
            <w:webHidden/>
          </w:rPr>
          <w:t>2</w:t>
        </w:r>
        <w:r w:rsidR="008422F7">
          <w:rPr>
            <w:webHidden/>
          </w:rPr>
          <w:fldChar w:fldCharType="end"/>
        </w:r>
      </w:hyperlink>
    </w:p>
    <w:p w14:paraId="6EF96D1A" w14:textId="30558F8D" w:rsidR="008422F7" w:rsidRDefault="0011470E">
      <w:pPr>
        <w:pStyle w:val="TOC2"/>
        <w:rPr>
          <w:color w:val="auto"/>
        </w:rPr>
      </w:pPr>
      <w:hyperlink w:anchor="_Toc90639013" w:history="1">
        <w:r w:rsidR="008422F7" w:rsidRPr="007B0581">
          <w:rPr>
            <w:rStyle w:val="Hyperlink"/>
          </w:rPr>
          <w:t>1.</w:t>
        </w:r>
        <w:r w:rsidR="008422F7">
          <w:rPr>
            <w:color w:val="auto"/>
          </w:rPr>
          <w:tab/>
        </w:r>
        <w:r w:rsidR="008422F7" w:rsidRPr="007B0581">
          <w:rPr>
            <w:rStyle w:val="Hyperlink"/>
          </w:rPr>
          <w:t>How many complaints were received?</w:t>
        </w:r>
        <w:r w:rsidR="008422F7">
          <w:rPr>
            <w:webHidden/>
          </w:rPr>
          <w:tab/>
        </w:r>
        <w:r w:rsidR="008422F7">
          <w:rPr>
            <w:webHidden/>
          </w:rPr>
          <w:fldChar w:fldCharType="begin"/>
        </w:r>
        <w:r w:rsidR="008422F7">
          <w:rPr>
            <w:webHidden/>
          </w:rPr>
          <w:instrText xml:space="preserve"> PAGEREF _Toc90639013 \h </w:instrText>
        </w:r>
        <w:r w:rsidR="008422F7">
          <w:rPr>
            <w:webHidden/>
          </w:rPr>
        </w:r>
        <w:r w:rsidR="008422F7">
          <w:rPr>
            <w:webHidden/>
          </w:rPr>
          <w:fldChar w:fldCharType="separate"/>
        </w:r>
        <w:r>
          <w:rPr>
            <w:webHidden/>
          </w:rPr>
          <w:t>2</w:t>
        </w:r>
        <w:r w:rsidR="008422F7">
          <w:rPr>
            <w:webHidden/>
          </w:rPr>
          <w:fldChar w:fldCharType="end"/>
        </w:r>
      </w:hyperlink>
    </w:p>
    <w:p w14:paraId="71DB7E0C" w14:textId="4CEBB5B4" w:rsidR="008422F7" w:rsidRDefault="0011470E">
      <w:pPr>
        <w:pStyle w:val="TOC3"/>
        <w:rPr>
          <w:rFonts w:eastAsiaTheme="minorEastAsia" w:cstheme="minorBidi"/>
          <w:iCs w:val="0"/>
          <w:sz w:val="22"/>
          <w:szCs w:val="22"/>
          <w:lang w:eastAsia="en-NZ" w:bidi="ar-SA"/>
        </w:rPr>
      </w:pPr>
      <w:hyperlink w:anchor="_Toc90639014" w:history="1">
        <w:r w:rsidR="008422F7" w:rsidRPr="007B0581">
          <w:rPr>
            <w:rStyle w:val="Hyperlink"/>
          </w:rPr>
          <w:t>1.1</w:t>
        </w:r>
        <w:r w:rsidR="008422F7">
          <w:rPr>
            <w:rFonts w:eastAsiaTheme="minorEastAsia" w:cstheme="minorBidi"/>
            <w:iCs w:val="0"/>
            <w:sz w:val="22"/>
            <w:szCs w:val="22"/>
            <w:lang w:eastAsia="en-NZ" w:bidi="ar-SA"/>
          </w:rPr>
          <w:tab/>
        </w:r>
        <w:r w:rsidR="008422F7" w:rsidRPr="007B0581">
          <w:rPr>
            <w:rStyle w:val="Hyperlink"/>
          </w:rPr>
          <w:t>Number of complaints received</w:t>
        </w:r>
        <w:r w:rsidR="008422F7">
          <w:rPr>
            <w:webHidden/>
          </w:rPr>
          <w:tab/>
        </w:r>
        <w:r w:rsidR="008422F7">
          <w:rPr>
            <w:webHidden/>
          </w:rPr>
          <w:fldChar w:fldCharType="begin"/>
        </w:r>
        <w:r w:rsidR="008422F7">
          <w:rPr>
            <w:webHidden/>
          </w:rPr>
          <w:instrText xml:space="preserve"> PAGEREF _Toc90639014 \h </w:instrText>
        </w:r>
        <w:r w:rsidR="008422F7">
          <w:rPr>
            <w:webHidden/>
          </w:rPr>
        </w:r>
        <w:r w:rsidR="008422F7">
          <w:rPr>
            <w:webHidden/>
          </w:rPr>
          <w:fldChar w:fldCharType="separate"/>
        </w:r>
        <w:r>
          <w:rPr>
            <w:webHidden/>
          </w:rPr>
          <w:t>2</w:t>
        </w:r>
        <w:r w:rsidR="008422F7">
          <w:rPr>
            <w:webHidden/>
          </w:rPr>
          <w:fldChar w:fldCharType="end"/>
        </w:r>
      </w:hyperlink>
    </w:p>
    <w:p w14:paraId="0C7F7917" w14:textId="58D8F2DA" w:rsidR="008422F7" w:rsidRDefault="0011470E">
      <w:pPr>
        <w:pStyle w:val="TOC3"/>
        <w:rPr>
          <w:rFonts w:eastAsiaTheme="minorEastAsia" w:cstheme="minorBidi"/>
          <w:iCs w:val="0"/>
          <w:sz w:val="22"/>
          <w:szCs w:val="22"/>
          <w:lang w:eastAsia="en-NZ" w:bidi="ar-SA"/>
        </w:rPr>
      </w:pPr>
      <w:hyperlink w:anchor="_Toc90639015" w:history="1">
        <w:r w:rsidR="008422F7" w:rsidRPr="007B0581">
          <w:rPr>
            <w:rStyle w:val="Hyperlink"/>
          </w:rPr>
          <w:t>1.2</w:t>
        </w:r>
        <w:r w:rsidR="008422F7">
          <w:rPr>
            <w:rFonts w:eastAsiaTheme="minorEastAsia" w:cstheme="minorBidi"/>
            <w:iCs w:val="0"/>
            <w:sz w:val="22"/>
            <w:szCs w:val="22"/>
            <w:lang w:eastAsia="en-NZ" w:bidi="ar-SA"/>
          </w:rPr>
          <w:tab/>
        </w:r>
        <w:r w:rsidR="008422F7" w:rsidRPr="007B0581">
          <w:rPr>
            <w:rStyle w:val="Hyperlink"/>
          </w:rPr>
          <w:t>Rate of complaints received</w:t>
        </w:r>
        <w:r w:rsidR="008422F7">
          <w:rPr>
            <w:webHidden/>
          </w:rPr>
          <w:tab/>
        </w:r>
        <w:r w:rsidR="008422F7">
          <w:rPr>
            <w:webHidden/>
          </w:rPr>
          <w:fldChar w:fldCharType="begin"/>
        </w:r>
        <w:r w:rsidR="008422F7">
          <w:rPr>
            <w:webHidden/>
          </w:rPr>
          <w:instrText xml:space="preserve"> PAGEREF _Toc90639015 \h </w:instrText>
        </w:r>
        <w:r w:rsidR="008422F7">
          <w:rPr>
            <w:webHidden/>
          </w:rPr>
        </w:r>
        <w:r w:rsidR="008422F7">
          <w:rPr>
            <w:webHidden/>
          </w:rPr>
          <w:fldChar w:fldCharType="separate"/>
        </w:r>
        <w:r>
          <w:rPr>
            <w:webHidden/>
          </w:rPr>
          <w:t>3</w:t>
        </w:r>
        <w:r w:rsidR="008422F7">
          <w:rPr>
            <w:webHidden/>
          </w:rPr>
          <w:fldChar w:fldCharType="end"/>
        </w:r>
      </w:hyperlink>
    </w:p>
    <w:p w14:paraId="11551C09" w14:textId="3860D1EA" w:rsidR="008422F7" w:rsidRDefault="0011470E">
      <w:pPr>
        <w:pStyle w:val="TOC2"/>
        <w:rPr>
          <w:color w:val="auto"/>
        </w:rPr>
      </w:pPr>
      <w:hyperlink w:anchor="_Toc90639016" w:history="1">
        <w:r w:rsidR="008422F7" w:rsidRPr="007B0581">
          <w:rPr>
            <w:rStyle w:val="Hyperlink"/>
          </w:rPr>
          <w:t>2. Who complained?</w:t>
        </w:r>
        <w:r w:rsidR="008422F7">
          <w:rPr>
            <w:webHidden/>
          </w:rPr>
          <w:tab/>
        </w:r>
        <w:r w:rsidR="008422F7">
          <w:rPr>
            <w:webHidden/>
          </w:rPr>
          <w:fldChar w:fldCharType="begin"/>
        </w:r>
        <w:r w:rsidR="008422F7">
          <w:rPr>
            <w:webHidden/>
          </w:rPr>
          <w:instrText xml:space="preserve"> PAGEREF _Toc90639016 \h </w:instrText>
        </w:r>
        <w:r w:rsidR="008422F7">
          <w:rPr>
            <w:webHidden/>
          </w:rPr>
        </w:r>
        <w:r w:rsidR="008422F7">
          <w:rPr>
            <w:webHidden/>
          </w:rPr>
          <w:fldChar w:fldCharType="separate"/>
        </w:r>
        <w:r>
          <w:rPr>
            <w:webHidden/>
          </w:rPr>
          <w:t>5</w:t>
        </w:r>
        <w:r w:rsidR="008422F7">
          <w:rPr>
            <w:webHidden/>
          </w:rPr>
          <w:fldChar w:fldCharType="end"/>
        </w:r>
      </w:hyperlink>
    </w:p>
    <w:p w14:paraId="09212CFC" w14:textId="459F91A2" w:rsidR="008422F7" w:rsidRDefault="0011470E">
      <w:pPr>
        <w:pStyle w:val="TOC3"/>
        <w:rPr>
          <w:rFonts w:eastAsiaTheme="minorEastAsia" w:cstheme="minorBidi"/>
          <w:iCs w:val="0"/>
          <w:sz w:val="22"/>
          <w:szCs w:val="22"/>
          <w:lang w:eastAsia="en-NZ" w:bidi="ar-SA"/>
        </w:rPr>
      </w:pPr>
      <w:hyperlink w:anchor="_Toc90639017" w:history="1">
        <w:r w:rsidR="008422F7" w:rsidRPr="007B0581">
          <w:rPr>
            <w:rStyle w:val="Hyperlink"/>
          </w:rPr>
          <w:t>2.1</w:t>
        </w:r>
        <w:r w:rsidR="008422F7">
          <w:rPr>
            <w:rFonts w:eastAsiaTheme="minorEastAsia" w:cstheme="minorBidi"/>
            <w:iCs w:val="0"/>
            <w:sz w:val="22"/>
            <w:szCs w:val="22"/>
            <w:lang w:eastAsia="en-NZ" w:bidi="ar-SA"/>
          </w:rPr>
          <w:tab/>
        </w:r>
        <w:r w:rsidR="008422F7" w:rsidRPr="007B0581">
          <w:rPr>
            <w:rStyle w:val="Hyperlink"/>
          </w:rPr>
          <w:t xml:space="preserve"> Consumer gender</w:t>
        </w:r>
        <w:r w:rsidR="008422F7">
          <w:rPr>
            <w:webHidden/>
          </w:rPr>
          <w:tab/>
        </w:r>
        <w:r w:rsidR="008422F7">
          <w:rPr>
            <w:webHidden/>
          </w:rPr>
          <w:fldChar w:fldCharType="begin"/>
        </w:r>
        <w:r w:rsidR="008422F7">
          <w:rPr>
            <w:webHidden/>
          </w:rPr>
          <w:instrText xml:space="preserve"> PAGEREF _Toc90639017 \h </w:instrText>
        </w:r>
        <w:r w:rsidR="008422F7">
          <w:rPr>
            <w:webHidden/>
          </w:rPr>
        </w:r>
        <w:r w:rsidR="008422F7">
          <w:rPr>
            <w:webHidden/>
          </w:rPr>
          <w:fldChar w:fldCharType="separate"/>
        </w:r>
        <w:r>
          <w:rPr>
            <w:webHidden/>
          </w:rPr>
          <w:t>5</w:t>
        </w:r>
        <w:r w:rsidR="008422F7">
          <w:rPr>
            <w:webHidden/>
          </w:rPr>
          <w:fldChar w:fldCharType="end"/>
        </w:r>
      </w:hyperlink>
    </w:p>
    <w:p w14:paraId="58C77D5D" w14:textId="22498A82" w:rsidR="008422F7" w:rsidRDefault="0011470E">
      <w:pPr>
        <w:pStyle w:val="TOC3"/>
        <w:rPr>
          <w:rFonts w:eastAsiaTheme="minorEastAsia" w:cstheme="minorBidi"/>
          <w:iCs w:val="0"/>
          <w:sz w:val="22"/>
          <w:szCs w:val="22"/>
          <w:lang w:eastAsia="en-NZ" w:bidi="ar-SA"/>
        </w:rPr>
      </w:pPr>
      <w:hyperlink w:anchor="_Toc90639018" w:history="1">
        <w:r w:rsidR="008422F7" w:rsidRPr="007B0581">
          <w:rPr>
            <w:rStyle w:val="Hyperlink"/>
          </w:rPr>
          <w:t>2.2</w:t>
        </w:r>
        <w:r w:rsidR="008422F7">
          <w:rPr>
            <w:rFonts w:eastAsiaTheme="minorEastAsia" w:cstheme="minorBidi"/>
            <w:iCs w:val="0"/>
            <w:sz w:val="22"/>
            <w:szCs w:val="22"/>
            <w:lang w:eastAsia="en-NZ" w:bidi="ar-SA"/>
          </w:rPr>
          <w:tab/>
        </w:r>
        <w:r w:rsidR="008422F7" w:rsidRPr="007B0581">
          <w:rPr>
            <w:rStyle w:val="Hyperlink"/>
          </w:rPr>
          <w:t xml:space="preserve"> Consumer age</w:t>
        </w:r>
        <w:r w:rsidR="008422F7">
          <w:rPr>
            <w:webHidden/>
          </w:rPr>
          <w:tab/>
        </w:r>
        <w:r w:rsidR="008422F7">
          <w:rPr>
            <w:webHidden/>
          </w:rPr>
          <w:fldChar w:fldCharType="begin"/>
        </w:r>
        <w:r w:rsidR="008422F7">
          <w:rPr>
            <w:webHidden/>
          </w:rPr>
          <w:instrText xml:space="preserve"> PAGEREF _Toc90639018 \h </w:instrText>
        </w:r>
        <w:r w:rsidR="008422F7">
          <w:rPr>
            <w:webHidden/>
          </w:rPr>
        </w:r>
        <w:r w:rsidR="008422F7">
          <w:rPr>
            <w:webHidden/>
          </w:rPr>
          <w:fldChar w:fldCharType="separate"/>
        </w:r>
        <w:r>
          <w:rPr>
            <w:webHidden/>
          </w:rPr>
          <w:t>5</w:t>
        </w:r>
        <w:r w:rsidR="008422F7">
          <w:rPr>
            <w:webHidden/>
          </w:rPr>
          <w:fldChar w:fldCharType="end"/>
        </w:r>
      </w:hyperlink>
    </w:p>
    <w:p w14:paraId="78212D00" w14:textId="6CD83231" w:rsidR="008422F7" w:rsidRDefault="0011470E">
      <w:pPr>
        <w:pStyle w:val="TOC3"/>
        <w:rPr>
          <w:rFonts w:eastAsiaTheme="minorEastAsia" w:cstheme="minorBidi"/>
          <w:iCs w:val="0"/>
          <w:sz w:val="22"/>
          <w:szCs w:val="22"/>
          <w:lang w:eastAsia="en-NZ" w:bidi="ar-SA"/>
        </w:rPr>
      </w:pPr>
      <w:hyperlink w:anchor="_Toc90639019" w:history="1">
        <w:r w:rsidR="008422F7" w:rsidRPr="007B0581">
          <w:rPr>
            <w:rStyle w:val="Hyperlink"/>
          </w:rPr>
          <w:t>2.3</w:t>
        </w:r>
        <w:r w:rsidR="008422F7">
          <w:rPr>
            <w:rFonts w:eastAsiaTheme="minorEastAsia" w:cstheme="minorBidi"/>
            <w:iCs w:val="0"/>
            <w:sz w:val="22"/>
            <w:szCs w:val="22"/>
            <w:lang w:eastAsia="en-NZ" w:bidi="ar-SA"/>
          </w:rPr>
          <w:tab/>
        </w:r>
        <w:r w:rsidR="008422F7" w:rsidRPr="007B0581">
          <w:rPr>
            <w:rStyle w:val="Hyperlink"/>
          </w:rPr>
          <w:t xml:space="preserve"> Consumer ethnicity</w:t>
        </w:r>
        <w:r w:rsidR="008422F7">
          <w:rPr>
            <w:webHidden/>
          </w:rPr>
          <w:tab/>
        </w:r>
        <w:r w:rsidR="008422F7">
          <w:rPr>
            <w:webHidden/>
          </w:rPr>
          <w:fldChar w:fldCharType="begin"/>
        </w:r>
        <w:r w:rsidR="008422F7">
          <w:rPr>
            <w:webHidden/>
          </w:rPr>
          <w:instrText xml:space="preserve"> PAGEREF _Toc90639019 \h </w:instrText>
        </w:r>
        <w:r w:rsidR="008422F7">
          <w:rPr>
            <w:webHidden/>
          </w:rPr>
        </w:r>
        <w:r w:rsidR="008422F7">
          <w:rPr>
            <w:webHidden/>
          </w:rPr>
          <w:fldChar w:fldCharType="separate"/>
        </w:r>
        <w:r>
          <w:rPr>
            <w:webHidden/>
          </w:rPr>
          <w:t>5</w:t>
        </w:r>
        <w:r w:rsidR="008422F7">
          <w:rPr>
            <w:webHidden/>
          </w:rPr>
          <w:fldChar w:fldCharType="end"/>
        </w:r>
      </w:hyperlink>
    </w:p>
    <w:p w14:paraId="2BC85F7F" w14:textId="576F2F01" w:rsidR="008422F7" w:rsidRDefault="0011470E">
      <w:pPr>
        <w:pStyle w:val="TOC2"/>
        <w:rPr>
          <w:color w:val="auto"/>
        </w:rPr>
      </w:pPr>
      <w:hyperlink w:anchor="_Toc90639020" w:history="1">
        <w:r w:rsidR="008422F7" w:rsidRPr="007B0581">
          <w:rPr>
            <w:rStyle w:val="Hyperlink"/>
          </w:rPr>
          <w:t>3.</w:t>
        </w:r>
        <w:r w:rsidR="008422F7">
          <w:rPr>
            <w:color w:val="auto"/>
          </w:rPr>
          <w:tab/>
        </w:r>
        <w:r w:rsidR="008422F7" w:rsidRPr="007B0581">
          <w:rPr>
            <w:rStyle w:val="Hyperlink"/>
          </w:rPr>
          <w:t>Which DHB services were complained about?</w:t>
        </w:r>
        <w:r w:rsidR="008422F7">
          <w:rPr>
            <w:webHidden/>
          </w:rPr>
          <w:tab/>
        </w:r>
        <w:r w:rsidR="008422F7">
          <w:rPr>
            <w:webHidden/>
          </w:rPr>
          <w:fldChar w:fldCharType="begin"/>
        </w:r>
        <w:r w:rsidR="008422F7">
          <w:rPr>
            <w:webHidden/>
          </w:rPr>
          <w:instrText xml:space="preserve"> PAGEREF _Toc90639020 \h </w:instrText>
        </w:r>
        <w:r w:rsidR="008422F7">
          <w:rPr>
            <w:webHidden/>
          </w:rPr>
        </w:r>
        <w:r w:rsidR="008422F7">
          <w:rPr>
            <w:webHidden/>
          </w:rPr>
          <w:fldChar w:fldCharType="separate"/>
        </w:r>
        <w:r>
          <w:rPr>
            <w:webHidden/>
          </w:rPr>
          <w:t>6</w:t>
        </w:r>
        <w:r w:rsidR="008422F7">
          <w:rPr>
            <w:webHidden/>
          </w:rPr>
          <w:fldChar w:fldCharType="end"/>
        </w:r>
      </w:hyperlink>
    </w:p>
    <w:p w14:paraId="410466C6" w14:textId="2D337C61" w:rsidR="008422F7" w:rsidRDefault="0011470E">
      <w:pPr>
        <w:pStyle w:val="TOC3"/>
        <w:rPr>
          <w:rFonts w:eastAsiaTheme="minorEastAsia" w:cstheme="minorBidi"/>
          <w:iCs w:val="0"/>
          <w:sz w:val="22"/>
          <w:szCs w:val="22"/>
          <w:lang w:eastAsia="en-NZ" w:bidi="ar-SA"/>
        </w:rPr>
      </w:pPr>
      <w:hyperlink w:anchor="_Toc90639021" w:history="1">
        <w:r w:rsidR="008422F7" w:rsidRPr="007B0581">
          <w:rPr>
            <w:rStyle w:val="Hyperlink"/>
          </w:rPr>
          <w:t>3.1</w:t>
        </w:r>
        <w:r w:rsidR="008422F7">
          <w:rPr>
            <w:rFonts w:eastAsiaTheme="minorEastAsia" w:cstheme="minorBidi"/>
            <w:iCs w:val="0"/>
            <w:sz w:val="22"/>
            <w:szCs w:val="22"/>
            <w:lang w:eastAsia="en-NZ" w:bidi="ar-SA"/>
          </w:rPr>
          <w:tab/>
        </w:r>
        <w:r w:rsidR="008422F7" w:rsidRPr="007B0581">
          <w:rPr>
            <w:rStyle w:val="Hyperlink"/>
          </w:rPr>
          <w:t xml:space="preserve"> DHB service types complained about</w:t>
        </w:r>
        <w:r w:rsidR="008422F7">
          <w:rPr>
            <w:webHidden/>
          </w:rPr>
          <w:tab/>
        </w:r>
        <w:r w:rsidR="008422F7">
          <w:rPr>
            <w:webHidden/>
          </w:rPr>
          <w:fldChar w:fldCharType="begin"/>
        </w:r>
        <w:r w:rsidR="008422F7">
          <w:rPr>
            <w:webHidden/>
          </w:rPr>
          <w:instrText xml:space="preserve"> PAGEREF _Toc90639021 \h </w:instrText>
        </w:r>
        <w:r w:rsidR="008422F7">
          <w:rPr>
            <w:webHidden/>
          </w:rPr>
        </w:r>
        <w:r w:rsidR="008422F7">
          <w:rPr>
            <w:webHidden/>
          </w:rPr>
          <w:fldChar w:fldCharType="separate"/>
        </w:r>
        <w:r>
          <w:rPr>
            <w:webHidden/>
          </w:rPr>
          <w:t>6</w:t>
        </w:r>
        <w:r w:rsidR="008422F7">
          <w:rPr>
            <w:webHidden/>
          </w:rPr>
          <w:fldChar w:fldCharType="end"/>
        </w:r>
      </w:hyperlink>
    </w:p>
    <w:p w14:paraId="60E79963" w14:textId="0574290F" w:rsidR="008422F7" w:rsidRDefault="0011470E">
      <w:pPr>
        <w:pStyle w:val="TOC2"/>
        <w:rPr>
          <w:color w:val="auto"/>
        </w:rPr>
      </w:pPr>
      <w:hyperlink w:anchor="_Toc90639022" w:history="1">
        <w:r w:rsidR="008422F7" w:rsidRPr="007B0581">
          <w:rPr>
            <w:rStyle w:val="Hyperlink"/>
          </w:rPr>
          <w:t>4.</w:t>
        </w:r>
        <w:r w:rsidR="008422F7">
          <w:rPr>
            <w:color w:val="auto"/>
          </w:rPr>
          <w:tab/>
        </w:r>
        <w:r w:rsidR="008422F7" w:rsidRPr="007B0581">
          <w:rPr>
            <w:rStyle w:val="Hyperlink"/>
          </w:rPr>
          <w:t>What did people complain about?</w:t>
        </w:r>
        <w:r w:rsidR="008422F7">
          <w:rPr>
            <w:webHidden/>
          </w:rPr>
          <w:tab/>
        </w:r>
        <w:r w:rsidR="008422F7">
          <w:rPr>
            <w:webHidden/>
          </w:rPr>
          <w:fldChar w:fldCharType="begin"/>
        </w:r>
        <w:r w:rsidR="008422F7">
          <w:rPr>
            <w:webHidden/>
          </w:rPr>
          <w:instrText xml:space="preserve"> PAGEREF _Toc90639022 \h </w:instrText>
        </w:r>
        <w:r w:rsidR="008422F7">
          <w:rPr>
            <w:webHidden/>
          </w:rPr>
        </w:r>
        <w:r w:rsidR="008422F7">
          <w:rPr>
            <w:webHidden/>
          </w:rPr>
          <w:fldChar w:fldCharType="separate"/>
        </w:r>
        <w:r>
          <w:rPr>
            <w:webHidden/>
          </w:rPr>
          <w:t>9</w:t>
        </w:r>
        <w:r w:rsidR="008422F7">
          <w:rPr>
            <w:webHidden/>
          </w:rPr>
          <w:fldChar w:fldCharType="end"/>
        </w:r>
      </w:hyperlink>
    </w:p>
    <w:p w14:paraId="2FF4548A" w14:textId="47F81CCC" w:rsidR="008422F7" w:rsidRDefault="0011470E">
      <w:pPr>
        <w:pStyle w:val="TOC3"/>
        <w:rPr>
          <w:rFonts w:eastAsiaTheme="minorEastAsia" w:cstheme="minorBidi"/>
          <w:iCs w:val="0"/>
          <w:sz w:val="22"/>
          <w:szCs w:val="22"/>
          <w:lang w:eastAsia="en-NZ" w:bidi="ar-SA"/>
        </w:rPr>
      </w:pPr>
      <w:hyperlink w:anchor="_Toc90639023" w:history="1">
        <w:r w:rsidR="008422F7" w:rsidRPr="007B0581">
          <w:rPr>
            <w:rStyle w:val="Hyperlink"/>
          </w:rPr>
          <w:t>4.1</w:t>
        </w:r>
        <w:r w:rsidR="008422F7">
          <w:rPr>
            <w:rFonts w:eastAsiaTheme="minorEastAsia" w:cstheme="minorBidi"/>
            <w:iCs w:val="0"/>
            <w:sz w:val="22"/>
            <w:szCs w:val="22"/>
            <w:lang w:eastAsia="en-NZ" w:bidi="ar-SA"/>
          </w:rPr>
          <w:tab/>
        </w:r>
        <w:r w:rsidR="008422F7" w:rsidRPr="007B0581">
          <w:rPr>
            <w:rStyle w:val="Hyperlink"/>
          </w:rPr>
          <w:t>Primary issues identified in complaints</w:t>
        </w:r>
        <w:r w:rsidR="008422F7">
          <w:rPr>
            <w:webHidden/>
          </w:rPr>
          <w:tab/>
        </w:r>
        <w:r w:rsidR="008422F7">
          <w:rPr>
            <w:webHidden/>
          </w:rPr>
          <w:fldChar w:fldCharType="begin"/>
        </w:r>
        <w:r w:rsidR="008422F7">
          <w:rPr>
            <w:webHidden/>
          </w:rPr>
          <w:instrText xml:space="preserve"> PAGEREF _Toc90639023 \h </w:instrText>
        </w:r>
        <w:r w:rsidR="008422F7">
          <w:rPr>
            <w:webHidden/>
          </w:rPr>
        </w:r>
        <w:r w:rsidR="008422F7">
          <w:rPr>
            <w:webHidden/>
          </w:rPr>
          <w:fldChar w:fldCharType="separate"/>
        </w:r>
        <w:r>
          <w:rPr>
            <w:webHidden/>
          </w:rPr>
          <w:t>9</w:t>
        </w:r>
        <w:r w:rsidR="008422F7">
          <w:rPr>
            <w:webHidden/>
          </w:rPr>
          <w:fldChar w:fldCharType="end"/>
        </w:r>
      </w:hyperlink>
    </w:p>
    <w:p w14:paraId="4B5C0959" w14:textId="7E33785E" w:rsidR="008422F7" w:rsidRDefault="0011470E">
      <w:pPr>
        <w:pStyle w:val="TOC3"/>
        <w:rPr>
          <w:rFonts w:eastAsiaTheme="minorEastAsia" w:cstheme="minorBidi"/>
          <w:iCs w:val="0"/>
          <w:sz w:val="22"/>
          <w:szCs w:val="22"/>
          <w:lang w:eastAsia="en-NZ" w:bidi="ar-SA"/>
        </w:rPr>
      </w:pPr>
      <w:hyperlink w:anchor="_Toc90639024" w:history="1">
        <w:r w:rsidR="008422F7" w:rsidRPr="007B0581">
          <w:rPr>
            <w:rStyle w:val="Hyperlink"/>
          </w:rPr>
          <w:t>4.2</w:t>
        </w:r>
        <w:r w:rsidR="008422F7">
          <w:rPr>
            <w:rFonts w:eastAsiaTheme="minorEastAsia" w:cstheme="minorBidi"/>
            <w:iCs w:val="0"/>
            <w:sz w:val="22"/>
            <w:szCs w:val="22"/>
            <w:lang w:eastAsia="en-NZ" w:bidi="ar-SA"/>
          </w:rPr>
          <w:tab/>
        </w:r>
        <w:r w:rsidR="008422F7" w:rsidRPr="007B0581">
          <w:rPr>
            <w:rStyle w:val="Hyperlink"/>
          </w:rPr>
          <w:t>All issues identified in complaints</w:t>
        </w:r>
        <w:r w:rsidR="008422F7">
          <w:rPr>
            <w:webHidden/>
          </w:rPr>
          <w:tab/>
        </w:r>
        <w:r w:rsidR="008422F7">
          <w:rPr>
            <w:webHidden/>
          </w:rPr>
          <w:fldChar w:fldCharType="begin"/>
        </w:r>
        <w:r w:rsidR="008422F7">
          <w:rPr>
            <w:webHidden/>
          </w:rPr>
          <w:instrText xml:space="preserve"> PAGEREF _Toc90639024 \h </w:instrText>
        </w:r>
        <w:r w:rsidR="008422F7">
          <w:rPr>
            <w:webHidden/>
          </w:rPr>
        </w:r>
        <w:r w:rsidR="008422F7">
          <w:rPr>
            <w:webHidden/>
          </w:rPr>
          <w:fldChar w:fldCharType="separate"/>
        </w:r>
        <w:r>
          <w:rPr>
            <w:webHidden/>
          </w:rPr>
          <w:t>12</w:t>
        </w:r>
        <w:r w:rsidR="008422F7">
          <w:rPr>
            <w:webHidden/>
          </w:rPr>
          <w:fldChar w:fldCharType="end"/>
        </w:r>
      </w:hyperlink>
    </w:p>
    <w:p w14:paraId="24DF85A8" w14:textId="18309945" w:rsidR="008422F7" w:rsidRDefault="0011470E">
      <w:pPr>
        <w:pStyle w:val="TOC3"/>
        <w:rPr>
          <w:rFonts w:eastAsiaTheme="minorEastAsia" w:cstheme="minorBidi"/>
          <w:iCs w:val="0"/>
          <w:sz w:val="22"/>
          <w:szCs w:val="22"/>
          <w:lang w:eastAsia="en-NZ" w:bidi="ar-SA"/>
        </w:rPr>
      </w:pPr>
      <w:hyperlink w:anchor="_Toc90639025" w:history="1">
        <w:r w:rsidR="008422F7" w:rsidRPr="007B0581">
          <w:rPr>
            <w:rStyle w:val="Hyperlink"/>
          </w:rPr>
          <w:t>4.3</w:t>
        </w:r>
        <w:r w:rsidR="008422F7">
          <w:rPr>
            <w:rFonts w:eastAsiaTheme="minorEastAsia" w:cstheme="minorBidi"/>
            <w:iCs w:val="0"/>
            <w:sz w:val="22"/>
            <w:szCs w:val="22"/>
            <w:lang w:eastAsia="en-NZ" w:bidi="ar-SA"/>
          </w:rPr>
          <w:tab/>
        </w:r>
        <w:r w:rsidR="008422F7" w:rsidRPr="007B0581">
          <w:rPr>
            <w:rStyle w:val="Hyperlink"/>
          </w:rPr>
          <w:t>Primary issues by service type</w:t>
        </w:r>
        <w:r w:rsidR="008422F7">
          <w:rPr>
            <w:webHidden/>
          </w:rPr>
          <w:tab/>
        </w:r>
        <w:r w:rsidR="008422F7">
          <w:rPr>
            <w:webHidden/>
          </w:rPr>
          <w:fldChar w:fldCharType="begin"/>
        </w:r>
        <w:r w:rsidR="008422F7">
          <w:rPr>
            <w:webHidden/>
          </w:rPr>
          <w:instrText xml:space="preserve"> PAGEREF _Toc90639025 \h </w:instrText>
        </w:r>
        <w:r w:rsidR="008422F7">
          <w:rPr>
            <w:webHidden/>
          </w:rPr>
        </w:r>
        <w:r w:rsidR="008422F7">
          <w:rPr>
            <w:webHidden/>
          </w:rPr>
          <w:fldChar w:fldCharType="separate"/>
        </w:r>
        <w:r>
          <w:rPr>
            <w:webHidden/>
          </w:rPr>
          <w:t>15</w:t>
        </w:r>
        <w:r w:rsidR="008422F7">
          <w:rPr>
            <w:webHidden/>
          </w:rPr>
          <w:fldChar w:fldCharType="end"/>
        </w:r>
      </w:hyperlink>
    </w:p>
    <w:p w14:paraId="2E174E35" w14:textId="642208C7" w:rsidR="008422F7" w:rsidRDefault="0011470E">
      <w:pPr>
        <w:pStyle w:val="TOC2"/>
        <w:rPr>
          <w:color w:val="auto"/>
        </w:rPr>
      </w:pPr>
      <w:hyperlink w:anchor="_Toc90639026" w:history="1">
        <w:r w:rsidR="008422F7" w:rsidRPr="007B0581">
          <w:rPr>
            <w:rStyle w:val="Hyperlink"/>
          </w:rPr>
          <w:t>5. What were the outcomes of the complaints closed?</w:t>
        </w:r>
        <w:r w:rsidR="008422F7">
          <w:rPr>
            <w:webHidden/>
          </w:rPr>
          <w:tab/>
        </w:r>
        <w:r w:rsidR="008422F7">
          <w:rPr>
            <w:webHidden/>
          </w:rPr>
          <w:fldChar w:fldCharType="begin"/>
        </w:r>
        <w:r w:rsidR="008422F7">
          <w:rPr>
            <w:webHidden/>
          </w:rPr>
          <w:instrText xml:space="preserve"> PAGEREF _Toc90639026 \h </w:instrText>
        </w:r>
        <w:r w:rsidR="008422F7">
          <w:rPr>
            <w:webHidden/>
          </w:rPr>
        </w:r>
        <w:r w:rsidR="008422F7">
          <w:rPr>
            <w:webHidden/>
          </w:rPr>
          <w:fldChar w:fldCharType="separate"/>
        </w:r>
        <w:r>
          <w:rPr>
            <w:webHidden/>
          </w:rPr>
          <w:t>16</w:t>
        </w:r>
        <w:r w:rsidR="008422F7">
          <w:rPr>
            <w:webHidden/>
          </w:rPr>
          <w:fldChar w:fldCharType="end"/>
        </w:r>
      </w:hyperlink>
    </w:p>
    <w:p w14:paraId="4F20085E" w14:textId="098EE1ED" w:rsidR="008422F7" w:rsidRDefault="0011470E">
      <w:pPr>
        <w:pStyle w:val="TOC3"/>
        <w:rPr>
          <w:rFonts w:eastAsiaTheme="minorEastAsia" w:cstheme="minorBidi"/>
          <w:iCs w:val="0"/>
          <w:sz w:val="22"/>
          <w:szCs w:val="22"/>
          <w:lang w:eastAsia="en-NZ" w:bidi="ar-SA"/>
        </w:rPr>
      </w:pPr>
      <w:hyperlink w:anchor="_Toc90639027" w:history="1">
        <w:r w:rsidR="008422F7" w:rsidRPr="007B0581">
          <w:rPr>
            <w:rStyle w:val="Hyperlink"/>
            <w:lang w:val="en-AU"/>
          </w:rPr>
          <w:t xml:space="preserve">5.1 </w:t>
        </w:r>
        <w:r w:rsidR="008422F7">
          <w:rPr>
            <w:rFonts w:eastAsiaTheme="minorEastAsia" w:cstheme="minorBidi"/>
            <w:iCs w:val="0"/>
            <w:sz w:val="22"/>
            <w:szCs w:val="22"/>
            <w:lang w:eastAsia="en-NZ" w:bidi="ar-SA"/>
          </w:rPr>
          <w:tab/>
        </w:r>
        <w:r w:rsidR="008422F7" w:rsidRPr="007B0581">
          <w:rPr>
            <w:rStyle w:val="Hyperlink"/>
            <w:lang w:val="en-AU"/>
          </w:rPr>
          <w:t>Number of complaints closed</w:t>
        </w:r>
        <w:r w:rsidR="008422F7">
          <w:rPr>
            <w:webHidden/>
          </w:rPr>
          <w:tab/>
        </w:r>
        <w:r w:rsidR="008422F7">
          <w:rPr>
            <w:webHidden/>
          </w:rPr>
          <w:fldChar w:fldCharType="begin"/>
        </w:r>
        <w:r w:rsidR="008422F7">
          <w:rPr>
            <w:webHidden/>
          </w:rPr>
          <w:instrText xml:space="preserve"> PAGEREF _Toc90639027 \h </w:instrText>
        </w:r>
        <w:r w:rsidR="008422F7">
          <w:rPr>
            <w:webHidden/>
          </w:rPr>
        </w:r>
        <w:r w:rsidR="008422F7">
          <w:rPr>
            <w:webHidden/>
          </w:rPr>
          <w:fldChar w:fldCharType="separate"/>
        </w:r>
        <w:r>
          <w:rPr>
            <w:webHidden/>
          </w:rPr>
          <w:t>16</w:t>
        </w:r>
        <w:r w:rsidR="008422F7">
          <w:rPr>
            <w:webHidden/>
          </w:rPr>
          <w:fldChar w:fldCharType="end"/>
        </w:r>
      </w:hyperlink>
    </w:p>
    <w:p w14:paraId="1AEDD212" w14:textId="022A8569" w:rsidR="008422F7" w:rsidRDefault="0011470E">
      <w:pPr>
        <w:pStyle w:val="TOC3"/>
        <w:rPr>
          <w:rFonts w:eastAsiaTheme="minorEastAsia" w:cstheme="minorBidi"/>
          <w:iCs w:val="0"/>
          <w:sz w:val="22"/>
          <w:szCs w:val="22"/>
          <w:lang w:eastAsia="en-NZ" w:bidi="ar-SA"/>
        </w:rPr>
      </w:pPr>
      <w:hyperlink w:anchor="_Toc90639028" w:history="1">
        <w:r w:rsidR="008422F7" w:rsidRPr="007B0581">
          <w:rPr>
            <w:rStyle w:val="Hyperlink"/>
            <w:lang w:val="en-AU"/>
          </w:rPr>
          <w:t xml:space="preserve">5.2 </w:t>
        </w:r>
        <w:r w:rsidR="008422F7">
          <w:rPr>
            <w:rFonts w:eastAsiaTheme="minorEastAsia" w:cstheme="minorBidi"/>
            <w:iCs w:val="0"/>
            <w:sz w:val="22"/>
            <w:szCs w:val="22"/>
            <w:lang w:eastAsia="en-NZ" w:bidi="ar-SA"/>
          </w:rPr>
          <w:tab/>
        </w:r>
        <w:r w:rsidR="008422F7" w:rsidRPr="007B0581">
          <w:rPr>
            <w:rStyle w:val="Hyperlink"/>
            <w:lang w:val="en-AU"/>
          </w:rPr>
          <w:t>Outcomes of complaints closed</w:t>
        </w:r>
        <w:r w:rsidR="008422F7">
          <w:rPr>
            <w:webHidden/>
          </w:rPr>
          <w:tab/>
        </w:r>
        <w:r w:rsidR="008422F7">
          <w:rPr>
            <w:webHidden/>
          </w:rPr>
          <w:fldChar w:fldCharType="begin"/>
        </w:r>
        <w:r w:rsidR="008422F7">
          <w:rPr>
            <w:webHidden/>
          </w:rPr>
          <w:instrText xml:space="preserve"> PAGEREF _Toc90639028 \h </w:instrText>
        </w:r>
        <w:r w:rsidR="008422F7">
          <w:rPr>
            <w:webHidden/>
          </w:rPr>
        </w:r>
        <w:r w:rsidR="008422F7">
          <w:rPr>
            <w:webHidden/>
          </w:rPr>
          <w:fldChar w:fldCharType="separate"/>
        </w:r>
        <w:r>
          <w:rPr>
            <w:webHidden/>
          </w:rPr>
          <w:t>17</w:t>
        </w:r>
        <w:r w:rsidR="008422F7">
          <w:rPr>
            <w:webHidden/>
          </w:rPr>
          <w:fldChar w:fldCharType="end"/>
        </w:r>
      </w:hyperlink>
    </w:p>
    <w:p w14:paraId="30A0C0CD" w14:textId="016C2F95" w:rsidR="008422F7" w:rsidRDefault="0011470E">
      <w:pPr>
        <w:pStyle w:val="TOC3"/>
        <w:rPr>
          <w:rFonts w:eastAsiaTheme="minorEastAsia" w:cstheme="minorBidi"/>
          <w:iCs w:val="0"/>
          <w:sz w:val="22"/>
          <w:szCs w:val="22"/>
          <w:lang w:eastAsia="en-NZ" w:bidi="ar-SA"/>
        </w:rPr>
      </w:pPr>
      <w:hyperlink w:anchor="_Toc90639029" w:history="1">
        <w:r w:rsidR="008422F7" w:rsidRPr="007B0581">
          <w:rPr>
            <w:rStyle w:val="Hyperlink"/>
            <w:lang w:val="en-AU"/>
          </w:rPr>
          <w:t xml:space="preserve">5.3 </w:t>
        </w:r>
        <w:r w:rsidR="008422F7">
          <w:rPr>
            <w:rFonts w:eastAsiaTheme="minorEastAsia" w:cstheme="minorBidi"/>
            <w:iCs w:val="0"/>
            <w:sz w:val="22"/>
            <w:szCs w:val="22"/>
            <w:lang w:eastAsia="en-NZ" w:bidi="ar-SA"/>
          </w:rPr>
          <w:tab/>
        </w:r>
        <w:r w:rsidR="008422F7" w:rsidRPr="007B0581">
          <w:rPr>
            <w:rStyle w:val="Hyperlink"/>
            <w:lang w:val="en-AU"/>
          </w:rPr>
          <w:t>Recommendations made to DHBs by HDC</w:t>
        </w:r>
        <w:r w:rsidR="008422F7">
          <w:rPr>
            <w:webHidden/>
          </w:rPr>
          <w:tab/>
        </w:r>
        <w:r w:rsidR="008422F7">
          <w:rPr>
            <w:webHidden/>
          </w:rPr>
          <w:fldChar w:fldCharType="begin"/>
        </w:r>
        <w:r w:rsidR="008422F7">
          <w:rPr>
            <w:webHidden/>
          </w:rPr>
          <w:instrText xml:space="preserve"> PAGEREF _Toc90639029 \h </w:instrText>
        </w:r>
        <w:r w:rsidR="008422F7">
          <w:rPr>
            <w:webHidden/>
          </w:rPr>
        </w:r>
        <w:r w:rsidR="008422F7">
          <w:rPr>
            <w:webHidden/>
          </w:rPr>
          <w:fldChar w:fldCharType="separate"/>
        </w:r>
        <w:r>
          <w:rPr>
            <w:webHidden/>
          </w:rPr>
          <w:t>17</w:t>
        </w:r>
        <w:r w:rsidR="008422F7">
          <w:rPr>
            <w:webHidden/>
          </w:rPr>
          <w:fldChar w:fldCharType="end"/>
        </w:r>
      </w:hyperlink>
    </w:p>
    <w:p w14:paraId="22113E28" w14:textId="3A09A146" w:rsidR="008422F7" w:rsidRDefault="0011470E">
      <w:pPr>
        <w:pStyle w:val="TOC2"/>
        <w:rPr>
          <w:color w:val="auto"/>
        </w:rPr>
      </w:pPr>
      <w:hyperlink w:anchor="_Toc90639030" w:history="1">
        <w:r w:rsidR="008422F7" w:rsidRPr="007B0581">
          <w:rPr>
            <w:rStyle w:val="Hyperlink"/>
          </w:rPr>
          <w:t>6. Learning from complaints</w:t>
        </w:r>
        <w:r w:rsidR="008422F7">
          <w:rPr>
            <w:webHidden/>
          </w:rPr>
          <w:tab/>
        </w:r>
        <w:r w:rsidR="008422F7">
          <w:rPr>
            <w:webHidden/>
          </w:rPr>
          <w:fldChar w:fldCharType="begin"/>
        </w:r>
        <w:r w:rsidR="008422F7">
          <w:rPr>
            <w:webHidden/>
          </w:rPr>
          <w:instrText xml:space="preserve"> PAGEREF _Toc90639030 \h </w:instrText>
        </w:r>
        <w:r w:rsidR="008422F7">
          <w:rPr>
            <w:webHidden/>
          </w:rPr>
        </w:r>
        <w:r w:rsidR="008422F7">
          <w:rPr>
            <w:webHidden/>
          </w:rPr>
          <w:fldChar w:fldCharType="separate"/>
        </w:r>
        <w:r>
          <w:rPr>
            <w:webHidden/>
          </w:rPr>
          <w:t>19</w:t>
        </w:r>
        <w:r w:rsidR="008422F7">
          <w:rPr>
            <w:webHidden/>
          </w:rPr>
          <w:fldChar w:fldCharType="end"/>
        </w:r>
      </w:hyperlink>
    </w:p>
    <w:p w14:paraId="0A8A5B87" w14:textId="32B0A1D4" w:rsidR="008422F7" w:rsidRDefault="0011470E">
      <w:pPr>
        <w:pStyle w:val="TOC3"/>
        <w:rPr>
          <w:rFonts w:eastAsiaTheme="minorEastAsia" w:cstheme="minorBidi"/>
          <w:iCs w:val="0"/>
          <w:sz w:val="22"/>
          <w:szCs w:val="22"/>
          <w:lang w:eastAsia="en-NZ" w:bidi="ar-SA"/>
        </w:rPr>
      </w:pPr>
      <w:hyperlink w:anchor="_Toc90639031" w:history="1">
        <w:r w:rsidR="008422F7" w:rsidRPr="007B0581">
          <w:rPr>
            <w:rStyle w:val="Hyperlink"/>
            <w:lang w:val="en-AU"/>
          </w:rPr>
          <w:t xml:space="preserve">6.1 </w:t>
        </w:r>
        <w:r w:rsidR="008422F7">
          <w:rPr>
            <w:rFonts w:eastAsiaTheme="minorEastAsia" w:cstheme="minorBidi"/>
            <w:iCs w:val="0"/>
            <w:sz w:val="22"/>
            <w:szCs w:val="22"/>
            <w:lang w:eastAsia="en-NZ" w:bidi="ar-SA"/>
          </w:rPr>
          <w:tab/>
        </w:r>
        <w:r w:rsidR="008422F7" w:rsidRPr="007B0581">
          <w:rPr>
            <w:rStyle w:val="Hyperlink"/>
            <w:lang w:val="en-AU"/>
          </w:rPr>
          <w:t>Emergency department care of girl with septic arthritis</w:t>
        </w:r>
        <w:r w:rsidR="008422F7">
          <w:rPr>
            <w:webHidden/>
          </w:rPr>
          <w:tab/>
        </w:r>
        <w:r w:rsidR="008422F7">
          <w:rPr>
            <w:webHidden/>
          </w:rPr>
          <w:fldChar w:fldCharType="begin"/>
        </w:r>
        <w:r w:rsidR="008422F7">
          <w:rPr>
            <w:webHidden/>
          </w:rPr>
          <w:instrText xml:space="preserve"> PAGEREF _Toc90639031 \h </w:instrText>
        </w:r>
        <w:r w:rsidR="008422F7">
          <w:rPr>
            <w:webHidden/>
          </w:rPr>
        </w:r>
        <w:r w:rsidR="008422F7">
          <w:rPr>
            <w:webHidden/>
          </w:rPr>
          <w:fldChar w:fldCharType="separate"/>
        </w:r>
        <w:r>
          <w:rPr>
            <w:webHidden/>
          </w:rPr>
          <w:t>19</w:t>
        </w:r>
        <w:r w:rsidR="008422F7">
          <w:rPr>
            <w:webHidden/>
          </w:rPr>
          <w:fldChar w:fldCharType="end"/>
        </w:r>
      </w:hyperlink>
    </w:p>
    <w:p w14:paraId="78E5F918" w14:textId="6B8DBBCC" w:rsidR="008422F7" w:rsidRDefault="0011470E">
      <w:pPr>
        <w:pStyle w:val="TOC3"/>
        <w:rPr>
          <w:rFonts w:eastAsiaTheme="minorEastAsia" w:cstheme="minorBidi"/>
          <w:iCs w:val="0"/>
          <w:sz w:val="22"/>
          <w:szCs w:val="22"/>
          <w:lang w:eastAsia="en-NZ" w:bidi="ar-SA"/>
        </w:rPr>
      </w:pPr>
      <w:hyperlink w:anchor="_Toc90639032" w:history="1">
        <w:r w:rsidR="008422F7" w:rsidRPr="007B0581">
          <w:rPr>
            <w:rStyle w:val="Hyperlink"/>
            <w:lang w:val="en-AU"/>
          </w:rPr>
          <w:t xml:space="preserve">6.2 </w:t>
        </w:r>
        <w:r w:rsidR="008422F7">
          <w:rPr>
            <w:rFonts w:eastAsiaTheme="minorEastAsia" w:cstheme="minorBidi"/>
            <w:iCs w:val="0"/>
            <w:sz w:val="22"/>
            <w:szCs w:val="22"/>
            <w:lang w:eastAsia="en-NZ" w:bidi="ar-SA"/>
          </w:rPr>
          <w:tab/>
        </w:r>
        <w:r w:rsidR="008422F7" w:rsidRPr="007B0581">
          <w:rPr>
            <w:rStyle w:val="Hyperlink"/>
            <w:lang w:val="en-AU"/>
          </w:rPr>
          <w:t>Care of premature baby by two DHBs</w:t>
        </w:r>
        <w:r w:rsidR="008422F7">
          <w:rPr>
            <w:webHidden/>
          </w:rPr>
          <w:tab/>
        </w:r>
        <w:r w:rsidR="008422F7">
          <w:rPr>
            <w:webHidden/>
          </w:rPr>
          <w:fldChar w:fldCharType="begin"/>
        </w:r>
        <w:r w:rsidR="008422F7">
          <w:rPr>
            <w:webHidden/>
          </w:rPr>
          <w:instrText xml:space="preserve"> PAGEREF _Toc90639032 \h </w:instrText>
        </w:r>
        <w:r w:rsidR="008422F7">
          <w:rPr>
            <w:webHidden/>
          </w:rPr>
        </w:r>
        <w:r w:rsidR="008422F7">
          <w:rPr>
            <w:webHidden/>
          </w:rPr>
          <w:fldChar w:fldCharType="separate"/>
        </w:r>
        <w:r>
          <w:rPr>
            <w:webHidden/>
          </w:rPr>
          <w:t>21</w:t>
        </w:r>
        <w:r w:rsidR="008422F7">
          <w:rPr>
            <w:webHidden/>
          </w:rPr>
          <w:fldChar w:fldCharType="end"/>
        </w:r>
      </w:hyperlink>
    </w:p>
    <w:p w14:paraId="2992109F" w14:textId="0B93AFF4" w:rsidR="008422F7" w:rsidRDefault="0011470E">
      <w:pPr>
        <w:pStyle w:val="TOC3"/>
        <w:rPr>
          <w:rFonts w:eastAsiaTheme="minorEastAsia" w:cstheme="minorBidi"/>
          <w:iCs w:val="0"/>
          <w:sz w:val="22"/>
          <w:szCs w:val="22"/>
          <w:lang w:eastAsia="en-NZ" w:bidi="ar-SA"/>
        </w:rPr>
      </w:pPr>
      <w:hyperlink w:anchor="_Toc90639033" w:history="1">
        <w:r w:rsidR="008422F7" w:rsidRPr="007B0581">
          <w:rPr>
            <w:rStyle w:val="Hyperlink"/>
            <w:lang w:val="en-AU"/>
          </w:rPr>
          <w:t>6.3 Inadequate co-ordination of care and subsequent hepatitis relapse</w:t>
        </w:r>
        <w:r w:rsidR="008422F7">
          <w:rPr>
            <w:webHidden/>
          </w:rPr>
          <w:tab/>
        </w:r>
        <w:r w:rsidR="008422F7">
          <w:rPr>
            <w:webHidden/>
          </w:rPr>
          <w:fldChar w:fldCharType="begin"/>
        </w:r>
        <w:r w:rsidR="008422F7">
          <w:rPr>
            <w:webHidden/>
          </w:rPr>
          <w:instrText xml:space="preserve"> PAGEREF _Toc90639033 \h </w:instrText>
        </w:r>
        <w:r w:rsidR="008422F7">
          <w:rPr>
            <w:webHidden/>
          </w:rPr>
        </w:r>
        <w:r w:rsidR="008422F7">
          <w:rPr>
            <w:webHidden/>
          </w:rPr>
          <w:fldChar w:fldCharType="separate"/>
        </w:r>
        <w:r>
          <w:rPr>
            <w:webHidden/>
          </w:rPr>
          <w:t>23</w:t>
        </w:r>
        <w:r w:rsidR="008422F7">
          <w:rPr>
            <w:webHidden/>
          </w:rPr>
          <w:fldChar w:fldCharType="end"/>
        </w:r>
      </w:hyperlink>
    </w:p>
    <w:p w14:paraId="639463D3" w14:textId="79F4A590" w:rsidR="008422F7" w:rsidRDefault="0011470E">
      <w:pPr>
        <w:pStyle w:val="TOC3"/>
        <w:rPr>
          <w:rFonts w:eastAsiaTheme="minorEastAsia" w:cstheme="minorBidi"/>
          <w:iCs w:val="0"/>
          <w:sz w:val="22"/>
          <w:szCs w:val="22"/>
          <w:lang w:eastAsia="en-NZ" w:bidi="ar-SA"/>
        </w:rPr>
      </w:pPr>
      <w:hyperlink w:anchor="_Toc90639034" w:history="1">
        <w:r w:rsidR="008422F7" w:rsidRPr="007B0581">
          <w:rPr>
            <w:rStyle w:val="Hyperlink"/>
            <w:lang w:val="en-AU"/>
          </w:rPr>
          <w:t xml:space="preserve">6.4 </w:t>
        </w:r>
        <w:r w:rsidR="008422F7">
          <w:rPr>
            <w:rFonts w:eastAsiaTheme="minorEastAsia" w:cstheme="minorBidi"/>
            <w:iCs w:val="0"/>
            <w:sz w:val="22"/>
            <w:szCs w:val="22"/>
            <w:lang w:eastAsia="en-NZ" w:bidi="ar-SA"/>
          </w:rPr>
          <w:tab/>
        </w:r>
        <w:r w:rsidR="008422F7" w:rsidRPr="007B0581">
          <w:rPr>
            <w:rStyle w:val="Hyperlink"/>
            <w:lang w:val="en-AU"/>
          </w:rPr>
          <w:t>Woman’s liver lesion not followed up</w:t>
        </w:r>
        <w:r w:rsidR="008422F7">
          <w:rPr>
            <w:webHidden/>
          </w:rPr>
          <w:tab/>
        </w:r>
        <w:r w:rsidR="008422F7">
          <w:rPr>
            <w:webHidden/>
          </w:rPr>
          <w:fldChar w:fldCharType="begin"/>
        </w:r>
        <w:r w:rsidR="008422F7">
          <w:rPr>
            <w:webHidden/>
          </w:rPr>
          <w:instrText xml:space="preserve"> PAGEREF _Toc90639034 \h </w:instrText>
        </w:r>
        <w:r w:rsidR="008422F7">
          <w:rPr>
            <w:webHidden/>
          </w:rPr>
        </w:r>
        <w:r w:rsidR="008422F7">
          <w:rPr>
            <w:webHidden/>
          </w:rPr>
          <w:fldChar w:fldCharType="separate"/>
        </w:r>
        <w:r>
          <w:rPr>
            <w:webHidden/>
          </w:rPr>
          <w:t>25</w:t>
        </w:r>
        <w:r w:rsidR="008422F7">
          <w:rPr>
            <w:webHidden/>
          </w:rPr>
          <w:fldChar w:fldCharType="end"/>
        </w:r>
      </w:hyperlink>
    </w:p>
    <w:p w14:paraId="427B96B3" w14:textId="13D30625" w:rsidR="00841E1C" w:rsidRPr="007E6810" w:rsidRDefault="007E6810" w:rsidP="00286DED">
      <w:r>
        <w:fldChar w:fldCharType="end"/>
      </w:r>
    </w:p>
    <w:p w14:paraId="1A512A15" w14:textId="77777777" w:rsidR="00841E1C" w:rsidRDefault="00841E1C" w:rsidP="00286DED">
      <w:pPr>
        <w:jc w:val="left"/>
        <w:rPr>
          <w:b/>
          <w:color w:val="000000" w:themeColor="text1"/>
          <w:sz w:val="32"/>
          <w:szCs w:val="32"/>
        </w:rPr>
        <w:sectPr w:rsidR="00841E1C" w:rsidSect="00E9719B">
          <w:pgSz w:w="11906" w:h="16838"/>
          <w:pgMar w:top="1140" w:right="1412" w:bottom="851" w:left="1412" w:header="720" w:footer="340" w:gutter="0"/>
          <w:pgNumType w:fmt="lowerRoman" w:start="1"/>
          <w:cols w:space="720"/>
          <w:docGrid w:linePitch="299"/>
        </w:sectPr>
      </w:pPr>
    </w:p>
    <w:p w14:paraId="5C7EE9E5" w14:textId="77777777" w:rsidR="00EB4A22" w:rsidRPr="0055664C" w:rsidRDefault="00EB4A22" w:rsidP="00EB4A22">
      <w:pPr>
        <w:pStyle w:val="Heading1"/>
      </w:pPr>
      <w:bookmarkStart w:id="1" w:name="_Toc493684121"/>
      <w:bookmarkStart w:id="2" w:name="_Toc71039141"/>
      <w:bookmarkStart w:id="3" w:name="_Toc71561647"/>
      <w:bookmarkStart w:id="4" w:name="_Toc90639011"/>
      <w:r w:rsidRPr="0055664C">
        <w:lastRenderedPageBreak/>
        <w:t>Commissioner’s Foreword</w:t>
      </w:r>
      <w:bookmarkEnd w:id="1"/>
      <w:bookmarkEnd w:id="2"/>
      <w:bookmarkEnd w:id="3"/>
      <w:bookmarkEnd w:id="4"/>
    </w:p>
    <w:p w14:paraId="0BDFCCD0" w14:textId="77777777" w:rsidR="00EB4A22" w:rsidRPr="00BD2A3B" w:rsidRDefault="00EB4A22" w:rsidP="00EB4A22">
      <w:pPr>
        <w:rPr>
          <w:rFonts w:cs="Helvetica"/>
          <w:szCs w:val="22"/>
        </w:rPr>
      </w:pPr>
      <w:proofErr w:type="spellStart"/>
      <w:r w:rsidRPr="00BD2A3B">
        <w:rPr>
          <w:rFonts w:cs="Helvetica"/>
          <w:szCs w:val="22"/>
        </w:rPr>
        <w:t>Tēnā</w:t>
      </w:r>
      <w:proofErr w:type="spellEnd"/>
      <w:r w:rsidRPr="00BD2A3B">
        <w:rPr>
          <w:rFonts w:cs="Helvetica"/>
          <w:szCs w:val="22"/>
        </w:rPr>
        <w:t xml:space="preserve"> </w:t>
      </w:r>
      <w:proofErr w:type="spellStart"/>
      <w:r w:rsidRPr="00BD2A3B">
        <w:rPr>
          <w:rFonts w:cs="Helvetica"/>
          <w:szCs w:val="22"/>
        </w:rPr>
        <w:t>koutou</w:t>
      </w:r>
      <w:proofErr w:type="spellEnd"/>
      <w:r w:rsidRPr="00BD2A3B">
        <w:rPr>
          <w:rFonts w:cs="Helvetica"/>
          <w:szCs w:val="22"/>
        </w:rPr>
        <w:t> </w:t>
      </w:r>
    </w:p>
    <w:p w14:paraId="23C0FA24" w14:textId="77777777" w:rsidR="00EB4A22" w:rsidRPr="00BD2A3B" w:rsidRDefault="00EB4A22" w:rsidP="00EB4A22">
      <w:pPr>
        <w:rPr>
          <w:szCs w:val="22"/>
        </w:rPr>
      </w:pPr>
    </w:p>
    <w:p w14:paraId="3D4901DB" w14:textId="2EEFF8A8" w:rsidR="00EB4A22" w:rsidRDefault="00EB4A22" w:rsidP="00EB4A22">
      <w:pPr>
        <w:rPr>
          <w:szCs w:val="22"/>
        </w:rPr>
      </w:pPr>
      <w:r w:rsidRPr="00BD2A3B">
        <w:rPr>
          <w:szCs w:val="22"/>
        </w:rPr>
        <w:t>I am pleased to present my Office’s latest complaint trend report for DHBs.</w:t>
      </w:r>
      <w:r w:rsidR="00B12430" w:rsidRPr="00BD2A3B">
        <w:rPr>
          <w:szCs w:val="22"/>
        </w:rPr>
        <w:t xml:space="preserve"> </w:t>
      </w:r>
      <w:r w:rsidRPr="00BD2A3B">
        <w:rPr>
          <w:szCs w:val="22"/>
        </w:rPr>
        <w:t xml:space="preserve">This report details the trends in complaints HDC received about DHBs between </w:t>
      </w:r>
      <w:r w:rsidR="00755DFC" w:rsidRPr="00BD2A3B">
        <w:rPr>
          <w:szCs w:val="22"/>
        </w:rPr>
        <w:t>1 January and 30 June 2021</w:t>
      </w:r>
      <w:r w:rsidRPr="00BD2A3B">
        <w:rPr>
          <w:szCs w:val="22"/>
        </w:rPr>
        <w:t>.</w:t>
      </w:r>
    </w:p>
    <w:p w14:paraId="47230385" w14:textId="5BF9B3F2" w:rsidR="004354CF" w:rsidRDefault="004354CF" w:rsidP="00EB4A22">
      <w:pPr>
        <w:rPr>
          <w:szCs w:val="22"/>
        </w:rPr>
      </w:pPr>
    </w:p>
    <w:p w14:paraId="15792A13" w14:textId="0282A549" w:rsidR="004354CF" w:rsidRPr="00BD2A3B" w:rsidRDefault="004354CF" w:rsidP="00EB4A22">
      <w:pPr>
        <w:rPr>
          <w:szCs w:val="22"/>
        </w:rPr>
      </w:pPr>
      <w:r>
        <w:rPr>
          <w:szCs w:val="22"/>
        </w:rPr>
        <w:t xml:space="preserve">At the outset I wish to acknowledge the </w:t>
      </w:r>
      <w:r w:rsidR="00BE2F29">
        <w:rPr>
          <w:szCs w:val="22"/>
        </w:rPr>
        <w:t>ongoing</w:t>
      </w:r>
      <w:r>
        <w:rPr>
          <w:szCs w:val="22"/>
        </w:rPr>
        <w:t xml:space="preserve"> work</w:t>
      </w:r>
      <w:r w:rsidR="00E40092">
        <w:rPr>
          <w:szCs w:val="22"/>
        </w:rPr>
        <w:t xml:space="preserve"> and </w:t>
      </w:r>
      <w:r w:rsidR="000260B7">
        <w:rPr>
          <w:szCs w:val="22"/>
        </w:rPr>
        <w:t>commitment</w:t>
      </w:r>
      <w:r>
        <w:rPr>
          <w:szCs w:val="22"/>
        </w:rPr>
        <w:t xml:space="preserve"> of health and disability service providers in responding to the pandemic, with all its pressures and stresses, while at the same time delivering core services and planning for upcoming reform.  </w:t>
      </w:r>
      <w:proofErr w:type="spellStart"/>
      <w:r>
        <w:rPr>
          <w:szCs w:val="22"/>
        </w:rPr>
        <w:t>Ngā</w:t>
      </w:r>
      <w:proofErr w:type="spellEnd"/>
      <w:r>
        <w:rPr>
          <w:szCs w:val="22"/>
        </w:rPr>
        <w:t xml:space="preserve"> </w:t>
      </w:r>
      <w:proofErr w:type="spellStart"/>
      <w:r>
        <w:rPr>
          <w:szCs w:val="22"/>
        </w:rPr>
        <w:t>mihi</w:t>
      </w:r>
      <w:proofErr w:type="spellEnd"/>
      <w:r>
        <w:rPr>
          <w:szCs w:val="22"/>
        </w:rPr>
        <w:t xml:space="preserve"> </w:t>
      </w:r>
      <w:proofErr w:type="spellStart"/>
      <w:r>
        <w:rPr>
          <w:szCs w:val="22"/>
        </w:rPr>
        <w:t>nui</w:t>
      </w:r>
      <w:proofErr w:type="spellEnd"/>
      <w:r>
        <w:rPr>
          <w:szCs w:val="22"/>
        </w:rPr>
        <w:t>.</w:t>
      </w:r>
    </w:p>
    <w:p w14:paraId="34D9130A" w14:textId="003B0D81" w:rsidR="00EB4A22" w:rsidRPr="00BD2A3B" w:rsidRDefault="00EB4A22" w:rsidP="00EB4A22">
      <w:pPr>
        <w:rPr>
          <w:szCs w:val="22"/>
        </w:rPr>
      </w:pPr>
    </w:p>
    <w:p w14:paraId="7481C45F" w14:textId="44422EAD" w:rsidR="00755DFC" w:rsidRPr="00BD2A3B" w:rsidRDefault="00755DFC" w:rsidP="00EB4A22">
      <w:pPr>
        <w:rPr>
          <w:szCs w:val="22"/>
        </w:rPr>
      </w:pPr>
      <w:r w:rsidRPr="00BD2A3B">
        <w:rPr>
          <w:szCs w:val="22"/>
        </w:rPr>
        <w:t xml:space="preserve">There has been a significant increase in the number of complaints received in </w:t>
      </w:r>
      <w:r w:rsidR="00BD2A3B" w:rsidRPr="00BD2A3B">
        <w:rPr>
          <w:szCs w:val="22"/>
        </w:rPr>
        <w:t>this period. T</w:t>
      </w:r>
      <w:r w:rsidR="001008F7" w:rsidRPr="00BD2A3B">
        <w:rPr>
          <w:szCs w:val="22"/>
        </w:rPr>
        <w:t>he 532 complaints receive</w:t>
      </w:r>
      <w:r w:rsidR="00BD2A3B" w:rsidRPr="00BD2A3B">
        <w:rPr>
          <w:szCs w:val="22"/>
        </w:rPr>
        <w:t>d were</w:t>
      </w:r>
      <w:r w:rsidR="001008F7" w:rsidRPr="00BD2A3B">
        <w:rPr>
          <w:szCs w:val="22"/>
        </w:rPr>
        <w:t xml:space="preserve"> a 21% increase on the average volume of complaints</w:t>
      </w:r>
      <w:r w:rsidR="00BD2A3B" w:rsidRPr="00BD2A3B">
        <w:rPr>
          <w:szCs w:val="22"/>
        </w:rPr>
        <w:t>,</w:t>
      </w:r>
      <w:r w:rsidR="001008F7" w:rsidRPr="00BD2A3B">
        <w:rPr>
          <w:szCs w:val="22"/>
        </w:rPr>
        <w:t xml:space="preserve"> and </w:t>
      </w:r>
      <w:r w:rsidR="00BD2A3B" w:rsidRPr="00BD2A3B">
        <w:rPr>
          <w:szCs w:val="22"/>
        </w:rPr>
        <w:t xml:space="preserve">were </w:t>
      </w:r>
      <w:r w:rsidR="001008F7" w:rsidRPr="00BD2A3B">
        <w:rPr>
          <w:szCs w:val="22"/>
        </w:rPr>
        <w:t>the highest number of complaints ever received</w:t>
      </w:r>
      <w:r w:rsidR="0089746A" w:rsidRPr="00BD2A3B">
        <w:rPr>
          <w:szCs w:val="22"/>
        </w:rPr>
        <w:t xml:space="preserve"> about DHBs</w:t>
      </w:r>
      <w:r w:rsidR="001008F7" w:rsidRPr="00BD2A3B">
        <w:rPr>
          <w:szCs w:val="22"/>
        </w:rPr>
        <w:t xml:space="preserve"> in a six-month period. However, it is important to note that this is generally in line with an overall increase in complaints to HDC. HDC experienced a 1</w:t>
      </w:r>
      <w:r w:rsidR="00BD2A3B" w:rsidRPr="00BD2A3B">
        <w:rPr>
          <w:szCs w:val="22"/>
        </w:rPr>
        <w:t>4% volume increase</w:t>
      </w:r>
      <w:r w:rsidR="001008F7" w:rsidRPr="00BD2A3B">
        <w:rPr>
          <w:szCs w:val="22"/>
        </w:rPr>
        <w:t xml:space="preserve"> in 2020/21, and increases look set to continue with HDC receiving</w:t>
      </w:r>
      <w:r w:rsidR="00EA737F" w:rsidRPr="00BD2A3B">
        <w:rPr>
          <w:szCs w:val="22"/>
        </w:rPr>
        <w:t xml:space="preserve"> an unprecedented 43</w:t>
      </w:r>
      <w:r w:rsidR="001008F7" w:rsidRPr="00BD2A3B">
        <w:rPr>
          <w:szCs w:val="22"/>
        </w:rPr>
        <w:t xml:space="preserve">% increase in </w:t>
      </w:r>
      <w:r w:rsidR="00BD2A3B" w:rsidRPr="00BD2A3B">
        <w:rPr>
          <w:szCs w:val="22"/>
        </w:rPr>
        <w:t xml:space="preserve">complaints in </w:t>
      </w:r>
      <w:r w:rsidR="001008F7" w:rsidRPr="00BD2A3B">
        <w:rPr>
          <w:szCs w:val="22"/>
        </w:rPr>
        <w:t>the first five months of 2021/22. The</w:t>
      </w:r>
      <w:r w:rsidR="004354CF">
        <w:rPr>
          <w:szCs w:val="22"/>
        </w:rPr>
        <w:t>re are likely many</w:t>
      </w:r>
      <w:r w:rsidR="001008F7" w:rsidRPr="00BD2A3B">
        <w:rPr>
          <w:szCs w:val="22"/>
        </w:rPr>
        <w:t xml:space="preserve"> reasons for this, but </w:t>
      </w:r>
      <w:r w:rsidR="0089746A" w:rsidRPr="00BD2A3B">
        <w:rPr>
          <w:szCs w:val="22"/>
        </w:rPr>
        <w:t>recent increases seem to be particularly relate</w:t>
      </w:r>
      <w:r w:rsidR="00EA737F" w:rsidRPr="00BD2A3B">
        <w:rPr>
          <w:szCs w:val="22"/>
        </w:rPr>
        <w:t>d to the COVID-19 pandemic</w:t>
      </w:r>
      <w:r w:rsidR="005E4AB6">
        <w:rPr>
          <w:szCs w:val="22"/>
        </w:rPr>
        <w:t xml:space="preserve"> and associated vaccine roll-out</w:t>
      </w:r>
      <w:r w:rsidR="00EA737F" w:rsidRPr="00BD2A3B">
        <w:rPr>
          <w:szCs w:val="22"/>
        </w:rPr>
        <w:t>.</w:t>
      </w:r>
      <w:r w:rsidR="0089746A" w:rsidRPr="00BD2A3B">
        <w:rPr>
          <w:szCs w:val="22"/>
        </w:rPr>
        <w:t xml:space="preserve"> </w:t>
      </w:r>
    </w:p>
    <w:p w14:paraId="58184403" w14:textId="77777777" w:rsidR="00755DFC" w:rsidRPr="00BD2A3B" w:rsidRDefault="00755DFC" w:rsidP="00EB4A22">
      <w:pPr>
        <w:rPr>
          <w:szCs w:val="22"/>
        </w:rPr>
      </w:pPr>
    </w:p>
    <w:p w14:paraId="06BC305E" w14:textId="746ED256" w:rsidR="00EB4A22" w:rsidRPr="00BD2A3B" w:rsidRDefault="00755DFC" w:rsidP="00EB4A22">
      <w:pPr>
        <w:rPr>
          <w:szCs w:val="22"/>
        </w:rPr>
      </w:pPr>
      <w:r w:rsidRPr="00BD2A3B">
        <w:rPr>
          <w:szCs w:val="22"/>
        </w:rPr>
        <w:t xml:space="preserve">The </w:t>
      </w:r>
      <w:r w:rsidR="001008F7" w:rsidRPr="00BD2A3B">
        <w:rPr>
          <w:szCs w:val="22"/>
        </w:rPr>
        <w:t xml:space="preserve">general </w:t>
      </w:r>
      <w:r w:rsidR="00EB4A22" w:rsidRPr="00BD2A3B">
        <w:rPr>
          <w:szCs w:val="22"/>
        </w:rPr>
        <w:t>t</w:t>
      </w:r>
      <w:r w:rsidR="001008F7" w:rsidRPr="00BD2A3B">
        <w:rPr>
          <w:szCs w:val="22"/>
        </w:rPr>
        <w:t>rends in this report are</w:t>
      </w:r>
      <w:r w:rsidR="00EB4A22" w:rsidRPr="00BD2A3B">
        <w:rPr>
          <w:szCs w:val="22"/>
        </w:rPr>
        <w:t xml:space="preserve"> c</w:t>
      </w:r>
      <w:r w:rsidRPr="00BD2A3B">
        <w:rPr>
          <w:szCs w:val="22"/>
        </w:rPr>
        <w:t>onsistent with previous reports.</w:t>
      </w:r>
      <w:r w:rsidR="00EB4A22" w:rsidRPr="00BD2A3B">
        <w:rPr>
          <w:szCs w:val="22"/>
        </w:rPr>
        <w:t xml:space="preserve"> </w:t>
      </w:r>
      <w:r w:rsidRPr="00BD2A3B">
        <w:rPr>
          <w:szCs w:val="22"/>
        </w:rPr>
        <w:t>Surgery and mental health remain the most commonly complained about services, and communication continues to be</w:t>
      </w:r>
      <w:r w:rsidR="00EA737F" w:rsidRPr="00BD2A3B">
        <w:rPr>
          <w:szCs w:val="22"/>
        </w:rPr>
        <w:t xml:space="preserve"> the most common issue raised by complainants.</w:t>
      </w:r>
    </w:p>
    <w:p w14:paraId="7C982F6E" w14:textId="77777777" w:rsidR="00EB4A22" w:rsidRPr="00BD2A3B" w:rsidRDefault="00EB4A22" w:rsidP="00EB4A22">
      <w:pPr>
        <w:rPr>
          <w:szCs w:val="22"/>
        </w:rPr>
      </w:pPr>
    </w:p>
    <w:p w14:paraId="5F41745F" w14:textId="31DF7A2A" w:rsidR="001008F7" w:rsidRPr="00BD2A3B" w:rsidRDefault="00755DFC" w:rsidP="001008F7">
      <w:pPr>
        <w:rPr>
          <w:szCs w:val="22"/>
          <w:lang w:val="mi-NZ"/>
        </w:rPr>
      </w:pPr>
      <w:r w:rsidRPr="00BD2A3B">
        <w:rPr>
          <w:szCs w:val="22"/>
        </w:rPr>
        <w:t>I note that in 17% of complaints about DHBs,</w:t>
      </w:r>
      <w:r w:rsidR="00EA737F" w:rsidRPr="00BD2A3B">
        <w:rPr>
          <w:szCs w:val="22"/>
        </w:rPr>
        <w:t xml:space="preserve"> people continue to raise concerns</w:t>
      </w:r>
      <w:r w:rsidRPr="00BD2A3B">
        <w:rPr>
          <w:szCs w:val="22"/>
        </w:rPr>
        <w:t xml:space="preserve"> about the DHB’s complaints management process. </w:t>
      </w:r>
      <w:r w:rsidR="00EA737F" w:rsidRPr="00BD2A3B">
        <w:rPr>
          <w:szCs w:val="22"/>
        </w:rPr>
        <w:t xml:space="preserve">In my view, </w:t>
      </w:r>
      <w:r w:rsidR="00EA737F" w:rsidRPr="00BD2A3B">
        <w:rPr>
          <w:szCs w:val="22"/>
          <w:lang w:val="mi-NZ"/>
        </w:rPr>
        <w:t>t</w:t>
      </w:r>
      <w:r w:rsidR="001008F7" w:rsidRPr="00BD2A3B">
        <w:rPr>
          <w:szCs w:val="22"/>
          <w:lang w:val="mi-NZ"/>
        </w:rPr>
        <w:t>he early resolution of complaints</w:t>
      </w:r>
      <w:r w:rsidR="00EA737F" w:rsidRPr="00BD2A3B">
        <w:rPr>
          <w:szCs w:val="22"/>
          <w:lang w:val="mi-NZ"/>
        </w:rPr>
        <w:t xml:space="preserve"> by providers</w:t>
      </w:r>
      <w:r w:rsidR="001008F7" w:rsidRPr="00BD2A3B">
        <w:rPr>
          <w:szCs w:val="22"/>
          <w:lang w:val="mi-NZ"/>
        </w:rPr>
        <w:t>, where appropriate, represents a win-win for both parties</w:t>
      </w:r>
      <w:r w:rsidR="00E40092">
        <w:rPr>
          <w:szCs w:val="22"/>
          <w:lang w:val="mi-NZ"/>
        </w:rPr>
        <w:t xml:space="preserve">. It can </w:t>
      </w:r>
      <w:r w:rsidR="004354CF">
        <w:rPr>
          <w:szCs w:val="22"/>
          <w:lang w:val="mi-NZ"/>
        </w:rPr>
        <w:t>increase effectiveness of quality improvement measures</w:t>
      </w:r>
      <w:r w:rsidR="001008F7" w:rsidRPr="00BD2A3B">
        <w:rPr>
          <w:szCs w:val="22"/>
          <w:lang w:val="mi-NZ"/>
        </w:rPr>
        <w:t xml:space="preserve">, and potentially reduces escalation to HDC. Our data tells us that the things that consumers need for effective complaint resolution are a timely response, acknowledgement of their concerns, commitment to preventative action, and above all to be heard </w:t>
      </w:r>
      <w:r w:rsidR="000960E1">
        <w:rPr>
          <w:szCs w:val="22"/>
          <w:lang w:val="mi-NZ"/>
        </w:rPr>
        <w:t>—</w:t>
      </w:r>
      <w:r w:rsidR="000960E1" w:rsidRPr="00BD2A3B">
        <w:rPr>
          <w:szCs w:val="22"/>
          <w:lang w:val="mi-NZ"/>
        </w:rPr>
        <w:t xml:space="preserve"> </w:t>
      </w:r>
      <w:r w:rsidR="001008F7" w:rsidRPr="00BD2A3B">
        <w:rPr>
          <w:szCs w:val="22"/>
          <w:lang w:val="mi-NZ"/>
        </w:rPr>
        <w:t>to have</w:t>
      </w:r>
      <w:r w:rsidR="00ED4D89">
        <w:rPr>
          <w:szCs w:val="22"/>
          <w:lang w:val="mi-NZ"/>
        </w:rPr>
        <w:t xml:space="preserve"> a</w:t>
      </w:r>
      <w:r w:rsidR="001008F7" w:rsidRPr="00BD2A3B">
        <w:rPr>
          <w:szCs w:val="22"/>
          <w:lang w:val="mi-NZ"/>
        </w:rPr>
        <w:t xml:space="preserve"> voice.</w:t>
      </w:r>
    </w:p>
    <w:p w14:paraId="420CE742" w14:textId="7591A81E" w:rsidR="001008F7" w:rsidRPr="00BD2A3B" w:rsidRDefault="001008F7" w:rsidP="001008F7">
      <w:pPr>
        <w:rPr>
          <w:szCs w:val="22"/>
          <w:lang w:val="mi-NZ"/>
        </w:rPr>
      </w:pPr>
    </w:p>
    <w:p w14:paraId="6FEB715E" w14:textId="6B7CD5FD" w:rsidR="001008F7" w:rsidRPr="00BD2A3B" w:rsidRDefault="001D5ED0" w:rsidP="001008F7">
      <w:pPr>
        <w:rPr>
          <w:szCs w:val="22"/>
          <w:lang w:val="mi-NZ"/>
        </w:rPr>
      </w:pPr>
      <w:r w:rsidRPr="00BD2A3B">
        <w:rPr>
          <w:szCs w:val="22"/>
          <w:lang w:val="mi-NZ"/>
        </w:rPr>
        <w:t xml:space="preserve">Right 10 of the </w:t>
      </w:r>
      <w:r w:rsidRPr="00BD2A3B">
        <w:rPr>
          <w:szCs w:val="22"/>
          <w:lang w:val="en-US"/>
        </w:rPr>
        <w:t>Code requires all providers to facilitate the fair, simple, speedy</w:t>
      </w:r>
      <w:r w:rsidR="000960E1">
        <w:rPr>
          <w:szCs w:val="22"/>
          <w:lang w:val="en-US"/>
        </w:rPr>
        <w:t>,</w:t>
      </w:r>
      <w:r w:rsidRPr="00BD2A3B">
        <w:rPr>
          <w:szCs w:val="22"/>
          <w:lang w:val="en-US"/>
        </w:rPr>
        <w:t xml:space="preserve"> and efficient resolution of complaints</w:t>
      </w:r>
      <w:r w:rsidRPr="00BD2A3B">
        <w:rPr>
          <w:szCs w:val="22"/>
          <w:lang w:val="mi-NZ"/>
        </w:rPr>
        <w:t xml:space="preserve">. </w:t>
      </w:r>
      <w:r w:rsidR="001008F7" w:rsidRPr="00BD2A3B">
        <w:rPr>
          <w:szCs w:val="22"/>
          <w:lang w:val="mi-NZ"/>
        </w:rPr>
        <w:t>I acknowledge that the current pressure the</w:t>
      </w:r>
      <w:r w:rsidRPr="00BD2A3B">
        <w:rPr>
          <w:szCs w:val="22"/>
          <w:lang w:val="mi-NZ"/>
        </w:rPr>
        <w:t xml:space="preserve"> healthcare system is under, particularly  in the context of</w:t>
      </w:r>
      <w:r w:rsidR="001008F7" w:rsidRPr="00BD2A3B">
        <w:rPr>
          <w:szCs w:val="22"/>
          <w:lang w:val="mi-NZ"/>
        </w:rPr>
        <w:t xml:space="preserve"> </w:t>
      </w:r>
      <w:r w:rsidRPr="00BD2A3B">
        <w:rPr>
          <w:szCs w:val="22"/>
          <w:lang w:val="mi-NZ"/>
        </w:rPr>
        <w:t>rapidly changing circumstances, can place pressure on the time it takes to resolve complaints. In these circumstances</w:t>
      </w:r>
      <w:r w:rsidR="000960E1">
        <w:rPr>
          <w:szCs w:val="22"/>
          <w:lang w:val="mi-NZ"/>
        </w:rPr>
        <w:t>,</w:t>
      </w:r>
      <w:r w:rsidRPr="00BD2A3B">
        <w:rPr>
          <w:szCs w:val="22"/>
          <w:lang w:val="mi-NZ"/>
        </w:rPr>
        <w:t xml:space="preserve"> communication with people is particularly important, and</w:t>
      </w:r>
      <w:r w:rsidRPr="00BD2A3B">
        <w:rPr>
          <w:szCs w:val="22"/>
          <w:lang w:val="en-US"/>
        </w:rPr>
        <w:t xml:space="preserve"> complainants should be provided with regular progress updates and given reasons for any delays. </w:t>
      </w:r>
      <w:r w:rsidRPr="00BD2A3B">
        <w:rPr>
          <w:szCs w:val="22"/>
          <w:lang w:val="mi-NZ"/>
        </w:rPr>
        <w:t xml:space="preserve"> </w:t>
      </w:r>
    </w:p>
    <w:p w14:paraId="4CB55A54" w14:textId="48A87047" w:rsidR="00EB4A22" w:rsidRPr="00286DED" w:rsidRDefault="00EB4A22" w:rsidP="00EB4A22">
      <w:pPr>
        <w:rPr>
          <w:szCs w:val="22"/>
          <w:lang w:val="en-US"/>
        </w:rPr>
      </w:pPr>
      <w:r w:rsidRPr="00286DED">
        <w:rPr>
          <w:szCs w:val="22"/>
          <w:lang w:val="en-US"/>
        </w:rPr>
        <w:br/>
        <w:t>I trust that these reports continue to be of assistance in understanding complaint patterns for your DHB and nationally, with a view to improving the quality and safety of services.</w:t>
      </w:r>
    </w:p>
    <w:p w14:paraId="01381CEE" w14:textId="42D46A2D" w:rsidR="00EB4A22" w:rsidRDefault="00EB4A22" w:rsidP="00EB4A22">
      <w:pPr>
        <w:spacing w:after="200"/>
        <w:jc w:val="left"/>
        <w:rPr>
          <w:b/>
          <w:lang w:val="en-US"/>
        </w:rPr>
      </w:pPr>
    </w:p>
    <w:p w14:paraId="69FA225A" w14:textId="77777777" w:rsidR="00BD2A3B" w:rsidRDefault="00BD2A3B" w:rsidP="00EB4A22">
      <w:pPr>
        <w:spacing w:after="200"/>
        <w:jc w:val="left"/>
        <w:rPr>
          <w:b/>
          <w:lang w:val="en-US"/>
        </w:rPr>
      </w:pPr>
    </w:p>
    <w:p w14:paraId="2BCB8EC8" w14:textId="21EF4705" w:rsidR="00EB4A22" w:rsidRDefault="00EB4A22" w:rsidP="00EB4A22">
      <w:pPr>
        <w:spacing w:after="200"/>
        <w:jc w:val="left"/>
        <w:rPr>
          <w:b/>
          <w:lang w:val="en-US"/>
        </w:rPr>
      </w:pPr>
      <w:r>
        <w:rPr>
          <w:lang w:val="en-US"/>
        </w:rPr>
        <w:t>Morag McDowell</w:t>
      </w:r>
      <w:r>
        <w:rPr>
          <w:lang w:val="en-US"/>
        </w:rPr>
        <w:br/>
      </w:r>
      <w:r>
        <w:rPr>
          <w:b/>
          <w:lang w:val="en-US"/>
        </w:rPr>
        <w:t>Health and Disability Commissioner</w:t>
      </w:r>
    </w:p>
    <w:p w14:paraId="3B3146A1" w14:textId="77777777" w:rsidR="00EB4A22" w:rsidRPr="00717512" w:rsidRDefault="00EB4A22" w:rsidP="00EB4A22">
      <w:pPr>
        <w:pStyle w:val="Heading1"/>
      </w:pPr>
      <w:bookmarkStart w:id="5" w:name="_Toc426462626"/>
      <w:bookmarkStart w:id="6" w:name="_Toc443992221"/>
      <w:bookmarkStart w:id="7" w:name="_Toc447291467"/>
      <w:bookmarkStart w:id="8" w:name="_Toc447527524"/>
      <w:bookmarkStart w:id="9" w:name="_Toc493684122"/>
      <w:bookmarkStart w:id="10" w:name="_Toc71561648"/>
      <w:bookmarkStart w:id="11" w:name="_Toc90639012"/>
      <w:r w:rsidRPr="005B42C0">
        <w:lastRenderedPageBreak/>
        <w:t>National</w:t>
      </w:r>
      <w:r w:rsidRPr="00717512">
        <w:t xml:space="preserve"> Data for all District Health Boards</w:t>
      </w:r>
      <w:bookmarkEnd w:id="5"/>
      <w:bookmarkEnd w:id="6"/>
      <w:bookmarkEnd w:id="7"/>
      <w:bookmarkEnd w:id="8"/>
      <w:bookmarkEnd w:id="9"/>
      <w:bookmarkEnd w:id="10"/>
      <w:bookmarkEnd w:id="11"/>
    </w:p>
    <w:p w14:paraId="6C6F5C43" w14:textId="77777777" w:rsidR="00EB4A22" w:rsidRPr="0086165A" w:rsidRDefault="00EB4A22" w:rsidP="00EB4A22">
      <w:pPr>
        <w:pStyle w:val="Heading2"/>
        <w:spacing w:before="360" w:after="240"/>
        <w:rPr>
          <w:sz w:val="36"/>
          <w:szCs w:val="36"/>
        </w:rPr>
      </w:pPr>
      <w:bookmarkStart w:id="12" w:name="_Toc71561649"/>
      <w:bookmarkStart w:id="13" w:name="_Toc90639013"/>
      <w:bookmarkStart w:id="14" w:name="_Toc398125955"/>
      <w:bookmarkStart w:id="15" w:name="_Toc37315210"/>
      <w:bookmarkStart w:id="16" w:name="_Toc39138044"/>
      <w:bookmarkStart w:id="17" w:name="_Toc447291470"/>
      <w:bookmarkStart w:id="18" w:name="_Toc447527527"/>
      <w:bookmarkStart w:id="19" w:name="_Toc493684125"/>
      <w:r w:rsidRPr="0086165A">
        <w:rPr>
          <w:sz w:val="36"/>
          <w:szCs w:val="36"/>
        </w:rPr>
        <w:t>1.</w:t>
      </w:r>
      <w:r w:rsidRPr="0086165A">
        <w:rPr>
          <w:sz w:val="36"/>
          <w:szCs w:val="36"/>
        </w:rPr>
        <w:tab/>
        <w:t>How many complaints were received?</w:t>
      </w:r>
      <w:bookmarkEnd w:id="12"/>
      <w:bookmarkEnd w:id="13"/>
      <w:r w:rsidRPr="0086165A">
        <w:rPr>
          <w:sz w:val="36"/>
          <w:szCs w:val="36"/>
        </w:rPr>
        <w:t xml:space="preserve"> </w:t>
      </w:r>
    </w:p>
    <w:p w14:paraId="07336503" w14:textId="77777777" w:rsidR="00EB4A22" w:rsidRPr="0086165A" w:rsidRDefault="00EB4A22" w:rsidP="00932E72">
      <w:pPr>
        <w:pStyle w:val="Heading3"/>
      </w:pPr>
      <w:bookmarkStart w:id="20" w:name="_Toc71561650"/>
      <w:bookmarkStart w:id="21" w:name="_Toc90639014"/>
      <w:bookmarkEnd w:id="14"/>
      <w:r w:rsidRPr="0086165A">
        <w:t>1.1</w:t>
      </w:r>
      <w:r w:rsidRPr="0086165A">
        <w:tab/>
        <w:t>Number of complaints received</w:t>
      </w:r>
      <w:bookmarkEnd w:id="20"/>
      <w:bookmarkEnd w:id="21"/>
    </w:p>
    <w:p w14:paraId="59B6E281" w14:textId="20489ADC" w:rsidR="00EB4A22" w:rsidRPr="00CE600B" w:rsidRDefault="00A66A80" w:rsidP="00EB4A22">
      <w:pPr>
        <w:spacing w:after="120"/>
        <w:rPr>
          <w:i/>
        </w:rPr>
      </w:pPr>
      <w:r>
        <w:t>In the period Jan–Jun</w:t>
      </w:r>
      <w:r w:rsidR="00EB4A22" w:rsidRPr="00E10828">
        <w:t xml:space="preserve"> </w:t>
      </w:r>
      <w:r>
        <w:t>2021</w:t>
      </w:r>
      <w:r w:rsidR="00EB4A22" w:rsidRPr="00E10828">
        <w:t>,</w:t>
      </w:r>
      <w:r w:rsidR="00EB4A22">
        <w:t xml:space="preserve"> HDC received </w:t>
      </w:r>
      <w:r>
        <w:rPr>
          <w:b/>
        </w:rPr>
        <w:t>532</w:t>
      </w:r>
      <w:r w:rsidR="00EB4A22" w:rsidRPr="003E5338">
        <w:rPr>
          <w:rStyle w:val="FootnoteReference"/>
        </w:rPr>
        <w:footnoteReference w:id="1"/>
      </w:r>
      <w:r w:rsidR="00EB4A22" w:rsidRPr="00CE600B">
        <w:t xml:space="preserve"> complaints about care provided by District Health Boards. Numbers of complaints received in previous six-month periods are reported in Table 1.</w:t>
      </w:r>
      <w:bookmarkEnd w:id="15"/>
      <w:bookmarkEnd w:id="16"/>
    </w:p>
    <w:p w14:paraId="581C5477" w14:textId="77777777" w:rsidR="00EB4A22" w:rsidRDefault="00EB4A22" w:rsidP="00EB4A22"/>
    <w:p w14:paraId="51E13EC2" w14:textId="77777777" w:rsidR="00EB4A22" w:rsidRDefault="00EB4A22" w:rsidP="00EB4A22">
      <w:pPr>
        <w:spacing w:after="60"/>
        <w:rPr>
          <w:rStyle w:val="NoSpacingChar"/>
        </w:rPr>
      </w:pPr>
      <w:r>
        <w:rPr>
          <w:b/>
        </w:rPr>
        <w:t xml:space="preserve">Table 1. </w:t>
      </w:r>
      <w:r>
        <w:t>Number of complaints received</w:t>
      </w:r>
      <w:r>
        <w:rPr>
          <w:rStyle w:val="NoSpacingChar"/>
        </w:rPr>
        <w:t xml:space="preserve"> in the last five years</w:t>
      </w:r>
    </w:p>
    <w:tbl>
      <w:tblPr>
        <w:tblStyle w:val="TableGrid"/>
        <w:tblpPr w:leftFromText="180" w:rightFromText="180" w:vertAnchor="text" w:horzAnchor="margin" w:tblpX="-33" w:tblpY="105"/>
        <w:tblW w:w="4982" w:type="pct"/>
        <w:tblLook w:val="04A0" w:firstRow="1" w:lastRow="0" w:firstColumn="1" w:lastColumn="0" w:noHBand="0" w:noVBand="1"/>
      </w:tblPr>
      <w:tblGrid>
        <w:gridCol w:w="1340"/>
        <w:gridCol w:w="679"/>
        <w:gridCol w:w="588"/>
        <w:gridCol w:w="677"/>
        <w:gridCol w:w="679"/>
        <w:gridCol w:w="679"/>
        <w:gridCol w:w="679"/>
        <w:gridCol w:w="679"/>
        <w:gridCol w:w="679"/>
        <w:gridCol w:w="679"/>
        <w:gridCol w:w="963"/>
        <w:gridCol w:w="663"/>
      </w:tblGrid>
      <w:tr w:rsidR="00A66A80" w14:paraId="76EE6C5A" w14:textId="77777777" w:rsidTr="00ED4D89">
        <w:tc>
          <w:tcPr>
            <w:tcW w:w="745" w:type="pct"/>
            <w:tcBorders>
              <w:top w:val="single" w:sz="4" w:space="0" w:color="auto"/>
              <w:left w:val="single" w:sz="4" w:space="0" w:color="auto"/>
              <w:bottom w:val="single" w:sz="4" w:space="0" w:color="auto"/>
              <w:right w:val="single" w:sz="4" w:space="0" w:color="auto"/>
            </w:tcBorders>
            <w:vAlign w:val="center"/>
          </w:tcPr>
          <w:p w14:paraId="49317709" w14:textId="77777777" w:rsidR="00A66A80" w:rsidRPr="00452AC3" w:rsidRDefault="00A66A80" w:rsidP="00162AF3">
            <w:pPr>
              <w:keepNext/>
              <w:keepLines/>
              <w:jc w:val="left"/>
              <w:rPr>
                <w:rFonts w:ascii="Calibri" w:hAnsi="Calibri"/>
                <w:b/>
                <w:szCs w:val="20"/>
              </w:rPr>
            </w:pPr>
          </w:p>
          <w:p w14:paraId="09B076F4" w14:textId="77777777" w:rsidR="00A66A80" w:rsidRPr="00452AC3" w:rsidRDefault="00A66A80" w:rsidP="00162AF3">
            <w:pPr>
              <w:keepNext/>
              <w:keepLines/>
              <w:jc w:val="left"/>
              <w:rPr>
                <w:rFonts w:ascii="Calibri" w:hAnsi="Calibri"/>
                <w:b/>
                <w:szCs w:val="20"/>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51D02A95" w14:textId="48147A6D" w:rsidR="00A66A80" w:rsidRPr="00452AC3" w:rsidRDefault="00A66A80" w:rsidP="00162AF3">
            <w:pPr>
              <w:keepNext/>
              <w:keepLines/>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16</w:t>
            </w:r>
          </w:p>
        </w:tc>
        <w:tc>
          <w:tcPr>
            <w:tcW w:w="327" w:type="pct"/>
            <w:tcBorders>
              <w:top w:val="single" w:sz="4" w:space="0" w:color="auto"/>
              <w:left w:val="single" w:sz="4" w:space="0" w:color="auto"/>
              <w:bottom w:val="single" w:sz="4" w:space="0" w:color="auto"/>
              <w:right w:val="single" w:sz="4" w:space="0" w:color="auto"/>
            </w:tcBorders>
            <w:vAlign w:val="center"/>
            <w:hideMark/>
          </w:tcPr>
          <w:p w14:paraId="39FE7BF5" w14:textId="2CD82E96" w:rsidR="00A66A80" w:rsidRPr="00452AC3" w:rsidRDefault="00A66A80" w:rsidP="00162AF3">
            <w:pPr>
              <w:keepNext/>
              <w:keepLines/>
              <w:jc w:val="center"/>
              <w:rPr>
                <w:rFonts w:ascii="Calibri" w:hAnsi="Calibri"/>
                <w:b/>
                <w:szCs w:val="20"/>
              </w:rPr>
            </w:pPr>
            <w:r w:rsidRPr="00452AC3">
              <w:rPr>
                <w:rFonts w:ascii="Calibri" w:hAnsi="Calibri"/>
                <w:b/>
                <w:szCs w:val="20"/>
              </w:rPr>
              <w:t>Jan–Jun</w:t>
            </w:r>
            <w:r w:rsidRPr="00452AC3">
              <w:rPr>
                <w:rFonts w:ascii="Calibri" w:hAnsi="Calibri"/>
                <w:b/>
                <w:szCs w:val="20"/>
              </w:rPr>
              <w:br/>
              <w:t>17</w:t>
            </w:r>
          </w:p>
        </w:tc>
        <w:tc>
          <w:tcPr>
            <w:tcW w:w="377" w:type="pct"/>
            <w:tcBorders>
              <w:top w:val="single" w:sz="4" w:space="0" w:color="auto"/>
              <w:left w:val="single" w:sz="4" w:space="0" w:color="auto"/>
              <w:bottom w:val="single" w:sz="4" w:space="0" w:color="auto"/>
              <w:right w:val="single" w:sz="4" w:space="0" w:color="auto"/>
            </w:tcBorders>
            <w:hideMark/>
          </w:tcPr>
          <w:p w14:paraId="72E63A12" w14:textId="2BA1C3E9" w:rsidR="00A66A80" w:rsidRPr="00452AC3" w:rsidRDefault="00A66A80" w:rsidP="00162AF3">
            <w:pPr>
              <w:keepNext/>
              <w:keepLines/>
              <w:spacing w:before="180"/>
              <w:jc w:val="center"/>
              <w:rPr>
                <w:rFonts w:ascii="Calibri" w:hAnsi="Calibri"/>
                <w:b/>
                <w:szCs w:val="20"/>
              </w:rPr>
            </w:pPr>
            <w:r w:rsidRPr="00452AC3">
              <w:rPr>
                <w:rFonts w:ascii="Calibri" w:hAnsi="Calibri"/>
                <w:b/>
                <w:szCs w:val="20"/>
              </w:rPr>
              <w:t>Jul–Dec</w:t>
            </w:r>
            <w:r w:rsidRPr="00452AC3">
              <w:rPr>
                <w:rFonts w:ascii="Calibri" w:hAnsi="Calibri"/>
                <w:b/>
                <w:szCs w:val="20"/>
              </w:rPr>
              <w:br/>
              <w:t>17</w:t>
            </w:r>
          </w:p>
        </w:tc>
        <w:tc>
          <w:tcPr>
            <w:tcW w:w="378" w:type="pct"/>
            <w:tcBorders>
              <w:top w:val="single" w:sz="4" w:space="0" w:color="auto"/>
              <w:left w:val="single" w:sz="4" w:space="0" w:color="auto"/>
              <w:bottom w:val="single" w:sz="4" w:space="0" w:color="auto"/>
              <w:right w:val="single" w:sz="4" w:space="0" w:color="auto"/>
            </w:tcBorders>
            <w:hideMark/>
          </w:tcPr>
          <w:p w14:paraId="054EBD1A" w14:textId="3AD90044" w:rsidR="00A66A80" w:rsidRPr="00452AC3" w:rsidRDefault="00A66A80" w:rsidP="00162AF3">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18</w:t>
            </w:r>
          </w:p>
        </w:tc>
        <w:tc>
          <w:tcPr>
            <w:tcW w:w="378" w:type="pct"/>
            <w:tcBorders>
              <w:top w:val="single" w:sz="4" w:space="0" w:color="auto"/>
              <w:left w:val="single" w:sz="4" w:space="0" w:color="auto"/>
              <w:bottom w:val="single" w:sz="4" w:space="0" w:color="auto"/>
              <w:right w:val="single" w:sz="4" w:space="0" w:color="auto"/>
            </w:tcBorders>
            <w:hideMark/>
          </w:tcPr>
          <w:p w14:paraId="38B94BF6" w14:textId="4A9C865A" w:rsidR="00A66A80" w:rsidRPr="00452AC3" w:rsidRDefault="00A66A80" w:rsidP="00162AF3">
            <w:pPr>
              <w:keepNext/>
              <w:keepLines/>
              <w:spacing w:before="180"/>
              <w:jc w:val="center"/>
              <w:rPr>
                <w:rFonts w:ascii="Calibri" w:hAnsi="Calibri"/>
                <w:b/>
                <w:szCs w:val="20"/>
              </w:rPr>
            </w:pPr>
            <w:r w:rsidRPr="00452AC3">
              <w:rPr>
                <w:rFonts w:ascii="Calibri" w:hAnsi="Calibri"/>
                <w:b/>
                <w:szCs w:val="20"/>
              </w:rPr>
              <w:t>Jul–Dec</w:t>
            </w:r>
            <w:r w:rsidRPr="00452AC3">
              <w:rPr>
                <w:rFonts w:ascii="Calibri" w:hAnsi="Calibri"/>
                <w:b/>
                <w:szCs w:val="20"/>
              </w:rPr>
              <w:br/>
              <w:t>18</w:t>
            </w:r>
          </w:p>
        </w:tc>
        <w:tc>
          <w:tcPr>
            <w:tcW w:w="378" w:type="pct"/>
            <w:tcBorders>
              <w:top w:val="single" w:sz="4" w:space="0" w:color="auto"/>
              <w:left w:val="single" w:sz="4" w:space="0" w:color="auto"/>
              <w:bottom w:val="single" w:sz="4" w:space="0" w:color="auto"/>
              <w:right w:val="single" w:sz="4" w:space="0" w:color="auto"/>
            </w:tcBorders>
            <w:hideMark/>
          </w:tcPr>
          <w:p w14:paraId="37A3FB14" w14:textId="79CB5321" w:rsidR="00A66A80" w:rsidRPr="00452AC3" w:rsidRDefault="00A66A80" w:rsidP="00162AF3">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19</w:t>
            </w:r>
          </w:p>
        </w:tc>
        <w:tc>
          <w:tcPr>
            <w:tcW w:w="378" w:type="pct"/>
            <w:tcBorders>
              <w:top w:val="single" w:sz="4" w:space="0" w:color="auto"/>
              <w:left w:val="single" w:sz="4" w:space="0" w:color="auto"/>
              <w:bottom w:val="single" w:sz="4" w:space="0" w:color="auto"/>
              <w:right w:val="single" w:sz="4" w:space="0" w:color="auto"/>
            </w:tcBorders>
            <w:hideMark/>
          </w:tcPr>
          <w:p w14:paraId="28E3F885" w14:textId="36D75510" w:rsidR="00A66A80" w:rsidRPr="00452AC3" w:rsidRDefault="00A66A80" w:rsidP="00162AF3">
            <w:pPr>
              <w:keepNext/>
              <w:keepLines/>
              <w:spacing w:before="180"/>
              <w:jc w:val="center"/>
              <w:rPr>
                <w:rFonts w:ascii="Calibri" w:hAnsi="Calibri"/>
                <w:b/>
                <w:szCs w:val="20"/>
              </w:rPr>
            </w:pPr>
            <w:r w:rsidRPr="00452AC3">
              <w:rPr>
                <w:rFonts w:ascii="Calibri" w:hAnsi="Calibri"/>
                <w:b/>
                <w:szCs w:val="20"/>
              </w:rPr>
              <w:t>Jul–Dec</w:t>
            </w:r>
            <w:r w:rsidRPr="00452AC3">
              <w:rPr>
                <w:rFonts w:ascii="Calibri" w:hAnsi="Calibri"/>
                <w:b/>
                <w:szCs w:val="20"/>
              </w:rPr>
              <w:br/>
              <w:t>19</w:t>
            </w:r>
          </w:p>
        </w:tc>
        <w:tc>
          <w:tcPr>
            <w:tcW w:w="378" w:type="pct"/>
            <w:tcBorders>
              <w:top w:val="single" w:sz="4" w:space="0" w:color="auto"/>
              <w:left w:val="single" w:sz="4" w:space="0" w:color="auto"/>
              <w:bottom w:val="single" w:sz="4" w:space="0" w:color="auto"/>
              <w:right w:val="single" w:sz="4" w:space="0" w:color="auto"/>
            </w:tcBorders>
            <w:hideMark/>
          </w:tcPr>
          <w:p w14:paraId="4CC1E061" w14:textId="278610B6" w:rsidR="00A66A80" w:rsidRPr="00452AC3" w:rsidRDefault="00A66A80" w:rsidP="00162AF3">
            <w:pPr>
              <w:keepNext/>
              <w:keepLines/>
              <w:spacing w:before="180"/>
              <w:jc w:val="center"/>
              <w:rPr>
                <w:rFonts w:ascii="Calibri" w:hAnsi="Calibri"/>
                <w:b/>
                <w:szCs w:val="20"/>
              </w:rPr>
            </w:pPr>
            <w:r w:rsidRPr="00452AC3">
              <w:rPr>
                <w:rFonts w:ascii="Calibri" w:hAnsi="Calibri"/>
                <w:b/>
                <w:szCs w:val="20"/>
              </w:rPr>
              <w:t>Jan–Jun</w:t>
            </w:r>
            <w:r w:rsidRPr="00452AC3">
              <w:rPr>
                <w:rFonts w:ascii="Calibri" w:hAnsi="Calibri"/>
                <w:b/>
                <w:szCs w:val="20"/>
              </w:rPr>
              <w:br/>
              <w:t>20</w:t>
            </w:r>
          </w:p>
        </w:tc>
        <w:tc>
          <w:tcPr>
            <w:tcW w:w="378" w:type="pct"/>
            <w:tcBorders>
              <w:top w:val="single" w:sz="4" w:space="0" w:color="auto"/>
              <w:left w:val="single" w:sz="4" w:space="0" w:color="auto"/>
              <w:bottom w:val="single" w:sz="4" w:space="0" w:color="auto"/>
              <w:right w:val="single" w:sz="4" w:space="0" w:color="auto"/>
            </w:tcBorders>
            <w:hideMark/>
          </w:tcPr>
          <w:p w14:paraId="44C9CFD1" w14:textId="170F7395" w:rsidR="00A66A80" w:rsidRPr="00452AC3" w:rsidRDefault="00A66A80" w:rsidP="00162AF3">
            <w:pPr>
              <w:keepNext/>
              <w:keepLines/>
              <w:spacing w:before="180"/>
              <w:jc w:val="center"/>
              <w:rPr>
                <w:rFonts w:ascii="Calibri" w:hAnsi="Calibri"/>
                <w:b/>
                <w:szCs w:val="20"/>
              </w:rPr>
            </w:pPr>
            <w:r>
              <w:rPr>
                <w:rFonts w:ascii="Calibri" w:hAnsi="Calibri"/>
                <w:b/>
                <w:szCs w:val="20"/>
              </w:rPr>
              <w:t>Jul–Dec</w:t>
            </w:r>
            <w:r w:rsidRPr="00452AC3">
              <w:rPr>
                <w:rFonts w:ascii="Calibri" w:hAnsi="Calibri"/>
                <w:b/>
                <w:szCs w:val="20"/>
              </w:rPr>
              <w:br/>
              <w:t>20</w:t>
            </w:r>
          </w:p>
        </w:tc>
        <w:tc>
          <w:tcPr>
            <w:tcW w:w="536" w:type="pct"/>
            <w:tcBorders>
              <w:top w:val="single" w:sz="4" w:space="0" w:color="auto"/>
              <w:left w:val="single" w:sz="4" w:space="0" w:color="auto"/>
              <w:bottom w:val="single" w:sz="4" w:space="0" w:color="auto"/>
              <w:right w:val="single" w:sz="4" w:space="0" w:color="auto"/>
            </w:tcBorders>
            <w:hideMark/>
          </w:tcPr>
          <w:p w14:paraId="0D3651F5" w14:textId="5F0F3D79" w:rsidR="00A66A80" w:rsidRPr="00452AC3" w:rsidRDefault="00A66A80" w:rsidP="00162AF3">
            <w:pPr>
              <w:keepNext/>
              <w:keepLines/>
              <w:spacing w:before="120"/>
              <w:jc w:val="center"/>
              <w:rPr>
                <w:rFonts w:ascii="Calibri" w:hAnsi="Calibri"/>
                <w:b/>
                <w:szCs w:val="20"/>
              </w:rPr>
            </w:pPr>
            <w:r w:rsidRPr="00452AC3">
              <w:rPr>
                <w:rFonts w:ascii="Calibri" w:hAnsi="Calibri"/>
                <w:b/>
                <w:szCs w:val="20"/>
              </w:rPr>
              <w:t>Average of last 4</w:t>
            </w:r>
            <w:r>
              <w:rPr>
                <w:rFonts w:ascii="Calibri" w:hAnsi="Calibri"/>
                <w:b/>
                <w:szCs w:val="20"/>
              </w:rPr>
              <w:t xml:space="preserve"> </w:t>
            </w:r>
          </w:p>
          <w:p w14:paraId="77F2CCFD" w14:textId="77777777" w:rsidR="00A66A80" w:rsidRPr="00452AC3" w:rsidRDefault="00A66A80" w:rsidP="00162AF3">
            <w:pPr>
              <w:keepNext/>
              <w:keepLines/>
              <w:jc w:val="center"/>
              <w:rPr>
                <w:rFonts w:ascii="Calibri" w:hAnsi="Calibri"/>
                <w:b/>
                <w:szCs w:val="20"/>
              </w:rPr>
            </w:pPr>
            <w:r w:rsidRPr="00452AC3">
              <w:rPr>
                <w:rFonts w:ascii="Calibri" w:hAnsi="Calibri"/>
                <w:b/>
                <w:szCs w:val="20"/>
              </w:rPr>
              <w:t>6-month periods</w:t>
            </w:r>
          </w:p>
        </w:tc>
        <w:tc>
          <w:tcPr>
            <w:tcW w:w="370" w:type="pct"/>
            <w:tcBorders>
              <w:top w:val="single" w:sz="4" w:space="0" w:color="auto"/>
              <w:left w:val="single" w:sz="4" w:space="0" w:color="auto"/>
              <w:bottom w:val="single" w:sz="4" w:space="0" w:color="auto"/>
              <w:right w:val="single" w:sz="4" w:space="0" w:color="auto"/>
            </w:tcBorders>
            <w:hideMark/>
          </w:tcPr>
          <w:p w14:paraId="38AEED76" w14:textId="1B7C8C95" w:rsidR="00A66A80" w:rsidRPr="00452AC3" w:rsidRDefault="00A66A80" w:rsidP="00162AF3">
            <w:pPr>
              <w:keepNext/>
              <w:keepLines/>
              <w:spacing w:before="180"/>
              <w:jc w:val="center"/>
              <w:rPr>
                <w:rFonts w:ascii="Calibri" w:hAnsi="Calibri"/>
                <w:b/>
                <w:szCs w:val="20"/>
              </w:rPr>
            </w:pPr>
            <w:r>
              <w:rPr>
                <w:rFonts w:ascii="Calibri" w:hAnsi="Calibri"/>
                <w:b/>
                <w:szCs w:val="20"/>
              </w:rPr>
              <w:t>Jan–Jun</w:t>
            </w:r>
          </w:p>
          <w:p w14:paraId="29D8A2E8" w14:textId="316FBEAD" w:rsidR="00A66A80" w:rsidRPr="00452AC3" w:rsidRDefault="00A66A80" w:rsidP="00162AF3">
            <w:pPr>
              <w:keepNext/>
              <w:keepLines/>
              <w:jc w:val="center"/>
              <w:rPr>
                <w:rFonts w:ascii="Calibri" w:hAnsi="Calibri"/>
                <w:b/>
                <w:szCs w:val="20"/>
              </w:rPr>
            </w:pPr>
            <w:r>
              <w:rPr>
                <w:rFonts w:ascii="Calibri" w:hAnsi="Calibri"/>
                <w:b/>
                <w:szCs w:val="20"/>
              </w:rPr>
              <w:t>21</w:t>
            </w:r>
          </w:p>
        </w:tc>
      </w:tr>
      <w:tr w:rsidR="00A66A80" w14:paraId="108EC286" w14:textId="77777777" w:rsidTr="00ED4D89">
        <w:tc>
          <w:tcPr>
            <w:tcW w:w="745" w:type="pct"/>
            <w:tcBorders>
              <w:top w:val="single" w:sz="4" w:space="0" w:color="auto"/>
              <w:left w:val="single" w:sz="4" w:space="0" w:color="auto"/>
              <w:bottom w:val="single" w:sz="4" w:space="0" w:color="auto"/>
              <w:right w:val="single" w:sz="4" w:space="0" w:color="auto"/>
            </w:tcBorders>
            <w:vAlign w:val="center"/>
            <w:hideMark/>
          </w:tcPr>
          <w:p w14:paraId="33BFC33D" w14:textId="77777777" w:rsidR="00A66A80" w:rsidRPr="00452AC3" w:rsidRDefault="00A66A80" w:rsidP="00162AF3">
            <w:pPr>
              <w:keepNext/>
              <w:keepLines/>
              <w:spacing w:after="40"/>
              <w:jc w:val="left"/>
              <w:rPr>
                <w:rFonts w:ascii="Calibri" w:hAnsi="Calibri"/>
                <w:b/>
                <w:szCs w:val="20"/>
              </w:rPr>
            </w:pPr>
            <w:r w:rsidRPr="00452AC3">
              <w:rPr>
                <w:rFonts w:ascii="Calibri" w:hAnsi="Calibri"/>
                <w:b/>
                <w:szCs w:val="20"/>
              </w:rPr>
              <w:t>Number of complaints</w:t>
            </w:r>
          </w:p>
        </w:tc>
        <w:tc>
          <w:tcPr>
            <w:tcW w:w="378" w:type="pct"/>
            <w:tcBorders>
              <w:top w:val="single" w:sz="4" w:space="0" w:color="auto"/>
              <w:left w:val="single" w:sz="4" w:space="0" w:color="auto"/>
              <w:bottom w:val="single" w:sz="4" w:space="0" w:color="auto"/>
              <w:right w:val="single" w:sz="4" w:space="0" w:color="auto"/>
            </w:tcBorders>
            <w:vAlign w:val="center"/>
            <w:hideMark/>
          </w:tcPr>
          <w:p w14:paraId="5EB1CF74" w14:textId="44FD959A" w:rsidR="00A66A80" w:rsidRPr="00452AC3" w:rsidRDefault="00A66A80" w:rsidP="00162AF3">
            <w:pPr>
              <w:keepNext/>
              <w:keepLines/>
              <w:jc w:val="center"/>
              <w:rPr>
                <w:rFonts w:ascii="Calibri" w:hAnsi="Calibri"/>
                <w:szCs w:val="20"/>
              </w:rPr>
            </w:pPr>
            <w:r>
              <w:rPr>
                <w:rFonts w:ascii="Calibri" w:hAnsi="Calibri"/>
                <w:szCs w:val="20"/>
              </w:rPr>
              <w:t>386</w:t>
            </w:r>
          </w:p>
        </w:tc>
        <w:tc>
          <w:tcPr>
            <w:tcW w:w="327" w:type="pct"/>
            <w:tcBorders>
              <w:top w:val="single" w:sz="4" w:space="0" w:color="auto"/>
              <w:left w:val="single" w:sz="4" w:space="0" w:color="auto"/>
              <w:bottom w:val="single" w:sz="4" w:space="0" w:color="auto"/>
              <w:right w:val="single" w:sz="4" w:space="0" w:color="auto"/>
            </w:tcBorders>
            <w:vAlign w:val="center"/>
            <w:hideMark/>
          </w:tcPr>
          <w:p w14:paraId="66707C3D" w14:textId="0F7EC9D5" w:rsidR="00A66A80" w:rsidRPr="00452AC3" w:rsidRDefault="00A66A80" w:rsidP="00162AF3">
            <w:pPr>
              <w:keepNext/>
              <w:keepLines/>
              <w:jc w:val="center"/>
              <w:rPr>
                <w:rFonts w:ascii="Calibri" w:hAnsi="Calibri"/>
                <w:szCs w:val="20"/>
              </w:rPr>
            </w:pPr>
            <w:r>
              <w:rPr>
                <w:rFonts w:ascii="Calibri" w:hAnsi="Calibri"/>
                <w:szCs w:val="20"/>
              </w:rPr>
              <w:t>477</w:t>
            </w:r>
          </w:p>
        </w:tc>
        <w:tc>
          <w:tcPr>
            <w:tcW w:w="377" w:type="pct"/>
            <w:tcBorders>
              <w:top w:val="single" w:sz="4" w:space="0" w:color="auto"/>
              <w:left w:val="single" w:sz="4" w:space="0" w:color="auto"/>
              <w:bottom w:val="single" w:sz="4" w:space="0" w:color="auto"/>
              <w:right w:val="single" w:sz="4" w:space="0" w:color="auto"/>
            </w:tcBorders>
            <w:vAlign w:val="center"/>
            <w:hideMark/>
          </w:tcPr>
          <w:p w14:paraId="045B2DF8" w14:textId="4106E163" w:rsidR="00A66A80" w:rsidRPr="00452AC3" w:rsidRDefault="00A66A80" w:rsidP="00162AF3">
            <w:pPr>
              <w:keepNext/>
              <w:keepLines/>
              <w:jc w:val="center"/>
              <w:rPr>
                <w:rFonts w:ascii="Calibri" w:hAnsi="Calibri"/>
                <w:szCs w:val="20"/>
              </w:rPr>
            </w:pPr>
            <w:r w:rsidRPr="00452AC3">
              <w:rPr>
                <w:rFonts w:ascii="Calibri" w:hAnsi="Calibri"/>
                <w:szCs w:val="20"/>
              </w:rPr>
              <w:t>439</w:t>
            </w:r>
          </w:p>
        </w:tc>
        <w:tc>
          <w:tcPr>
            <w:tcW w:w="378" w:type="pct"/>
            <w:tcBorders>
              <w:top w:val="single" w:sz="4" w:space="0" w:color="auto"/>
              <w:left w:val="single" w:sz="4" w:space="0" w:color="auto"/>
              <w:bottom w:val="single" w:sz="4" w:space="0" w:color="auto"/>
              <w:right w:val="single" w:sz="4" w:space="0" w:color="auto"/>
            </w:tcBorders>
            <w:vAlign w:val="center"/>
            <w:hideMark/>
          </w:tcPr>
          <w:p w14:paraId="38FF3599" w14:textId="12560566" w:rsidR="00A66A80" w:rsidRPr="00452AC3" w:rsidRDefault="00A66A80" w:rsidP="00162AF3">
            <w:pPr>
              <w:keepNext/>
              <w:keepLines/>
              <w:jc w:val="center"/>
              <w:rPr>
                <w:rFonts w:ascii="Calibri" w:hAnsi="Calibri"/>
                <w:szCs w:val="20"/>
              </w:rPr>
            </w:pPr>
            <w:r w:rsidRPr="00452AC3">
              <w:rPr>
                <w:rFonts w:ascii="Calibri" w:hAnsi="Calibri"/>
                <w:szCs w:val="20"/>
              </w:rPr>
              <w:t>450</w:t>
            </w:r>
          </w:p>
        </w:tc>
        <w:tc>
          <w:tcPr>
            <w:tcW w:w="378" w:type="pct"/>
            <w:tcBorders>
              <w:top w:val="single" w:sz="4" w:space="0" w:color="auto"/>
              <w:left w:val="single" w:sz="4" w:space="0" w:color="auto"/>
              <w:bottom w:val="single" w:sz="4" w:space="0" w:color="auto"/>
              <w:right w:val="single" w:sz="4" w:space="0" w:color="auto"/>
            </w:tcBorders>
            <w:vAlign w:val="center"/>
            <w:hideMark/>
          </w:tcPr>
          <w:p w14:paraId="31B7F265" w14:textId="2DA57105" w:rsidR="00A66A80" w:rsidRPr="00452AC3" w:rsidRDefault="00A66A80" w:rsidP="00162AF3">
            <w:pPr>
              <w:keepNext/>
              <w:keepLines/>
              <w:jc w:val="center"/>
              <w:rPr>
                <w:rFonts w:ascii="Calibri" w:hAnsi="Calibri"/>
                <w:szCs w:val="20"/>
              </w:rPr>
            </w:pPr>
            <w:r w:rsidRPr="00452AC3">
              <w:rPr>
                <w:rFonts w:ascii="Calibri" w:hAnsi="Calibri"/>
                <w:szCs w:val="20"/>
              </w:rPr>
              <w:t>442</w:t>
            </w:r>
          </w:p>
        </w:tc>
        <w:tc>
          <w:tcPr>
            <w:tcW w:w="378" w:type="pct"/>
            <w:tcBorders>
              <w:top w:val="single" w:sz="4" w:space="0" w:color="auto"/>
              <w:left w:val="single" w:sz="4" w:space="0" w:color="auto"/>
              <w:bottom w:val="single" w:sz="4" w:space="0" w:color="auto"/>
              <w:right w:val="single" w:sz="4" w:space="0" w:color="auto"/>
            </w:tcBorders>
            <w:vAlign w:val="center"/>
            <w:hideMark/>
          </w:tcPr>
          <w:p w14:paraId="78DACEED" w14:textId="3E19A3F7" w:rsidR="00A66A80" w:rsidRPr="00452AC3" w:rsidRDefault="00A66A80" w:rsidP="00162AF3">
            <w:pPr>
              <w:keepNext/>
              <w:keepLines/>
              <w:jc w:val="center"/>
              <w:rPr>
                <w:rFonts w:ascii="Calibri" w:hAnsi="Calibri"/>
                <w:szCs w:val="20"/>
              </w:rPr>
            </w:pPr>
            <w:r w:rsidRPr="00452AC3">
              <w:rPr>
                <w:rFonts w:ascii="Calibri" w:hAnsi="Calibri"/>
                <w:szCs w:val="20"/>
              </w:rPr>
              <w:t>427</w:t>
            </w:r>
          </w:p>
        </w:tc>
        <w:tc>
          <w:tcPr>
            <w:tcW w:w="378" w:type="pct"/>
            <w:tcBorders>
              <w:top w:val="single" w:sz="4" w:space="0" w:color="auto"/>
              <w:left w:val="single" w:sz="4" w:space="0" w:color="auto"/>
              <w:bottom w:val="single" w:sz="4" w:space="0" w:color="auto"/>
              <w:right w:val="single" w:sz="4" w:space="0" w:color="auto"/>
            </w:tcBorders>
            <w:vAlign w:val="center"/>
            <w:hideMark/>
          </w:tcPr>
          <w:p w14:paraId="7D4149D0" w14:textId="775413BA" w:rsidR="00A66A80" w:rsidRPr="00452AC3" w:rsidRDefault="00A66A80" w:rsidP="00162AF3">
            <w:pPr>
              <w:keepNext/>
              <w:keepLines/>
              <w:jc w:val="center"/>
              <w:rPr>
                <w:rFonts w:ascii="Calibri" w:hAnsi="Calibri"/>
                <w:szCs w:val="20"/>
              </w:rPr>
            </w:pPr>
            <w:r w:rsidRPr="00452AC3">
              <w:rPr>
                <w:rFonts w:ascii="Calibri" w:hAnsi="Calibri"/>
                <w:szCs w:val="20"/>
              </w:rPr>
              <w:t>471</w:t>
            </w:r>
          </w:p>
        </w:tc>
        <w:tc>
          <w:tcPr>
            <w:tcW w:w="378" w:type="pct"/>
            <w:tcBorders>
              <w:top w:val="single" w:sz="4" w:space="0" w:color="auto"/>
              <w:left w:val="single" w:sz="4" w:space="0" w:color="auto"/>
              <w:bottom w:val="single" w:sz="4" w:space="0" w:color="auto"/>
              <w:right w:val="single" w:sz="4" w:space="0" w:color="auto"/>
            </w:tcBorders>
            <w:vAlign w:val="center"/>
            <w:hideMark/>
          </w:tcPr>
          <w:p w14:paraId="4CB9AA2C" w14:textId="7869DFA5" w:rsidR="00A66A80" w:rsidRPr="00452AC3" w:rsidRDefault="00A66A80" w:rsidP="00162AF3">
            <w:pPr>
              <w:keepNext/>
              <w:keepLines/>
              <w:jc w:val="center"/>
              <w:rPr>
                <w:rFonts w:ascii="Calibri" w:hAnsi="Calibri"/>
                <w:szCs w:val="20"/>
              </w:rPr>
            </w:pPr>
            <w:r w:rsidRPr="00452AC3">
              <w:rPr>
                <w:rFonts w:ascii="Calibri" w:hAnsi="Calibri"/>
                <w:szCs w:val="20"/>
              </w:rPr>
              <w:t>392</w:t>
            </w:r>
          </w:p>
        </w:tc>
        <w:tc>
          <w:tcPr>
            <w:tcW w:w="378" w:type="pct"/>
            <w:tcBorders>
              <w:top w:val="single" w:sz="4" w:space="0" w:color="auto"/>
              <w:left w:val="single" w:sz="4" w:space="0" w:color="auto"/>
              <w:bottom w:val="single" w:sz="4" w:space="0" w:color="auto"/>
              <w:right w:val="single" w:sz="4" w:space="0" w:color="auto"/>
            </w:tcBorders>
            <w:vAlign w:val="center"/>
            <w:hideMark/>
          </w:tcPr>
          <w:p w14:paraId="09C22C56" w14:textId="47B5F91E" w:rsidR="00A66A80" w:rsidRPr="00452AC3" w:rsidRDefault="00A66A80" w:rsidP="00162AF3">
            <w:pPr>
              <w:keepNext/>
              <w:keepLines/>
              <w:jc w:val="center"/>
              <w:rPr>
                <w:rFonts w:ascii="Calibri" w:hAnsi="Calibri"/>
                <w:szCs w:val="20"/>
              </w:rPr>
            </w:pPr>
            <w:r>
              <w:rPr>
                <w:rFonts w:ascii="Calibri" w:hAnsi="Calibri"/>
                <w:szCs w:val="20"/>
              </w:rPr>
              <w:t>464</w:t>
            </w:r>
          </w:p>
        </w:tc>
        <w:tc>
          <w:tcPr>
            <w:tcW w:w="536" w:type="pct"/>
            <w:tcBorders>
              <w:top w:val="single" w:sz="4" w:space="0" w:color="auto"/>
              <w:left w:val="single" w:sz="4" w:space="0" w:color="auto"/>
              <w:bottom w:val="single" w:sz="4" w:space="0" w:color="auto"/>
              <w:right w:val="single" w:sz="4" w:space="0" w:color="auto"/>
            </w:tcBorders>
            <w:vAlign w:val="center"/>
            <w:hideMark/>
          </w:tcPr>
          <w:p w14:paraId="792B8441" w14:textId="310CBA1C" w:rsidR="00A66A80" w:rsidRPr="00452AC3" w:rsidRDefault="00A66A80" w:rsidP="00162AF3">
            <w:pPr>
              <w:keepNext/>
              <w:keepLines/>
              <w:jc w:val="center"/>
              <w:rPr>
                <w:rFonts w:ascii="Calibri" w:hAnsi="Calibri"/>
                <w:b/>
                <w:szCs w:val="20"/>
              </w:rPr>
            </w:pPr>
            <w:r>
              <w:rPr>
                <w:rFonts w:ascii="Calibri" w:hAnsi="Calibri"/>
                <w:b/>
                <w:szCs w:val="20"/>
              </w:rPr>
              <w:t>438</w:t>
            </w:r>
          </w:p>
        </w:tc>
        <w:tc>
          <w:tcPr>
            <w:tcW w:w="370" w:type="pct"/>
            <w:tcBorders>
              <w:top w:val="single" w:sz="4" w:space="0" w:color="auto"/>
              <w:left w:val="single" w:sz="4" w:space="0" w:color="auto"/>
              <w:bottom w:val="single" w:sz="4" w:space="0" w:color="auto"/>
              <w:right w:val="single" w:sz="4" w:space="0" w:color="auto"/>
            </w:tcBorders>
            <w:vAlign w:val="center"/>
            <w:hideMark/>
          </w:tcPr>
          <w:p w14:paraId="157DA77A" w14:textId="025D2175" w:rsidR="00A66A80" w:rsidRPr="00452AC3" w:rsidRDefault="00A66A80" w:rsidP="00162AF3">
            <w:pPr>
              <w:keepNext/>
              <w:keepLines/>
              <w:jc w:val="center"/>
              <w:rPr>
                <w:rFonts w:ascii="Calibri" w:hAnsi="Calibri"/>
                <w:b/>
                <w:szCs w:val="20"/>
              </w:rPr>
            </w:pPr>
            <w:r>
              <w:rPr>
                <w:rFonts w:ascii="Calibri" w:hAnsi="Calibri"/>
                <w:b/>
                <w:szCs w:val="20"/>
              </w:rPr>
              <w:t>532</w:t>
            </w:r>
          </w:p>
        </w:tc>
      </w:tr>
    </w:tbl>
    <w:p w14:paraId="4FC941EE" w14:textId="77777777" w:rsidR="00EB4A22" w:rsidRDefault="00EB4A22" w:rsidP="00EB4A22">
      <w:pPr>
        <w:spacing w:after="60"/>
        <w:rPr>
          <w:b/>
        </w:rPr>
      </w:pPr>
    </w:p>
    <w:p w14:paraId="76F32A97" w14:textId="38594A6C" w:rsidR="00EB4A22" w:rsidRDefault="00EB4A22" w:rsidP="00EB4A22">
      <w:pPr>
        <w:spacing w:before="240"/>
      </w:pPr>
      <w:r>
        <w:t xml:space="preserve">The total number of complaints received in </w:t>
      </w:r>
      <w:r w:rsidR="00A66A80">
        <w:rPr>
          <w:lang w:eastAsia="en-NZ" w:bidi="ar-SA"/>
        </w:rPr>
        <w:t>Jan–Jun 2021</w:t>
      </w:r>
      <w:r>
        <w:rPr>
          <w:lang w:eastAsia="en-NZ" w:bidi="ar-SA"/>
        </w:rPr>
        <w:t xml:space="preserve"> </w:t>
      </w:r>
      <w:r w:rsidR="00A66A80">
        <w:t>(532) shows a 21</w:t>
      </w:r>
      <w:r>
        <w:t>% increase over the average number of complaints receiv</w:t>
      </w:r>
      <w:r w:rsidR="00A66A80">
        <w:t>ed in the previous four periods, and is the highest number of complaints ever received about DHBs in a six-month period</w:t>
      </w:r>
      <w:r w:rsidR="008565C9">
        <w:t>.</w:t>
      </w:r>
    </w:p>
    <w:p w14:paraId="69B5C89B" w14:textId="77777777" w:rsidR="00EB4A22" w:rsidRDefault="00EB4A22" w:rsidP="00EB4A22"/>
    <w:p w14:paraId="7DDDD5EB" w14:textId="7191D718" w:rsidR="00EB4A22" w:rsidRDefault="00EB4A22" w:rsidP="00EB4A22">
      <w:pPr>
        <w:spacing w:after="120"/>
      </w:pPr>
      <w:r>
        <w:t xml:space="preserve">The number of complaints received in </w:t>
      </w:r>
      <w:r w:rsidR="008565C9">
        <w:rPr>
          <w:lang w:eastAsia="en-NZ" w:bidi="ar-SA"/>
        </w:rPr>
        <w:t>Jan–Jun 2021</w:t>
      </w:r>
      <w:r>
        <w:rPr>
          <w:lang w:eastAsia="en-NZ" w:bidi="ar-SA"/>
        </w:rPr>
        <w:t xml:space="preserve"> </w:t>
      </w:r>
      <w:r>
        <w:t xml:space="preserve">and previous six-month periods is also displayed below in Figure 1. </w:t>
      </w:r>
    </w:p>
    <w:p w14:paraId="4264A2FD" w14:textId="77777777" w:rsidR="00EB4A22" w:rsidRDefault="00EB4A22" w:rsidP="00EB4A22"/>
    <w:p w14:paraId="29CD9F40" w14:textId="77777777" w:rsidR="00EB4A22" w:rsidRPr="00717512" w:rsidRDefault="00EB4A22" w:rsidP="00EB4A22">
      <w:pPr>
        <w:spacing w:after="120"/>
      </w:pPr>
      <w:r>
        <w:rPr>
          <w:b/>
        </w:rPr>
        <w:t xml:space="preserve">Figure 1. </w:t>
      </w:r>
      <w:r>
        <w:t>Number of complaints received over the last five years</w:t>
      </w:r>
    </w:p>
    <w:p w14:paraId="50631DD6" w14:textId="29B913D9" w:rsidR="00EB4A22" w:rsidRDefault="008565C9" w:rsidP="00A504BF">
      <w:pPr>
        <w:spacing w:after="120"/>
        <w:jc w:val="left"/>
        <w:rPr>
          <w:b/>
        </w:rPr>
      </w:pPr>
      <w:r>
        <w:rPr>
          <w:noProof/>
          <w:lang w:eastAsia="en-NZ" w:bidi="ar-SA"/>
        </w:rPr>
        <w:drawing>
          <wp:inline distT="0" distB="0" distL="0" distR="0" wp14:anchorId="3C3B3C28" wp14:editId="188B2B3F">
            <wp:extent cx="5219700" cy="2990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7C6E71" w14:textId="77777777" w:rsidR="00EB4A22" w:rsidRDefault="00EB4A22" w:rsidP="00EB4A22">
      <w:bookmarkStart w:id="22" w:name="_Toc22101998"/>
      <w:bookmarkStart w:id="23" w:name="_Toc22018290"/>
    </w:p>
    <w:p w14:paraId="11A59469" w14:textId="4147188A" w:rsidR="00EB4A22" w:rsidRPr="00B800C1" w:rsidRDefault="00EB4A22" w:rsidP="00932E72">
      <w:pPr>
        <w:pStyle w:val="Heading3"/>
      </w:pPr>
      <w:bookmarkStart w:id="24" w:name="_Toc71561651"/>
      <w:bookmarkStart w:id="25" w:name="_Toc90639015"/>
      <w:bookmarkEnd w:id="17"/>
      <w:bookmarkEnd w:id="18"/>
      <w:bookmarkEnd w:id="19"/>
      <w:bookmarkEnd w:id="22"/>
      <w:bookmarkEnd w:id="23"/>
      <w:r w:rsidRPr="00B800C1">
        <w:lastRenderedPageBreak/>
        <w:t>1.2</w:t>
      </w:r>
      <w:r w:rsidRPr="00B800C1">
        <w:tab/>
        <w:t>Rate of complaints received</w:t>
      </w:r>
      <w:bookmarkEnd w:id="24"/>
      <w:bookmarkEnd w:id="25"/>
    </w:p>
    <w:p w14:paraId="183B2BD5" w14:textId="77777777" w:rsidR="00EB4A22" w:rsidRDefault="00EB4A22" w:rsidP="00EB4A22">
      <w:r>
        <w:t xml:space="preserve">When numbers of </w:t>
      </w:r>
      <w:r>
        <w:rPr>
          <w:rFonts w:cs="Calibri"/>
        </w:rPr>
        <w:t>complaints</w:t>
      </w:r>
      <w:r>
        <w:t xml:space="preserve"> to HDC are expressed as a rate per 100,000 discharges, comparisons can be made between DHBs and within DHBs over time, enabling any trends to be observed. </w:t>
      </w:r>
    </w:p>
    <w:p w14:paraId="310D39E2" w14:textId="77777777" w:rsidR="00EB4A22" w:rsidRDefault="00EB4A22" w:rsidP="00EB4A22"/>
    <w:p w14:paraId="63727315" w14:textId="6563876E" w:rsidR="00EB4A22" w:rsidRPr="005C5A48" w:rsidRDefault="00EB4A22" w:rsidP="00EB4A22">
      <w:pPr>
        <w:spacing w:after="360"/>
      </w:pPr>
      <w:r>
        <w:t xml:space="preserve">Complaint rate calculations are </w:t>
      </w:r>
      <w:r w:rsidRPr="005C5A48">
        <w:t xml:space="preserve">made using discharge data provided by the Ministry of Health. This data is provisional as at the date of extraction </w:t>
      </w:r>
      <w:r w:rsidR="00BD2A3B">
        <w:t>(2</w:t>
      </w:r>
      <w:r w:rsidR="008565C9">
        <w:t xml:space="preserve"> November</w:t>
      </w:r>
      <w:r>
        <w:t xml:space="preserve"> 2021</w:t>
      </w:r>
      <w:r w:rsidRPr="00AF65A5">
        <w:t>)</w:t>
      </w:r>
      <w:r w:rsidRPr="005C5A48">
        <w:t xml:space="preserve"> and is likely incomplete; it will be updated in the next six-monthly report. It should be noted that this discharge data excludes short-stay emergency department discharges and patients attending outpatient clinics. </w:t>
      </w:r>
    </w:p>
    <w:p w14:paraId="38B5E09E" w14:textId="77777777" w:rsidR="00EB4A22" w:rsidRDefault="00EB4A22" w:rsidP="00EB4A22">
      <w:pPr>
        <w:spacing w:after="120"/>
        <w:rPr>
          <w:lang w:eastAsia="en-NZ" w:bidi="ar-SA"/>
        </w:rPr>
      </w:pPr>
      <w:r w:rsidRPr="005C5A48">
        <w:rPr>
          <w:b/>
        </w:rPr>
        <w:t xml:space="preserve">Table 2. </w:t>
      </w:r>
      <w:r w:rsidRPr="005C5A48">
        <w:t xml:space="preserve">Rate of complaints received per 100,000 discharges </w:t>
      </w:r>
    </w:p>
    <w:tbl>
      <w:tblPr>
        <w:tblStyle w:val="TableGrid"/>
        <w:tblW w:w="0" w:type="auto"/>
        <w:tblLook w:val="04A0" w:firstRow="1" w:lastRow="0" w:firstColumn="1" w:lastColumn="0" w:noHBand="0" w:noVBand="1"/>
      </w:tblPr>
      <w:tblGrid>
        <w:gridCol w:w="3005"/>
        <w:gridCol w:w="3005"/>
        <w:gridCol w:w="3006"/>
      </w:tblGrid>
      <w:tr w:rsidR="00EB4A22" w14:paraId="63DB3A72" w14:textId="77777777" w:rsidTr="00B12430">
        <w:tc>
          <w:tcPr>
            <w:tcW w:w="3005" w:type="dxa"/>
            <w:shd w:val="clear" w:color="auto" w:fill="C00000"/>
          </w:tcPr>
          <w:p w14:paraId="3476EE22"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 xml:space="preserve">Number of </w:t>
            </w:r>
            <w:r w:rsidRPr="00EB4A22">
              <w:rPr>
                <w:rFonts w:asciiTheme="minorHAnsi" w:hAnsiTheme="minorHAnsi"/>
                <w:b/>
                <w:sz w:val="22"/>
                <w:szCs w:val="22"/>
              </w:rPr>
              <w:br/>
              <w:t>complaints received</w:t>
            </w:r>
          </w:p>
        </w:tc>
        <w:tc>
          <w:tcPr>
            <w:tcW w:w="3005" w:type="dxa"/>
            <w:shd w:val="clear" w:color="auto" w:fill="C00000"/>
          </w:tcPr>
          <w:p w14:paraId="519A54EF"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Total number of discharges</w:t>
            </w:r>
          </w:p>
        </w:tc>
        <w:tc>
          <w:tcPr>
            <w:tcW w:w="3006" w:type="dxa"/>
            <w:shd w:val="clear" w:color="auto" w:fill="C00000"/>
          </w:tcPr>
          <w:p w14:paraId="28B932B6" w14:textId="77777777" w:rsidR="00EB4A22" w:rsidRPr="00EB4A22" w:rsidRDefault="00EB4A22" w:rsidP="00B12430">
            <w:pPr>
              <w:spacing w:after="120"/>
              <w:jc w:val="center"/>
              <w:rPr>
                <w:rFonts w:asciiTheme="minorHAnsi" w:hAnsiTheme="minorHAnsi"/>
                <w:b/>
                <w:sz w:val="22"/>
                <w:szCs w:val="22"/>
              </w:rPr>
            </w:pPr>
            <w:r w:rsidRPr="00EB4A22">
              <w:rPr>
                <w:rFonts w:asciiTheme="minorHAnsi" w:hAnsiTheme="minorHAnsi"/>
                <w:b/>
                <w:sz w:val="22"/>
                <w:szCs w:val="22"/>
              </w:rPr>
              <w:t>Rate per 100,000 discharges</w:t>
            </w:r>
          </w:p>
        </w:tc>
      </w:tr>
      <w:tr w:rsidR="00EB4A22" w14:paraId="3634DD27" w14:textId="77777777" w:rsidTr="00B12430">
        <w:tc>
          <w:tcPr>
            <w:tcW w:w="3005" w:type="dxa"/>
          </w:tcPr>
          <w:p w14:paraId="6C5E0872" w14:textId="2FE02347" w:rsidR="00EB4A22" w:rsidRPr="00EB4A22" w:rsidRDefault="008565C9" w:rsidP="00B12430">
            <w:pPr>
              <w:spacing w:after="120"/>
              <w:jc w:val="center"/>
              <w:rPr>
                <w:rFonts w:asciiTheme="minorHAnsi" w:hAnsiTheme="minorHAnsi"/>
                <w:b/>
                <w:sz w:val="22"/>
                <w:szCs w:val="22"/>
              </w:rPr>
            </w:pPr>
            <w:r>
              <w:rPr>
                <w:rFonts w:asciiTheme="minorHAnsi" w:hAnsiTheme="minorHAnsi"/>
                <w:b/>
                <w:sz w:val="22"/>
                <w:szCs w:val="22"/>
              </w:rPr>
              <w:t>532</w:t>
            </w:r>
          </w:p>
        </w:tc>
        <w:tc>
          <w:tcPr>
            <w:tcW w:w="3005" w:type="dxa"/>
          </w:tcPr>
          <w:p w14:paraId="6E76DFDE" w14:textId="1F5BECE7" w:rsidR="00EB4A22" w:rsidRPr="00EB4A22" w:rsidRDefault="004D4F00" w:rsidP="00B12430">
            <w:pPr>
              <w:spacing w:after="120"/>
              <w:jc w:val="center"/>
              <w:rPr>
                <w:rFonts w:asciiTheme="minorHAnsi" w:hAnsiTheme="minorHAnsi"/>
                <w:b/>
                <w:sz w:val="22"/>
                <w:szCs w:val="22"/>
              </w:rPr>
            </w:pPr>
            <w:r>
              <w:rPr>
                <w:rFonts w:asciiTheme="minorHAnsi" w:hAnsiTheme="minorHAnsi"/>
                <w:b/>
                <w:sz w:val="22"/>
                <w:szCs w:val="22"/>
              </w:rPr>
              <w:t>498,268</w:t>
            </w:r>
          </w:p>
        </w:tc>
        <w:tc>
          <w:tcPr>
            <w:tcW w:w="3006" w:type="dxa"/>
          </w:tcPr>
          <w:p w14:paraId="61773B90" w14:textId="1A6315B0" w:rsidR="00EB4A22" w:rsidRPr="00EB4A22" w:rsidRDefault="00BD2A3B" w:rsidP="00B12430">
            <w:pPr>
              <w:spacing w:after="120"/>
              <w:jc w:val="center"/>
              <w:rPr>
                <w:rFonts w:asciiTheme="minorHAnsi" w:hAnsiTheme="minorHAnsi"/>
                <w:b/>
                <w:sz w:val="22"/>
                <w:szCs w:val="22"/>
              </w:rPr>
            </w:pPr>
            <w:r>
              <w:rPr>
                <w:rFonts w:asciiTheme="minorHAnsi" w:hAnsiTheme="minorHAnsi"/>
                <w:b/>
                <w:sz w:val="22"/>
                <w:szCs w:val="22"/>
              </w:rPr>
              <w:t>106.77</w:t>
            </w:r>
          </w:p>
        </w:tc>
      </w:tr>
    </w:tbl>
    <w:p w14:paraId="2514F2D7" w14:textId="32BE9B77" w:rsidR="00EB4A22" w:rsidRDefault="00EB4A22" w:rsidP="00EB4A22">
      <w:pPr>
        <w:spacing w:before="480" w:after="36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sidR="008565C9">
        <w:rPr>
          <w:lang w:eastAsia="en-NZ" w:bidi="ar-SA"/>
        </w:rPr>
        <w:t>Jan–Jun 2021</w:t>
      </w:r>
      <w:r>
        <w:rPr>
          <w:lang w:eastAsia="en-NZ" w:bidi="ar-SA"/>
        </w:rPr>
        <w:t xml:space="preserve"> </w:t>
      </w:r>
      <w:r>
        <w:rPr>
          <w:rFonts w:ascii="Calibri" w:hAnsi="Calibri"/>
          <w:szCs w:val="22"/>
          <w:lang w:eastAsia="en-NZ" w:bidi="ar-SA"/>
        </w:rPr>
        <w:t xml:space="preserve">and previous six-month periods. </w:t>
      </w:r>
    </w:p>
    <w:p w14:paraId="2FB4FB7F" w14:textId="77777777" w:rsidR="00EB4A22" w:rsidRDefault="00EB4A22" w:rsidP="00EB4A22">
      <w:pPr>
        <w:spacing w:after="120"/>
        <w:jc w:val="left"/>
        <w:rPr>
          <w:b/>
        </w:rPr>
      </w:pPr>
      <w:r>
        <w:rPr>
          <w:b/>
        </w:rPr>
        <w:t xml:space="preserve">Table 3. </w:t>
      </w:r>
      <w:r>
        <w:t>Rate of complaints received in the last five years</w:t>
      </w:r>
      <w:r>
        <w:rPr>
          <w:b/>
        </w:rPr>
        <w:t xml:space="preserve"> </w:t>
      </w:r>
    </w:p>
    <w:tbl>
      <w:tblPr>
        <w:tblStyle w:val="TableGrid"/>
        <w:tblpPr w:leftFromText="180" w:rightFromText="180" w:vertAnchor="text" w:horzAnchor="margin" w:tblpY="105"/>
        <w:tblW w:w="5000" w:type="pct"/>
        <w:tblLook w:val="04A0" w:firstRow="1" w:lastRow="0" w:firstColumn="1" w:lastColumn="0" w:noHBand="0" w:noVBand="1"/>
      </w:tblPr>
      <w:tblGrid>
        <w:gridCol w:w="1089"/>
        <w:gridCol w:w="672"/>
        <w:gridCol w:w="672"/>
        <w:gridCol w:w="672"/>
        <w:gridCol w:w="673"/>
        <w:gridCol w:w="673"/>
        <w:gridCol w:w="673"/>
        <w:gridCol w:w="673"/>
        <w:gridCol w:w="673"/>
        <w:gridCol w:w="673"/>
        <w:gridCol w:w="1080"/>
        <w:gridCol w:w="793"/>
      </w:tblGrid>
      <w:tr w:rsidR="008565C9" w14:paraId="0B3B70CE" w14:textId="77777777" w:rsidTr="0063597B">
        <w:tc>
          <w:tcPr>
            <w:tcW w:w="604" w:type="pct"/>
            <w:tcBorders>
              <w:top w:val="single" w:sz="4" w:space="0" w:color="auto"/>
              <w:left w:val="single" w:sz="4" w:space="0" w:color="auto"/>
              <w:bottom w:val="single" w:sz="4" w:space="0" w:color="auto"/>
              <w:right w:val="single" w:sz="4" w:space="0" w:color="auto"/>
            </w:tcBorders>
            <w:vAlign w:val="center"/>
          </w:tcPr>
          <w:p w14:paraId="4D21055D" w14:textId="77777777" w:rsidR="008565C9" w:rsidRPr="00452AC3" w:rsidRDefault="008565C9" w:rsidP="008565C9">
            <w:pPr>
              <w:keepNext/>
              <w:keepLines/>
              <w:jc w:val="left"/>
              <w:rPr>
                <w:rFonts w:ascii="Calibri" w:hAnsi="Calibri"/>
                <w:b/>
                <w:szCs w:val="20"/>
              </w:rPr>
            </w:pPr>
          </w:p>
          <w:p w14:paraId="06D78C8B" w14:textId="77777777" w:rsidR="008565C9" w:rsidRPr="00452AC3" w:rsidRDefault="008565C9" w:rsidP="008565C9">
            <w:pPr>
              <w:keepNext/>
              <w:keepLines/>
              <w:jc w:val="left"/>
              <w:rPr>
                <w:rFonts w:ascii="Calibri" w:hAnsi="Calibri"/>
                <w:b/>
                <w:szCs w:val="20"/>
              </w:rPr>
            </w:pPr>
          </w:p>
        </w:tc>
        <w:tc>
          <w:tcPr>
            <w:tcW w:w="373" w:type="pct"/>
            <w:tcBorders>
              <w:top w:val="single" w:sz="4" w:space="0" w:color="auto"/>
              <w:left w:val="single" w:sz="4" w:space="0" w:color="auto"/>
              <w:bottom w:val="single" w:sz="4" w:space="0" w:color="auto"/>
              <w:right w:val="single" w:sz="4" w:space="0" w:color="auto"/>
            </w:tcBorders>
            <w:vAlign w:val="center"/>
            <w:hideMark/>
          </w:tcPr>
          <w:p w14:paraId="2AC84DA9" w14:textId="77777777" w:rsidR="0063597B" w:rsidRDefault="0063597B" w:rsidP="0063597B">
            <w:pPr>
              <w:keepNext/>
              <w:keepLines/>
              <w:jc w:val="center"/>
              <w:rPr>
                <w:rFonts w:ascii="Calibri" w:hAnsi="Calibri"/>
                <w:b/>
                <w:szCs w:val="20"/>
              </w:rPr>
            </w:pPr>
          </w:p>
          <w:p w14:paraId="1637561D" w14:textId="6BFED899" w:rsidR="008565C9" w:rsidRPr="00452AC3" w:rsidRDefault="008565C9" w:rsidP="0063597B">
            <w:pPr>
              <w:keepNext/>
              <w:keepLines/>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16</w:t>
            </w:r>
          </w:p>
        </w:tc>
        <w:tc>
          <w:tcPr>
            <w:tcW w:w="373" w:type="pct"/>
            <w:tcBorders>
              <w:top w:val="single" w:sz="4" w:space="0" w:color="auto"/>
              <w:left w:val="single" w:sz="4" w:space="0" w:color="auto"/>
              <w:bottom w:val="single" w:sz="4" w:space="0" w:color="auto"/>
              <w:right w:val="single" w:sz="4" w:space="0" w:color="auto"/>
            </w:tcBorders>
            <w:vAlign w:val="center"/>
            <w:hideMark/>
          </w:tcPr>
          <w:p w14:paraId="31D1DA0C" w14:textId="77777777" w:rsidR="0063597B" w:rsidRDefault="0063597B" w:rsidP="0063597B">
            <w:pPr>
              <w:keepNext/>
              <w:keepLines/>
              <w:jc w:val="center"/>
              <w:rPr>
                <w:rFonts w:ascii="Calibri" w:hAnsi="Calibri"/>
                <w:b/>
                <w:szCs w:val="20"/>
              </w:rPr>
            </w:pPr>
          </w:p>
          <w:p w14:paraId="63EF510D" w14:textId="51407B95" w:rsidR="008565C9" w:rsidRPr="00452AC3" w:rsidRDefault="008565C9" w:rsidP="0063597B">
            <w:pPr>
              <w:keepNext/>
              <w:keepLines/>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17</w:t>
            </w:r>
          </w:p>
        </w:tc>
        <w:tc>
          <w:tcPr>
            <w:tcW w:w="373" w:type="pct"/>
            <w:tcBorders>
              <w:top w:val="single" w:sz="4" w:space="0" w:color="auto"/>
              <w:left w:val="single" w:sz="4" w:space="0" w:color="auto"/>
              <w:bottom w:val="single" w:sz="4" w:space="0" w:color="auto"/>
              <w:right w:val="single" w:sz="4" w:space="0" w:color="auto"/>
            </w:tcBorders>
            <w:vAlign w:val="center"/>
            <w:hideMark/>
          </w:tcPr>
          <w:p w14:paraId="6F055A9A" w14:textId="0F307421" w:rsidR="008565C9" w:rsidRPr="00452AC3" w:rsidRDefault="008565C9" w:rsidP="0063597B">
            <w:pPr>
              <w:keepNext/>
              <w:keepLines/>
              <w:spacing w:before="180"/>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17</w:t>
            </w:r>
          </w:p>
        </w:tc>
        <w:tc>
          <w:tcPr>
            <w:tcW w:w="373" w:type="pct"/>
            <w:tcBorders>
              <w:top w:val="single" w:sz="4" w:space="0" w:color="auto"/>
              <w:left w:val="single" w:sz="4" w:space="0" w:color="auto"/>
              <w:bottom w:val="single" w:sz="4" w:space="0" w:color="auto"/>
              <w:right w:val="single" w:sz="4" w:space="0" w:color="auto"/>
            </w:tcBorders>
            <w:vAlign w:val="center"/>
            <w:hideMark/>
          </w:tcPr>
          <w:p w14:paraId="3B71C1F4" w14:textId="4ED13F19" w:rsidR="008565C9" w:rsidRPr="00452AC3" w:rsidRDefault="008565C9" w:rsidP="0063597B">
            <w:pPr>
              <w:keepNext/>
              <w:keepLines/>
              <w:spacing w:before="180"/>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18</w:t>
            </w:r>
          </w:p>
        </w:tc>
        <w:tc>
          <w:tcPr>
            <w:tcW w:w="373" w:type="pct"/>
            <w:tcBorders>
              <w:top w:val="single" w:sz="4" w:space="0" w:color="auto"/>
              <w:left w:val="single" w:sz="4" w:space="0" w:color="auto"/>
              <w:bottom w:val="single" w:sz="4" w:space="0" w:color="auto"/>
              <w:right w:val="single" w:sz="4" w:space="0" w:color="auto"/>
            </w:tcBorders>
            <w:vAlign w:val="center"/>
            <w:hideMark/>
          </w:tcPr>
          <w:p w14:paraId="162A78CC" w14:textId="3886C7C5" w:rsidR="008565C9" w:rsidRPr="00452AC3" w:rsidRDefault="008565C9" w:rsidP="0063597B">
            <w:pPr>
              <w:keepNext/>
              <w:keepLines/>
              <w:spacing w:before="180"/>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18</w:t>
            </w:r>
          </w:p>
        </w:tc>
        <w:tc>
          <w:tcPr>
            <w:tcW w:w="373" w:type="pct"/>
            <w:tcBorders>
              <w:top w:val="single" w:sz="4" w:space="0" w:color="auto"/>
              <w:left w:val="single" w:sz="4" w:space="0" w:color="auto"/>
              <w:bottom w:val="single" w:sz="4" w:space="0" w:color="auto"/>
              <w:right w:val="single" w:sz="4" w:space="0" w:color="auto"/>
            </w:tcBorders>
            <w:vAlign w:val="center"/>
            <w:hideMark/>
          </w:tcPr>
          <w:p w14:paraId="7668E4B3" w14:textId="1CCE86AF" w:rsidR="008565C9" w:rsidRPr="00452AC3" w:rsidRDefault="008565C9" w:rsidP="0063597B">
            <w:pPr>
              <w:keepNext/>
              <w:keepLines/>
              <w:spacing w:before="180"/>
              <w:jc w:val="center"/>
              <w:rPr>
                <w:rFonts w:ascii="Calibri" w:hAnsi="Calibri"/>
                <w:b/>
                <w:szCs w:val="20"/>
              </w:rPr>
            </w:pPr>
            <w:r w:rsidRPr="00452AC3">
              <w:rPr>
                <w:rFonts w:ascii="Calibri" w:hAnsi="Calibri"/>
                <w:b/>
                <w:szCs w:val="20"/>
              </w:rPr>
              <w:t xml:space="preserve">Jan–Jun </w:t>
            </w:r>
            <w:r w:rsidRPr="00452AC3">
              <w:rPr>
                <w:rFonts w:ascii="Calibri" w:hAnsi="Calibri"/>
                <w:b/>
                <w:szCs w:val="20"/>
              </w:rPr>
              <w:br/>
              <w:t>19</w:t>
            </w:r>
          </w:p>
        </w:tc>
        <w:tc>
          <w:tcPr>
            <w:tcW w:w="373" w:type="pct"/>
            <w:tcBorders>
              <w:top w:val="single" w:sz="4" w:space="0" w:color="auto"/>
              <w:left w:val="single" w:sz="4" w:space="0" w:color="auto"/>
              <w:bottom w:val="single" w:sz="4" w:space="0" w:color="auto"/>
              <w:right w:val="single" w:sz="4" w:space="0" w:color="auto"/>
            </w:tcBorders>
            <w:vAlign w:val="center"/>
            <w:hideMark/>
          </w:tcPr>
          <w:p w14:paraId="311AA8E1" w14:textId="6D597360" w:rsidR="008565C9" w:rsidRPr="00452AC3" w:rsidRDefault="008565C9" w:rsidP="0063597B">
            <w:pPr>
              <w:keepNext/>
              <w:keepLines/>
              <w:spacing w:before="180"/>
              <w:jc w:val="center"/>
              <w:rPr>
                <w:rFonts w:ascii="Calibri" w:hAnsi="Calibri"/>
                <w:b/>
                <w:szCs w:val="20"/>
              </w:rPr>
            </w:pPr>
            <w:r w:rsidRPr="00452AC3">
              <w:rPr>
                <w:rFonts w:ascii="Calibri" w:hAnsi="Calibri"/>
                <w:b/>
                <w:szCs w:val="20"/>
              </w:rPr>
              <w:t xml:space="preserve">Jul–Dec </w:t>
            </w:r>
            <w:r w:rsidRPr="00452AC3">
              <w:rPr>
                <w:rFonts w:ascii="Calibri" w:hAnsi="Calibri"/>
                <w:b/>
                <w:szCs w:val="20"/>
              </w:rPr>
              <w:br/>
              <w:t>19</w:t>
            </w:r>
          </w:p>
        </w:tc>
        <w:tc>
          <w:tcPr>
            <w:tcW w:w="373" w:type="pct"/>
            <w:tcBorders>
              <w:top w:val="single" w:sz="4" w:space="0" w:color="auto"/>
              <w:left w:val="single" w:sz="4" w:space="0" w:color="auto"/>
              <w:bottom w:val="single" w:sz="4" w:space="0" w:color="auto"/>
              <w:right w:val="single" w:sz="4" w:space="0" w:color="auto"/>
            </w:tcBorders>
            <w:vAlign w:val="center"/>
            <w:hideMark/>
          </w:tcPr>
          <w:p w14:paraId="66CD9155" w14:textId="3550A470" w:rsidR="008565C9" w:rsidRPr="00452AC3" w:rsidRDefault="008565C9" w:rsidP="0063597B">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20</w:t>
            </w:r>
          </w:p>
        </w:tc>
        <w:tc>
          <w:tcPr>
            <w:tcW w:w="373" w:type="pct"/>
            <w:tcBorders>
              <w:top w:val="single" w:sz="4" w:space="0" w:color="auto"/>
              <w:left w:val="single" w:sz="4" w:space="0" w:color="auto"/>
              <w:bottom w:val="single" w:sz="4" w:space="0" w:color="auto"/>
              <w:right w:val="single" w:sz="4" w:space="0" w:color="auto"/>
            </w:tcBorders>
            <w:vAlign w:val="center"/>
            <w:hideMark/>
          </w:tcPr>
          <w:p w14:paraId="774D62A9" w14:textId="3D94AC48" w:rsidR="008565C9" w:rsidRPr="00452AC3" w:rsidRDefault="008565C9" w:rsidP="0063597B">
            <w:pPr>
              <w:keepNext/>
              <w:keepLines/>
              <w:spacing w:before="180"/>
              <w:jc w:val="center"/>
              <w:rPr>
                <w:rFonts w:ascii="Calibri" w:hAnsi="Calibri"/>
                <w:b/>
                <w:szCs w:val="20"/>
              </w:rPr>
            </w:pPr>
            <w:r>
              <w:rPr>
                <w:rFonts w:ascii="Calibri" w:hAnsi="Calibri"/>
                <w:b/>
                <w:szCs w:val="20"/>
              </w:rPr>
              <w:t>Jul–Dec</w:t>
            </w:r>
            <w:r w:rsidRPr="00452AC3">
              <w:rPr>
                <w:rFonts w:ascii="Calibri" w:hAnsi="Calibri"/>
                <w:b/>
                <w:szCs w:val="20"/>
              </w:rPr>
              <w:t xml:space="preserve"> </w:t>
            </w:r>
            <w:r w:rsidRPr="00452AC3">
              <w:rPr>
                <w:rFonts w:ascii="Calibri" w:hAnsi="Calibri"/>
                <w:b/>
                <w:szCs w:val="20"/>
              </w:rPr>
              <w:br/>
              <w:t>20</w:t>
            </w:r>
            <w:r w:rsidRPr="00452AC3">
              <w:rPr>
                <w:rStyle w:val="FootnoteReference"/>
                <w:rFonts w:ascii="Calibri" w:hAnsi="Calibri"/>
                <w:szCs w:val="20"/>
                <w:lang w:bidi="ar-SA"/>
              </w:rPr>
              <w:footnoteReference w:id="2"/>
            </w:r>
          </w:p>
        </w:tc>
        <w:tc>
          <w:tcPr>
            <w:tcW w:w="599" w:type="pct"/>
            <w:tcBorders>
              <w:top w:val="single" w:sz="4" w:space="0" w:color="auto"/>
              <w:left w:val="single" w:sz="4" w:space="0" w:color="auto"/>
              <w:bottom w:val="single" w:sz="4" w:space="0" w:color="auto"/>
              <w:right w:val="single" w:sz="4" w:space="0" w:color="auto"/>
            </w:tcBorders>
            <w:vAlign w:val="center"/>
            <w:hideMark/>
          </w:tcPr>
          <w:p w14:paraId="6ECEE61A" w14:textId="5E53CA22" w:rsidR="008565C9" w:rsidRPr="00452AC3" w:rsidRDefault="008565C9" w:rsidP="0063597B">
            <w:pPr>
              <w:keepNext/>
              <w:keepLines/>
              <w:spacing w:before="120"/>
              <w:jc w:val="center"/>
              <w:rPr>
                <w:rFonts w:ascii="Calibri" w:hAnsi="Calibri"/>
                <w:b/>
                <w:szCs w:val="20"/>
              </w:rPr>
            </w:pPr>
            <w:r w:rsidRPr="00452AC3">
              <w:rPr>
                <w:rFonts w:ascii="Calibri" w:hAnsi="Calibri"/>
                <w:b/>
                <w:szCs w:val="20"/>
              </w:rPr>
              <w:t>Average of last 4</w:t>
            </w:r>
          </w:p>
          <w:p w14:paraId="125E6544" w14:textId="77777777" w:rsidR="008565C9" w:rsidRPr="00452AC3" w:rsidRDefault="008565C9" w:rsidP="0063597B">
            <w:pPr>
              <w:keepNext/>
              <w:keepLines/>
              <w:jc w:val="center"/>
              <w:rPr>
                <w:rFonts w:ascii="Calibri" w:hAnsi="Calibri"/>
                <w:b/>
                <w:szCs w:val="20"/>
              </w:rPr>
            </w:pPr>
            <w:r w:rsidRPr="00452AC3">
              <w:rPr>
                <w:rFonts w:ascii="Calibri" w:hAnsi="Calibri"/>
                <w:b/>
                <w:szCs w:val="20"/>
              </w:rPr>
              <w:t>6-month periods</w:t>
            </w:r>
          </w:p>
        </w:tc>
        <w:tc>
          <w:tcPr>
            <w:tcW w:w="443" w:type="pct"/>
            <w:tcBorders>
              <w:top w:val="single" w:sz="4" w:space="0" w:color="auto"/>
              <w:left w:val="single" w:sz="4" w:space="0" w:color="auto"/>
              <w:bottom w:val="single" w:sz="4" w:space="0" w:color="auto"/>
              <w:right w:val="single" w:sz="4" w:space="0" w:color="auto"/>
            </w:tcBorders>
            <w:vAlign w:val="center"/>
            <w:hideMark/>
          </w:tcPr>
          <w:p w14:paraId="4A5F91E2" w14:textId="1CE99A8C" w:rsidR="008565C9" w:rsidRPr="00452AC3" w:rsidRDefault="008565C9" w:rsidP="0063597B">
            <w:pPr>
              <w:keepNext/>
              <w:keepLines/>
              <w:spacing w:before="180"/>
              <w:jc w:val="center"/>
              <w:rPr>
                <w:rFonts w:ascii="Calibri" w:hAnsi="Calibri"/>
                <w:b/>
                <w:szCs w:val="20"/>
              </w:rPr>
            </w:pPr>
            <w:r>
              <w:rPr>
                <w:rFonts w:ascii="Calibri" w:hAnsi="Calibri"/>
                <w:b/>
                <w:szCs w:val="20"/>
              </w:rPr>
              <w:t>Jan–Jun</w:t>
            </w:r>
          </w:p>
          <w:p w14:paraId="4F6C5D13" w14:textId="134F14EB" w:rsidR="008565C9" w:rsidRPr="00452AC3" w:rsidRDefault="008565C9" w:rsidP="0063597B">
            <w:pPr>
              <w:keepNext/>
              <w:keepLines/>
              <w:jc w:val="center"/>
              <w:rPr>
                <w:rFonts w:ascii="Calibri" w:hAnsi="Calibri"/>
                <w:b/>
                <w:szCs w:val="20"/>
              </w:rPr>
            </w:pPr>
            <w:r>
              <w:rPr>
                <w:rFonts w:ascii="Calibri" w:hAnsi="Calibri"/>
                <w:b/>
                <w:szCs w:val="20"/>
              </w:rPr>
              <w:t>21</w:t>
            </w:r>
          </w:p>
        </w:tc>
      </w:tr>
      <w:tr w:rsidR="008565C9" w14:paraId="6B860245" w14:textId="77777777" w:rsidTr="0063597B">
        <w:tc>
          <w:tcPr>
            <w:tcW w:w="604" w:type="pct"/>
            <w:tcBorders>
              <w:top w:val="single" w:sz="4" w:space="0" w:color="auto"/>
              <w:left w:val="single" w:sz="4" w:space="0" w:color="auto"/>
              <w:bottom w:val="single" w:sz="4" w:space="0" w:color="auto"/>
              <w:right w:val="single" w:sz="4" w:space="0" w:color="auto"/>
            </w:tcBorders>
            <w:vAlign w:val="center"/>
            <w:hideMark/>
          </w:tcPr>
          <w:p w14:paraId="02634C95" w14:textId="77777777" w:rsidR="008565C9" w:rsidRPr="00452AC3" w:rsidRDefault="008565C9" w:rsidP="008565C9">
            <w:pPr>
              <w:keepNext/>
              <w:keepLines/>
              <w:spacing w:after="40"/>
              <w:jc w:val="left"/>
              <w:rPr>
                <w:rFonts w:ascii="Calibri" w:hAnsi="Calibri"/>
                <w:b/>
                <w:szCs w:val="20"/>
              </w:rPr>
            </w:pPr>
            <w:r w:rsidRPr="00452AC3">
              <w:rPr>
                <w:rFonts w:ascii="Calibri" w:hAnsi="Calibri"/>
                <w:b/>
                <w:szCs w:val="20"/>
              </w:rPr>
              <w:t>Rate per 100,000 discharges</w:t>
            </w:r>
          </w:p>
        </w:tc>
        <w:tc>
          <w:tcPr>
            <w:tcW w:w="373" w:type="pct"/>
            <w:tcBorders>
              <w:top w:val="single" w:sz="4" w:space="0" w:color="auto"/>
              <w:left w:val="single" w:sz="4" w:space="0" w:color="auto"/>
              <w:bottom w:val="single" w:sz="4" w:space="0" w:color="auto"/>
              <w:right w:val="single" w:sz="4" w:space="0" w:color="auto"/>
            </w:tcBorders>
            <w:vAlign w:val="center"/>
            <w:hideMark/>
          </w:tcPr>
          <w:p w14:paraId="367D9705" w14:textId="3D1CEFCD" w:rsidR="008565C9" w:rsidRPr="00452AC3" w:rsidRDefault="008565C9" w:rsidP="008565C9">
            <w:pPr>
              <w:keepNext/>
              <w:keepLines/>
              <w:jc w:val="center"/>
              <w:rPr>
                <w:rFonts w:ascii="Calibri" w:hAnsi="Calibri"/>
                <w:szCs w:val="20"/>
              </w:rPr>
            </w:pPr>
            <w:r w:rsidRPr="00452AC3">
              <w:rPr>
                <w:rFonts w:ascii="Calibri" w:hAnsi="Calibri"/>
                <w:szCs w:val="20"/>
              </w:rPr>
              <w:t>78.79</w:t>
            </w:r>
          </w:p>
        </w:tc>
        <w:tc>
          <w:tcPr>
            <w:tcW w:w="373" w:type="pct"/>
            <w:tcBorders>
              <w:top w:val="single" w:sz="4" w:space="0" w:color="auto"/>
              <w:left w:val="single" w:sz="4" w:space="0" w:color="auto"/>
              <w:bottom w:val="single" w:sz="4" w:space="0" w:color="auto"/>
              <w:right w:val="single" w:sz="4" w:space="0" w:color="auto"/>
            </w:tcBorders>
            <w:vAlign w:val="center"/>
            <w:hideMark/>
          </w:tcPr>
          <w:p w14:paraId="0B1758B7" w14:textId="6CFC138B" w:rsidR="008565C9" w:rsidRPr="00452AC3" w:rsidRDefault="008565C9" w:rsidP="008565C9">
            <w:pPr>
              <w:keepNext/>
              <w:keepLines/>
              <w:jc w:val="center"/>
              <w:rPr>
                <w:rFonts w:ascii="Calibri" w:hAnsi="Calibri"/>
                <w:szCs w:val="20"/>
              </w:rPr>
            </w:pPr>
            <w:r w:rsidRPr="00452AC3">
              <w:rPr>
                <w:rFonts w:ascii="Calibri" w:hAnsi="Calibri"/>
                <w:szCs w:val="20"/>
              </w:rPr>
              <w:t>99.08</w:t>
            </w:r>
          </w:p>
        </w:tc>
        <w:tc>
          <w:tcPr>
            <w:tcW w:w="373" w:type="pct"/>
            <w:tcBorders>
              <w:top w:val="single" w:sz="4" w:space="0" w:color="auto"/>
              <w:left w:val="single" w:sz="4" w:space="0" w:color="auto"/>
              <w:bottom w:val="single" w:sz="4" w:space="0" w:color="auto"/>
              <w:right w:val="single" w:sz="4" w:space="0" w:color="auto"/>
            </w:tcBorders>
            <w:vAlign w:val="center"/>
            <w:hideMark/>
          </w:tcPr>
          <w:p w14:paraId="19B309F3" w14:textId="6CD0FAC1" w:rsidR="008565C9" w:rsidRPr="00452AC3" w:rsidRDefault="008565C9" w:rsidP="008565C9">
            <w:pPr>
              <w:keepNext/>
              <w:keepLines/>
              <w:jc w:val="center"/>
              <w:rPr>
                <w:rFonts w:ascii="Calibri" w:hAnsi="Calibri"/>
                <w:szCs w:val="20"/>
              </w:rPr>
            </w:pPr>
            <w:r w:rsidRPr="00452AC3">
              <w:rPr>
                <w:rFonts w:ascii="Calibri" w:hAnsi="Calibri"/>
                <w:szCs w:val="20"/>
              </w:rPr>
              <w:t>88.23</w:t>
            </w:r>
          </w:p>
        </w:tc>
        <w:tc>
          <w:tcPr>
            <w:tcW w:w="373" w:type="pct"/>
            <w:tcBorders>
              <w:top w:val="single" w:sz="4" w:space="0" w:color="auto"/>
              <w:left w:val="single" w:sz="4" w:space="0" w:color="auto"/>
              <w:bottom w:val="single" w:sz="4" w:space="0" w:color="auto"/>
              <w:right w:val="single" w:sz="4" w:space="0" w:color="auto"/>
            </w:tcBorders>
            <w:vAlign w:val="center"/>
            <w:hideMark/>
          </w:tcPr>
          <w:p w14:paraId="04915BDD" w14:textId="6F868C3E" w:rsidR="008565C9" w:rsidRPr="00452AC3" w:rsidRDefault="008565C9" w:rsidP="008565C9">
            <w:pPr>
              <w:keepNext/>
              <w:keepLines/>
              <w:jc w:val="center"/>
              <w:rPr>
                <w:rFonts w:ascii="Calibri" w:hAnsi="Calibri"/>
                <w:szCs w:val="20"/>
              </w:rPr>
            </w:pPr>
            <w:r w:rsidRPr="00452AC3">
              <w:rPr>
                <w:rFonts w:ascii="Calibri" w:hAnsi="Calibri"/>
                <w:szCs w:val="20"/>
              </w:rPr>
              <w:t>93.80</w:t>
            </w:r>
          </w:p>
        </w:tc>
        <w:tc>
          <w:tcPr>
            <w:tcW w:w="373" w:type="pct"/>
            <w:tcBorders>
              <w:top w:val="single" w:sz="4" w:space="0" w:color="auto"/>
              <w:left w:val="single" w:sz="4" w:space="0" w:color="auto"/>
              <w:bottom w:val="single" w:sz="4" w:space="0" w:color="auto"/>
              <w:right w:val="single" w:sz="4" w:space="0" w:color="auto"/>
            </w:tcBorders>
            <w:vAlign w:val="center"/>
            <w:hideMark/>
          </w:tcPr>
          <w:p w14:paraId="577DE3AF" w14:textId="72F8AD42" w:rsidR="008565C9" w:rsidRPr="00452AC3" w:rsidRDefault="008565C9" w:rsidP="008565C9">
            <w:pPr>
              <w:keepNext/>
              <w:keepLines/>
              <w:jc w:val="center"/>
              <w:rPr>
                <w:rFonts w:ascii="Calibri" w:hAnsi="Calibri"/>
                <w:szCs w:val="20"/>
              </w:rPr>
            </w:pPr>
            <w:r w:rsidRPr="00452AC3">
              <w:rPr>
                <w:rFonts w:ascii="Calibri" w:hAnsi="Calibri"/>
                <w:szCs w:val="20"/>
              </w:rPr>
              <w:t>88.47</w:t>
            </w:r>
          </w:p>
        </w:tc>
        <w:tc>
          <w:tcPr>
            <w:tcW w:w="373" w:type="pct"/>
            <w:tcBorders>
              <w:top w:val="single" w:sz="4" w:space="0" w:color="auto"/>
              <w:left w:val="single" w:sz="4" w:space="0" w:color="auto"/>
              <w:bottom w:val="single" w:sz="4" w:space="0" w:color="auto"/>
              <w:right w:val="single" w:sz="4" w:space="0" w:color="auto"/>
            </w:tcBorders>
            <w:vAlign w:val="center"/>
            <w:hideMark/>
          </w:tcPr>
          <w:p w14:paraId="13948579" w14:textId="458EFDFB" w:rsidR="008565C9" w:rsidRPr="00452AC3" w:rsidRDefault="008565C9" w:rsidP="008565C9">
            <w:pPr>
              <w:keepNext/>
              <w:keepLines/>
              <w:jc w:val="center"/>
              <w:rPr>
                <w:rFonts w:ascii="Calibri" w:hAnsi="Calibri"/>
                <w:szCs w:val="20"/>
              </w:rPr>
            </w:pPr>
            <w:r w:rsidRPr="00452AC3">
              <w:rPr>
                <w:rFonts w:ascii="Calibri" w:hAnsi="Calibri"/>
                <w:szCs w:val="20"/>
              </w:rPr>
              <w:t>87.97</w:t>
            </w:r>
          </w:p>
        </w:tc>
        <w:tc>
          <w:tcPr>
            <w:tcW w:w="373" w:type="pct"/>
            <w:tcBorders>
              <w:top w:val="single" w:sz="4" w:space="0" w:color="auto"/>
              <w:left w:val="single" w:sz="4" w:space="0" w:color="auto"/>
              <w:bottom w:val="single" w:sz="4" w:space="0" w:color="auto"/>
              <w:right w:val="single" w:sz="4" w:space="0" w:color="auto"/>
            </w:tcBorders>
            <w:vAlign w:val="center"/>
            <w:hideMark/>
          </w:tcPr>
          <w:p w14:paraId="43D11EB7" w14:textId="3B623303" w:rsidR="008565C9" w:rsidRPr="00452AC3" w:rsidRDefault="008565C9" w:rsidP="008565C9">
            <w:pPr>
              <w:keepNext/>
              <w:keepLines/>
              <w:jc w:val="center"/>
              <w:rPr>
                <w:rFonts w:ascii="Calibri" w:hAnsi="Calibri"/>
                <w:szCs w:val="20"/>
              </w:rPr>
            </w:pPr>
            <w:r w:rsidRPr="00452AC3">
              <w:rPr>
                <w:rFonts w:ascii="Calibri" w:hAnsi="Calibri"/>
                <w:szCs w:val="20"/>
              </w:rPr>
              <w:t>92.92</w:t>
            </w:r>
          </w:p>
        </w:tc>
        <w:tc>
          <w:tcPr>
            <w:tcW w:w="373" w:type="pct"/>
            <w:tcBorders>
              <w:top w:val="single" w:sz="4" w:space="0" w:color="auto"/>
              <w:left w:val="single" w:sz="4" w:space="0" w:color="auto"/>
              <w:bottom w:val="single" w:sz="4" w:space="0" w:color="auto"/>
              <w:right w:val="single" w:sz="4" w:space="0" w:color="auto"/>
            </w:tcBorders>
            <w:vAlign w:val="center"/>
            <w:hideMark/>
          </w:tcPr>
          <w:p w14:paraId="48942F51" w14:textId="7A4D3E64" w:rsidR="008565C9" w:rsidRPr="00452AC3" w:rsidRDefault="008565C9" w:rsidP="008565C9">
            <w:pPr>
              <w:keepNext/>
              <w:keepLines/>
              <w:jc w:val="center"/>
              <w:rPr>
                <w:rFonts w:ascii="Calibri" w:hAnsi="Calibri"/>
                <w:szCs w:val="20"/>
              </w:rPr>
            </w:pPr>
            <w:r w:rsidRPr="00452AC3">
              <w:rPr>
                <w:rFonts w:ascii="Calibri" w:hAnsi="Calibri"/>
                <w:szCs w:val="20"/>
              </w:rPr>
              <w:t>90.35</w:t>
            </w:r>
          </w:p>
        </w:tc>
        <w:tc>
          <w:tcPr>
            <w:tcW w:w="373" w:type="pct"/>
            <w:tcBorders>
              <w:top w:val="single" w:sz="4" w:space="0" w:color="auto"/>
              <w:left w:val="single" w:sz="4" w:space="0" w:color="auto"/>
              <w:bottom w:val="single" w:sz="4" w:space="0" w:color="auto"/>
              <w:right w:val="single" w:sz="4" w:space="0" w:color="auto"/>
            </w:tcBorders>
            <w:vAlign w:val="center"/>
            <w:hideMark/>
          </w:tcPr>
          <w:p w14:paraId="77E81249" w14:textId="0357950D" w:rsidR="008565C9" w:rsidRPr="00452AC3" w:rsidRDefault="008565C9" w:rsidP="008565C9">
            <w:pPr>
              <w:keepNext/>
              <w:keepLines/>
              <w:jc w:val="center"/>
              <w:rPr>
                <w:rFonts w:ascii="Calibri" w:hAnsi="Calibri"/>
                <w:szCs w:val="20"/>
              </w:rPr>
            </w:pPr>
            <w:r>
              <w:rPr>
                <w:rFonts w:ascii="Calibri" w:hAnsi="Calibri"/>
                <w:szCs w:val="20"/>
              </w:rPr>
              <w:t>92.00</w:t>
            </w:r>
          </w:p>
        </w:tc>
        <w:tc>
          <w:tcPr>
            <w:tcW w:w="599" w:type="pct"/>
            <w:tcBorders>
              <w:top w:val="single" w:sz="4" w:space="0" w:color="auto"/>
              <w:left w:val="single" w:sz="4" w:space="0" w:color="auto"/>
              <w:bottom w:val="single" w:sz="4" w:space="0" w:color="auto"/>
              <w:right w:val="single" w:sz="4" w:space="0" w:color="auto"/>
            </w:tcBorders>
            <w:vAlign w:val="center"/>
            <w:hideMark/>
          </w:tcPr>
          <w:p w14:paraId="1D126EE3" w14:textId="60D6D105" w:rsidR="008565C9" w:rsidRPr="00452AC3" w:rsidRDefault="008565C9" w:rsidP="008565C9">
            <w:pPr>
              <w:keepNext/>
              <w:keepLines/>
              <w:jc w:val="center"/>
              <w:rPr>
                <w:rFonts w:ascii="Calibri" w:hAnsi="Calibri"/>
                <w:b/>
                <w:szCs w:val="20"/>
              </w:rPr>
            </w:pPr>
            <w:r>
              <w:rPr>
                <w:rFonts w:ascii="Calibri" w:hAnsi="Calibri"/>
                <w:b/>
                <w:szCs w:val="20"/>
              </w:rPr>
              <w:t>90.81</w:t>
            </w:r>
          </w:p>
        </w:tc>
        <w:tc>
          <w:tcPr>
            <w:tcW w:w="443" w:type="pct"/>
            <w:tcBorders>
              <w:top w:val="single" w:sz="4" w:space="0" w:color="auto"/>
              <w:left w:val="single" w:sz="4" w:space="0" w:color="auto"/>
              <w:bottom w:val="single" w:sz="4" w:space="0" w:color="auto"/>
              <w:right w:val="single" w:sz="4" w:space="0" w:color="auto"/>
            </w:tcBorders>
            <w:vAlign w:val="center"/>
            <w:hideMark/>
          </w:tcPr>
          <w:p w14:paraId="6734B163" w14:textId="031F521B" w:rsidR="008565C9" w:rsidRPr="00452AC3" w:rsidRDefault="00BD2A3B" w:rsidP="008565C9">
            <w:pPr>
              <w:keepNext/>
              <w:keepLines/>
              <w:jc w:val="center"/>
              <w:rPr>
                <w:rFonts w:ascii="Calibri" w:hAnsi="Calibri"/>
                <w:b/>
                <w:szCs w:val="20"/>
              </w:rPr>
            </w:pPr>
            <w:r>
              <w:rPr>
                <w:rFonts w:ascii="Calibri" w:hAnsi="Calibri"/>
                <w:b/>
                <w:szCs w:val="20"/>
              </w:rPr>
              <w:t>106.77</w:t>
            </w:r>
          </w:p>
        </w:tc>
      </w:tr>
    </w:tbl>
    <w:p w14:paraId="0F121312" w14:textId="21FAF74B" w:rsidR="00EB4A22" w:rsidRDefault="00EB4A22" w:rsidP="00EB4A22">
      <w:pPr>
        <w:spacing w:before="480"/>
      </w:pPr>
      <w:r>
        <w:rPr>
          <w:lang w:eastAsia="en-NZ" w:bidi="ar-SA"/>
        </w:rPr>
        <w:t>The rate o</w:t>
      </w:r>
      <w:r w:rsidR="008565C9">
        <w:rPr>
          <w:lang w:eastAsia="en-NZ" w:bidi="ar-SA"/>
        </w:rPr>
        <w:t xml:space="preserve">f complaints </w:t>
      </w:r>
      <w:r w:rsidR="00BD2A3B">
        <w:rPr>
          <w:lang w:eastAsia="en-NZ" w:bidi="ar-SA"/>
        </w:rPr>
        <w:t>received during Jan–Jun</w:t>
      </w:r>
      <w:r w:rsidR="008565C9">
        <w:rPr>
          <w:lang w:eastAsia="en-NZ" w:bidi="ar-SA"/>
        </w:rPr>
        <w:t xml:space="preserve"> 2021 (</w:t>
      </w:r>
      <w:r w:rsidR="00BD2A3B">
        <w:rPr>
          <w:lang w:eastAsia="en-NZ" w:bidi="ar-SA"/>
        </w:rPr>
        <w:t>106.77</w:t>
      </w:r>
      <w:r>
        <w:rPr>
          <w:lang w:eastAsia="en-NZ" w:bidi="ar-SA"/>
        </w:rPr>
        <w:t xml:space="preserve">) is </w:t>
      </w:r>
      <w:r w:rsidR="0063597B">
        <w:rPr>
          <w:lang w:eastAsia="en-NZ" w:bidi="ar-SA"/>
        </w:rPr>
        <w:t>18% high</w:t>
      </w:r>
      <w:r w:rsidR="008565C9">
        <w:rPr>
          <w:lang w:eastAsia="en-NZ" w:bidi="ar-SA"/>
        </w:rPr>
        <w:t xml:space="preserve">er </w:t>
      </w:r>
      <w:r w:rsidR="0063597B">
        <w:rPr>
          <w:lang w:eastAsia="en-NZ" w:bidi="ar-SA"/>
        </w:rPr>
        <w:t>than</w:t>
      </w:r>
      <w:r>
        <w:rPr>
          <w:lang w:eastAsia="en-NZ" w:bidi="ar-SA"/>
        </w:rPr>
        <w:t xml:space="preserve"> the</w:t>
      </w:r>
      <w:r>
        <w:t xml:space="preserve"> average rate of complaints receive</w:t>
      </w:r>
      <w:r w:rsidR="0063597B">
        <w:t>d for the previous four periods, and is the highest rate of complaints ever received in a six-month period.</w:t>
      </w:r>
    </w:p>
    <w:p w14:paraId="437252B6" w14:textId="77777777" w:rsidR="00EB4A22" w:rsidRDefault="00EB4A22" w:rsidP="00EB4A22">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Pr="003E5338">
        <w:rPr>
          <w:rStyle w:val="FootnoteReference"/>
        </w:rPr>
        <w:footnoteReference w:id="3"/>
      </w:r>
    </w:p>
    <w:p w14:paraId="13DBDA4D" w14:textId="77777777" w:rsidR="00EB4A22" w:rsidRDefault="00EB4A22" w:rsidP="00EB4A22">
      <w:pPr>
        <w:jc w:val="left"/>
        <w:rPr>
          <w:rFonts w:ascii="Calibri" w:hAnsi="Calibri"/>
          <w:szCs w:val="22"/>
        </w:rPr>
      </w:pPr>
    </w:p>
    <w:p w14:paraId="745268B4" w14:textId="77777777" w:rsidR="00EB4A22" w:rsidRDefault="00EB4A22" w:rsidP="00EB4A22">
      <w:pPr>
        <w:jc w:val="left"/>
        <w:rPr>
          <w:rFonts w:ascii="Calibri" w:hAnsi="Calibri"/>
          <w:szCs w:val="22"/>
        </w:rPr>
      </w:pPr>
    </w:p>
    <w:p w14:paraId="1887AC17" w14:textId="77777777" w:rsidR="00EB4A22" w:rsidRDefault="00EB4A22" w:rsidP="00EB4A22">
      <w:pPr>
        <w:jc w:val="left"/>
        <w:rPr>
          <w:rFonts w:ascii="Calibri" w:hAnsi="Calibri"/>
          <w:szCs w:val="22"/>
        </w:rPr>
      </w:pPr>
    </w:p>
    <w:p w14:paraId="27E1BB02" w14:textId="77777777" w:rsidR="00EB4A22" w:rsidRDefault="00EB4A22" w:rsidP="00EB4A22">
      <w:pPr>
        <w:jc w:val="left"/>
        <w:rPr>
          <w:rFonts w:ascii="Calibri" w:hAnsi="Calibri"/>
          <w:szCs w:val="22"/>
        </w:rPr>
      </w:pPr>
    </w:p>
    <w:p w14:paraId="19D00E9A" w14:textId="77777777" w:rsidR="00EB4A22" w:rsidRDefault="00EB4A22" w:rsidP="00EB4A22">
      <w:pPr>
        <w:jc w:val="left"/>
        <w:rPr>
          <w:rFonts w:ascii="Calibri" w:hAnsi="Calibri"/>
          <w:szCs w:val="22"/>
        </w:rPr>
      </w:pPr>
    </w:p>
    <w:p w14:paraId="5DCCD960" w14:textId="77777777" w:rsidR="00EB4A22" w:rsidRDefault="00EB4A22" w:rsidP="00EB4A22">
      <w:pPr>
        <w:jc w:val="left"/>
        <w:rPr>
          <w:rFonts w:ascii="Calibri" w:hAnsi="Calibri"/>
          <w:szCs w:val="22"/>
        </w:rPr>
      </w:pPr>
    </w:p>
    <w:p w14:paraId="16BC10E5" w14:textId="77777777" w:rsidR="00EB4A22" w:rsidRDefault="00EB4A22" w:rsidP="00EB4A22">
      <w:pPr>
        <w:jc w:val="left"/>
        <w:rPr>
          <w:rFonts w:ascii="Calibri" w:hAnsi="Calibri"/>
          <w:szCs w:val="22"/>
        </w:rPr>
      </w:pPr>
    </w:p>
    <w:p w14:paraId="47E0CC93" w14:textId="77777777" w:rsidR="00EB4A22" w:rsidRDefault="00EB4A22" w:rsidP="00EB4A22">
      <w:pPr>
        <w:jc w:val="left"/>
        <w:rPr>
          <w:rFonts w:ascii="Calibri" w:hAnsi="Calibri"/>
          <w:szCs w:val="22"/>
        </w:rPr>
      </w:pPr>
    </w:p>
    <w:p w14:paraId="161503C3" w14:textId="77777777" w:rsidR="00EB4A22" w:rsidRDefault="00EB4A22" w:rsidP="00EB4A22">
      <w:pPr>
        <w:jc w:val="left"/>
        <w:rPr>
          <w:rFonts w:ascii="Calibri" w:hAnsi="Calibri"/>
          <w:szCs w:val="22"/>
        </w:rPr>
      </w:pPr>
    </w:p>
    <w:p w14:paraId="3F3E19F2" w14:textId="77777777" w:rsidR="00EB4A22" w:rsidRDefault="00EB4A22" w:rsidP="00EB4A22">
      <w:pPr>
        <w:jc w:val="left"/>
        <w:rPr>
          <w:rFonts w:ascii="Calibri" w:hAnsi="Calibri"/>
          <w:szCs w:val="22"/>
        </w:rPr>
      </w:pPr>
    </w:p>
    <w:p w14:paraId="31A8AC6A" w14:textId="1987E67E" w:rsidR="00EB4A22" w:rsidRDefault="00EB4A22" w:rsidP="00EB4A22">
      <w:pPr>
        <w:keepNext/>
        <w:keepLines/>
        <w:spacing w:after="120"/>
        <w:rPr>
          <w:szCs w:val="22"/>
        </w:rPr>
      </w:pPr>
      <w:r w:rsidRPr="00C97276">
        <w:rPr>
          <w:b/>
          <w:szCs w:val="22"/>
        </w:rPr>
        <w:lastRenderedPageBreak/>
        <w:t>Table 4.</w:t>
      </w:r>
      <w:r w:rsidRPr="00C97276">
        <w:rPr>
          <w:szCs w:val="22"/>
        </w:rPr>
        <w:t xml:space="preserve"> Number </w:t>
      </w:r>
      <w:r>
        <w:rPr>
          <w:szCs w:val="22"/>
        </w:rPr>
        <w:t xml:space="preserve">and </w:t>
      </w:r>
      <w:r w:rsidRPr="00C97276">
        <w:rPr>
          <w:szCs w:val="22"/>
        </w:rPr>
        <w:t>rate of complai</w:t>
      </w:r>
      <w:r w:rsidR="005D5AAB">
        <w:rPr>
          <w:szCs w:val="22"/>
        </w:rPr>
        <w:t>nts received for each DHB in Jan–Jun 2021</w:t>
      </w:r>
    </w:p>
    <w:tbl>
      <w:tblPr>
        <w:tblStyle w:val="TableGrid"/>
        <w:tblW w:w="0" w:type="auto"/>
        <w:tblLook w:val="04A0" w:firstRow="1" w:lastRow="0" w:firstColumn="1" w:lastColumn="0" w:noHBand="0" w:noVBand="1"/>
      </w:tblPr>
      <w:tblGrid>
        <w:gridCol w:w="2261"/>
        <w:gridCol w:w="2252"/>
        <w:gridCol w:w="2250"/>
        <w:gridCol w:w="2253"/>
      </w:tblGrid>
      <w:tr w:rsidR="00EB4A22" w:rsidRPr="00D12A0D" w14:paraId="70519FFB" w14:textId="77777777" w:rsidTr="00B12430">
        <w:tc>
          <w:tcPr>
            <w:tcW w:w="2261" w:type="dxa"/>
            <w:tcBorders>
              <w:top w:val="single" w:sz="4" w:space="0" w:color="auto"/>
              <w:left w:val="single" w:sz="4" w:space="0" w:color="auto"/>
              <w:bottom w:val="single" w:sz="4" w:space="0" w:color="auto"/>
              <w:right w:val="single" w:sz="4" w:space="0" w:color="auto"/>
            </w:tcBorders>
            <w:shd w:val="clear" w:color="auto" w:fill="C00000"/>
            <w:hideMark/>
          </w:tcPr>
          <w:p w14:paraId="2EEB308E"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DHB</w:t>
            </w:r>
          </w:p>
        </w:tc>
        <w:tc>
          <w:tcPr>
            <w:tcW w:w="2252" w:type="dxa"/>
            <w:tcBorders>
              <w:top w:val="single" w:sz="4" w:space="0" w:color="auto"/>
              <w:left w:val="single" w:sz="4" w:space="0" w:color="auto"/>
              <w:bottom w:val="single" w:sz="4" w:space="0" w:color="auto"/>
              <w:right w:val="single" w:sz="4" w:space="0" w:color="auto"/>
            </w:tcBorders>
            <w:shd w:val="clear" w:color="auto" w:fill="C00000"/>
            <w:hideMark/>
          </w:tcPr>
          <w:p w14:paraId="0FB28D75"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Number of complaints received</w:t>
            </w:r>
          </w:p>
        </w:tc>
        <w:tc>
          <w:tcPr>
            <w:tcW w:w="2250" w:type="dxa"/>
            <w:tcBorders>
              <w:top w:val="single" w:sz="4" w:space="0" w:color="auto"/>
              <w:left w:val="single" w:sz="4" w:space="0" w:color="auto"/>
              <w:bottom w:val="single" w:sz="4" w:space="0" w:color="auto"/>
              <w:right w:val="single" w:sz="4" w:space="0" w:color="auto"/>
            </w:tcBorders>
            <w:shd w:val="clear" w:color="auto" w:fill="C00000"/>
            <w:hideMark/>
          </w:tcPr>
          <w:p w14:paraId="4FE97B20"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Number of discharges</w:t>
            </w:r>
          </w:p>
        </w:tc>
        <w:tc>
          <w:tcPr>
            <w:tcW w:w="2253" w:type="dxa"/>
            <w:tcBorders>
              <w:top w:val="single" w:sz="4" w:space="0" w:color="auto"/>
              <w:left w:val="single" w:sz="4" w:space="0" w:color="auto"/>
              <w:bottom w:val="single" w:sz="4" w:space="0" w:color="auto"/>
              <w:right w:val="single" w:sz="4" w:space="0" w:color="auto"/>
            </w:tcBorders>
            <w:shd w:val="clear" w:color="auto" w:fill="C00000"/>
            <w:hideMark/>
          </w:tcPr>
          <w:p w14:paraId="4B254840" w14:textId="77777777" w:rsidR="00EB4A22" w:rsidRPr="00EB4A22" w:rsidRDefault="00EB4A22" w:rsidP="00B12430">
            <w:pPr>
              <w:keepNext/>
              <w:keepLines/>
              <w:spacing w:after="120"/>
              <w:jc w:val="center"/>
              <w:rPr>
                <w:rFonts w:asciiTheme="minorHAnsi" w:hAnsiTheme="minorHAnsi"/>
                <w:b/>
                <w:sz w:val="22"/>
                <w:szCs w:val="22"/>
              </w:rPr>
            </w:pPr>
            <w:r w:rsidRPr="00EB4A22">
              <w:rPr>
                <w:rFonts w:asciiTheme="minorHAnsi" w:hAnsiTheme="minorHAnsi"/>
                <w:b/>
                <w:sz w:val="22"/>
                <w:szCs w:val="22"/>
              </w:rPr>
              <w:t>Rate of complaints to HDC per 100,000 discharges</w:t>
            </w:r>
          </w:p>
        </w:tc>
      </w:tr>
      <w:tr w:rsidR="005D5AAB" w:rsidRPr="00D12A0D" w14:paraId="354E3F19"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06734D22"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Auckland</w:t>
            </w:r>
          </w:p>
        </w:tc>
        <w:tc>
          <w:tcPr>
            <w:tcW w:w="2252" w:type="dxa"/>
            <w:tcBorders>
              <w:top w:val="single" w:sz="4" w:space="0" w:color="auto"/>
              <w:left w:val="single" w:sz="4" w:space="0" w:color="auto"/>
              <w:bottom w:val="single" w:sz="4" w:space="0" w:color="auto"/>
              <w:right w:val="single" w:sz="4" w:space="0" w:color="auto"/>
            </w:tcBorders>
            <w:vAlign w:val="bottom"/>
          </w:tcPr>
          <w:p w14:paraId="1062C907" w14:textId="7F73EEBA"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83</w:t>
            </w:r>
          </w:p>
        </w:tc>
        <w:tc>
          <w:tcPr>
            <w:tcW w:w="2250" w:type="dxa"/>
            <w:tcBorders>
              <w:top w:val="single" w:sz="4" w:space="0" w:color="auto"/>
              <w:left w:val="single" w:sz="4" w:space="0" w:color="auto"/>
              <w:bottom w:val="single" w:sz="4" w:space="0" w:color="auto"/>
              <w:right w:val="single" w:sz="4" w:space="0" w:color="auto"/>
            </w:tcBorders>
            <w:vAlign w:val="bottom"/>
          </w:tcPr>
          <w:p w14:paraId="38C6C372" w14:textId="4626CFAD"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62,507</w:t>
            </w:r>
          </w:p>
        </w:tc>
        <w:tc>
          <w:tcPr>
            <w:tcW w:w="2253" w:type="dxa"/>
            <w:tcBorders>
              <w:top w:val="single" w:sz="4" w:space="0" w:color="auto"/>
              <w:left w:val="single" w:sz="4" w:space="0" w:color="auto"/>
              <w:bottom w:val="single" w:sz="4" w:space="0" w:color="auto"/>
              <w:right w:val="single" w:sz="4" w:space="0" w:color="auto"/>
            </w:tcBorders>
            <w:vAlign w:val="bottom"/>
          </w:tcPr>
          <w:p w14:paraId="3C44C534" w14:textId="644059E1"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132.79</w:t>
            </w:r>
          </w:p>
        </w:tc>
      </w:tr>
      <w:tr w:rsidR="005D5AAB" w:rsidRPr="00D12A0D" w14:paraId="0041B26F"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5D76871"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Bay of Plenty</w:t>
            </w:r>
          </w:p>
        </w:tc>
        <w:tc>
          <w:tcPr>
            <w:tcW w:w="2252" w:type="dxa"/>
            <w:tcBorders>
              <w:top w:val="single" w:sz="4" w:space="0" w:color="auto"/>
              <w:left w:val="single" w:sz="4" w:space="0" w:color="auto"/>
              <w:bottom w:val="single" w:sz="4" w:space="0" w:color="auto"/>
              <w:right w:val="single" w:sz="4" w:space="0" w:color="auto"/>
            </w:tcBorders>
            <w:vAlign w:val="bottom"/>
          </w:tcPr>
          <w:p w14:paraId="03CE8009" w14:textId="03C5EDD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27</w:t>
            </w:r>
          </w:p>
        </w:tc>
        <w:tc>
          <w:tcPr>
            <w:tcW w:w="2250" w:type="dxa"/>
            <w:tcBorders>
              <w:top w:val="single" w:sz="4" w:space="0" w:color="auto"/>
              <w:left w:val="single" w:sz="4" w:space="0" w:color="auto"/>
              <w:bottom w:val="single" w:sz="4" w:space="0" w:color="auto"/>
              <w:right w:val="single" w:sz="4" w:space="0" w:color="auto"/>
            </w:tcBorders>
            <w:vAlign w:val="bottom"/>
          </w:tcPr>
          <w:p w14:paraId="2412899A" w14:textId="7F406BE1"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29,415</w:t>
            </w:r>
          </w:p>
        </w:tc>
        <w:tc>
          <w:tcPr>
            <w:tcW w:w="2253" w:type="dxa"/>
            <w:tcBorders>
              <w:top w:val="single" w:sz="4" w:space="0" w:color="auto"/>
              <w:left w:val="single" w:sz="4" w:space="0" w:color="auto"/>
              <w:bottom w:val="single" w:sz="4" w:space="0" w:color="auto"/>
              <w:right w:val="single" w:sz="4" w:space="0" w:color="auto"/>
            </w:tcBorders>
            <w:vAlign w:val="bottom"/>
          </w:tcPr>
          <w:p w14:paraId="7635927D" w14:textId="375F534D"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91.79</w:t>
            </w:r>
          </w:p>
        </w:tc>
      </w:tr>
      <w:tr w:rsidR="005D5AAB" w:rsidRPr="00D12A0D" w14:paraId="6A428DAD"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73670AE3"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Canterbury</w:t>
            </w:r>
          </w:p>
        </w:tc>
        <w:tc>
          <w:tcPr>
            <w:tcW w:w="2252" w:type="dxa"/>
            <w:tcBorders>
              <w:top w:val="single" w:sz="4" w:space="0" w:color="auto"/>
              <w:left w:val="single" w:sz="4" w:space="0" w:color="auto"/>
              <w:bottom w:val="single" w:sz="4" w:space="0" w:color="auto"/>
              <w:right w:val="single" w:sz="4" w:space="0" w:color="auto"/>
            </w:tcBorders>
            <w:vAlign w:val="bottom"/>
          </w:tcPr>
          <w:p w14:paraId="53199A01" w14:textId="590FBCC7"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53</w:t>
            </w:r>
          </w:p>
        </w:tc>
        <w:tc>
          <w:tcPr>
            <w:tcW w:w="2250" w:type="dxa"/>
            <w:tcBorders>
              <w:top w:val="single" w:sz="4" w:space="0" w:color="auto"/>
              <w:left w:val="single" w:sz="4" w:space="0" w:color="auto"/>
              <w:bottom w:val="single" w:sz="4" w:space="0" w:color="auto"/>
              <w:right w:val="single" w:sz="4" w:space="0" w:color="auto"/>
            </w:tcBorders>
            <w:vAlign w:val="bottom"/>
          </w:tcPr>
          <w:p w14:paraId="1836040A" w14:textId="1DF36585"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57,503</w:t>
            </w:r>
          </w:p>
        </w:tc>
        <w:tc>
          <w:tcPr>
            <w:tcW w:w="2253" w:type="dxa"/>
            <w:tcBorders>
              <w:top w:val="single" w:sz="4" w:space="0" w:color="auto"/>
              <w:left w:val="single" w:sz="4" w:space="0" w:color="auto"/>
              <w:bottom w:val="single" w:sz="4" w:space="0" w:color="auto"/>
              <w:right w:val="single" w:sz="4" w:space="0" w:color="auto"/>
            </w:tcBorders>
            <w:vAlign w:val="bottom"/>
          </w:tcPr>
          <w:p w14:paraId="6B45A7C8" w14:textId="5DF32ECA"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92.17</w:t>
            </w:r>
          </w:p>
        </w:tc>
      </w:tr>
      <w:tr w:rsidR="005D5AAB" w:rsidRPr="00D12A0D" w14:paraId="394EC9D1"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64226F4"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Capital and Coast</w:t>
            </w:r>
          </w:p>
        </w:tc>
        <w:tc>
          <w:tcPr>
            <w:tcW w:w="2252" w:type="dxa"/>
            <w:tcBorders>
              <w:top w:val="single" w:sz="4" w:space="0" w:color="auto"/>
              <w:left w:val="single" w:sz="4" w:space="0" w:color="auto"/>
              <w:bottom w:val="single" w:sz="4" w:space="0" w:color="auto"/>
              <w:right w:val="single" w:sz="4" w:space="0" w:color="auto"/>
            </w:tcBorders>
            <w:vAlign w:val="bottom"/>
          </w:tcPr>
          <w:p w14:paraId="02DD10D9" w14:textId="7FE29601"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49</w:t>
            </w:r>
          </w:p>
        </w:tc>
        <w:tc>
          <w:tcPr>
            <w:tcW w:w="2250" w:type="dxa"/>
            <w:tcBorders>
              <w:top w:val="single" w:sz="4" w:space="0" w:color="auto"/>
              <w:left w:val="single" w:sz="4" w:space="0" w:color="auto"/>
              <w:bottom w:val="single" w:sz="4" w:space="0" w:color="auto"/>
              <w:right w:val="single" w:sz="4" w:space="0" w:color="auto"/>
            </w:tcBorders>
            <w:vAlign w:val="bottom"/>
          </w:tcPr>
          <w:p w14:paraId="75DBFCC4" w14:textId="7D6CC96B"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29,794</w:t>
            </w:r>
          </w:p>
        </w:tc>
        <w:tc>
          <w:tcPr>
            <w:tcW w:w="2253" w:type="dxa"/>
            <w:tcBorders>
              <w:top w:val="single" w:sz="4" w:space="0" w:color="auto"/>
              <w:left w:val="single" w:sz="4" w:space="0" w:color="auto"/>
              <w:bottom w:val="single" w:sz="4" w:space="0" w:color="auto"/>
              <w:right w:val="single" w:sz="4" w:space="0" w:color="auto"/>
            </w:tcBorders>
            <w:vAlign w:val="bottom"/>
          </w:tcPr>
          <w:p w14:paraId="137CE44B" w14:textId="0464F060"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164.46</w:t>
            </w:r>
          </w:p>
        </w:tc>
      </w:tr>
      <w:tr w:rsidR="005D5AAB" w:rsidRPr="00D12A0D" w14:paraId="2DA7B5EA"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EA13616"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 xml:space="preserve">Counties </w:t>
            </w:r>
            <w:proofErr w:type="spellStart"/>
            <w:r w:rsidRPr="00EB4A22">
              <w:rPr>
                <w:rFonts w:asciiTheme="minorHAnsi" w:hAnsiTheme="minorHAnsi"/>
                <w:sz w:val="22"/>
                <w:szCs w:val="22"/>
              </w:rPr>
              <w:t>Manukau</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29A4B7B2" w14:textId="03A84539"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50</w:t>
            </w:r>
          </w:p>
        </w:tc>
        <w:tc>
          <w:tcPr>
            <w:tcW w:w="2250" w:type="dxa"/>
            <w:tcBorders>
              <w:top w:val="single" w:sz="4" w:space="0" w:color="auto"/>
              <w:left w:val="single" w:sz="4" w:space="0" w:color="auto"/>
              <w:bottom w:val="single" w:sz="4" w:space="0" w:color="auto"/>
              <w:right w:val="single" w:sz="4" w:space="0" w:color="auto"/>
            </w:tcBorders>
            <w:vAlign w:val="bottom"/>
          </w:tcPr>
          <w:p w14:paraId="2F27E901" w14:textId="2CACFFA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49,891</w:t>
            </w:r>
          </w:p>
        </w:tc>
        <w:tc>
          <w:tcPr>
            <w:tcW w:w="2253" w:type="dxa"/>
            <w:tcBorders>
              <w:top w:val="single" w:sz="4" w:space="0" w:color="auto"/>
              <w:left w:val="single" w:sz="4" w:space="0" w:color="auto"/>
              <w:bottom w:val="single" w:sz="4" w:space="0" w:color="auto"/>
              <w:right w:val="single" w:sz="4" w:space="0" w:color="auto"/>
            </w:tcBorders>
            <w:vAlign w:val="bottom"/>
          </w:tcPr>
          <w:p w14:paraId="29228DD4" w14:textId="2561F69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100.22</w:t>
            </w:r>
          </w:p>
        </w:tc>
      </w:tr>
      <w:tr w:rsidR="005D5AAB" w:rsidRPr="00D12A0D" w14:paraId="19293A23" w14:textId="77777777" w:rsidTr="00B12430">
        <w:tc>
          <w:tcPr>
            <w:tcW w:w="2261" w:type="dxa"/>
            <w:tcBorders>
              <w:top w:val="single" w:sz="4" w:space="0" w:color="auto"/>
              <w:left w:val="single" w:sz="4" w:space="0" w:color="auto"/>
              <w:bottom w:val="single" w:sz="4" w:space="0" w:color="auto"/>
              <w:right w:val="single" w:sz="4" w:space="0" w:color="auto"/>
            </w:tcBorders>
          </w:tcPr>
          <w:p w14:paraId="15FA98D1"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 xml:space="preserve">Hauora </w:t>
            </w:r>
            <w:proofErr w:type="spellStart"/>
            <w:r w:rsidRPr="00EB4A22">
              <w:rPr>
                <w:rFonts w:asciiTheme="minorHAnsi" w:hAnsiTheme="minorHAnsi"/>
                <w:sz w:val="22"/>
                <w:szCs w:val="22"/>
              </w:rPr>
              <w:t>Tairāwhiti</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49C5565A" w14:textId="5FFFA206"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10</w:t>
            </w:r>
          </w:p>
        </w:tc>
        <w:tc>
          <w:tcPr>
            <w:tcW w:w="2250" w:type="dxa"/>
            <w:tcBorders>
              <w:top w:val="single" w:sz="4" w:space="0" w:color="auto"/>
              <w:left w:val="single" w:sz="4" w:space="0" w:color="auto"/>
              <w:bottom w:val="single" w:sz="4" w:space="0" w:color="auto"/>
              <w:right w:val="single" w:sz="4" w:space="0" w:color="auto"/>
            </w:tcBorders>
            <w:vAlign w:val="bottom"/>
          </w:tcPr>
          <w:p w14:paraId="328E9F07" w14:textId="72E217B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5,387</w:t>
            </w:r>
          </w:p>
        </w:tc>
        <w:tc>
          <w:tcPr>
            <w:tcW w:w="2253" w:type="dxa"/>
            <w:tcBorders>
              <w:top w:val="single" w:sz="4" w:space="0" w:color="auto"/>
              <w:left w:val="single" w:sz="4" w:space="0" w:color="auto"/>
              <w:bottom w:val="single" w:sz="4" w:space="0" w:color="auto"/>
              <w:right w:val="single" w:sz="4" w:space="0" w:color="auto"/>
            </w:tcBorders>
            <w:vAlign w:val="bottom"/>
          </w:tcPr>
          <w:p w14:paraId="24778B56" w14:textId="4199881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185.63</w:t>
            </w:r>
          </w:p>
        </w:tc>
      </w:tr>
      <w:tr w:rsidR="005D5AAB" w:rsidRPr="00D12A0D" w14:paraId="418B34E1"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5DA806A9"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Hawke’s Bay</w:t>
            </w:r>
          </w:p>
        </w:tc>
        <w:tc>
          <w:tcPr>
            <w:tcW w:w="2252" w:type="dxa"/>
            <w:tcBorders>
              <w:top w:val="single" w:sz="4" w:space="0" w:color="auto"/>
              <w:left w:val="single" w:sz="4" w:space="0" w:color="auto"/>
              <w:bottom w:val="single" w:sz="4" w:space="0" w:color="auto"/>
              <w:right w:val="single" w:sz="4" w:space="0" w:color="auto"/>
            </w:tcBorders>
            <w:vAlign w:val="bottom"/>
          </w:tcPr>
          <w:p w14:paraId="12147935" w14:textId="3603BA37"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25</w:t>
            </w:r>
          </w:p>
        </w:tc>
        <w:tc>
          <w:tcPr>
            <w:tcW w:w="2250" w:type="dxa"/>
            <w:tcBorders>
              <w:top w:val="single" w:sz="4" w:space="0" w:color="auto"/>
              <w:left w:val="single" w:sz="4" w:space="0" w:color="auto"/>
              <w:bottom w:val="single" w:sz="4" w:space="0" w:color="auto"/>
              <w:right w:val="single" w:sz="4" w:space="0" w:color="auto"/>
            </w:tcBorders>
            <w:vAlign w:val="bottom"/>
          </w:tcPr>
          <w:p w14:paraId="367AAABD" w14:textId="7FE0ED17"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18,657</w:t>
            </w:r>
          </w:p>
        </w:tc>
        <w:tc>
          <w:tcPr>
            <w:tcW w:w="2253" w:type="dxa"/>
            <w:tcBorders>
              <w:top w:val="single" w:sz="4" w:space="0" w:color="auto"/>
              <w:left w:val="single" w:sz="4" w:space="0" w:color="auto"/>
              <w:bottom w:val="single" w:sz="4" w:space="0" w:color="auto"/>
              <w:right w:val="single" w:sz="4" w:space="0" w:color="auto"/>
            </w:tcBorders>
            <w:vAlign w:val="bottom"/>
          </w:tcPr>
          <w:p w14:paraId="1AF4EF40" w14:textId="2AB49D75"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134.00</w:t>
            </w:r>
          </w:p>
        </w:tc>
      </w:tr>
      <w:tr w:rsidR="005D5AAB" w:rsidRPr="00D12A0D" w14:paraId="06D8B42A"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4787249"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Hutt Valley</w:t>
            </w:r>
          </w:p>
        </w:tc>
        <w:tc>
          <w:tcPr>
            <w:tcW w:w="2252" w:type="dxa"/>
            <w:tcBorders>
              <w:top w:val="single" w:sz="4" w:space="0" w:color="auto"/>
              <w:left w:val="single" w:sz="4" w:space="0" w:color="auto"/>
              <w:bottom w:val="single" w:sz="4" w:space="0" w:color="auto"/>
              <w:right w:val="single" w:sz="4" w:space="0" w:color="auto"/>
            </w:tcBorders>
            <w:vAlign w:val="bottom"/>
          </w:tcPr>
          <w:p w14:paraId="6BC50620" w14:textId="7A8A5F16"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23</w:t>
            </w:r>
          </w:p>
        </w:tc>
        <w:tc>
          <w:tcPr>
            <w:tcW w:w="2250" w:type="dxa"/>
            <w:tcBorders>
              <w:top w:val="single" w:sz="4" w:space="0" w:color="auto"/>
              <w:left w:val="single" w:sz="4" w:space="0" w:color="auto"/>
              <w:bottom w:val="single" w:sz="4" w:space="0" w:color="auto"/>
              <w:right w:val="single" w:sz="4" w:space="0" w:color="auto"/>
            </w:tcBorders>
            <w:vAlign w:val="bottom"/>
          </w:tcPr>
          <w:p w14:paraId="0088EEE4" w14:textId="195A9692"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16,754</w:t>
            </w:r>
          </w:p>
        </w:tc>
        <w:tc>
          <w:tcPr>
            <w:tcW w:w="2253" w:type="dxa"/>
            <w:tcBorders>
              <w:top w:val="single" w:sz="4" w:space="0" w:color="auto"/>
              <w:left w:val="single" w:sz="4" w:space="0" w:color="auto"/>
              <w:bottom w:val="single" w:sz="4" w:space="0" w:color="auto"/>
              <w:right w:val="single" w:sz="4" w:space="0" w:color="auto"/>
            </w:tcBorders>
            <w:vAlign w:val="bottom"/>
          </w:tcPr>
          <w:p w14:paraId="20415EA5" w14:textId="4E6322A5"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137.28</w:t>
            </w:r>
          </w:p>
        </w:tc>
      </w:tr>
      <w:tr w:rsidR="005D5AAB" w:rsidRPr="00D12A0D" w14:paraId="76BCE730"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2847487"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Lakes</w:t>
            </w:r>
          </w:p>
        </w:tc>
        <w:tc>
          <w:tcPr>
            <w:tcW w:w="2252" w:type="dxa"/>
            <w:tcBorders>
              <w:top w:val="single" w:sz="4" w:space="0" w:color="auto"/>
              <w:left w:val="single" w:sz="4" w:space="0" w:color="auto"/>
              <w:bottom w:val="single" w:sz="4" w:space="0" w:color="auto"/>
              <w:right w:val="single" w:sz="4" w:space="0" w:color="auto"/>
            </w:tcBorders>
            <w:vAlign w:val="bottom"/>
          </w:tcPr>
          <w:p w14:paraId="6E774940" w14:textId="28FF9BE3"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10</w:t>
            </w:r>
          </w:p>
        </w:tc>
        <w:tc>
          <w:tcPr>
            <w:tcW w:w="2250" w:type="dxa"/>
            <w:tcBorders>
              <w:top w:val="single" w:sz="4" w:space="0" w:color="auto"/>
              <w:left w:val="single" w:sz="4" w:space="0" w:color="auto"/>
              <w:bottom w:val="single" w:sz="4" w:space="0" w:color="auto"/>
              <w:right w:val="single" w:sz="4" w:space="0" w:color="auto"/>
            </w:tcBorders>
            <w:vAlign w:val="bottom"/>
          </w:tcPr>
          <w:p w14:paraId="71421B7A" w14:textId="76BDAE59"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12,629</w:t>
            </w:r>
          </w:p>
        </w:tc>
        <w:tc>
          <w:tcPr>
            <w:tcW w:w="2253" w:type="dxa"/>
            <w:tcBorders>
              <w:top w:val="single" w:sz="4" w:space="0" w:color="auto"/>
              <w:left w:val="single" w:sz="4" w:space="0" w:color="auto"/>
              <w:bottom w:val="single" w:sz="4" w:space="0" w:color="auto"/>
              <w:right w:val="single" w:sz="4" w:space="0" w:color="auto"/>
            </w:tcBorders>
            <w:vAlign w:val="bottom"/>
          </w:tcPr>
          <w:p w14:paraId="102501A6" w14:textId="70C38D91"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79.18</w:t>
            </w:r>
          </w:p>
        </w:tc>
      </w:tr>
      <w:tr w:rsidR="005D5AAB" w:rsidRPr="00D12A0D" w14:paraId="4E86AA5C"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7FE0AE2" w14:textId="77777777" w:rsidR="005D5AAB" w:rsidRPr="00EB4A22" w:rsidRDefault="005D5AAB" w:rsidP="005D5AAB">
            <w:pPr>
              <w:rPr>
                <w:rFonts w:asciiTheme="minorHAnsi" w:hAnsiTheme="minorHAnsi"/>
                <w:sz w:val="22"/>
                <w:szCs w:val="22"/>
              </w:rPr>
            </w:pPr>
            <w:proofErr w:type="spellStart"/>
            <w:r w:rsidRPr="00EB4A22">
              <w:rPr>
                <w:rFonts w:asciiTheme="minorHAnsi" w:hAnsiTheme="minorHAnsi"/>
                <w:sz w:val="22"/>
                <w:szCs w:val="22"/>
              </w:rPr>
              <w:t>MidCentral</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77F4500C" w14:textId="3AE8267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16</w:t>
            </w:r>
          </w:p>
        </w:tc>
        <w:tc>
          <w:tcPr>
            <w:tcW w:w="2250" w:type="dxa"/>
            <w:tcBorders>
              <w:top w:val="single" w:sz="4" w:space="0" w:color="auto"/>
              <w:left w:val="single" w:sz="4" w:space="0" w:color="auto"/>
              <w:bottom w:val="single" w:sz="4" w:space="0" w:color="auto"/>
              <w:right w:val="single" w:sz="4" w:space="0" w:color="auto"/>
            </w:tcBorders>
            <w:vAlign w:val="bottom"/>
          </w:tcPr>
          <w:p w14:paraId="72AFD54A" w14:textId="6EA2E69B"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15,715</w:t>
            </w:r>
          </w:p>
        </w:tc>
        <w:tc>
          <w:tcPr>
            <w:tcW w:w="2253" w:type="dxa"/>
            <w:tcBorders>
              <w:top w:val="single" w:sz="4" w:space="0" w:color="auto"/>
              <w:left w:val="single" w:sz="4" w:space="0" w:color="auto"/>
              <w:bottom w:val="single" w:sz="4" w:space="0" w:color="auto"/>
              <w:right w:val="single" w:sz="4" w:space="0" w:color="auto"/>
            </w:tcBorders>
            <w:vAlign w:val="bottom"/>
          </w:tcPr>
          <w:p w14:paraId="5E967EAD" w14:textId="111BF80D"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101.81</w:t>
            </w:r>
          </w:p>
        </w:tc>
      </w:tr>
      <w:tr w:rsidR="005D5AAB" w:rsidRPr="00D12A0D" w14:paraId="2D0CF2E5"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F425A66"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Nelson Marlborough</w:t>
            </w:r>
          </w:p>
        </w:tc>
        <w:tc>
          <w:tcPr>
            <w:tcW w:w="2252" w:type="dxa"/>
            <w:tcBorders>
              <w:top w:val="single" w:sz="4" w:space="0" w:color="auto"/>
              <w:left w:val="single" w:sz="4" w:space="0" w:color="auto"/>
              <w:bottom w:val="single" w:sz="4" w:space="0" w:color="auto"/>
              <w:right w:val="single" w:sz="4" w:space="0" w:color="auto"/>
            </w:tcBorders>
            <w:vAlign w:val="bottom"/>
          </w:tcPr>
          <w:p w14:paraId="4F92BFC3" w14:textId="0E7EFFD5" w:rsidR="005D5AAB" w:rsidRPr="005D5AAB" w:rsidRDefault="00446575" w:rsidP="005D5AAB">
            <w:pPr>
              <w:jc w:val="center"/>
              <w:rPr>
                <w:rFonts w:asciiTheme="minorHAnsi" w:hAnsiTheme="minorHAnsi"/>
                <w:color w:val="000000"/>
                <w:sz w:val="22"/>
                <w:szCs w:val="22"/>
              </w:rPr>
            </w:pPr>
            <w:r>
              <w:rPr>
                <w:rFonts w:asciiTheme="minorHAnsi" w:hAnsiTheme="minorHAnsi" w:cs="Arial"/>
                <w:color w:val="000000"/>
                <w:sz w:val="22"/>
                <w:szCs w:val="22"/>
              </w:rPr>
              <w:t>13</w:t>
            </w:r>
          </w:p>
        </w:tc>
        <w:tc>
          <w:tcPr>
            <w:tcW w:w="2250" w:type="dxa"/>
            <w:tcBorders>
              <w:top w:val="single" w:sz="4" w:space="0" w:color="auto"/>
              <w:left w:val="single" w:sz="4" w:space="0" w:color="auto"/>
              <w:bottom w:val="single" w:sz="4" w:space="0" w:color="auto"/>
              <w:right w:val="single" w:sz="4" w:space="0" w:color="auto"/>
            </w:tcBorders>
            <w:vAlign w:val="bottom"/>
          </w:tcPr>
          <w:p w14:paraId="4BD38B55" w14:textId="08EFECA1"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13142</w:t>
            </w:r>
          </w:p>
        </w:tc>
        <w:tc>
          <w:tcPr>
            <w:tcW w:w="2253" w:type="dxa"/>
            <w:tcBorders>
              <w:top w:val="single" w:sz="4" w:space="0" w:color="auto"/>
              <w:left w:val="single" w:sz="4" w:space="0" w:color="auto"/>
              <w:bottom w:val="single" w:sz="4" w:space="0" w:color="auto"/>
              <w:right w:val="single" w:sz="4" w:space="0" w:color="auto"/>
            </w:tcBorders>
            <w:vAlign w:val="bottom"/>
          </w:tcPr>
          <w:p w14:paraId="0D952083" w14:textId="7EC2B3E5" w:rsidR="005D5AAB" w:rsidRPr="005D5AAB" w:rsidRDefault="00446575" w:rsidP="005D5AAB">
            <w:pPr>
              <w:jc w:val="center"/>
              <w:rPr>
                <w:rFonts w:asciiTheme="minorHAnsi" w:hAnsiTheme="minorHAnsi"/>
                <w:color w:val="000000"/>
                <w:sz w:val="22"/>
                <w:szCs w:val="22"/>
              </w:rPr>
            </w:pPr>
            <w:r>
              <w:rPr>
                <w:rFonts w:asciiTheme="minorHAnsi" w:hAnsiTheme="minorHAnsi" w:cs="Arial"/>
                <w:color w:val="000000"/>
                <w:sz w:val="22"/>
                <w:szCs w:val="22"/>
              </w:rPr>
              <w:t>98.92</w:t>
            </w:r>
          </w:p>
        </w:tc>
      </w:tr>
      <w:tr w:rsidR="005D5AAB" w:rsidRPr="00D12A0D" w14:paraId="454E9D54"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64CF0299"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Northland</w:t>
            </w:r>
          </w:p>
        </w:tc>
        <w:tc>
          <w:tcPr>
            <w:tcW w:w="2252" w:type="dxa"/>
            <w:tcBorders>
              <w:top w:val="single" w:sz="4" w:space="0" w:color="auto"/>
              <w:left w:val="single" w:sz="4" w:space="0" w:color="auto"/>
              <w:bottom w:val="single" w:sz="4" w:space="0" w:color="auto"/>
              <w:right w:val="single" w:sz="4" w:space="0" w:color="auto"/>
            </w:tcBorders>
            <w:vAlign w:val="bottom"/>
          </w:tcPr>
          <w:p w14:paraId="74A38564" w14:textId="5E6145D2"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21</w:t>
            </w:r>
          </w:p>
        </w:tc>
        <w:tc>
          <w:tcPr>
            <w:tcW w:w="2250" w:type="dxa"/>
            <w:tcBorders>
              <w:top w:val="single" w:sz="4" w:space="0" w:color="auto"/>
              <w:left w:val="single" w:sz="4" w:space="0" w:color="auto"/>
              <w:bottom w:val="single" w:sz="4" w:space="0" w:color="auto"/>
              <w:right w:val="single" w:sz="4" w:space="0" w:color="auto"/>
            </w:tcBorders>
            <w:vAlign w:val="bottom"/>
          </w:tcPr>
          <w:p w14:paraId="4041370D" w14:textId="73DB785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21,791</w:t>
            </w:r>
          </w:p>
        </w:tc>
        <w:tc>
          <w:tcPr>
            <w:tcW w:w="2253" w:type="dxa"/>
            <w:tcBorders>
              <w:top w:val="single" w:sz="4" w:space="0" w:color="auto"/>
              <w:left w:val="single" w:sz="4" w:space="0" w:color="auto"/>
              <w:bottom w:val="single" w:sz="4" w:space="0" w:color="auto"/>
              <w:right w:val="single" w:sz="4" w:space="0" w:color="auto"/>
            </w:tcBorders>
            <w:vAlign w:val="bottom"/>
          </w:tcPr>
          <w:p w14:paraId="20E9D2F4" w14:textId="46F196F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96.37</w:t>
            </w:r>
          </w:p>
        </w:tc>
      </w:tr>
      <w:tr w:rsidR="005D5AAB" w:rsidRPr="00D12A0D" w14:paraId="56EE9CC9"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73F66C50"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South Canterbury</w:t>
            </w:r>
          </w:p>
        </w:tc>
        <w:tc>
          <w:tcPr>
            <w:tcW w:w="2252" w:type="dxa"/>
            <w:tcBorders>
              <w:top w:val="single" w:sz="4" w:space="0" w:color="auto"/>
              <w:left w:val="single" w:sz="4" w:space="0" w:color="auto"/>
              <w:bottom w:val="single" w:sz="4" w:space="0" w:color="auto"/>
              <w:right w:val="single" w:sz="4" w:space="0" w:color="auto"/>
            </w:tcBorders>
            <w:vAlign w:val="bottom"/>
          </w:tcPr>
          <w:p w14:paraId="4FA6403C" w14:textId="632914C3"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5</w:t>
            </w:r>
          </w:p>
        </w:tc>
        <w:tc>
          <w:tcPr>
            <w:tcW w:w="2250" w:type="dxa"/>
            <w:tcBorders>
              <w:top w:val="single" w:sz="4" w:space="0" w:color="auto"/>
              <w:left w:val="single" w:sz="4" w:space="0" w:color="auto"/>
              <w:bottom w:val="single" w:sz="4" w:space="0" w:color="auto"/>
              <w:right w:val="single" w:sz="4" w:space="0" w:color="auto"/>
            </w:tcBorders>
            <w:vAlign w:val="bottom"/>
          </w:tcPr>
          <w:p w14:paraId="37FB0B59" w14:textId="538A7E19"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6,046</w:t>
            </w:r>
          </w:p>
        </w:tc>
        <w:tc>
          <w:tcPr>
            <w:tcW w:w="2253" w:type="dxa"/>
            <w:tcBorders>
              <w:top w:val="single" w:sz="4" w:space="0" w:color="auto"/>
              <w:left w:val="single" w:sz="4" w:space="0" w:color="auto"/>
              <w:bottom w:val="single" w:sz="4" w:space="0" w:color="auto"/>
              <w:right w:val="single" w:sz="4" w:space="0" w:color="auto"/>
            </w:tcBorders>
            <w:vAlign w:val="bottom"/>
          </w:tcPr>
          <w:p w14:paraId="34EF2F19" w14:textId="3F9E7480"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82.70</w:t>
            </w:r>
          </w:p>
        </w:tc>
      </w:tr>
      <w:tr w:rsidR="005D5AAB" w:rsidRPr="00D12A0D" w14:paraId="4449A363" w14:textId="77777777" w:rsidTr="005D5AAB">
        <w:tc>
          <w:tcPr>
            <w:tcW w:w="2261" w:type="dxa"/>
            <w:tcBorders>
              <w:top w:val="single" w:sz="4" w:space="0" w:color="auto"/>
              <w:left w:val="single" w:sz="4" w:space="0" w:color="auto"/>
              <w:bottom w:val="single" w:sz="4" w:space="0" w:color="auto"/>
              <w:right w:val="single" w:sz="4" w:space="0" w:color="auto"/>
            </w:tcBorders>
            <w:hideMark/>
          </w:tcPr>
          <w:p w14:paraId="1B01A888"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Southern</w:t>
            </w:r>
          </w:p>
        </w:tc>
        <w:tc>
          <w:tcPr>
            <w:tcW w:w="2252" w:type="dxa"/>
            <w:tcBorders>
              <w:top w:val="single" w:sz="4" w:space="0" w:color="auto"/>
              <w:left w:val="single" w:sz="4" w:space="0" w:color="auto"/>
              <w:bottom w:val="single" w:sz="4" w:space="0" w:color="auto"/>
              <w:right w:val="single" w:sz="4" w:space="0" w:color="auto"/>
            </w:tcBorders>
            <w:vAlign w:val="bottom"/>
          </w:tcPr>
          <w:p w14:paraId="29AB3742" w14:textId="3931004B" w:rsidR="005D5AAB" w:rsidRPr="005D5AAB" w:rsidRDefault="00446575" w:rsidP="005D5AAB">
            <w:pPr>
              <w:jc w:val="center"/>
              <w:rPr>
                <w:rFonts w:asciiTheme="minorHAnsi" w:hAnsiTheme="minorHAnsi"/>
                <w:color w:val="000000"/>
                <w:sz w:val="22"/>
                <w:szCs w:val="22"/>
              </w:rPr>
            </w:pPr>
            <w:r>
              <w:rPr>
                <w:rFonts w:asciiTheme="minorHAnsi" w:hAnsiTheme="minorHAnsi" w:cs="Arial"/>
                <w:color w:val="000000"/>
                <w:sz w:val="22"/>
                <w:szCs w:val="22"/>
              </w:rPr>
              <w:t>39</w:t>
            </w:r>
          </w:p>
        </w:tc>
        <w:tc>
          <w:tcPr>
            <w:tcW w:w="2250" w:type="dxa"/>
            <w:tcBorders>
              <w:top w:val="single" w:sz="4" w:space="0" w:color="auto"/>
              <w:left w:val="single" w:sz="4" w:space="0" w:color="auto"/>
              <w:bottom w:val="single" w:sz="4" w:space="0" w:color="auto"/>
              <w:right w:val="single" w:sz="4" w:space="0" w:color="auto"/>
            </w:tcBorders>
            <w:vAlign w:val="bottom"/>
          </w:tcPr>
          <w:p w14:paraId="2873AE41" w14:textId="5691F64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27,173</w:t>
            </w:r>
          </w:p>
        </w:tc>
        <w:tc>
          <w:tcPr>
            <w:tcW w:w="2253" w:type="dxa"/>
            <w:tcBorders>
              <w:top w:val="single" w:sz="4" w:space="0" w:color="auto"/>
              <w:left w:val="single" w:sz="4" w:space="0" w:color="auto"/>
              <w:bottom w:val="single" w:sz="4" w:space="0" w:color="auto"/>
              <w:right w:val="single" w:sz="4" w:space="0" w:color="auto"/>
            </w:tcBorders>
            <w:vAlign w:val="bottom"/>
          </w:tcPr>
          <w:p w14:paraId="78F0ADD4" w14:textId="2D357EDE" w:rsidR="005D5AAB" w:rsidRPr="005D5AAB" w:rsidRDefault="00446575" w:rsidP="005D5AAB">
            <w:pPr>
              <w:jc w:val="center"/>
              <w:rPr>
                <w:rFonts w:asciiTheme="minorHAnsi" w:hAnsiTheme="minorHAnsi"/>
                <w:color w:val="000000"/>
                <w:sz w:val="22"/>
                <w:szCs w:val="22"/>
              </w:rPr>
            </w:pPr>
            <w:r>
              <w:rPr>
                <w:rFonts w:asciiTheme="minorHAnsi" w:hAnsiTheme="minorHAnsi" w:cs="Arial"/>
                <w:color w:val="000000"/>
                <w:sz w:val="22"/>
                <w:szCs w:val="22"/>
              </w:rPr>
              <w:t>143.52</w:t>
            </w:r>
          </w:p>
        </w:tc>
      </w:tr>
      <w:tr w:rsidR="005D5AAB" w:rsidRPr="00D12A0D" w14:paraId="6B549764"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580DF317"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Taranaki</w:t>
            </w:r>
          </w:p>
        </w:tc>
        <w:tc>
          <w:tcPr>
            <w:tcW w:w="2252" w:type="dxa"/>
            <w:tcBorders>
              <w:top w:val="single" w:sz="4" w:space="0" w:color="auto"/>
              <w:left w:val="single" w:sz="4" w:space="0" w:color="auto"/>
              <w:bottom w:val="single" w:sz="4" w:space="0" w:color="auto"/>
              <w:right w:val="single" w:sz="4" w:space="0" w:color="auto"/>
            </w:tcBorders>
            <w:vAlign w:val="bottom"/>
          </w:tcPr>
          <w:p w14:paraId="2A33A94D" w14:textId="2D75D4A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10</w:t>
            </w:r>
          </w:p>
        </w:tc>
        <w:tc>
          <w:tcPr>
            <w:tcW w:w="2250" w:type="dxa"/>
            <w:tcBorders>
              <w:top w:val="single" w:sz="4" w:space="0" w:color="auto"/>
              <w:left w:val="single" w:sz="4" w:space="0" w:color="auto"/>
              <w:bottom w:val="single" w:sz="4" w:space="0" w:color="auto"/>
              <w:right w:val="single" w:sz="4" w:space="0" w:color="auto"/>
            </w:tcBorders>
            <w:vAlign w:val="bottom"/>
          </w:tcPr>
          <w:p w14:paraId="1AF2B0B0" w14:textId="7817DC9C"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14,555</w:t>
            </w:r>
          </w:p>
        </w:tc>
        <w:tc>
          <w:tcPr>
            <w:tcW w:w="2253" w:type="dxa"/>
            <w:tcBorders>
              <w:top w:val="single" w:sz="4" w:space="0" w:color="auto"/>
              <w:left w:val="single" w:sz="4" w:space="0" w:color="auto"/>
              <w:bottom w:val="single" w:sz="4" w:space="0" w:color="auto"/>
              <w:right w:val="single" w:sz="4" w:space="0" w:color="auto"/>
            </w:tcBorders>
            <w:vAlign w:val="bottom"/>
          </w:tcPr>
          <w:p w14:paraId="6B710EE0" w14:textId="6B59AD46"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68.70</w:t>
            </w:r>
          </w:p>
        </w:tc>
      </w:tr>
      <w:tr w:rsidR="005D5AAB" w:rsidRPr="00D12A0D" w14:paraId="540E3C8B"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2740C673"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Waikato</w:t>
            </w:r>
          </w:p>
        </w:tc>
        <w:tc>
          <w:tcPr>
            <w:tcW w:w="2252" w:type="dxa"/>
            <w:tcBorders>
              <w:top w:val="single" w:sz="4" w:space="0" w:color="auto"/>
              <w:left w:val="single" w:sz="4" w:space="0" w:color="auto"/>
              <w:bottom w:val="single" w:sz="4" w:space="0" w:color="auto"/>
              <w:right w:val="single" w:sz="4" w:space="0" w:color="auto"/>
            </w:tcBorders>
            <w:vAlign w:val="bottom"/>
          </w:tcPr>
          <w:p w14:paraId="7B09EBA3" w14:textId="7C9A61D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46</w:t>
            </w:r>
          </w:p>
        </w:tc>
        <w:tc>
          <w:tcPr>
            <w:tcW w:w="2250" w:type="dxa"/>
            <w:tcBorders>
              <w:top w:val="single" w:sz="4" w:space="0" w:color="auto"/>
              <w:left w:val="single" w:sz="4" w:space="0" w:color="auto"/>
              <w:bottom w:val="single" w:sz="4" w:space="0" w:color="auto"/>
              <w:right w:val="single" w:sz="4" w:space="0" w:color="auto"/>
            </w:tcBorders>
            <w:vAlign w:val="bottom"/>
          </w:tcPr>
          <w:p w14:paraId="46A1BF74" w14:textId="644388FC"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49,411</w:t>
            </w:r>
          </w:p>
        </w:tc>
        <w:tc>
          <w:tcPr>
            <w:tcW w:w="2253" w:type="dxa"/>
            <w:tcBorders>
              <w:top w:val="single" w:sz="4" w:space="0" w:color="auto"/>
              <w:left w:val="single" w:sz="4" w:space="0" w:color="auto"/>
              <w:bottom w:val="single" w:sz="4" w:space="0" w:color="auto"/>
              <w:right w:val="single" w:sz="4" w:space="0" w:color="auto"/>
            </w:tcBorders>
            <w:vAlign w:val="bottom"/>
          </w:tcPr>
          <w:p w14:paraId="463AAD11" w14:textId="1087671C"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93.10</w:t>
            </w:r>
          </w:p>
        </w:tc>
      </w:tr>
      <w:tr w:rsidR="005D5AAB" w:rsidRPr="00D12A0D" w14:paraId="285C9BCC"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1357265" w14:textId="77777777" w:rsidR="005D5AAB" w:rsidRPr="00EB4A22" w:rsidRDefault="005D5AAB" w:rsidP="005D5AAB">
            <w:pPr>
              <w:rPr>
                <w:rFonts w:asciiTheme="minorHAnsi" w:hAnsiTheme="minorHAnsi"/>
                <w:sz w:val="22"/>
                <w:szCs w:val="22"/>
              </w:rPr>
            </w:pPr>
            <w:proofErr w:type="spellStart"/>
            <w:r w:rsidRPr="00EB4A22">
              <w:rPr>
                <w:rFonts w:asciiTheme="minorHAnsi" w:hAnsiTheme="minorHAnsi"/>
                <w:sz w:val="22"/>
                <w:szCs w:val="22"/>
              </w:rPr>
              <w:t>Wairarapa</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3A7254A0" w14:textId="3BBEAC32"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12</w:t>
            </w:r>
          </w:p>
        </w:tc>
        <w:tc>
          <w:tcPr>
            <w:tcW w:w="2250" w:type="dxa"/>
            <w:tcBorders>
              <w:top w:val="single" w:sz="4" w:space="0" w:color="auto"/>
              <w:left w:val="single" w:sz="4" w:space="0" w:color="auto"/>
              <w:bottom w:val="single" w:sz="4" w:space="0" w:color="auto"/>
              <w:right w:val="single" w:sz="4" w:space="0" w:color="auto"/>
            </w:tcBorders>
            <w:vAlign w:val="bottom"/>
          </w:tcPr>
          <w:p w14:paraId="4F253FFD" w14:textId="752CBED2"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4,611</w:t>
            </w:r>
          </w:p>
        </w:tc>
        <w:tc>
          <w:tcPr>
            <w:tcW w:w="2253" w:type="dxa"/>
            <w:tcBorders>
              <w:top w:val="single" w:sz="4" w:space="0" w:color="auto"/>
              <w:left w:val="single" w:sz="4" w:space="0" w:color="auto"/>
              <w:bottom w:val="single" w:sz="4" w:space="0" w:color="auto"/>
              <w:right w:val="single" w:sz="4" w:space="0" w:color="auto"/>
            </w:tcBorders>
            <w:vAlign w:val="bottom"/>
          </w:tcPr>
          <w:p w14:paraId="631499C9" w14:textId="5DD4E113"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260.25</w:t>
            </w:r>
          </w:p>
        </w:tc>
      </w:tr>
      <w:tr w:rsidR="005D5AAB" w:rsidRPr="00D12A0D" w14:paraId="150D7647"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03D1AA8B" w14:textId="77777777" w:rsidR="005D5AAB" w:rsidRPr="00EB4A22" w:rsidRDefault="005D5AAB" w:rsidP="005D5AAB">
            <w:pPr>
              <w:rPr>
                <w:rFonts w:asciiTheme="minorHAnsi" w:hAnsiTheme="minorHAnsi"/>
                <w:sz w:val="22"/>
                <w:szCs w:val="22"/>
              </w:rPr>
            </w:pPr>
            <w:proofErr w:type="spellStart"/>
            <w:r w:rsidRPr="00EB4A22">
              <w:rPr>
                <w:rFonts w:asciiTheme="minorHAnsi" w:hAnsiTheme="minorHAnsi"/>
                <w:sz w:val="22"/>
                <w:szCs w:val="22"/>
              </w:rPr>
              <w:t>Waitematā</w:t>
            </w:r>
            <w:proofErr w:type="spellEnd"/>
          </w:p>
        </w:tc>
        <w:tc>
          <w:tcPr>
            <w:tcW w:w="2252" w:type="dxa"/>
            <w:tcBorders>
              <w:top w:val="single" w:sz="4" w:space="0" w:color="auto"/>
              <w:left w:val="single" w:sz="4" w:space="0" w:color="auto"/>
              <w:bottom w:val="single" w:sz="4" w:space="0" w:color="auto"/>
              <w:right w:val="single" w:sz="4" w:space="0" w:color="auto"/>
            </w:tcBorders>
            <w:vAlign w:val="bottom"/>
          </w:tcPr>
          <w:p w14:paraId="1D884A46" w14:textId="7B6AA81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43</w:t>
            </w:r>
          </w:p>
        </w:tc>
        <w:tc>
          <w:tcPr>
            <w:tcW w:w="2250" w:type="dxa"/>
            <w:tcBorders>
              <w:top w:val="single" w:sz="4" w:space="0" w:color="auto"/>
              <w:left w:val="single" w:sz="4" w:space="0" w:color="auto"/>
              <w:bottom w:val="single" w:sz="4" w:space="0" w:color="auto"/>
              <w:right w:val="single" w:sz="4" w:space="0" w:color="auto"/>
            </w:tcBorders>
            <w:vAlign w:val="bottom"/>
          </w:tcPr>
          <w:p w14:paraId="1096269D" w14:textId="63D52C2C"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54,202</w:t>
            </w:r>
          </w:p>
        </w:tc>
        <w:tc>
          <w:tcPr>
            <w:tcW w:w="2253" w:type="dxa"/>
            <w:tcBorders>
              <w:top w:val="single" w:sz="4" w:space="0" w:color="auto"/>
              <w:left w:val="single" w:sz="4" w:space="0" w:color="auto"/>
              <w:bottom w:val="single" w:sz="4" w:space="0" w:color="auto"/>
              <w:right w:val="single" w:sz="4" w:space="0" w:color="auto"/>
            </w:tcBorders>
            <w:vAlign w:val="bottom"/>
          </w:tcPr>
          <w:p w14:paraId="6B541DF0" w14:textId="6D9B9547"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79.33</w:t>
            </w:r>
          </w:p>
        </w:tc>
      </w:tr>
      <w:tr w:rsidR="005D5AAB" w:rsidRPr="00D12A0D" w14:paraId="3F32D916"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407F3F76"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West Coast</w:t>
            </w:r>
          </w:p>
        </w:tc>
        <w:tc>
          <w:tcPr>
            <w:tcW w:w="2252" w:type="dxa"/>
            <w:tcBorders>
              <w:top w:val="single" w:sz="4" w:space="0" w:color="auto"/>
              <w:left w:val="single" w:sz="4" w:space="0" w:color="auto"/>
              <w:bottom w:val="single" w:sz="4" w:space="0" w:color="auto"/>
              <w:right w:val="single" w:sz="4" w:space="0" w:color="auto"/>
            </w:tcBorders>
            <w:vAlign w:val="bottom"/>
          </w:tcPr>
          <w:p w14:paraId="6CB25826" w14:textId="0855C827"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4</w:t>
            </w:r>
          </w:p>
        </w:tc>
        <w:tc>
          <w:tcPr>
            <w:tcW w:w="2250" w:type="dxa"/>
            <w:tcBorders>
              <w:top w:val="single" w:sz="4" w:space="0" w:color="auto"/>
              <w:left w:val="single" w:sz="4" w:space="0" w:color="auto"/>
              <w:bottom w:val="single" w:sz="4" w:space="0" w:color="auto"/>
              <w:right w:val="single" w:sz="4" w:space="0" w:color="auto"/>
            </w:tcBorders>
            <w:vAlign w:val="bottom"/>
          </w:tcPr>
          <w:p w14:paraId="10EC922F" w14:textId="4BD917D8"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3,279</w:t>
            </w:r>
          </w:p>
        </w:tc>
        <w:tc>
          <w:tcPr>
            <w:tcW w:w="2253" w:type="dxa"/>
            <w:tcBorders>
              <w:top w:val="single" w:sz="4" w:space="0" w:color="auto"/>
              <w:left w:val="single" w:sz="4" w:space="0" w:color="auto"/>
              <w:bottom w:val="single" w:sz="4" w:space="0" w:color="auto"/>
              <w:right w:val="single" w:sz="4" w:space="0" w:color="auto"/>
            </w:tcBorders>
            <w:vAlign w:val="bottom"/>
          </w:tcPr>
          <w:p w14:paraId="5EB0C999" w14:textId="2BD6FFCC"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121.99</w:t>
            </w:r>
          </w:p>
        </w:tc>
      </w:tr>
      <w:tr w:rsidR="005D5AAB" w14:paraId="566CB02D" w14:textId="77777777" w:rsidTr="00B12430">
        <w:tc>
          <w:tcPr>
            <w:tcW w:w="2261" w:type="dxa"/>
            <w:tcBorders>
              <w:top w:val="single" w:sz="4" w:space="0" w:color="auto"/>
              <w:left w:val="single" w:sz="4" w:space="0" w:color="auto"/>
              <w:bottom w:val="single" w:sz="4" w:space="0" w:color="auto"/>
              <w:right w:val="single" w:sz="4" w:space="0" w:color="auto"/>
            </w:tcBorders>
            <w:hideMark/>
          </w:tcPr>
          <w:p w14:paraId="1CBEE70D" w14:textId="77777777" w:rsidR="005D5AAB" w:rsidRPr="00EB4A22" w:rsidRDefault="005D5AAB" w:rsidP="005D5AAB">
            <w:pPr>
              <w:rPr>
                <w:rFonts w:asciiTheme="minorHAnsi" w:hAnsiTheme="minorHAnsi"/>
                <w:sz w:val="22"/>
                <w:szCs w:val="22"/>
              </w:rPr>
            </w:pPr>
            <w:r w:rsidRPr="00EB4A22">
              <w:rPr>
                <w:rFonts w:asciiTheme="minorHAnsi" w:hAnsiTheme="minorHAnsi"/>
                <w:sz w:val="22"/>
                <w:szCs w:val="22"/>
              </w:rPr>
              <w:t>Whanganui</w:t>
            </w:r>
          </w:p>
        </w:tc>
        <w:tc>
          <w:tcPr>
            <w:tcW w:w="2252" w:type="dxa"/>
            <w:tcBorders>
              <w:top w:val="single" w:sz="4" w:space="0" w:color="auto"/>
              <w:left w:val="single" w:sz="4" w:space="0" w:color="auto"/>
              <w:bottom w:val="single" w:sz="4" w:space="0" w:color="auto"/>
              <w:right w:val="single" w:sz="4" w:space="0" w:color="auto"/>
            </w:tcBorders>
            <w:vAlign w:val="bottom"/>
          </w:tcPr>
          <w:p w14:paraId="62B2B131" w14:textId="50CB0A6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7</w:t>
            </w:r>
          </w:p>
        </w:tc>
        <w:tc>
          <w:tcPr>
            <w:tcW w:w="2250" w:type="dxa"/>
            <w:tcBorders>
              <w:top w:val="single" w:sz="4" w:space="0" w:color="auto"/>
              <w:left w:val="single" w:sz="4" w:space="0" w:color="auto"/>
              <w:bottom w:val="single" w:sz="4" w:space="0" w:color="auto"/>
              <w:right w:val="single" w:sz="4" w:space="0" w:color="auto"/>
            </w:tcBorders>
            <w:vAlign w:val="bottom"/>
          </w:tcPr>
          <w:p w14:paraId="7C448BF9" w14:textId="637007E4"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6,256</w:t>
            </w:r>
          </w:p>
        </w:tc>
        <w:tc>
          <w:tcPr>
            <w:tcW w:w="2253" w:type="dxa"/>
            <w:tcBorders>
              <w:top w:val="single" w:sz="4" w:space="0" w:color="auto"/>
              <w:left w:val="single" w:sz="4" w:space="0" w:color="auto"/>
              <w:bottom w:val="single" w:sz="4" w:space="0" w:color="auto"/>
              <w:right w:val="single" w:sz="4" w:space="0" w:color="auto"/>
            </w:tcBorders>
            <w:vAlign w:val="bottom"/>
          </w:tcPr>
          <w:p w14:paraId="6CBAD43A" w14:textId="7BFB2ADA" w:rsidR="005D5AAB" w:rsidRPr="005D5AAB" w:rsidRDefault="005D5AAB" w:rsidP="005D5AAB">
            <w:pPr>
              <w:jc w:val="center"/>
              <w:rPr>
                <w:rFonts w:asciiTheme="minorHAnsi" w:hAnsiTheme="minorHAnsi"/>
                <w:color w:val="000000"/>
                <w:sz w:val="22"/>
                <w:szCs w:val="22"/>
              </w:rPr>
            </w:pPr>
            <w:r w:rsidRPr="005D5AAB">
              <w:rPr>
                <w:rFonts w:asciiTheme="minorHAnsi" w:hAnsiTheme="minorHAnsi" w:cs="Arial"/>
                <w:color w:val="000000"/>
                <w:sz w:val="22"/>
                <w:szCs w:val="22"/>
              </w:rPr>
              <w:t>111.89</w:t>
            </w:r>
          </w:p>
        </w:tc>
      </w:tr>
    </w:tbl>
    <w:p w14:paraId="22AF98F9" w14:textId="77777777" w:rsidR="00EB4A22" w:rsidRPr="00484564" w:rsidRDefault="00EB4A22" w:rsidP="00EB4A22">
      <w:pPr>
        <w:spacing w:after="600"/>
        <w:rPr>
          <w:b/>
        </w:rP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EB4A22" w14:paraId="531A37EF" w14:textId="77777777" w:rsidTr="00B12430">
        <w:tc>
          <w:tcPr>
            <w:tcW w:w="9016" w:type="dxa"/>
          </w:tcPr>
          <w:p w14:paraId="458C4E24" w14:textId="77777777" w:rsidR="00EB4A22" w:rsidRPr="00EB4A22" w:rsidRDefault="00EB4A22" w:rsidP="00B12430">
            <w:pPr>
              <w:spacing w:before="240"/>
              <w:jc w:val="left"/>
              <w:rPr>
                <w:rFonts w:asciiTheme="minorHAnsi" w:hAnsiTheme="minorHAnsi"/>
                <w:b/>
                <w:sz w:val="22"/>
                <w:szCs w:val="22"/>
              </w:rPr>
            </w:pPr>
            <w:bookmarkStart w:id="26" w:name="_Toc426462630"/>
            <w:bookmarkStart w:id="27" w:name="_Toc443992225"/>
            <w:bookmarkStart w:id="28" w:name="_Toc445910049"/>
            <w:bookmarkStart w:id="29" w:name="_Toc447291333"/>
            <w:bookmarkStart w:id="30" w:name="_Toc447291471"/>
            <w:bookmarkStart w:id="31" w:name="_Toc447527528"/>
            <w:bookmarkStart w:id="32" w:name="_Toc493684126"/>
            <w:r w:rsidRPr="00EB4A22">
              <w:rPr>
                <w:rFonts w:asciiTheme="minorHAnsi" w:hAnsiTheme="minorHAnsi"/>
                <w:b/>
                <w:sz w:val="22"/>
                <w:szCs w:val="22"/>
              </w:rPr>
              <w:t>Notes on DHB’s number and rate of complaints</w:t>
            </w:r>
          </w:p>
          <w:p w14:paraId="329E9212" w14:textId="77777777" w:rsidR="00EB4A22" w:rsidRPr="00EB4A22" w:rsidRDefault="00EB4A22" w:rsidP="00B12430">
            <w:pPr>
              <w:jc w:val="left"/>
              <w:rPr>
                <w:rFonts w:asciiTheme="minorHAnsi" w:hAnsiTheme="minorHAnsi"/>
                <w:b/>
                <w:sz w:val="22"/>
                <w:szCs w:val="22"/>
              </w:rPr>
            </w:pPr>
          </w:p>
          <w:p w14:paraId="085691F6" w14:textId="77777777" w:rsidR="00EB4A22" w:rsidRPr="00EB4A22" w:rsidRDefault="00EB4A22" w:rsidP="00B12430">
            <w:pPr>
              <w:rPr>
                <w:rFonts w:asciiTheme="minorHAnsi" w:hAnsiTheme="minorHAnsi"/>
                <w:sz w:val="22"/>
                <w:szCs w:val="22"/>
                <w:lang w:bidi="ar-SA"/>
              </w:rPr>
            </w:pPr>
            <w:r w:rsidRPr="00EB4A22">
              <w:rPr>
                <w:rFonts w:asciiTheme="minorHAnsi" w:hAnsiTheme="minorHAnsi"/>
                <w:sz w:val="22"/>
                <w:szCs w:val="22"/>
                <w:lang w:bidi="ar-SA"/>
              </w:rPr>
              <w:t xml:space="preserve">It should be noted that a DHB’s number and rate of complaints can vary considerably from one six-month period to the next. Therefore, care should be taken before drawing conclusions on the basis of one six-month period. Further, for smaller DHBs, a very small absolute increase or decrease in the number of complaints received can dramatically affect the rate of complaints. Accordingly, </w:t>
            </w:r>
            <w:r w:rsidRPr="00EB4A22">
              <w:rPr>
                <w:rFonts w:asciiTheme="minorHAnsi" w:hAnsiTheme="minorHAnsi"/>
                <w:sz w:val="22"/>
                <w:szCs w:val="22"/>
              </w:rPr>
              <w:t>much of the value in this data lies in how it changes over time, as such analysis allows trends to emerge that may point to areas that require further attention.</w:t>
            </w:r>
          </w:p>
          <w:p w14:paraId="7C2A4089" w14:textId="77777777" w:rsidR="00EB4A22" w:rsidRPr="00EB4A22" w:rsidRDefault="00EB4A22" w:rsidP="00B12430">
            <w:pPr>
              <w:rPr>
                <w:rFonts w:asciiTheme="minorHAnsi" w:hAnsiTheme="minorHAnsi"/>
                <w:sz w:val="22"/>
                <w:szCs w:val="22"/>
              </w:rPr>
            </w:pPr>
          </w:p>
          <w:p w14:paraId="7BFAD47B" w14:textId="0D01EFEC" w:rsidR="00EB4A22" w:rsidRPr="00EB4A22" w:rsidRDefault="00EB4A22" w:rsidP="00B12430">
            <w:pPr>
              <w:spacing w:after="120"/>
              <w:rPr>
                <w:rFonts w:asciiTheme="minorHAnsi" w:hAnsiTheme="minorHAnsi"/>
                <w:sz w:val="22"/>
                <w:szCs w:val="22"/>
                <w:lang w:bidi="ar-SA"/>
              </w:rPr>
            </w:pPr>
            <w:r w:rsidRPr="00EB4A22">
              <w:rPr>
                <w:rFonts w:asciiTheme="minorHAnsi" w:hAnsiTheme="minorHAnsi"/>
                <w:sz w:val="22"/>
                <w:szCs w:val="22"/>
                <w:lang w:bidi="ar-SA"/>
              </w:rPr>
              <w:t>It is also important to note that the number of complaints received by HDC is not always a good proxy for quality of care provided, and may instead, for example, be an indicator of the effectiveness of a DHB’s complaints system or features of the services provided by a particular DHB.</w:t>
            </w:r>
            <w:r w:rsidR="00B12430">
              <w:rPr>
                <w:rFonts w:asciiTheme="minorHAnsi" w:hAnsiTheme="minorHAnsi"/>
                <w:sz w:val="22"/>
                <w:szCs w:val="22"/>
                <w:lang w:bidi="ar-SA"/>
              </w:rPr>
              <w:t xml:space="preserve"> </w:t>
            </w:r>
            <w:r w:rsidRPr="00EB4A22">
              <w:rPr>
                <w:rFonts w:asciiTheme="minorHAnsi" w:hAnsiTheme="minorHAnsi"/>
                <w:sz w:val="22"/>
                <w:szCs w:val="22"/>
                <w:lang w:bidi="ar-SA"/>
              </w:rPr>
              <w:t>Additionally, complaints received within a single six-month period will sometimes relate to care provided within quite a different time period. From time to time, some DHBs may also be the subject of a number of complaints from a single complainant within one reporting period. This is important context that is taken into account by DHBs when considering their own complaint patterns.</w:t>
            </w:r>
          </w:p>
          <w:p w14:paraId="60B677AE" w14:textId="77777777" w:rsidR="00EB4A22" w:rsidRPr="0078382D" w:rsidRDefault="00EB4A22" w:rsidP="00B12430">
            <w:pPr>
              <w:spacing w:after="120"/>
              <w:rPr>
                <w:sz w:val="12"/>
                <w:szCs w:val="12"/>
              </w:rPr>
            </w:pPr>
          </w:p>
        </w:tc>
      </w:tr>
    </w:tbl>
    <w:p w14:paraId="2FE0B0FB" w14:textId="77777777" w:rsidR="00EB4A22" w:rsidRDefault="00EB4A22" w:rsidP="00EB4A22"/>
    <w:p w14:paraId="59F248E6" w14:textId="77777777" w:rsidR="00EB4A22" w:rsidRDefault="00EB4A22" w:rsidP="00EB4A22"/>
    <w:p w14:paraId="3C1E968A" w14:textId="389E1E5F" w:rsidR="00EB4A22" w:rsidRDefault="00EB4A22" w:rsidP="00EB4A22"/>
    <w:p w14:paraId="7C81FD34" w14:textId="6EEB4E29" w:rsidR="00EB4A22" w:rsidRDefault="00EB4A22" w:rsidP="00EB4A22">
      <w:pPr>
        <w:pStyle w:val="Heading2"/>
        <w:spacing w:after="240"/>
        <w:rPr>
          <w:sz w:val="36"/>
          <w:szCs w:val="36"/>
        </w:rPr>
      </w:pPr>
      <w:bookmarkStart w:id="33" w:name="_Toc71561652"/>
      <w:bookmarkStart w:id="34" w:name="_Toc90639016"/>
      <w:bookmarkStart w:id="35" w:name="_Toc404344428"/>
      <w:bookmarkStart w:id="36" w:name="_Toc506278067"/>
      <w:bookmarkEnd w:id="26"/>
      <w:bookmarkEnd w:id="27"/>
      <w:bookmarkEnd w:id="28"/>
      <w:bookmarkEnd w:id="29"/>
      <w:bookmarkEnd w:id="30"/>
      <w:bookmarkEnd w:id="31"/>
      <w:bookmarkEnd w:id="32"/>
      <w:r>
        <w:rPr>
          <w:sz w:val="36"/>
          <w:szCs w:val="36"/>
        </w:rPr>
        <w:lastRenderedPageBreak/>
        <w:t>2</w:t>
      </w:r>
      <w:r w:rsidRPr="00666BAC">
        <w:rPr>
          <w:sz w:val="36"/>
          <w:szCs w:val="36"/>
        </w:rPr>
        <w:t>. Wh</w:t>
      </w:r>
      <w:r>
        <w:rPr>
          <w:sz w:val="36"/>
          <w:szCs w:val="36"/>
        </w:rPr>
        <w:t>o complained</w:t>
      </w:r>
      <w:r w:rsidRPr="00666BAC">
        <w:rPr>
          <w:sz w:val="36"/>
          <w:szCs w:val="36"/>
        </w:rPr>
        <w:t>?</w:t>
      </w:r>
      <w:bookmarkEnd w:id="33"/>
      <w:bookmarkEnd w:id="34"/>
    </w:p>
    <w:p w14:paraId="11F624FB" w14:textId="42461CE8" w:rsidR="003D0B12" w:rsidRDefault="003D0B12" w:rsidP="003D0B12">
      <w:pPr>
        <w:pStyle w:val="Heading3"/>
      </w:pPr>
      <w:bookmarkStart w:id="37" w:name="_Toc90639017"/>
      <w:r w:rsidRPr="00666BAC">
        <w:t>2.1</w:t>
      </w:r>
      <w:r w:rsidRPr="00666BAC">
        <w:tab/>
      </w:r>
      <w:r w:rsidRPr="00666BAC">
        <w:tab/>
      </w:r>
      <w:r>
        <w:t>Consumer gender</w:t>
      </w:r>
      <w:bookmarkEnd w:id="37"/>
    </w:p>
    <w:p w14:paraId="4212F61B" w14:textId="77777777" w:rsidR="003D0B12" w:rsidRDefault="003D0B12" w:rsidP="003D0B12">
      <w:pPr>
        <w:pStyle w:val="Default"/>
        <w:spacing w:after="51"/>
        <w:rPr>
          <w:rFonts w:asciiTheme="minorHAnsi" w:hAnsiTheme="minorHAnsi"/>
          <w:sz w:val="22"/>
          <w:szCs w:val="22"/>
        </w:rPr>
      </w:pPr>
      <w:r>
        <w:rPr>
          <w:rFonts w:asciiTheme="minorHAnsi" w:hAnsiTheme="minorHAnsi"/>
          <w:sz w:val="22"/>
          <w:szCs w:val="22"/>
        </w:rPr>
        <w:t>The gender</w:t>
      </w:r>
      <w:r w:rsidRPr="004C6DD1">
        <w:rPr>
          <w:rFonts w:asciiTheme="minorHAnsi" w:hAnsiTheme="minorHAnsi"/>
          <w:sz w:val="22"/>
          <w:szCs w:val="22"/>
        </w:rPr>
        <w:t xml:space="preserve"> of consumers </w:t>
      </w:r>
      <w:r>
        <w:rPr>
          <w:rFonts w:asciiTheme="minorHAnsi" w:hAnsiTheme="minorHAnsi"/>
          <w:sz w:val="22"/>
          <w:szCs w:val="22"/>
        </w:rPr>
        <w:t>in complaints to HDC about DHB services in Jan–Jun</w:t>
      </w:r>
      <w:r w:rsidRPr="004C6DD1">
        <w:rPr>
          <w:rFonts w:asciiTheme="minorHAnsi" w:hAnsiTheme="minorHAnsi"/>
          <w:sz w:val="22"/>
          <w:szCs w:val="22"/>
        </w:rPr>
        <w:t xml:space="preserve"> 202</w:t>
      </w:r>
      <w:r>
        <w:rPr>
          <w:rFonts w:asciiTheme="minorHAnsi" w:hAnsiTheme="minorHAnsi"/>
          <w:sz w:val="22"/>
          <w:szCs w:val="22"/>
        </w:rPr>
        <w:t>1</w:t>
      </w:r>
      <w:r w:rsidRPr="004C6DD1">
        <w:rPr>
          <w:rFonts w:asciiTheme="minorHAnsi" w:hAnsiTheme="minorHAnsi"/>
          <w:sz w:val="22"/>
          <w:szCs w:val="22"/>
        </w:rPr>
        <w:t xml:space="preserve"> is detailed below.</w:t>
      </w:r>
    </w:p>
    <w:p w14:paraId="6E9CD1B8" w14:textId="5B6B651D" w:rsidR="003D0B12" w:rsidRDefault="003D0B12" w:rsidP="003D0B12">
      <w:pPr>
        <w:pStyle w:val="Default"/>
        <w:spacing w:after="51"/>
        <w:rPr>
          <w:rFonts w:asciiTheme="minorHAnsi" w:hAnsiTheme="minorHAnsi"/>
          <w:sz w:val="22"/>
          <w:szCs w:val="22"/>
        </w:rPr>
      </w:pPr>
      <w:r w:rsidRPr="004C6DD1">
        <w:rPr>
          <w:rFonts w:asciiTheme="minorHAnsi" w:hAnsiTheme="minorHAnsi"/>
          <w:sz w:val="22"/>
          <w:szCs w:val="22"/>
        </w:rPr>
        <w:t xml:space="preserve"> </w:t>
      </w:r>
    </w:p>
    <w:p w14:paraId="6931BC7C" w14:textId="00B8B826" w:rsidR="003D0B12" w:rsidRPr="0069410F" w:rsidRDefault="003D0B12" w:rsidP="003D0B12">
      <w:pPr>
        <w:spacing w:after="120"/>
      </w:pPr>
      <w:r w:rsidRPr="005120FC">
        <w:rPr>
          <w:b/>
        </w:rPr>
        <w:t>Table 5.</w:t>
      </w:r>
      <w:r>
        <w:t xml:space="preserve"> Consumer gender</w:t>
      </w:r>
    </w:p>
    <w:tbl>
      <w:tblPr>
        <w:tblStyle w:val="TableGrid"/>
        <w:tblW w:w="0" w:type="auto"/>
        <w:tblLook w:val="04A0" w:firstRow="1" w:lastRow="0" w:firstColumn="1" w:lastColumn="0" w:noHBand="0" w:noVBand="1"/>
      </w:tblPr>
      <w:tblGrid>
        <w:gridCol w:w="3005"/>
        <w:gridCol w:w="3005"/>
        <w:gridCol w:w="3006"/>
      </w:tblGrid>
      <w:tr w:rsidR="003D0B12" w14:paraId="50281002" w14:textId="77777777" w:rsidTr="003D0B12">
        <w:tc>
          <w:tcPr>
            <w:tcW w:w="3005" w:type="dxa"/>
            <w:shd w:val="clear" w:color="auto" w:fill="C00000"/>
          </w:tcPr>
          <w:p w14:paraId="3418DAA8" w14:textId="3857A270" w:rsidR="003D0B12" w:rsidRPr="00EB4A22" w:rsidRDefault="003D0B12" w:rsidP="003D0B12">
            <w:pPr>
              <w:rPr>
                <w:rFonts w:asciiTheme="minorHAnsi" w:hAnsiTheme="minorHAnsi"/>
                <w:b/>
                <w:sz w:val="22"/>
                <w:szCs w:val="22"/>
              </w:rPr>
            </w:pPr>
            <w:r w:rsidRPr="00EB4A22">
              <w:rPr>
                <w:rFonts w:asciiTheme="minorHAnsi" w:hAnsiTheme="minorHAnsi"/>
                <w:b/>
                <w:sz w:val="22"/>
                <w:szCs w:val="22"/>
              </w:rPr>
              <w:t xml:space="preserve">Consumer </w:t>
            </w:r>
            <w:r w:rsidR="000260B7">
              <w:rPr>
                <w:rFonts w:asciiTheme="minorHAnsi" w:hAnsiTheme="minorHAnsi"/>
                <w:b/>
                <w:sz w:val="22"/>
                <w:szCs w:val="22"/>
              </w:rPr>
              <w:t>gender</w:t>
            </w:r>
          </w:p>
        </w:tc>
        <w:tc>
          <w:tcPr>
            <w:tcW w:w="3005" w:type="dxa"/>
            <w:shd w:val="clear" w:color="auto" w:fill="C00000"/>
          </w:tcPr>
          <w:p w14:paraId="3889314E" w14:textId="77777777" w:rsidR="003D0B12" w:rsidRPr="00EB4A22" w:rsidRDefault="003D0B12" w:rsidP="003D0B12">
            <w:pPr>
              <w:jc w:val="center"/>
              <w:rPr>
                <w:rFonts w:asciiTheme="minorHAnsi" w:hAnsiTheme="minorHAnsi"/>
                <w:b/>
                <w:sz w:val="22"/>
                <w:szCs w:val="22"/>
              </w:rPr>
            </w:pPr>
            <w:r w:rsidRPr="00EB4A22">
              <w:rPr>
                <w:rFonts w:asciiTheme="minorHAnsi" w:hAnsiTheme="minorHAnsi"/>
                <w:b/>
                <w:sz w:val="22"/>
                <w:szCs w:val="22"/>
              </w:rPr>
              <w:t>Number of complaints</w:t>
            </w:r>
          </w:p>
        </w:tc>
        <w:tc>
          <w:tcPr>
            <w:tcW w:w="3006" w:type="dxa"/>
            <w:shd w:val="clear" w:color="auto" w:fill="C00000"/>
          </w:tcPr>
          <w:p w14:paraId="023541C0" w14:textId="77777777" w:rsidR="003D0B12" w:rsidRPr="00EB4A22" w:rsidRDefault="003D0B12" w:rsidP="003D0B12">
            <w:pPr>
              <w:jc w:val="center"/>
              <w:rPr>
                <w:rFonts w:asciiTheme="minorHAnsi" w:hAnsiTheme="minorHAnsi"/>
                <w:b/>
                <w:sz w:val="22"/>
                <w:szCs w:val="22"/>
              </w:rPr>
            </w:pPr>
            <w:r w:rsidRPr="00EB4A22">
              <w:rPr>
                <w:rFonts w:asciiTheme="minorHAnsi" w:hAnsiTheme="minorHAnsi"/>
                <w:b/>
                <w:sz w:val="22"/>
                <w:szCs w:val="22"/>
              </w:rPr>
              <w:t>Proportion of complaints</w:t>
            </w:r>
          </w:p>
        </w:tc>
      </w:tr>
      <w:tr w:rsidR="003D0B12" w14:paraId="1E8AF2DC" w14:textId="77777777" w:rsidTr="003D0B12">
        <w:tc>
          <w:tcPr>
            <w:tcW w:w="3005" w:type="dxa"/>
          </w:tcPr>
          <w:p w14:paraId="2BFAEB7B" w14:textId="0FBFDA09" w:rsidR="003D0B12" w:rsidRPr="00EB4A22" w:rsidRDefault="003D0B12" w:rsidP="003D0B12">
            <w:pPr>
              <w:rPr>
                <w:rFonts w:asciiTheme="minorHAnsi" w:hAnsiTheme="minorHAnsi"/>
                <w:sz w:val="22"/>
                <w:szCs w:val="22"/>
              </w:rPr>
            </w:pPr>
            <w:r>
              <w:rPr>
                <w:rFonts w:asciiTheme="minorHAnsi" w:hAnsiTheme="minorHAnsi"/>
                <w:sz w:val="22"/>
                <w:szCs w:val="22"/>
              </w:rPr>
              <w:t>Female</w:t>
            </w:r>
          </w:p>
        </w:tc>
        <w:tc>
          <w:tcPr>
            <w:tcW w:w="3005" w:type="dxa"/>
            <w:vAlign w:val="center"/>
          </w:tcPr>
          <w:p w14:paraId="5428947D" w14:textId="0C5A591A" w:rsidR="003D0B12" w:rsidRPr="00EB4A22" w:rsidRDefault="003D0B12" w:rsidP="003D0B12">
            <w:pPr>
              <w:jc w:val="center"/>
              <w:rPr>
                <w:rFonts w:asciiTheme="minorHAnsi" w:hAnsiTheme="minorHAnsi"/>
                <w:sz w:val="22"/>
                <w:szCs w:val="22"/>
              </w:rPr>
            </w:pPr>
            <w:r>
              <w:rPr>
                <w:rFonts w:asciiTheme="minorHAnsi" w:hAnsiTheme="minorHAnsi"/>
                <w:sz w:val="22"/>
                <w:szCs w:val="22"/>
              </w:rPr>
              <w:t>311</w:t>
            </w:r>
          </w:p>
        </w:tc>
        <w:tc>
          <w:tcPr>
            <w:tcW w:w="3006" w:type="dxa"/>
            <w:vAlign w:val="center"/>
          </w:tcPr>
          <w:p w14:paraId="33D57234" w14:textId="1894D05E" w:rsidR="003D0B12" w:rsidRPr="00EB4A22" w:rsidRDefault="003D0B12" w:rsidP="003D0B12">
            <w:pPr>
              <w:jc w:val="center"/>
              <w:rPr>
                <w:rFonts w:asciiTheme="minorHAnsi" w:hAnsiTheme="minorHAnsi"/>
                <w:sz w:val="22"/>
                <w:szCs w:val="22"/>
              </w:rPr>
            </w:pPr>
            <w:r>
              <w:rPr>
                <w:rFonts w:asciiTheme="minorHAnsi" w:hAnsiTheme="minorHAnsi"/>
                <w:sz w:val="22"/>
                <w:szCs w:val="22"/>
              </w:rPr>
              <w:t>58%</w:t>
            </w:r>
          </w:p>
        </w:tc>
      </w:tr>
      <w:tr w:rsidR="003D0B12" w14:paraId="1DEF9D1A" w14:textId="77777777" w:rsidTr="003D0B12">
        <w:tc>
          <w:tcPr>
            <w:tcW w:w="3005" w:type="dxa"/>
          </w:tcPr>
          <w:p w14:paraId="53939DB7" w14:textId="28BC3E6F" w:rsidR="003D0B12" w:rsidRPr="00EB4A22" w:rsidRDefault="003D0B12" w:rsidP="003D0B12">
            <w:pPr>
              <w:rPr>
                <w:rFonts w:asciiTheme="minorHAnsi" w:hAnsiTheme="minorHAnsi"/>
                <w:sz w:val="22"/>
                <w:szCs w:val="22"/>
              </w:rPr>
            </w:pPr>
            <w:r>
              <w:rPr>
                <w:rFonts w:asciiTheme="minorHAnsi" w:hAnsiTheme="minorHAnsi"/>
                <w:sz w:val="22"/>
                <w:szCs w:val="22"/>
              </w:rPr>
              <w:t>Male</w:t>
            </w:r>
          </w:p>
        </w:tc>
        <w:tc>
          <w:tcPr>
            <w:tcW w:w="3005" w:type="dxa"/>
            <w:vAlign w:val="center"/>
          </w:tcPr>
          <w:p w14:paraId="61164D5F" w14:textId="079FC60C" w:rsidR="003D0B12" w:rsidRPr="00EB4A22" w:rsidRDefault="003D0B12" w:rsidP="003D0B12">
            <w:pPr>
              <w:jc w:val="center"/>
              <w:rPr>
                <w:rFonts w:asciiTheme="minorHAnsi" w:hAnsiTheme="minorHAnsi"/>
                <w:sz w:val="22"/>
                <w:szCs w:val="22"/>
              </w:rPr>
            </w:pPr>
            <w:r>
              <w:rPr>
                <w:rFonts w:asciiTheme="minorHAnsi" w:hAnsiTheme="minorHAnsi"/>
                <w:sz w:val="22"/>
                <w:szCs w:val="22"/>
              </w:rPr>
              <w:t>210</w:t>
            </w:r>
          </w:p>
        </w:tc>
        <w:tc>
          <w:tcPr>
            <w:tcW w:w="3006" w:type="dxa"/>
            <w:vAlign w:val="center"/>
          </w:tcPr>
          <w:p w14:paraId="2FA311D3" w14:textId="151D56C8" w:rsidR="003D0B12" w:rsidRPr="00EB4A22" w:rsidRDefault="003D0B12" w:rsidP="003D0B12">
            <w:pPr>
              <w:jc w:val="center"/>
              <w:rPr>
                <w:rFonts w:asciiTheme="minorHAnsi" w:hAnsiTheme="minorHAnsi"/>
                <w:sz w:val="22"/>
                <w:szCs w:val="22"/>
              </w:rPr>
            </w:pPr>
            <w:r>
              <w:rPr>
                <w:rFonts w:asciiTheme="minorHAnsi" w:hAnsiTheme="minorHAnsi"/>
                <w:sz w:val="22"/>
                <w:szCs w:val="22"/>
              </w:rPr>
              <w:t>39%</w:t>
            </w:r>
          </w:p>
        </w:tc>
      </w:tr>
      <w:tr w:rsidR="003D0B12" w14:paraId="54F1E33D" w14:textId="77777777" w:rsidTr="003D0B12">
        <w:tc>
          <w:tcPr>
            <w:tcW w:w="3005" w:type="dxa"/>
          </w:tcPr>
          <w:p w14:paraId="0C6AB2EF" w14:textId="704CF85D" w:rsidR="003D0B12" w:rsidRPr="00EB4A22" w:rsidRDefault="003D0B12" w:rsidP="003D0B12">
            <w:pPr>
              <w:jc w:val="left"/>
              <w:rPr>
                <w:rFonts w:asciiTheme="minorHAnsi" w:hAnsiTheme="minorHAnsi"/>
                <w:sz w:val="22"/>
                <w:szCs w:val="22"/>
              </w:rPr>
            </w:pPr>
            <w:r>
              <w:rPr>
                <w:rFonts w:asciiTheme="minorHAnsi" w:hAnsiTheme="minorHAnsi"/>
                <w:sz w:val="22"/>
                <w:szCs w:val="22"/>
              </w:rPr>
              <w:t>Another gender</w:t>
            </w:r>
          </w:p>
        </w:tc>
        <w:tc>
          <w:tcPr>
            <w:tcW w:w="3005" w:type="dxa"/>
            <w:vAlign w:val="center"/>
          </w:tcPr>
          <w:p w14:paraId="745F2F0C" w14:textId="5E3B466F" w:rsidR="003D0B12" w:rsidRPr="00EB4A22" w:rsidRDefault="003D0B12" w:rsidP="003D0B12">
            <w:pPr>
              <w:jc w:val="center"/>
              <w:rPr>
                <w:rFonts w:asciiTheme="minorHAnsi" w:hAnsiTheme="minorHAnsi"/>
                <w:sz w:val="22"/>
                <w:szCs w:val="22"/>
              </w:rPr>
            </w:pPr>
            <w:r>
              <w:rPr>
                <w:rFonts w:asciiTheme="minorHAnsi" w:hAnsiTheme="minorHAnsi"/>
                <w:sz w:val="22"/>
                <w:szCs w:val="22"/>
              </w:rPr>
              <w:t>9</w:t>
            </w:r>
          </w:p>
        </w:tc>
        <w:tc>
          <w:tcPr>
            <w:tcW w:w="3006" w:type="dxa"/>
            <w:vAlign w:val="center"/>
          </w:tcPr>
          <w:p w14:paraId="029CD05B" w14:textId="2F9A2C02" w:rsidR="003D0B12" w:rsidRPr="00EB4A22" w:rsidRDefault="003D0B12" w:rsidP="003D0B12">
            <w:pPr>
              <w:jc w:val="center"/>
              <w:rPr>
                <w:rFonts w:asciiTheme="minorHAnsi" w:hAnsiTheme="minorHAnsi"/>
                <w:sz w:val="22"/>
                <w:szCs w:val="22"/>
              </w:rPr>
            </w:pPr>
            <w:r>
              <w:rPr>
                <w:rFonts w:asciiTheme="minorHAnsi" w:hAnsiTheme="minorHAnsi"/>
                <w:sz w:val="22"/>
                <w:szCs w:val="22"/>
              </w:rPr>
              <w:t>2%</w:t>
            </w:r>
          </w:p>
        </w:tc>
      </w:tr>
      <w:tr w:rsidR="003D0B12" w14:paraId="4CFF2513" w14:textId="77777777" w:rsidTr="003D0B12">
        <w:tc>
          <w:tcPr>
            <w:tcW w:w="3005" w:type="dxa"/>
          </w:tcPr>
          <w:p w14:paraId="2734E884" w14:textId="77777777" w:rsidR="003D0B12" w:rsidRPr="00EB4A22" w:rsidRDefault="003D0B12" w:rsidP="003D0B12">
            <w:pPr>
              <w:jc w:val="left"/>
              <w:rPr>
                <w:rFonts w:asciiTheme="minorHAnsi" w:hAnsiTheme="minorHAnsi"/>
                <w:sz w:val="22"/>
                <w:szCs w:val="22"/>
              </w:rPr>
            </w:pPr>
            <w:r w:rsidRPr="00EB4A22">
              <w:rPr>
                <w:rFonts w:asciiTheme="minorHAnsi" w:hAnsiTheme="minorHAnsi"/>
                <w:sz w:val="22"/>
                <w:szCs w:val="22"/>
              </w:rPr>
              <w:t>Unknown/did not wish to answer</w:t>
            </w:r>
          </w:p>
        </w:tc>
        <w:tc>
          <w:tcPr>
            <w:tcW w:w="3005" w:type="dxa"/>
            <w:vAlign w:val="center"/>
          </w:tcPr>
          <w:p w14:paraId="33C8CF32" w14:textId="7F06192F" w:rsidR="003D0B12" w:rsidRPr="00EB4A22" w:rsidRDefault="003D0B12" w:rsidP="003D0B12">
            <w:pPr>
              <w:jc w:val="center"/>
              <w:rPr>
                <w:rFonts w:asciiTheme="minorHAnsi" w:hAnsiTheme="minorHAnsi"/>
                <w:sz w:val="22"/>
                <w:szCs w:val="22"/>
              </w:rPr>
            </w:pPr>
            <w:r>
              <w:rPr>
                <w:rFonts w:asciiTheme="minorHAnsi" w:hAnsiTheme="minorHAnsi"/>
                <w:sz w:val="22"/>
                <w:szCs w:val="22"/>
              </w:rPr>
              <w:t>2</w:t>
            </w:r>
          </w:p>
        </w:tc>
        <w:tc>
          <w:tcPr>
            <w:tcW w:w="3006" w:type="dxa"/>
            <w:vAlign w:val="center"/>
          </w:tcPr>
          <w:p w14:paraId="39C17054" w14:textId="1241681A" w:rsidR="003D0B12" w:rsidRPr="00EB4A22" w:rsidRDefault="003D0B12" w:rsidP="003D0B12">
            <w:pPr>
              <w:jc w:val="center"/>
              <w:rPr>
                <w:rFonts w:asciiTheme="minorHAnsi" w:hAnsiTheme="minorHAnsi"/>
                <w:sz w:val="22"/>
                <w:szCs w:val="22"/>
              </w:rPr>
            </w:pPr>
            <w:r>
              <w:rPr>
                <w:rFonts w:asciiTheme="minorHAnsi" w:hAnsiTheme="minorHAnsi"/>
                <w:sz w:val="22"/>
                <w:szCs w:val="22"/>
              </w:rPr>
              <w:t>0.4%</w:t>
            </w:r>
          </w:p>
        </w:tc>
      </w:tr>
    </w:tbl>
    <w:p w14:paraId="16CFD12B" w14:textId="4A5FBD91" w:rsidR="003D0B12" w:rsidRDefault="003D0B12" w:rsidP="003D0B12"/>
    <w:p w14:paraId="68067C84" w14:textId="77777777" w:rsidR="00C46818" w:rsidRPr="00A504BF" w:rsidRDefault="00C46818" w:rsidP="00A504BF"/>
    <w:p w14:paraId="3CD9A898" w14:textId="5A96D8C2" w:rsidR="003D0B12" w:rsidRDefault="003D0B12" w:rsidP="003D0B12">
      <w:pPr>
        <w:pStyle w:val="Heading3"/>
      </w:pPr>
      <w:bookmarkStart w:id="38" w:name="_Toc90639018"/>
      <w:r>
        <w:t>2.2</w:t>
      </w:r>
      <w:r w:rsidRPr="00666BAC">
        <w:tab/>
      </w:r>
      <w:r w:rsidRPr="00666BAC">
        <w:tab/>
      </w:r>
      <w:r>
        <w:t>Consumer age</w:t>
      </w:r>
      <w:bookmarkEnd w:id="38"/>
    </w:p>
    <w:p w14:paraId="6C2F48EA" w14:textId="2ABDC4F4" w:rsidR="003D0B12" w:rsidRDefault="003D0B12" w:rsidP="003D0B12">
      <w:pPr>
        <w:pStyle w:val="Default"/>
        <w:spacing w:after="51"/>
        <w:rPr>
          <w:rFonts w:asciiTheme="minorHAnsi" w:hAnsiTheme="minorHAnsi"/>
          <w:sz w:val="22"/>
          <w:szCs w:val="22"/>
        </w:rPr>
      </w:pPr>
      <w:r>
        <w:rPr>
          <w:rFonts w:asciiTheme="minorHAnsi" w:hAnsiTheme="minorHAnsi"/>
          <w:sz w:val="22"/>
          <w:szCs w:val="22"/>
        </w:rPr>
        <w:t>The age</w:t>
      </w:r>
      <w:r w:rsidRPr="004C6DD1">
        <w:rPr>
          <w:rFonts w:asciiTheme="minorHAnsi" w:hAnsiTheme="minorHAnsi"/>
          <w:sz w:val="22"/>
          <w:szCs w:val="22"/>
        </w:rPr>
        <w:t xml:space="preserve"> of consumers </w:t>
      </w:r>
      <w:r>
        <w:rPr>
          <w:rFonts w:asciiTheme="minorHAnsi" w:hAnsiTheme="minorHAnsi"/>
          <w:sz w:val="22"/>
          <w:szCs w:val="22"/>
        </w:rPr>
        <w:t>in complaints to HDC about DHB services in Jan–Jun</w:t>
      </w:r>
      <w:r w:rsidRPr="004C6DD1">
        <w:rPr>
          <w:rFonts w:asciiTheme="minorHAnsi" w:hAnsiTheme="minorHAnsi"/>
          <w:sz w:val="22"/>
          <w:szCs w:val="22"/>
        </w:rPr>
        <w:t xml:space="preserve"> 202</w:t>
      </w:r>
      <w:r>
        <w:rPr>
          <w:rFonts w:asciiTheme="minorHAnsi" w:hAnsiTheme="minorHAnsi"/>
          <w:sz w:val="22"/>
          <w:szCs w:val="22"/>
        </w:rPr>
        <w:t>1</w:t>
      </w:r>
      <w:r w:rsidRPr="004C6DD1">
        <w:rPr>
          <w:rFonts w:asciiTheme="minorHAnsi" w:hAnsiTheme="minorHAnsi"/>
          <w:sz w:val="22"/>
          <w:szCs w:val="22"/>
        </w:rPr>
        <w:t xml:space="preserve"> is detailed below.</w:t>
      </w:r>
    </w:p>
    <w:p w14:paraId="4D399A48" w14:textId="77777777" w:rsidR="003D0B12" w:rsidRDefault="003D0B12" w:rsidP="003D0B12">
      <w:pPr>
        <w:pStyle w:val="Default"/>
        <w:spacing w:after="51"/>
        <w:rPr>
          <w:rFonts w:asciiTheme="minorHAnsi" w:hAnsiTheme="minorHAnsi"/>
          <w:sz w:val="22"/>
          <w:szCs w:val="22"/>
        </w:rPr>
      </w:pPr>
    </w:p>
    <w:p w14:paraId="2D7219D7" w14:textId="631B93DF" w:rsidR="003D0B12" w:rsidRPr="0069410F" w:rsidRDefault="006E35D3" w:rsidP="003D0B12">
      <w:pPr>
        <w:spacing w:after="120"/>
      </w:pPr>
      <w:r>
        <w:rPr>
          <w:b/>
        </w:rPr>
        <w:t>Table 6</w:t>
      </w:r>
      <w:r w:rsidR="003D0B12" w:rsidRPr="005120FC">
        <w:rPr>
          <w:b/>
        </w:rPr>
        <w:t>.</w:t>
      </w:r>
      <w:r w:rsidR="003D0B12">
        <w:t xml:space="preserve"> Consumer age</w:t>
      </w:r>
    </w:p>
    <w:tbl>
      <w:tblPr>
        <w:tblStyle w:val="TableGrid"/>
        <w:tblW w:w="0" w:type="auto"/>
        <w:tblLook w:val="04A0" w:firstRow="1" w:lastRow="0" w:firstColumn="1" w:lastColumn="0" w:noHBand="0" w:noVBand="1"/>
      </w:tblPr>
      <w:tblGrid>
        <w:gridCol w:w="3005"/>
        <w:gridCol w:w="3005"/>
        <w:gridCol w:w="3006"/>
      </w:tblGrid>
      <w:tr w:rsidR="003D0B12" w14:paraId="22E4D3EF" w14:textId="77777777" w:rsidTr="003D0B12">
        <w:tc>
          <w:tcPr>
            <w:tcW w:w="3005" w:type="dxa"/>
            <w:shd w:val="clear" w:color="auto" w:fill="C00000"/>
          </w:tcPr>
          <w:p w14:paraId="0D56115E" w14:textId="1B8407FA" w:rsidR="003D0B12" w:rsidRPr="00EB4A22" w:rsidRDefault="000260B7" w:rsidP="003D0B12">
            <w:pPr>
              <w:rPr>
                <w:rFonts w:asciiTheme="minorHAnsi" w:hAnsiTheme="minorHAnsi"/>
                <w:b/>
                <w:sz w:val="22"/>
                <w:szCs w:val="22"/>
              </w:rPr>
            </w:pPr>
            <w:r>
              <w:rPr>
                <w:rFonts w:asciiTheme="minorHAnsi" w:hAnsiTheme="minorHAnsi"/>
                <w:b/>
                <w:sz w:val="22"/>
                <w:szCs w:val="22"/>
              </w:rPr>
              <w:t>Consumer age</w:t>
            </w:r>
          </w:p>
        </w:tc>
        <w:tc>
          <w:tcPr>
            <w:tcW w:w="3005" w:type="dxa"/>
            <w:shd w:val="clear" w:color="auto" w:fill="C00000"/>
          </w:tcPr>
          <w:p w14:paraId="39E508D5" w14:textId="77777777" w:rsidR="003D0B12" w:rsidRPr="00EB4A22" w:rsidRDefault="003D0B12" w:rsidP="003D0B12">
            <w:pPr>
              <w:jc w:val="center"/>
              <w:rPr>
                <w:rFonts w:asciiTheme="minorHAnsi" w:hAnsiTheme="minorHAnsi"/>
                <w:b/>
                <w:sz w:val="22"/>
                <w:szCs w:val="22"/>
              </w:rPr>
            </w:pPr>
            <w:r w:rsidRPr="00EB4A22">
              <w:rPr>
                <w:rFonts w:asciiTheme="minorHAnsi" w:hAnsiTheme="minorHAnsi"/>
                <w:b/>
                <w:sz w:val="22"/>
                <w:szCs w:val="22"/>
              </w:rPr>
              <w:t>Number of complaints</w:t>
            </w:r>
          </w:p>
        </w:tc>
        <w:tc>
          <w:tcPr>
            <w:tcW w:w="3006" w:type="dxa"/>
            <w:shd w:val="clear" w:color="auto" w:fill="C00000"/>
          </w:tcPr>
          <w:p w14:paraId="2290AA5F" w14:textId="77777777" w:rsidR="003D0B12" w:rsidRPr="00EB4A22" w:rsidRDefault="003D0B12" w:rsidP="003D0B12">
            <w:pPr>
              <w:jc w:val="center"/>
              <w:rPr>
                <w:rFonts w:asciiTheme="minorHAnsi" w:hAnsiTheme="minorHAnsi"/>
                <w:b/>
                <w:sz w:val="22"/>
                <w:szCs w:val="22"/>
              </w:rPr>
            </w:pPr>
            <w:r w:rsidRPr="00EB4A22">
              <w:rPr>
                <w:rFonts w:asciiTheme="minorHAnsi" w:hAnsiTheme="minorHAnsi"/>
                <w:b/>
                <w:sz w:val="22"/>
                <w:szCs w:val="22"/>
              </w:rPr>
              <w:t>Proportion of complaints</w:t>
            </w:r>
          </w:p>
        </w:tc>
      </w:tr>
      <w:tr w:rsidR="003D0B12" w14:paraId="5163837A" w14:textId="77777777" w:rsidTr="003D0B12">
        <w:tc>
          <w:tcPr>
            <w:tcW w:w="3005" w:type="dxa"/>
          </w:tcPr>
          <w:p w14:paraId="3FA32DFF" w14:textId="09AC8E5F" w:rsidR="003D0B12" w:rsidRPr="00EB4A22" w:rsidRDefault="003D0B12" w:rsidP="003D0B12">
            <w:pPr>
              <w:rPr>
                <w:rFonts w:asciiTheme="minorHAnsi" w:hAnsiTheme="minorHAnsi"/>
                <w:sz w:val="22"/>
                <w:szCs w:val="22"/>
              </w:rPr>
            </w:pPr>
            <w:r>
              <w:rPr>
                <w:rFonts w:asciiTheme="minorHAnsi" w:hAnsiTheme="minorHAnsi"/>
                <w:sz w:val="22"/>
                <w:szCs w:val="22"/>
              </w:rPr>
              <w:t>0 to 17 years</w:t>
            </w:r>
          </w:p>
        </w:tc>
        <w:tc>
          <w:tcPr>
            <w:tcW w:w="3005" w:type="dxa"/>
            <w:vAlign w:val="center"/>
          </w:tcPr>
          <w:p w14:paraId="722875FC" w14:textId="292A1FEB" w:rsidR="003D0B12" w:rsidRPr="00EB4A22" w:rsidRDefault="006E35D3" w:rsidP="003D0B12">
            <w:pPr>
              <w:jc w:val="center"/>
              <w:rPr>
                <w:rFonts w:asciiTheme="minorHAnsi" w:hAnsiTheme="minorHAnsi"/>
                <w:sz w:val="22"/>
                <w:szCs w:val="22"/>
              </w:rPr>
            </w:pPr>
            <w:r>
              <w:rPr>
                <w:rFonts w:asciiTheme="minorHAnsi" w:hAnsiTheme="minorHAnsi"/>
                <w:sz w:val="22"/>
                <w:szCs w:val="22"/>
              </w:rPr>
              <w:t>32</w:t>
            </w:r>
          </w:p>
        </w:tc>
        <w:tc>
          <w:tcPr>
            <w:tcW w:w="3006" w:type="dxa"/>
            <w:vAlign w:val="center"/>
          </w:tcPr>
          <w:p w14:paraId="15434966" w14:textId="5D46584C" w:rsidR="003D0B12" w:rsidRPr="00EB4A22" w:rsidRDefault="006E35D3" w:rsidP="003D0B12">
            <w:pPr>
              <w:jc w:val="center"/>
              <w:rPr>
                <w:rFonts w:asciiTheme="minorHAnsi" w:hAnsiTheme="minorHAnsi"/>
                <w:sz w:val="22"/>
                <w:szCs w:val="22"/>
              </w:rPr>
            </w:pPr>
            <w:r>
              <w:rPr>
                <w:rFonts w:asciiTheme="minorHAnsi" w:hAnsiTheme="minorHAnsi"/>
                <w:sz w:val="22"/>
                <w:szCs w:val="22"/>
              </w:rPr>
              <w:t>6%</w:t>
            </w:r>
          </w:p>
        </w:tc>
      </w:tr>
      <w:tr w:rsidR="003D0B12" w14:paraId="7D078631" w14:textId="77777777" w:rsidTr="003D0B12">
        <w:tc>
          <w:tcPr>
            <w:tcW w:w="3005" w:type="dxa"/>
          </w:tcPr>
          <w:p w14:paraId="71B7CCB7" w14:textId="0CFDEAF0" w:rsidR="003D0B12" w:rsidRPr="00EB4A22" w:rsidRDefault="006E35D3" w:rsidP="003D0B12">
            <w:pPr>
              <w:rPr>
                <w:rFonts w:asciiTheme="minorHAnsi" w:hAnsiTheme="minorHAnsi"/>
                <w:sz w:val="22"/>
                <w:szCs w:val="22"/>
              </w:rPr>
            </w:pPr>
            <w:r>
              <w:rPr>
                <w:rFonts w:asciiTheme="minorHAnsi" w:hAnsiTheme="minorHAnsi"/>
                <w:sz w:val="22"/>
                <w:szCs w:val="22"/>
              </w:rPr>
              <w:t>18 to 24 years</w:t>
            </w:r>
          </w:p>
        </w:tc>
        <w:tc>
          <w:tcPr>
            <w:tcW w:w="3005" w:type="dxa"/>
            <w:vAlign w:val="center"/>
          </w:tcPr>
          <w:p w14:paraId="333569D0" w14:textId="5F460069" w:rsidR="003D0B12" w:rsidRPr="00EB4A22" w:rsidRDefault="006E35D3" w:rsidP="003D0B12">
            <w:pPr>
              <w:jc w:val="center"/>
              <w:rPr>
                <w:rFonts w:asciiTheme="minorHAnsi" w:hAnsiTheme="minorHAnsi"/>
                <w:sz w:val="22"/>
                <w:szCs w:val="22"/>
              </w:rPr>
            </w:pPr>
            <w:r>
              <w:rPr>
                <w:rFonts w:asciiTheme="minorHAnsi" w:hAnsiTheme="minorHAnsi"/>
                <w:sz w:val="22"/>
                <w:szCs w:val="22"/>
              </w:rPr>
              <w:t>32</w:t>
            </w:r>
          </w:p>
        </w:tc>
        <w:tc>
          <w:tcPr>
            <w:tcW w:w="3006" w:type="dxa"/>
            <w:vAlign w:val="center"/>
          </w:tcPr>
          <w:p w14:paraId="2329289B" w14:textId="22AFE2D6" w:rsidR="003D0B12" w:rsidRPr="00EB4A22" w:rsidRDefault="006E35D3" w:rsidP="003D0B12">
            <w:pPr>
              <w:jc w:val="center"/>
              <w:rPr>
                <w:rFonts w:asciiTheme="minorHAnsi" w:hAnsiTheme="minorHAnsi"/>
                <w:sz w:val="22"/>
                <w:szCs w:val="22"/>
              </w:rPr>
            </w:pPr>
            <w:r>
              <w:rPr>
                <w:rFonts w:asciiTheme="minorHAnsi" w:hAnsiTheme="minorHAnsi"/>
                <w:sz w:val="22"/>
                <w:szCs w:val="22"/>
              </w:rPr>
              <w:t>6%</w:t>
            </w:r>
          </w:p>
        </w:tc>
      </w:tr>
      <w:tr w:rsidR="003D0B12" w14:paraId="434DFE7F" w14:textId="77777777" w:rsidTr="003D0B12">
        <w:tc>
          <w:tcPr>
            <w:tcW w:w="3005" w:type="dxa"/>
          </w:tcPr>
          <w:p w14:paraId="24B3F55F" w14:textId="6321B4FD" w:rsidR="003D0B12" w:rsidRPr="00EB4A22" w:rsidRDefault="006E35D3" w:rsidP="003D0B12">
            <w:pPr>
              <w:jc w:val="left"/>
              <w:rPr>
                <w:rFonts w:asciiTheme="minorHAnsi" w:hAnsiTheme="minorHAnsi"/>
                <w:sz w:val="22"/>
                <w:szCs w:val="22"/>
              </w:rPr>
            </w:pPr>
            <w:r>
              <w:rPr>
                <w:rFonts w:asciiTheme="minorHAnsi" w:hAnsiTheme="minorHAnsi"/>
                <w:sz w:val="22"/>
                <w:szCs w:val="22"/>
              </w:rPr>
              <w:t>25 to 34 years</w:t>
            </w:r>
          </w:p>
        </w:tc>
        <w:tc>
          <w:tcPr>
            <w:tcW w:w="3005" w:type="dxa"/>
            <w:vAlign w:val="center"/>
          </w:tcPr>
          <w:p w14:paraId="26D902D2" w14:textId="606A087C" w:rsidR="003D0B12" w:rsidRPr="00EB4A22" w:rsidRDefault="006E35D3" w:rsidP="003D0B12">
            <w:pPr>
              <w:jc w:val="center"/>
              <w:rPr>
                <w:rFonts w:asciiTheme="minorHAnsi" w:hAnsiTheme="minorHAnsi"/>
                <w:sz w:val="22"/>
                <w:szCs w:val="22"/>
              </w:rPr>
            </w:pPr>
            <w:r>
              <w:rPr>
                <w:rFonts w:asciiTheme="minorHAnsi" w:hAnsiTheme="minorHAnsi"/>
                <w:sz w:val="22"/>
                <w:szCs w:val="22"/>
              </w:rPr>
              <w:t>71</w:t>
            </w:r>
          </w:p>
        </w:tc>
        <w:tc>
          <w:tcPr>
            <w:tcW w:w="3006" w:type="dxa"/>
            <w:vAlign w:val="center"/>
          </w:tcPr>
          <w:p w14:paraId="6E4E0CCD" w14:textId="1245D3C4" w:rsidR="003D0B12" w:rsidRPr="00EB4A22" w:rsidRDefault="006E35D3" w:rsidP="003D0B12">
            <w:pPr>
              <w:jc w:val="center"/>
              <w:rPr>
                <w:rFonts w:asciiTheme="minorHAnsi" w:hAnsiTheme="minorHAnsi"/>
                <w:sz w:val="22"/>
                <w:szCs w:val="22"/>
              </w:rPr>
            </w:pPr>
            <w:r>
              <w:rPr>
                <w:rFonts w:asciiTheme="minorHAnsi" w:hAnsiTheme="minorHAnsi"/>
                <w:sz w:val="22"/>
                <w:szCs w:val="22"/>
              </w:rPr>
              <w:t>13%</w:t>
            </w:r>
          </w:p>
        </w:tc>
      </w:tr>
      <w:tr w:rsidR="003D0B12" w14:paraId="7AD815EA" w14:textId="77777777" w:rsidTr="003D0B12">
        <w:tc>
          <w:tcPr>
            <w:tcW w:w="3005" w:type="dxa"/>
          </w:tcPr>
          <w:p w14:paraId="222928E1" w14:textId="3732580D" w:rsidR="003D0B12" w:rsidRPr="00EB4A22" w:rsidRDefault="006E35D3" w:rsidP="003D0B12">
            <w:pPr>
              <w:jc w:val="left"/>
              <w:rPr>
                <w:rFonts w:asciiTheme="minorHAnsi" w:hAnsiTheme="minorHAnsi"/>
                <w:sz w:val="22"/>
                <w:szCs w:val="22"/>
              </w:rPr>
            </w:pPr>
            <w:r>
              <w:rPr>
                <w:rFonts w:asciiTheme="minorHAnsi" w:hAnsiTheme="minorHAnsi"/>
                <w:sz w:val="22"/>
                <w:szCs w:val="22"/>
              </w:rPr>
              <w:t>35 to 49 years</w:t>
            </w:r>
          </w:p>
        </w:tc>
        <w:tc>
          <w:tcPr>
            <w:tcW w:w="3005" w:type="dxa"/>
            <w:vAlign w:val="center"/>
          </w:tcPr>
          <w:p w14:paraId="2011F1F1" w14:textId="0887C0A7" w:rsidR="003D0B12" w:rsidRPr="00EB4A22" w:rsidRDefault="006E35D3" w:rsidP="003D0B12">
            <w:pPr>
              <w:jc w:val="center"/>
              <w:rPr>
                <w:rFonts w:asciiTheme="minorHAnsi" w:hAnsiTheme="minorHAnsi"/>
                <w:sz w:val="22"/>
                <w:szCs w:val="22"/>
              </w:rPr>
            </w:pPr>
            <w:r>
              <w:rPr>
                <w:rFonts w:asciiTheme="minorHAnsi" w:hAnsiTheme="minorHAnsi"/>
                <w:sz w:val="22"/>
                <w:szCs w:val="22"/>
              </w:rPr>
              <w:t>108</w:t>
            </w:r>
          </w:p>
        </w:tc>
        <w:tc>
          <w:tcPr>
            <w:tcW w:w="3006" w:type="dxa"/>
            <w:vAlign w:val="center"/>
          </w:tcPr>
          <w:p w14:paraId="6B7B78D9" w14:textId="687A8933" w:rsidR="003D0B12" w:rsidRPr="00EB4A22" w:rsidRDefault="006E35D3" w:rsidP="003D0B12">
            <w:pPr>
              <w:jc w:val="center"/>
              <w:rPr>
                <w:rFonts w:asciiTheme="minorHAnsi" w:hAnsiTheme="minorHAnsi"/>
                <w:sz w:val="22"/>
                <w:szCs w:val="22"/>
              </w:rPr>
            </w:pPr>
            <w:r>
              <w:rPr>
                <w:rFonts w:asciiTheme="minorHAnsi" w:hAnsiTheme="minorHAnsi"/>
                <w:sz w:val="22"/>
                <w:szCs w:val="22"/>
              </w:rPr>
              <w:t>20%</w:t>
            </w:r>
          </w:p>
        </w:tc>
      </w:tr>
      <w:tr w:rsidR="003D0B12" w14:paraId="54A91FE1" w14:textId="77777777" w:rsidTr="003D0B12">
        <w:tc>
          <w:tcPr>
            <w:tcW w:w="3005" w:type="dxa"/>
          </w:tcPr>
          <w:p w14:paraId="4ECDA03A" w14:textId="7B60ABBB" w:rsidR="003D0B12" w:rsidRPr="00EB4A22" w:rsidRDefault="006E35D3" w:rsidP="003D0B12">
            <w:pPr>
              <w:jc w:val="left"/>
              <w:rPr>
                <w:rFonts w:asciiTheme="minorHAnsi" w:hAnsiTheme="minorHAnsi"/>
                <w:sz w:val="22"/>
                <w:szCs w:val="22"/>
              </w:rPr>
            </w:pPr>
            <w:r>
              <w:rPr>
                <w:rFonts w:asciiTheme="minorHAnsi" w:hAnsiTheme="minorHAnsi"/>
                <w:sz w:val="22"/>
                <w:szCs w:val="22"/>
              </w:rPr>
              <w:t>50 to 64 years</w:t>
            </w:r>
          </w:p>
        </w:tc>
        <w:tc>
          <w:tcPr>
            <w:tcW w:w="3005" w:type="dxa"/>
            <w:vAlign w:val="center"/>
          </w:tcPr>
          <w:p w14:paraId="4188B267" w14:textId="0FEDE4CB" w:rsidR="003D0B12" w:rsidRPr="00EB4A22" w:rsidRDefault="006E35D3" w:rsidP="003D0B12">
            <w:pPr>
              <w:jc w:val="center"/>
              <w:rPr>
                <w:rFonts w:asciiTheme="minorHAnsi" w:hAnsiTheme="minorHAnsi"/>
                <w:sz w:val="22"/>
                <w:szCs w:val="22"/>
              </w:rPr>
            </w:pPr>
            <w:r>
              <w:rPr>
                <w:rFonts w:asciiTheme="minorHAnsi" w:hAnsiTheme="minorHAnsi"/>
                <w:sz w:val="22"/>
                <w:szCs w:val="22"/>
              </w:rPr>
              <w:t>69</w:t>
            </w:r>
          </w:p>
        </w:tc>
        <w:tc>
          <w:tcPr>
            <w:tcW w:w="3006" w:type="dxa"/>
            <w:vAlign w:val="center"/>
          </w:tcPr>
          <w:p w14:paraId="3430F163" w14:textId="75451E40" w:rsidR="003D0B12" w:rsidRPr="00EB4A22" w:rsidRDefault="006E35D3" w:rsidP="003D0B12">
            <w:pPr>
              <w:jc w:val="center"/>
              <w:rPr>
                <w:rFonts w:asciiTheme="minorHAnsi" w:hAnsiTheme="minorHAnsi"/>
                <w:sz w:val="22"/>
                <w:szCs w:val="22"/>
              </w:rPr>
            </w:pPr>
            <w:r>
              <w:rPr>
                <w:rFonts w:asciiTheme="minorHAnsi" w:hAnsiTheme="minorHAnsi"/>
                <w:sz w:val="22"/>
                <w:szCs w:val="22"/>
              </w:rPr>
              <w:t>13%</w:t>
            </w:r>
          </w:p>
        </w:tc>
      </w:tr>
      <w:tr w:rsidR="003D0B12" w14:paraId="2833F851" w14:textId="77777777" w:rsidTr="003D0B12">
        <w:tc>
          <w:tcPr>
            <w:tcW w:w="3005" w:type="dxa"/>
          </w:tcPr>
          <w:p w14:paraId="7738EE6D" w14:textId="66C0483A" w:rsidR="003D0B12" w:rsidRPr="00EB4A22" w:rsidRDefault="006E35D3" w:rsidP="003D0B12">
            <w:pPr>
              <w:jc w:val="left"/>
              <w:rPr>
                <w:rFonts w:asciiTheme="minorHAnsi" w:hAnsiTheme="minorHAnsi"/>
                <w:sz w:val="22"/>
                <w:szCs w:val="22"/>
              </w:rPr>
            </w:pPr>
            <w:r>
              <w:rPr>
                <w:rFonts w:asciiTheme="minorHAnsi" w:hAnsiTheme="minorHAnsi"/>
                <w:sz w:val="22"/>
                <w:szCs w:val="22"/>
              </w:rPr>
              <w:t>65+ years</w:t>
            </w:r>
          </w:p>
        </w:tc>
        <w:tc>
          <w:tcPr>
            <w:tcW w:w="3005" w:type="dxa"/>
            <w:vAlign w:val="center"/>
          </w:tcPr>
          <w:p w14:paraId="5E1FB6D2" w14:textId="7057594A" w:rsidR="003D0B12" w:rsidRPr="00EB4A22" w:rsidRDefault="006E35D3" w:rsidP="003D0B12">
            <w:pPr>
              <w:jc w:val="center"/>
              <w:rPr>
                <w:rFonts w:asciiTheme="minorHAnsi" w:hAnsiTheme="minorHAnsi"/>
                <w:sz w:val="22"/>
                <w:szCs w:val="22"/>
              </w:rPr>
            </w:pPr>
            <w:r>
              <w:rPr>
                <w:rFonts w:asciiTheme="minorHAnsi" w:hAnsiTheme="minorHAnsi"/>
                <w:sz w:val="22"/>
                <w:szCs w:val="22"/>
              </w:rPr>
              <w:t>118</w:t>
            </w:r>
          </w:p>
        </w:tc>
        <w:tc>
          <w:tcPr>
            <w:tcW w:w="3006" w:type="dxa"/>
            <w:vAlign w:val="center"/>
          </w:tcPr>
          <w:p w14:paraId="01B56D6F" w14:textId="0D0A7027" w:rsidR="003D0B12" w:rsidRPr="00EB4A22" w:rsidRDefault="006E35D3" w:rsidP="003D0B12">
            <w:pPr>
              <w:jc w:val="center"/>
              <w:rPr>
                <w:rFonts w:asciiTheme="minorHAnsi" w:hAnsiTheme="minorHAnsi"/>
                <w:sz w:val="22"/>
                <w:szCs w:val="22"/>
              </w:rPr>
            </w:pPr>
            <w:r>
              <w:rPr>
                <w:rFonts w:asciiTheme="minorHAnsi" w:hAnsiTheme="minorHAnsi"/>
                <w:sz w:val="22"/>
                <w:szCs w:val="22"/>
              </w:rPr>
              <w:t>22%</w:t>
            </w:r>
          </w:p>
        </w:tc>
      </w:tr>
      <w:tr w:rsidR="003D0B12" w14:paraId="582D733A" w14:textId="77777777" w:rsidTr="003D0B12">
        <w:tc>
          <w:tcPr>
            <w:tcW w:w="3005" w:type="dxa"/>
          </w:tcPr>
          <w:p w14:paraId="6CCA0FB8" w14:textId="77777777" w:rsidR="003D0B12" w:rsidRPr="00EB4A22" w:rsidRDefault="003D0B12" w:rsidP="003D0B12">
            <w:pPr>
              <w:jc w:val="left"/>
              <w:rPr>
                <w:rFonts w:asciiTheme="minorHAnsi" w:hAnsiTheme="minorHAnsi"/>
                <w:sz w:val="22"/>
                <w:szCs w:val="22"/>
              </w:rPr>
            </w:pPr>
            <w:r w:rsidRPr="00EB4A22">
              <w:rPr>
                <w:rFonts w:asciiTheme="minorHAnsi" w:hAnsiTheme="minorHAnsi"/>
                <w:sz w:val="22"/>
                <w:szCs w:val="22"/>
              </w:rPr>
              <w:t>Unknown/did not wish to answer</w:t>
            </w:r>
          </w:p>
        </w:tc>
        <w:tc>
          <w:tcPr>
            <w:tcW w:w="3005" w:type="dxa"/>
            <w:vAlign w:val="center"/>
          </w:tcPr>
          <w:p w14:paraId="1ECA03F3" w14:textId="16636FA3" w:rsidR="003D0B12" w:rsidRPr="00EB4A22" w:rsidRDefault="006E35D3" w:rsidP="003D0B12">
            <w:pPr>
              <w:jc w:val="center"/>
              <w:rPr>
                <w:rFonts w:asciiTheme="minorHAnsi" w:hAnsiTheme="minorHAnsi"/>
                <w:sz w:val="22"/>
                <w:szCs w:val="22"/>
              </w:rPr>
            </w:pPr>
            <w:r>
              <w:rPr>
                <w:rFonts w:asciiTheme="minorHAnsi" w:hAnsiTheme="minorHAnsi"/>
                <w:sz w:val="22"/>
                <w:szCs w:val="22"/>
              </w:rPr>
              <w:t>102</w:t>
            </w:r>
          </w:p>
        </w:tc>
        <w:tc>
          <w:tcPr>
            <w:tcW w:w="3006" w:type="dxa"/>
            <w:vAlign w:val="center"/>
          </w:tcPr>
          <w:p w14:paraId="47064FBA" w14:textId="28CF12F0" w:rsidR="003D0B12" w:rsidRPr="00EB4A22" w:rsidRDefault="006E35D3" w:rsidP="003D0B12">
            <w:pPr>
              <w:jc w:val="center"/>
              <w:rPr>
                <w:rFonts w:asciiTheme="minorHAnsi" w:hAnsiTheme="minorHAnsi"/>
                <w:sz w:val="22"/>
                <w:szCs w:val="22"/>
              </w:rPr>
            </w:pPr>
            <w:r>
              <w:rPr>
                <w:rFonts w:asciiTheme="minorHAnsi" w:hAnsiTheme="minorHAnsi"/>
                <w:sz w:val="22"/>
                <w:szCs w:val="22"/>
              </w:rPr>
              <w:t>19%</w:t>
            </w:r>
          </w:p>
        </w:tc>
      </w:tr>
    </w:tbl>
    <w:p w14:paraId="55F84EF9" w14:textId="77777777" w:rsidR="003D0B12" w:rsidRPr="003D0B12" w:rsidRDefault="003D0B12" w:rsidP="003D0B12"/>
    <w:p w14:paraId="54225FD2" w14:textId="7CEE8528" w:rsidR="003D0B12" w:rsidRPr="003D0B12" w:rsidRDefault="003D0B12" w:rsidP="003D0B12">
      <w:pPr>
        <w:rPr>
          <w:lang w:val="en-AU" w:bidi="ar-SA"/>
        </w:rPr>
      </w:pPr>
    </w:p>
    <w:p w14:paraId="21DBA243" w14:textId="34E0764E" w:rsidR="00EB4A22" w:rsidRDefault="006E35D3" w:rsidP="00932E72">
      <w:pPr>
        <w:pStyle w:val="Heading3"/>
      </w:pPr>
      <w:bookmarkStart w:id="39" w:name="_Toc71561653"/>
      <w:bookmarkStart w:id="40" w:name="_Toc90639019"/>
      <w:r>
        <w:t>2.3</w:t>
      </w:r>
      <w:r w:rsidR="00EB4A22" w:rsidRPr="00666BAC">
        <w:tab/>
      </w:r>
      <w:r w:rsidR="00EB4A22" w:rsidRPr="00666BAC">
        <w:tab/>
      </w:r>
      <w:r w:rsidR="00EB4A22">
        <w:t>Consumer ethnicity</w:t>
      </w:r>
      <w:bookmarkEnd w:id="39"/>
      <w:bookmarkEnd w:id="40"/>
    </w:p>
    <w:p w14:paraId="01ECAD40" w14:textId="65D15795" w:rsidR="00EB4A22" w:rsidRDefault="00EB4A22" w:rsidP="00EB4A22">
      <w:pPr>
        <w:pStyle w:val="Default"/>
        <w:spacing w:after="51"/>
        <w:rPr>
          <w:rFonts w:asciiTheme="minorHAnsi" w:hAnsiTheme="minorHAnsi"/>
          <w:sz w:val="22"/>
          <w:szCs w:val="22"/>
        </w:rPr>
      </w:pPr>
      <w:r w:rsidRPr="004C6DD1">
        <w:rPr>
          <w:rFonts w:asciiTheme="minorHAnsi" w:hAnsiTheme="minorHAnsi"/>
          <w:sz w:val="22"/>
          <w:szCs w:val="22"/>
        </w:rPr>
        <w:t xml:space="preserve">The ethnicity of consumers </w:t>
      </w:r>
      <w:r w:rsidR="003D0B12">
        <w:rPr>
          <w:rFonts w:asciiTheme="minorHAnsi" w:hAnsiTheme="minorHAnsi"/>
          <w:sz w:val="22"/>
          <w:szCs w:val="22"/>
        </w:rPr>
        <w:t>in complaints</w:t>
      </w:r>
      <w:r>
        <w:rPr>
          <w:rFonts w:asciiTheme="minorHAnsi" w:hAnsiTheme="minorHAnsi"/>
          <w:sz w:val="22"/>
          <w:szCs w:val="22"/>
        </w:rPr>
        <w:t xml:space="preserve"> </w:t>
      </w:r>
      <w:r w:rsidR="003D0B12">
        <w:rPr>
          <w:rFonts w:asciiTheme="minorHAnsi" w:hAnsiTheme="minorHAnsi"/>
          <w:sz w:val="22"/>
          <w:szCs w:val="22"/>
        </w:rPr>
        <w:t>to HDC about DHB services in Jan–Jun</w:t>
      </w:r>
      <w:r w:rsidRPr="004C6DD1">
        <w:rPr>
          <w:rFonts w:asciiTheme="minorHAnsi" w:hAnsiTheme="minorHAnsi"/>
          <w:sz w:val="22"/>
          <w:szCs w:val="22"/>
        </w:rPr>
        <w:t xml:space="preserve"> 202</w:t>
      </w:r>
      <w:r w:rsidR="003D0B12">
        <w:rPr>
          <w:rFonts w:asciiTheme="minorHAnsi" w:hAnsiTheme="minorHAnsi"/>
          <w:sz w:val="22"/>
          <w:szCs w:val="22"/>
        </w:rPr>
        <w:t>1</w:t>
      </w:r>
      <w:r w:rsidRPr="004C6DD1">
        <w:rPr>
          <w:rFonts w:asciiTheme="minorHAnsi" w:hAnsiTheme="minorHAnsi"/>
          <w:sz w:val="22"/>
          <w:szCs w:val="22"/>
        </w:rPr>
        <w:t xml:space="preserve"> is detailed below. </w:t>
      </w:r>
    </w:p>
    <w:p w14:paraId="469FB92B" w14:textId="1A72BB03" w:rsidR="00EB4A22" w:rsidRDefault="00EB4A22" w:rsidP="00EB4A22"/>
    <w:p w14:paraId="788F8614" w14:textId="0590AB11" w:rsidR="00EB4A22" w:rsidRPr="0069410F" w:rsidRDefault="00EB4A22" w:rsidP="00EB4A22">
      <w:pPr>
        <w:spacing w:after="120"/>
      </w:pPr>
      <w:r w:rsidRPr="005120FC">
        <w:rPr>
          <w:b/>
        </w:rPr>
        <w:t>Ta</w:t>
      </w:r>
      <w:r w:rsidR="006E35D3">
        <w:rPr>
          <w:b/>
        </w:rPr>
        <w:t>ble 7</w:t>
      </w:r>
      <w:r w:rsidRPr="005120FC">
        <w:rPr>
          <w:b/>
        </w:rPr>
        <w:t>.</w:t>
      </w:r>
      <w:r>
        <w:t xml:space="preserve"> Consumer ethnicity</w:t>
      </w:r>
    </w:p>
    <w:tbl>
      <w:tblPr>
        <w:tblStyle w:val="TableGrid"/>
        <w:tblW w:w="0" w:type="auto"/>
        <w:tblLook w:val="04A0" w:firstRow="1" w:lastRow="0" w:firstColumn="1" w:lastColumn="0" w:noHBand="0" w:noVBand="1"/>
      </w:tblPr>
      <w:tblGrid>
        <w:gridCol w:w="3005"/>
        <w:gridCol w:w="3005"/>
        <w:gridCol w:w="3006"/>
      </w:tblGrid>
      <w:tr w:rsidR="00EB4A22" w14:paraId="03512B9A" w14:textId="77777777" w:rsidTr="00B12430">
        <w:tc>
          <w:tcPr>
            <w:tcW w:w="3005" w:type="dxa"/>
            <w:shd w:val="clear" w:color="auto" w:fill="C00000"/>
          </w:tcPr>
          <w:p w14:paraId="351796D7" w14:textId="77777777" w:rsidR="00EB4A22" w:rsidRPr="00EB4A22" w:rsidRDefault="00EB4A22" w:rsidP="00B12430">
            <w:pPr>
              <w:rPr>
                <w:rFonts w:asciiTheme="minorHAnsi" w:hAnsiTheme="minorHAnsi"/>
                <w:b/>
                <w:sz w:val="22"/>
                <w:szCs w:val="22"/>
              </w:rPr>
            </w:pPr>
            <w:r w:rsidRPr="00EB4A22">
              <w:rPr>
                <w:rFonts w:asciiTheme="minorHAnsi" w:hAnsiTheme="minorHAnsi"/>
                <w:b/>
                <w:sz w:val="22"/>
                <w:szCs w:val="22"/>
              </w:rPr>
              <w:t>Consumer ethnicity</w:t>
            </w:r>
          </w:p>
        </w:tc>
        <w:tc>
          <w:tcPr>
            <w:tcW w:w="3005" w:type="dxa"/>
            <w:shd w:val="clear" w:color="auto" w:fill="C00000"/>
          </w:tcPr>
          <w:p w14:paraId="65028D65" w14:textId="77777777" w:rsidR="00EB4A22" w:rsidRPr="00EB4A22" w:rsidRDefault="00EB4A22" w:rsidP="00B12430">
            <w:pPr>
              <w:jc w:val="center"/>
              <w:rPr>
                <w:rFonts w:asciiTheme="minorHAnsi" w:hAnsiTheme="minorHAnsi"/>
                <w:b/>
                <w:sz w:val="22"/>
                <w:szCs w:val="22"/>
              </w:rPr>
            </w:pPr>
            <w:r w:rsidRPr="00EB4A22">
              <w:rPr>
                <w:rFonts w:asciiTheme="minorHAnsi" w:hAnsiTheme="minorHAnsi"/>
                <w:b/>
                <w:sz w:val="22"/>
                <w:szCs w:val="22"/>
              </w:rPr>
              <w:t>Number of complaints</w:t>
            </w:r>
          </w:p>
        </w:tc>
        <w:tc>
          <w:tcPr>
            <w:tcW w:w="3006" w:type="dxa"/>
            <w:shd w:val="clear" w:color="auto" w:fill="C00000"/>
          </w:tcPr>
          <w:p w14:paraId="2DF74CFC" w14:textId="77777777" w:rsidR="00EB4A22" w:rsidRPr="00EB4A22" w:rsidRDefault="00EB4A22" w:rsidP="00B12430">
            <w:pPr>
              <w:jc w:val="center"/>
              <w:rPr>
                <w:rFonts w:asciiTheme="minorHAnsi" w:hAnsiTheme="minorHAnsi"/>
                <w:b/>
                <w:sz w:val="22"/>
                <w:szCs w:val="22"/>
              </w:rPr>
            </w:pPr>
            <w:r w:rsidRPr="00EB4A22">
              <w:rPr>
                <w:rFonts w:asciiTheme="minorHAnsi" w:hAnsiTheme="minorHAnsi"/>
                <w:b/>
                <w:sz w:val="22"/>
                <w:szCs w:val="22"/>
              </w:rPr>
              <w:t>Proportion of complaints</w:t>
            </w:r>
          </w:p>
        </w:tc>
      </w:tr>
      <w:tr w:rsidR="00EB4A22" w14:paraId="6972A9EC" w14:textId="77777777" w:rsidTr="00B12430">
        <w:tc>
          <w:tcPr>
            <w:tcW w:w="3005" w:type="dxa"/>
          </w:tcPr>
          <w:p w14:paraId="5C02746E"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Māori</w:t>
            </w:r>
          </w:p>
        </w:tc>
        <w:tc>
          <w:tcPr>
            <w:tcW w:w="3005" w:type="dxa"/>
            <w:vAlign w:val="center"/>
          </w:tcPr>
          <w:p w14:paraId="653996B9" w14:textId="1572595A" w:rsidR="00EB4A22" w:rsidRPr="00EB4A22" w:rsidRDefault="006B653E" w:rsidP="00B12430">
            <w:pPr>
              <w:jc w:val="center"/>
              <w:rPr>
                <w:rFonts w:asciiTheme="minorHAnsi" w:hAnsiTheme="minorHAnsi"/>
                <w:sz w:val="22"/>
                <w:szCs w:val="22"/>
              </w:rPr>
            </w:pPr>
            <w:r>
              <w:rPr>
                <w:rFonts w:asciiTheme="minorHAnsi" w:hAnsiTheme="minorHAnsi"/>
                <w:sz w:val="22"/>
                <w:szCs w:val="22"/>
              </w:rPr>
              <w:t>72</w:t>
            </w:r>
          </w:p>
        </w:tc>
        <w:tc>
          <w:tcPr>
            <w:tcW w:w="3006" w:type="dxa"/>
            <w:vAlign w:val="center"/>
          </w:tcPr>
          <w:p w14:paraId="6D58243A" w14:textId="0C005A56" w:rsidR="00EB4A22" w:rsidRPr="00EB4A22" w:rsidRDefault="006B653E" w:rsidP="00B12430">
            <w:pPr>
              <w:jc w:val="center"/>
              <w:rPr>
                <w:rFonts w:asciiTheme="minorHAnsi" w:hAnsiTheme="minorHAnsi"/>
                <w:sz w:val="22"/>
                <w:szCs w:val="22"/>
              </w:rPr>
            </w:pPr>
            <w:r>
              <w:rPr>
                <w:rFonts w:asciiTheme="minorHAnsi" w:hAnsiTheme="minorHAnsi"/>
                <w:sz w:val="22"/>
                <w:szCs w:val="22"/>
              </w:rPr>
              <w:t>13%</w:t>
            </w:r>
          </w:p>
        </w:tc>
      </w:tr>
      <w:tr w:rsidR="00EB4A22" w14:paraId="5371D54F" w14:textId="77777777" w:rsidTr="00B12430">
        <w:tc>
          <w:tcPr>
            <w:tcW w:w="3005" w:type="dxa"/>
          </w:tcPr>
          <w:p w14:paraId="6EEDAF74" w14:textId="77777777" w:rsidR="00EB4A22" w:rsidRPr="00EB4A22" w:rsidRDefault="00EB4A22" w:rsidP="00B12430">
            <w:pPr>
              <w:rPr>
                <w:rFonts w:asciiTheme="minorHAnsi" w:hAnsiTheme="minorHAnsi"/>
                <w:sz w:val="22"/>
                <w:szCs w:val="22"/>
              </w:rPr>
            </w:pPr>
            <w:r w:rsidRPr="00EB4A22">
              <w:rPr>
                <w:rFonts w:asciiTheme="minorHAnsi" w:hAnsiTheme="minorHAnsi"/>
                <w:sz w:val="22"/>
                <w:szCs w:val="22"/>
              </w:rPr>
              <w:t>Pacific</w:t>
            </w:r>
          </w:p>
        </w:tc>
        <w:tc>
          <w:tcPr>
            <w:tcW w:w="3005" w:type="dxa"/>
            <w:vAlign w:val="center"/>
          </w:tcPr>
          <w:p w14:paraId="2F70E47C" w14:textId="01D1BA69" w:rsidR="00EB4A22" w:rsidRPr="00EB4A22" w:rsidRDefault="006B653E" w:rsidP="00B12430">
            <w:pPr>
              <w:jc w:val="center"/>
              <w:rPr>
                <w:rFonts w:asciiTheme="minorHAnsi" w:hAnsiTheme="minorHAnsi"/>
                <w:sz w:val="22"/>
                <w:szCs w:val="22"/>
              </w:rPr>
            </w:pPr>
            <w:r>
              <w:rPr>
                <w:rFonts w:asciiTheme="minorHAnsi" w:hAnsiTheme="minorHAnsi"/>
                <w:sz w:val="22"/>
                <w:szCs w:val="22"/>
              </w:rPr>
              <w:t>12</w:t>
            </w:r>
          </w:p>
        </w:tc>
        <w:tc>
          <w:tcPr>
            <w:tcW w:w="3006" w:type="dxa"/>
            <w:vAlign w:val="center"/>
          </w:tcPr>
          <w:p w14:paraId="18FA3FE4" w14:textId="65FD4351" w:rsidR="00EB4A22" w:rsidRPr="00EB4A22" w:rsidRDefault="006B653E" w:rsidP="00B12430">
            <w:pPr>
              <w:jc w:val="center"/>
              <w:rPr>
                <w:rFonts w:asciiTheme="minorHAnsi" w:hAnsiTheme="minorHAnsi"/>
                <w:sz w:val="22"/>
                <w:szCs w:val="22"/>
              </w:rPr>
            </w:pPr>
            <w:r>
              <w:rPr>
                <w:rFonts w:asciiTheme="minorHAnsi" w:hAnsiTheme="minorHAnsi"/>
                <w:sz w:val="22"/>
                <w:szCs w:val="22"/>
              </w:rPr>
              <w:t>2%</w:t>
            </w:r>
          </w:p>
        </w:tc>
      </w:tr>
      <w:tr w:rsidR="00EB4A22" w14:paraId="0F7A20E7" w14:textId="77777777" w:rsidTr="00B12430">
        <w:tc>
          <w:tcPr>
            <w:tcW w:w="3005" w:type="dxa"/>
          </w:tcPr>
          <w:p w14:paraId="51111C7A"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Middle Eastern/African/Latin American</w:t>
            </w:r>
          </w:p>
        </w:tc>
        <w:tc>
          <w:tcPr>
            <w:tcW w:w="3005" w:type="dxa"/>
            <w:vAlign w:val="center"/>
          </w:tcPr>
          <w:p w14:paraId="187E59ED" w14:textId="474C44BA" w:rsidR="00EB4A22" w:rsidRPr="00EB4A22" w:rsidRDefault="006B653E" w:rsidP="00B12430">
            <w:pPr>
              <w:jc w:val="center"/>
              <w:rPr>
                <w:rFonts w:asciiTheme="minorHAnsi" w:hAnsiTheme="minorHAnsi"/>
                <w:sz w:val="22"/>
                <w:szCs w:val="22"/>
              </w:rPr>
            </w:pPr>
            <w:r>
              <w:rPr>
                <w:rFonts w:asciiTheme="minorHAnsi" w:hAnsiTheme="minorHAnsi"/>
                <w:sz w:val="22"/>
                <w:szCs w:val="22"/>
              </w:rPr>
              <w:t>12</w:t>
            </w:r>
          </w:p>
        </w:tc>
        <w:tc>
          <w:tcPr>
            <w:tcW w:w="3006" w:type="dxa"/>
            <w:vAlign w:val="center"/>
          </w:tcPr>
          <w:p w14:paraId="424C9843" w14:textId="0E627E13" w:rsidR="00EB4A22" w:rsidRPr="00EB4A22" w:rsidRDefault="006B653E" w:rsidP="00B12430">
            <w:pPr>
              <w:jc w:val="center"/>
              <w:rPr>
                <w:rFonts w:asciiTheme="minorHAnsi" w:hAnsiTheme="minorHAnsi"/>
                <w:sz w:val="22"/>
                <w:szCs w:val="22"/>
              </w:rPr>
            </w:pPr>
            <w:r>
              <w:rPr>
                <w:rFonts w:asciiTheme="minorHAnsi" w:hAnsiTheme="minorHAnsi"/>
                <w:sz w:val="22"/>
                <w:szCs w:val="22"/>
              </w:rPr>
              <w:t>2%</w:t>
            </w:r>
          </w:p>
        </w:tc>
      </w:tr>
      <w:tr w:rsidR="00EB4A22" w14:paraId="72B0D27F" w14:textId="77777777" w:rsidTr="00B12430">
        <w:tc>
          <w:tcPr>
            <w:tcW w:w="3005" w:type="dxa"/>
          </w:tcPr>
          <w:p w14:paraId="5B4CFA3C"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Asian</w:t>
            </w:r>
          </w:p>
        </w:tc>
        <w:tc>
          <w:tcPr>
            <w:tcW w:w="3005" w:type="dxa"/>
            <w:vAlign w:val="center"/>
          </w:tcPr>
          <w:p w14:paraId="3328B21B" w14:textId="0755292B" w:rsidR="00EB4A22" w:rsidRPr="00EB4A22" w:rsidRDefault="006B653E" w:rsidP="00B12430">
            <w:pPr>
              <w:jc w:val="center"/>
              <w:rPr>
                <w:rFonts w:asciiTheme="minorHAnsi" w:hAnsiTheme="minorHAnsi"/>
                <w:sz w:val="22"/>
                <w:szCs w:val="22"/>
              </w:rPr>
            </w:pPr>
            <w:r>
              <w:rPr>
                <w:rFonts w:asciiTheme="minorHAnsi" w:hAnsiTheme="minorHAnsi"/>
                <w:sz w:val="22"/>
                <w:szCs w:val="22"/>
              </w:rPr>
              <w:t>47</w:t>
            </w:r>
          </w:p>
        </w:tc>
        <w:tc>
          <w:tcPr>
            <w:tcW w:w="3006" w:type="dxa"/>
            <w:vAlign w:val="center"/>
          </w:tcPr>
          <w:p w14:paraId="3B457546" w14:textId="6CB24E5C" w:rsidR="00EB4A22" w:rsidRPr="00EB4A22" w:rsidRDefault="006B653E" w:rsidP="00B12430">
            <w:pPr>
              <w:jc w:val="center"/>
              <w:rPr>
                <w:rFonts w:asciiTheme="minorHAnsi" w:hAnsiTheme="minorHAnsi"/>
                <w:sz w:val="22"/>
                <w:szCs w:val="22"/>
              </w:rPr>
            </w:pPr>
            <w:r>
              <w:rPr>
                <w:rFonts w:asciiTheme="minorHAnsi" w:hAnsiTheme="minorHAnsi"/>
                <w:sz w:val="22"/>
                <w:szCs w:val="22"/>
              </w:rPr>
              <w:t>9%</w:t>
            </w:r>
          </w:p>
        </w:tc>
      </w:tr>
      <w:tr w:rsidR="00EB4A22" w14:paraId="7CBE4481" w14:textId="77777777" w:rsidTr="00B12430">
        <w:tc>
          <w:tcPr>
            <w:tcW w:w="3005" w:type="dxa"/>
          </w:tcPr>
          <w:p w14:paraId="04884AB3"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Other European</w:t>
            </w:r>
          </w:p>
        </w:tc>
        <w:tc>
          <w:tcPr>
            <w:tcW w:w="3005" w:type="dxa"/>
            <w:vAlign w:val="center"/>
          </w:tcPr>
          <w:p w14:paraId="7BA6728A" w14:textId="2DECA226" w:rsidR="00EB4A22" w:rsidRPr="00EB4A22" w:rsidRDefault="006B653E" w:rsidP="00B12430">
            <w:pPr>
              <w:jc w:val="center"/>
              <w:rPr>
                <w:rFonts w:asciiTheme="minorHAnsi" w:hAnsiTheme="minorHAnsi"/>
                <w:sz w:val="22"/>
                <w:szCs w:val="22"/>
              </w:rPr>
            </w:pPr>
            <w:r>
              <w:rPr>
                <w:rFonts w:asciiTheme="minorHAnsi" w:hAnsiTheme="minorHAnsi"/>
                <w:sz w:val="22"/>
                <w:szCs w:val="22"/>
              </w:rPr>
              <w:t>25</w:t>
            </w:r>
          </w:p>
        </w:tc>
        <w:tc>
          <w:tcPr>
            <w:tcW w:w="3006" w:type="dxa"/>
            <w:vAlign w:val="center"/>
          </w:tcPr>
          <w:p w14:paraId="3B851D35" w14:textId="796CE6DA" w:rsidR="00EB4A22" w:rsidRPr="00EB4A22" w:rsidRDefault="003D0B12" w:rsidP="00B12430">
            <w:pPr>
              <w:jc w:val="center"/>
              <w:rPr>
                <w:rFonts w:asciiTheme="minorHAnsi" w:hAnsiTheme="minorHAnsi"/>
                <w:sz w:val="22"/>
                <w:szCs w:val="22"/>
              </w:rPr>
            </w:pPr>
            <w:r>
              <w:rPr>
                <w:rFonts w:asciiTheme="minorHAnsi" w:hAnsiTheme="minorHAnsi"/>
                <w:sz w:val="22"/>
                <w:szCs w:val="22"/>
              </w:rPr>
              <w:t>5%</w:t>
            </w:r>
          </w:p>
        </w:tc>
      </w:tr>
      <w:tr w:rsidR="00EB4A22" w14:paraId="546A7552" w14:textId="77777777" w:rsidTr="00B12430">
        <w:tc>
          <w:tcPr>
            <w:tcW w:w="3005" w:type="dxa"/>
          </w:tcPr>
          <w:p w14:paraId="2A57094B"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New Zealand European</w:t>
            </w:r>
          </w:p>
        </w:tc>
        <w:tc>
          <w:tcPr>
            <w:tcW w:w="3005" w:type="dxa"/>
            <w:vAlign w:val="center"/>
          </w:tcPr>
          <w:p w14:paraId="680C429B" w14:textId="60716624" w:rsidR="00EB4A22" w:rsidRPr="00EB4A22" w:rsidRDefault="006B653E" w:rsidP="00B12430">
            <w:pPr>
              <w:jc w:val="center"/>
              <w:rPr>
                <w:rFonts w:asciiTheme="minorHAnsi" w:hAnsiTheme="minorHAnsi"/>
                <w:sz w:val="22"/>
                <w:szCs w:val="22"/>
              </w:rPr>
            </w:pPr>
            <w:r>
              <w:rPr>
                <w:rFonts w:asciiTheme="minorHAnsi" w:hAnsiTheme="minorHAnsi"/>
                <w:sz w:val="22"/>
                <w:szCs w:val="22"/>
              </w:rPr>
              <w:t>227</w:t>
            </w:r>
          </w:p>
        </w:tc>
        <w:tc>
          <w:tcPr>
            <w:tcW w:w="3006" w:type="dxa"/>
            <w:vAlign w:val="center"/>
          </w:tcPr>
          <w:p w14:paraId="396435A3" w14:textId="1D21D2A6" w:rsidR="00EB4A22" w:rsidRPr="00EB4A22" w:rsidRDefault="003D0B12" w:rsidP="00B12430">
            <w:pPr>
              <w:jc w:val="center"/>
              <w:rPr>
                <w:rFonts w:asciiTheme="minorHAnsi" w:hAnsiTheme="minorHAnsi"/>
                <w:sz w:val="22"/>
                <w:szCs w:val="22"/>
              </w:rPr>
            </w:pPr>
            <w:r>
              <w:rPr>
                <w:rFonts w:asciiTheme="minorHAnsi" w:hAnsiTheme="minorHAnsi"/>
                <w:sz w:val="22"/>
                <w:szCs w:val="22"/>
              </w:rPr>
              <w:t>43%</w:t>
            </w:r>
          </w:p>
        </w:tc>
      </w:tr>
      <w:tr w:rsidR="00EB4A22" w14:paraId="47B8B1E1" w14:textId="77777777" w:rsidTr="00B12430">
        <w:tc>
          <w:tcPr>
            <w:tcW w:w="3005" w:type="dxa"/>
          </w:tcPr>
          <w:p w14:paraId="1323B318" w14:textId="77777777" w:rsidR="00EB4A22" w:rsidRPr="00EB4A22" w:rsidRDefault="00EB4A22" w:rsidP="004D22EA">
            <w:pPr>
              <w:jc w:val="left"/>
              <w:rPr>
                <w:rFonts w:asciiTheme="minorHAnsi" w:hAnsiTheme="minorHAnsi"/>
                <w:sz w:val="22"/>
                <w:szCs w:val="22"/>
              </w:rPr>
            </w:pPr>
            <w:r w:rsidRPr="00EB4A22">
              <w:rPr>
                <w:rFonts w:asciiTheme="minorHAnsi" w:hAnsiTheme="minorHAnsi"/>
                <w:sz w:val="22"/>
                <w:szCs w:val="22"/>
              </w:rPr>
              <w:t>Unknown/did not wish to answer</w:t>
            </w:r>
          </w:p>
        </w:tc>
        <w:tc>
          <w:tcPr>
            <w:tcW w:w="3005" w:type="dxa"/>
            <w:vAlign w:val="center"/>
          </w:tcPr>
          <w:p w14:paraId="5B9A4D33" w14:textId="4009C6D7" w:rsidR="00EB4A22" w:rsidRPr="00EB4A22" w:rsidRDefault="006B653E" w:rsidP="00B12430">
            <w:pPr>
              <w:jc w:val="center"/>
              <w:rPr>
                <w:rFonts w:asciiTheme="minorHAnsi" w:hAnsiTheme="minorHAnsi"/>
                <w:sz w:val="22"/>
                <w:szCs w:val="22"/>
              </w:rPr>
            </w:pPr>
            <w:r>
              <w:rPr>
                <w:rFonts w:asciiTheme="minorHAnsi" w:hAnsiTheme="minorHAnsi"/>
                <w:sz w:val="22"/>
                <w:szCs w:val="22"/>
              </w:rPr>
              <w:t>137</w:t>
            </w:r>
          </w:p>
        </w:tc>
        <w:tc>
          <w:tcPr>
            <w:tcW w:w="3006" w:type="dxa"/>
            <w:vAlign w:val="center"/>
          </w:tcPr>
          <w:p w14:paraId="4990812F" w14:textId="1F9198F8" w:rsidR="00EB4A22" w:rsidRPr="00EB4A22" w:rsidRDefault="003D0B12" w:rsidP="00B12430">
            <w:pPr>
              <w:jc w:val="center"/>
              <w:rPr>
                <w:rFonts w:asciiTheme="minorHAnsi" w:hAnsiTheme="minorHAnsi"/>
                <w:sz w:val="22"/>
                <w:szCs w:val="22"/>
              </w:rPr>
            </w:pPr>
            <w:r>
              <w:rPr>
                <w:rFonts w:asciiTheme="minorHAnsi" w:hAnsiTheme="minorHAnsi"/>
                <w:sz w:val="22"/>
                <w:szCs w:val="22"/>
              </w:rPr>
              <w:t>26%</w:t>
            </w:r>
          </w:p>
        </w:tc>
      </w:tr>
    </w:tbl>
    <w:p w14:paraId="138CDB5C" w14:textId="77777777" w:rsidR="00EB4A22" w:rsidRDefault="00EB4A22" w:rsidP="00EB4A22"/>
    <w:p w14:paraId="1BFBBBC6" w14:textId="66FAF396" w:rsidR="00667992" w:rsidRDefault="00667992" w:rsidP="00EB4A22">
      <w:pPr>
        <w:pStyle w:val="Heading2"/>
        <w:spacing w:before="360" w:after="240"/>
      </w:pPr>
      <w:r>
        <w:br w:type="page"/>
      </w:r>
    </w:p>
    <w:p w14:paraId="70171129" w14:textId="1BE97D18" w:rsidR="00EB4A22" w:rsidRPr="00666BAC" w:rsidRDefault="00EB4A22" w:rsidP="00EB4A22">
      <w:pPr>
        <w:pStyle w:val="Heading2"/>
        <w:spacing w:before="360" w:after="240"/>
        <w:rPr>
          <w:sz w:val="36"/>
          <w:szCs w:val="36"/>
        </w:rPr>
      </w:pPr>
      <w:bookmarkStart w:id="41" w:name="_Toc71561654"/>
      <w:bookmarkStart w:id="42" w:name="_Toc90639020"/>
      <w:r>
        <w:rPr>
          <w:sz w:val="36"/>
          <w:szCs w:val="36"/>
        </w:rPr>
        <w:lastRenderedPageBreak/>
        <w:t>3</w:t>
      </w:r>
      <w:r w:rsidRPr="00666BAC">
        <w:rPr>
          <w:sz w:val="36"/>
          <w:szCs w:val="36"/>
        </w:rPr>
        <w:t>.</w:t>
      </w:r>
      <w:r w:rsidRPr="00666BAC">
        <w:rPr>
          <w:sz w:val="36"/>
          <w:szCs w:val="36"/>
        </w:rPr>
        <w:tab/>
        <w:t>Which DHB services were complained about?</w:t>
      </w:r>
      <w:bookmarkEnd w:id="35"/>
      <w:bookmarkEnd w:id="36"/>
      <w:bookmarkEnd w:id="41"/>
      <w:bookmarkEnd w:id="42"/>
      <w:r w:rsidRPr="00666BAC">
        <w:rPr>
          <w:sz w:val="36"/>
          <w:szCs w:val="36"/>
        </w:rPr>
        <w:t xml:space="preserve"> </w:t>
      </w:r>
    </w:p>
    <w:p w14:paraId="3FFA4476" w14:textId="77777777" w:rsidR="00EB4A22" w:rsidRPr="00E62B9F" w:rsidRDefault="00EB4A22" w:rsidP="00932E72">
      <w:pPr>
        <w:pStyle w:val="Heading3"/>
      </w:pPr>
      <w:bookmarkStart w:id="43" w:name="_Toc398125958"/>
      <w:bookmarkStart w:id="44" w:name="_Toc404344429"/>
      <w:bookmarkStart w:id="45" w:name="_Toc506278068"/>
      <w:bookmarkStart w:id="46" w:name="_Toc71561655"/>
      <w:bookmarkStart w:id="47" w:name="_Toc90639021"/>
      <w:r>
        <w:t>3</w:t>
      </w:r>
      <w:r w:rsidRPr="00666BAC">
        <w:t>.1</w:t>
      </w:r>
      <w:r w:rsidRPr="00666BAC">
        <w:tab/>
      </w:r>
      <w:r w:rsidRPr="00666BAC">
        <w:tab/>
        <w:t>DHB service types complained about</w:t>
      </w:r>
      <w:bookmarkEnd w:id="43"/>
      <w:bookmarkEnd w:id="44"/>
      <w:bookmarkEnd w:id="45"/>
      <w:bookmarkEnd w:id="46"/>
      <w:bookmarkEnd w:id="47"/>
    </w:p>
    <w:p w14:paraId="7F21325D" w14:textId="2A7BE4CF" w:rsidR="00EB4A22" w:rsidRDefault="00EB4A22" w:rsidP="00EB4A22">
      <w:pPr>
        <w:spacing w:before="120"/>
      </w:pPr>
      <w:r>
        <w:t xml:space="preserve">Please note that some complaints involve more than one DHB and/or more than one service or hospital; therefore, although there were </w:t>
      </w:r>
      <w:r w:rsidR="00C40401">
        <w:t>532 complaints about DHBs, 551</w:t>
      </w:r>
      <w:r>
        <w:t xml:space="preserve"> services were complained about. Figure 2 below shows the most commonly compl</w:t>
      </w:r>
      <w:r w:rsidR="00DD38F0">
        <w:t>ained about service types in Jan–Jun 2021</w:t>
      </w:r>
      <w:r>
        <w:t xml:space="preserve">. </w:t>
      </w:r>
      <w:r w:rsidRPr="00666BAC">
        <w:t>A more nuanced picture of service types complained abou</w:t>
      </w:r>
      <w:r w:rsidR="00BF7B25">
        <w:t>t, including individual surgery and medicine services</w:t>
      </w:r>
      <w:r w:rsidR="00DD38F0">
        <w:t>, is provided in Table 8</w:t>
      </w:r>
      <w:r w:rsidRPr="00666BAC">
        <w:t xml:space="preserve">. </w:t>
      </w:r>
    </w:p>
    <w:p w14:paraId="37960F46" w14:textId="7DAE9AE3" w:rsidR="00EB4A22" w:rsidRDefault="00BF7B25" w:rsidP="00EB4A22">
      <w:pPr>
        <w:spacing w:before="120"/>
      </w:pPr>
      <w:r>
        <w:t>Surgery</w:t>
      </w:r>
      <w:r w:rsidR="00DD38F0">
        <w:t xml:space="preserve"> (26%) and mental health (23%) </w:t>
      </w:r>
      <w:r w:rsidR="00EB4A22">
        <w:t>services received the grea</w:t>
      </w:r>
      <w:r w:rsidR="00DD38F0">
        <w:t>test number of complaints in Jan–Jun 2021, with general surgery (7</w:t>
      </w:r>
      <w:r w:rsidR="00EB4A22">
        <w:t>%)</w:t>
      </w:r>
      <w:r w:rsidR="00DD38F0">
        <w:t xml:space="preserve"> and orthopaedics (7</w:t>
      </w:r>
      <w:r w:rsidR="00EB4A22">
        <w:t xml:space="preserve">%) being the surgical specialties most commonly complained about. </w:t>
      </w:r>
    </w:p>
    <w:p w14:paraId="12D4C314" w14:textId="5EFB4813" w:rsidR="00EB4A22" w:rsidRDefault="00BF7B25" w:rsidP="00EB4A22">
      <w:pPr>
        <w:spacing w:before="120"/>
      </w:pPr>
      <w:r>
        <w:t>In Jul–Dec 2020 t</w:t>
      </w:r>
      <w:r w:rsidR="00DD38F0">
        <w:t>he proportion of c</w:t>
      </w:r>
      <w:r>
        <w:t xml:space="preserve">omplaints about surgery </w:t>
      </w:r>
      <w:r w:rsidR="00DD38F0">
        <w:t>s</w:t>
      </w:r>
      <w:r>
        <w:t>ervices</w:t>
      </w:r>
      <w:r w:rsidR="00DD38F0">
        <w:t xml:space="preserve"> dropped for the </w:t>
      </w:r>
      <w:r>
        <w:t>first time. Complaints about this service increased slightly in Jan–Jun 2021</w:t>
      </w:r>
      <w:r w:rsidR="00C66855">
        <w:t>, but were</w:t>
      </w:r>
      <w:r w:rsidR="00DD38F0">
        <w:t xml:space="preserve"> still lower than the 30% seen previous to July 2020.</w:t>
      </w:r>
    </w:p>
    <w:p w14:paraId="074C9728" w14:textId="77777777" w:rsidR="00EB4A22" w:rsidRDefault="00EB4A22" w:rsidP="00EB4A22"/>
    <w:p w14:paraId="204F988C" w14:textId="52FDE5EA" w:rsidR="00EB4A22" w:rsidRDefault="00EB4A22" w:rsidP="00EB4A22">
      <w:pPr>
        <w:spacing w:after="360"/>
      </w:pPr>
      <w:r>
        <w:t>Other commonly complained abou</w:t>
      </w:r>
      <w:r w:rsidR="00DD38F0">
        <w:t xml:space="preserve">t services included </w:t>
      </w:r>
      <w:r w:rsidR="00DD38F0" w:rsidRPr="006B7C2A">
        <w:t>medicine</w:t>
      </w:r>
      <w:r w:rsidR="00DD38F0">
        <w:t xml:space="preserve"> (16</w:t>
      </w:r>
      <w:r>
        <w:t>%), and</w:t>
      </w:r>
      <w:r w:rsidR="00DD38F0">
        <w:t xml:space="preserve"> emergency department (12</w:t>
      </w:r>
      <w:r>
        <w:t xml:space="preserve">%) services. </w:t>
      </w:r>
    </w:p>
    <w:p w14:paraId="289C037C" w14:textId="77777777" w:rsidR="00EB4A22" w:rsidRDefault="00EB4A22" w:rsidP="00EB4A22">
      <w:pPr>
        <w:spacing w:after="200"/>
        <w:jc w:val="left"/>
      </w:pPr>
      <w:r w:rsidRPr="00613DE1">
        <w:rPr>
          <w:b/>
        </w:rPr>
        <w:t>Figure 2.</w:t>
      </w:r>
      <w:r>
        <w:t xml:space="preserve"> Service types complained about</w:t>
      </w:r>
    </w:p>
    <w:p w14:paraId="043E709C" w14:textId="3F58D69E" w:rsidR="00EB4A22" w:rsidRDefault="00121934" w:rsidP="00EB4A22">
      <w:pPr>
        <w:spacing w:after="200"/>
        <w:jc w:val="left"/>
      </w:pPr>
      <w:r>
        <w:rPr>
          <w:noProof/>
          <w:lang w:eastAsia="en-NZ" w:bidi="ar-SA"/>
        </w:rPr>
        <w:drawing>
          <wp:inline distT="0" distB="0" distL="0" distR="0" wp14:anchorId="4E2E3C8C" wp14:editId="181F10FD">
            <wp:extent cx="6181725" cy="3590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B4A22">
        <w:br w:type="page"/>
      </w:r>
    </w:p>
    <w:p w14:paraId="6A72CBDD" w14:textId="77777777" w:rsidR="00EB4A22" w:rsidRDefault="00EB4A22" w:rsidP="00EB4A22">
      <w:pPr>
        <w:spacing w:after="120"/>
        <w:rPr>
          <w:b/>
        </w:rPr>
      </w:pPr>
      <w:r>
        <w:rPr>
          <w:b/>
        </w:rPr>
        <w:lastRenderedPageBreak/>
        <w:t xml:space="preserve">Table 6. </w:t>
      </w:r>
      <w:r w:rsidRPr="000E51FB">
        <w:t>Service types complained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263"/>
        <w:gridCol w:w="1981"/>
      </w:tblGrid>
      <w:tr w:rsidR="00EB4A22" w14:paraId="076862BB" w14:textId="77777777" w:rsidTr="00B12430">
        <w:trPr>
          <w:trHeight w:val="467"/>
          <w:tblHeader/>
        </w:trPr>
        <w:tc>
          <w:tcPr>
            <w:tcW w:w="4664" w:type="dxa"/>
            <w:tcBorders>
              <w:top w:val="single" w:sz="4" w:space="0" w:color="auto"/>
              <w:left w:val="single" w:sz="4" w:space="0" w:color="auto"/>
              <w:bottom w:val="single" w:sz="4" w:space="0" w:color="auto"/>
              <w:right w:val="single" w:sz="4" w:space="0" w:color="auto"/>
            </w:tcBorders>
            <w:shd w:val="clear" w:color="auto" w:fill="C00000"/>
            <w:hideMark/>
          </w:tcPr>
          <w:p w14:paraId="5103CA28" w14:textId="77777777" w:rsidR="00EB4A22" w:rsidRDefault="00EB4A22" w:rsidP="00B12430">
            <w:pPr>
              <w:tabs>
                <w:tab w:val="left" w:pos="1440"/>
                <w:tab w:val="decimal" w:pos="4320"/>
              </w:tabs>
              <w:spacing w:before="120" w:after="120"/>
              <w:jc w:val="center"/>
              <w:outlineLvl w:val="0"/>
              <w:rPr>
                <w:rFonts w:ascii="Calibri" w:hAnsi="Calibri"/>
                <w:b/>
                <w:szCs w:val="22"/>
                <w:vertAlign w:val="superscript"/>
              </w:rPr>
            </w:pPr>
            <w:bookmarkStart w:id="48" w:name="_Toc426462632"/>
            <w:r>
              <w:rPr>
                <w:rFonts w:ascii="Calibri" w:hAnsi="Calibri"/>
                <w:b/>
                <w:szCs w:val="22"/>
              </w:rPr>
              <w:t>Service type</w:t>
            </w:r>
          </w:p>
        </w:tc>
        <w:tc>
          <w:tcPr>
            <w:tcW w:w="2263" w:type="dxa"/>
            <w:tcBorders>
              <w:top w:val="single" w:sz="4" w:space="0" w:color="auto"/>
              <w:left w:val="single" w:sz="4" w:space="0" w:color="auto"/>
              <w:bottom w:val="single" w:sz="4" w:space="0" w:color="auto"/>
              <w:right w:val="single" w:sz="4" w:space="0" w:color="auto"/>
            </w:tcBorders>
            <w:shd w:val="clear" w:color="auto" w:fill="C00000"/>
            <w:hideMark/>
          </w:tcPr>
          <w:p w14:paraId="196F3773" w14:textId="77777777" w:rsidR="00EB4A22" w:rsidRDefault="00EB4A22" w:rsidP="00B12430">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1" w:type="dxa"/>
            <w:tcBorders>
              <w:top w:val="single" w:sz="4" w:space="0" w:color="auto"/>
              <w:left w:val="single" w:sz="4" w:space="0" w:color="auto"/>
              <w:bottom w:val="single" w:sz="4" w:space="0" w:color="auto"/>
              <w:right w:val="single" w:sz="4" w:space="0" w:color="auto"/>
            </w:tcBorders>
            <w:shd w:val="clear" w:color="auto" w:fill="C00000"/>
            <w:hideMark/>
          </w:tcPr>
          <w:p w14:paraId="5AAF053A" w14:textId="77777777" w:rsidR="00EB4A22" w:rsidRDefault="00EB4A22" w:rsidP="00B12430">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EB4A22" w14:paraId="4E4EA580" w14:textId="77777777" w:rsidTr="00B12430">
        <w:trPr>
          <w:trHeight w:val="255"/>
        </w:trPr>
        <w:tc>
          <w:tcPr>
            <w:tcW w:w="4664" w:type="dxa"/>
            <w:tcBorders>
              <w:top w:val="single" w:sz="4" w:space="0" w:color="auto"/>
              <w:left w:val="single" w:sz="4" w:space="0" w:color="auto"/>
              <w:bottom w:val="single" w:sz="4" w:space="0" w:color="auto"/>
              <w:right w:val="single" w:sz="4" w:space="0" w:color="auto"/>
            </w:tcBorders>
            <w:vAlign w:val="bottom"/>
          </w:tcPr>
          <w:p w14:paraId="4AA05F8C" w14:textId="77777777" w:rsidR="00EB4A22" w:rsidRDefault="00EB4A22" w:rsidP="00B12430">
            <w:pPr>
              <w:rPr>
                <w:rFonts w:ascii="Calibri" w:hAnsi="Calibri" w:cs="Calibri"/>
                <w:b/>
                <w:color w:val="000000"/>
                <w:szCs w:val="22"/>
              </w:rPr>
            </w:pPr>
            <w:r>
              <w:rPr>
                <w:rFonts w:ascii="Calibri" w:hAnsi="Calibri" w:cs="Calibri"/>
                <w:b/>
                <w:color w:val="000000"/>
                <w:szCs w:val="22"/>
              </w:rPr>
              <w:t>Alcohol and drug</w:t>
            </w:r>
          </w:p>
        </w:tc>
        <w:tc>
          <w:tcPr>
            <w:tcW w:w="2263" w:type="dxa"/>
            <w:tcBorders>
              <w:top w:val="single" w:sz="4" w:space="0" w:color="auto"/>
              <w:left w:val="single" w:sz="4" w:space="0" w:color="auto"/>
              <w:bottom w:val="single" w:sz="4" w:space="0" w:color="auto"/>
              <w:right w:val="single" w:sz="4" w:space="0" w:color="auto"/>
            </w:tcBorders>
            <w:vAlign w:val="center"/>
          </w:tcPr>
          <w:p w14:paraId="057E5FDF" w14:textId="44A7F3E2" w:rsidR="00EB4A22" w:rsidRPr="00E04015" w:rsidRDefault="00C40401" w:rsidP="00B12430">
            <w:pPr>
              <w:jc w:val="center"/>
              <w:rPr>
                <w:rFonts w:ascii="Calibri" w:hAnsi="Calibri"/>
                <w:b/>
                <w:color w:val="000000"/>
                <w:szCs w:val="22"/>
              </w:rPr>
            </w:pPr>
            <w:r>
              <w:rPr>
                <w:rFonts w:ascii="Calibri" w:hAnsi="Calibri"/>
                <w:b/>
                <w:color w:val="000000"/>
                <w:szCs w:val="22"/>
              </w:rPr>
              <w:t>11</w:t>
            </w:r>
          </w:p>
        </w:tc>
        <w:tc>
          <w:tcPr>
            <w:tcW w:w="1981" w:type="dxa"/>
            <w:tcBorders>
              <w:top w:val="single" w:sz="4" w:space="0" w:color="auto"/>
              <w:left w:val="single" w:sz="4" w:space="0" w:color="auto"/>
              <w:bottom w:val="single" w:sz="4" w:space="0" w:color="auto"/>
              <w:right w:val="single" w:sz="4" w:space="0" w:color="auto"/>
            </w:tcBorders>
            <w:vAlign w:val="center"/>
          </w:tcPr>
          <w:p w14:paraId="5C30919A" w14:textId="35D222FE" w:rsidR="00EB4A22" w:rsidRPr="00E04015" w:rsidRDefault="00121934" w:rsidP="00B12430">
            <w:pPr>
              <w:jc w:val="center"/>
              <w:rPr>
                <w:rFonts w:ascii="Calibri" w:hAnsi="Calibri"/>
                <w:b/>
                <w:color w:val="000000"/>
                <w:szCs w:val="22"/>
              </w:rPr>
            </w:pPr>
            <w:r>
              <w:rPr>
                <w:rFonts w:ascii="Calibri" w:hAnsi="Calibri"/>
                <w:b/>
                <w:color w:val="000000"/>
                <w:szCs w:val="22"/>
              </w:rPr>
              <w:t>2.0%</w:t>
            </w:r>
          </w:p>
        </w:tc>
      </w:tr>
      <w:tr w:rsidR="00EB4A22" w14:paraId="783FD98F" w14:textId="77777777" w:rsidTr="00B12430">
        <w:trPr>
          <w:trHeight w:val="274"/>
        </w:trPr>
        <w:tc>
          <w:tcPr>
            <w:tcW w:w="4664" w:type="dxa"/>
            <w:tcBorders>
              <w:top w:val="single" w:sz="4" w:space="0" w:color="auto"/>
              <w:left w:val="single" w:sz="4" w:space="0" w:color="auto"/>
              <w:bottom w:val="single" w:sz="4" w:space="0" w:color="auto"/>
              <w:right w:val="single" w:sz="4" w:space="0" w:color="auto"/>
            </w:tcBorders>
            <w:vAlign w:val="bottom"/>
          </w:tcPr>
          <w:p w14:paraId="3A2FF033" w14:textId="77777777" w:rsidR="00EB4A22" w:rsidRDefault="00EB4A22" w:rsidP="00B12430">
            <w:pPr>
              <w:rPr>
                <w:rFonts w:ascii="Calibri" w:hAnsi="Calibri" w:cs="Calibri"/>
                <w:b/>
                <w:color w:val="000000"/>
                <w:szCs w:val="22"/>
              </w:rPr>
            </w:pPr>
            <w:r>
              <w:rPr>
                <w:rFonts w:ascii="Calibri" w:hAnsi="Calibri" w:cs="Calibri"/>
                <w:b/>
                <w:color w:val="000000"/>
                <w:szCs w:val="22"/>
              </w:rPr>
              <w:t>Anaesthetics/pain medicine</w:t>
            </w:r>
          </w:p>
        </w:tc>
        <w:tc>
          <w:tcPr>
            <w:tcW w:w="2263" w:type="dxa"/>
            <w:tcBorders>
              <w:top w:val="single" w:sz="4" w:space="0" w:color="auto"/>
              <w:left w:val="single" w:sz="4" w:space="0" w:color="auto"/>
              <w:bottom w:val="single" w:sz="4" w:space="0" w:color="auto"/>
              <w:right w:val="single" w:sz="4" w:space="0" w:color="auto"/>
            </w:tcBorders>
            <w:vAlign w:val="center"/>
          </w:tcPr>
          <w:p w14:paraId="5C1EA00E" w14:textId="3050B55D" w:rsidR="00EB4A22" w:rsidRPr="00E04015" w:rsidRDefault="00C40401" w:rsidP="00B12430">
            <w:pPr>
              <w:jc w:val="center"/>
              <w:rPr>
                <w:rFonts w:ascii="Calibri" w:hAnsi="Calibri"/>
                <w:b/>
                <w:color w:val="000000"/>
                <w:szCs w:val="22"/>
              </w:rPr>
            </w:pPr>
            <w:r>
              <w:rPr>
                <w:rFonts w:ascii="Calibri" w:hAnsi="Calibri"/>
                <w:b/>
                <w:color w:val="000000"/>
                <w:szCs w:val="22"/>
              </w:rPr>
              <w:t>3</w:t>
            </w:r>
          </w:p>
        </w:tc>
        <w:tc>
          <w:tcPr>
            <w:tcW w:w="1981" w:type="dxa"/>
            <w:tcBorders>
              <w:top w:val="single" w:sz="4" w:space="0" w:color="auto"/>
              <w:left w:val="single" w:sz="4" w:space="0" w:color="auto"/>
              <w:bottom w:val="single" w:sz="4" w:space="0" w:color="auto"/>
              <w:right w:val="single" w:sz="4" w:space="0" w:color="auto"/>
            </w:tcBorders>
            <w:vAlign w:val="center"/>
          </w:tcPr>
          <w:p w14:paraId="1DEF1686" w14:textId="74B73847" w:rsidR="00EB4A22" w:rsidRPr="00E04015" w:rsidRDefault="00121934" w:rsidP="00B12430">
            <w:pPr>
              <w:jc w:val="center"/>
              <w:rPr>
                <w:rFonts w:ascii="Calibri" w:hAnsi="Calibri"/>
                <w:b/>
                <w:color w:val="000000"/>
                <w:szCs w:val="22"/>
              </w:rPr>
            </w:pPr>
            <w:r>
              <w:rPr>
                <w:rFonts w:ascii="Calibri" w:hAnsi="Calibri"/>
                <w:b/>
                <w:color w:val="000000"/>
                <w:szCs w:val="22"/>
              </w:rPr>
              <w:t>0.5%</w:t>
            </w:r>
          </w:p>
        </w:tc>
      </w:tr>
      <w:tr w:rsidR="00C40401" w14:paraId="350B422B" w14:textId="77777777" w:rsidTr="00B12430">
        <w:trPr>
          <w:trHeight w:val="274"/>
        </w:trPr>
        <w:tc>
          <w:tcPr>
            <w:tcW w:w="4664" w:type="dxa"/>
            <w:tcBorders>
              <w:top w:val="single" w:sz="4" w:space="0" w:color="auto"/>
              <w:left w:val="single" w:sz="4" w:space="0" w:color="auto"/>
              <w:bottom w:val="single" w:sz="4" w:space="0" w:color="auto"/>
              <w:right w:val="single" w:sz="4" w:space="0" w:color="auto"/>
            </w:tcBorders>
            <w:vAlign w:val="bottom"/>
          </w:tcPr>
          <w:p w14:paraId="356DA8C4" w14:textId="2831582B" w:rsidR="00C40401" w:rsidRDefault="00C40401" w:rsidP="00B12430">
            <w:pPr>
              <w:rPr>
                <w:rFonts w:ascii="Calibri" w:hAnsi="Calibri" w:cs="Calibri"/>
                <w:b/>
                <w:color w:val="000000"/>
                <w:szCs w:val="22"/>
              </w:rPr>
            </w:pPr>
            <w:r>
              <w:rPr>
                <w:rFonts w:ascii="Calibri" w:hAnsi="Calibri" w:cs="Calibri"/>
                <w:b/>
                <w:color w:val="000000"/>
                <w:szCs w:val="22"/>
              </w:rPr>
              <w:t>COVID-19 vaccination centre</w:t>
            </w:r>
          </w:p>
        </w:tc>
        <w:tc>
          <w:tcPr>
            <w:tcW w:w="2263" w:type="dxa"/>
            <w:tcBorders>
              <w:top w:val="single" w:sz="4" w:space="0" w:color="auto"/>
              <w:left w:val="single" w:sz="4" w:space="0" w:color="auto"/>
              <w:bottom w:val="single" w:sz="4" w:space="0" w:color="auto"/>
              <w:right w:val="single" w:sz="4" w:space="0" w:color="auto"/>
            </w:tcBorders>
            <w:vAlign w:val="center"/>
          </w:tcPr>
          <w:p w14:paraId="4AF04098" w14:textId="3A3B18EA" w:rsidR="00C40401" w:rsidRDefault="00C40401" w:rsidP="00B12430">
            <w:pPr>
              <w:jc w:val="center"/>
              <w:rPr>
                <w:rFonts w:ascii="Calibri" w:hAnsi="Calibri"/>
                <w:b/>
                <w:color w:val="000000"/>
                <w:szCs w:val="22"/>
              </w:rPr>
            </w:pPr>
            <w:r>
              <w:rPr>
                <w:rFonts w:ascii="Calibri" w:hAnsi="Calibri"/>
                <w:b/>
                <w:color w:val="000000"/>
                <w:szCs w:val="22"/>
              </w:rPr>
              <w:t>6</w:t>
            </w:r>
          </w:p>
        </w:tc>
        <w:tc>
          <w:tcPr>
            <w:tcW w:w="1981" w:type="dxa"/>
            <w:tcBorders>
              <w:top w:val="single" w:sz="4" w:space="0" w:color="auto"/>
              <w:left w:val="single" w:sz="4" w:space="0" w:color="auto"/>
              <w:bottom w:val="single" w:sz="4" w:space="0" w:color="auto"/>
              <w:right w:val="single" w:sz="4" w:space="0" w:color="auto"/>
            </w:tcBorders>
            <w:vAlign w:val="center"/>
          </w:tcPr>
          <w:p w14:paraId="7DEAD571" w14:textId="4EE95BFC" w:rsidR="00C40401" w:rsidRPr="00E04015" w:rsidRDefault="00121934" w:rsidP="00B12430">
            <w:pPr>
              <w:jc w:val="center"/>
              <w:rPr>
                <w:rFonts w:ascii="Calibri" w:hAnsi="Calibri"/>
                <w:b/>
                <w:color w:val="000000"/>
                <w:szCs w:val="22"/>
              </w:rPr>
            </w:pPr>
            <w:r>
              <w:rPr>
                <w:rFonts w:ascii="Calibri" w:hAnsi="Calibri"/>
                <w:b/>
                <w:color w:val="000000"/>
                <w:szCs w:val="22"/>
              </w:rPr>
              <w:t>1.1%</w:t>
            </w:r>
          </w:p>
        </w:tc>
      </w:tr>
      <w:tr w:rsidR="00EB4A22" w14:paraId="311F7BD1" w14:textId="77777777" w:rsidTr="00B12430">
        <w:trPr>
          <w:trHeight w:val="274"/>
        </w:trPr>
        <w:tc>
          <w:tcPr>
            <w:tcW w:w="4664" w:type="dxa"/>
            <w:tcBorders>
              <w:top w:val="single" w:sz="4" w:space="0" w:color="auto"/>
              <w:left w:val="single" w:sz="4" w:space="0" w:color="auto"/>
              <w:bottom w:val="single" w:sz="4" w:space="0" w:color="auto"/>
              <w:right w:val="single" w:sz="4" w:space="0" w:color="auto"/>
            </w:tcBorders>
            <w:vAlign w:val="bottom"/>
            <w:hideMark/>
          </w:tcPr>
          <w:p w14:paraId="448A3CB5" w14:textId="77777777" w:rsidR="00EB4A22" w:rsidRDefault="00EB4A22" w:rsidP="00B12430">
            <w:pPr>
              <w:rPr>
                <w:rFonts w:ascii="Calibri" w:hAnsi="Calibri" w:cs="Calibri"/>
                <w:b/>
                <w:color w:val="000000"/>
                <w:szCs w:val="22"/>
              </w:rPr>
            </w:pPr>
            <w:r>
              <w:rPr>
                <w:rFonts w:ascii="Calibri" w:hAnsi="Calibri" w:cs="Calibri"/>
                <w:b/>
                <w:color w:val="000000"/>
                <w:szCs w:val="22"/>
              </w:rPr>
              <w:t xml:space="preserve">Dental </w:t>
            </w:r>
          </w:p>
        </w:tc>
        <w:tc>
          <w:tcPr>
            <w:tcW w:w="2263" w:type="dxa"/>
            <w:tcBorders>
              <w:top w:val="single" w:sz="4" w:space="0" w:color="auto"/>
              <w:left w:val="single" w:sz="4" w:space="0" w:color="auto"/>
              <w:bottom w:val="single" w:sz="4" w:space="0" w:color="auto"/>
              <w:right w:val="single" w:sz="4" w:space="0" w:color="auto"/>
            </w:tcBorders>
            <w:vAlign w:val="center"/>
          </w:tcPr>
          <w:p w14:paraId="0647CC0A" w14:textId="170DD765" w:rsidR="00EB4A22" w:rsidRPr="00E04015" w:rsidRDefault="00C40401" w:rsidP="00B12430">
            <w:pPr>
              <w:jc w:val="center"/>
              <w:rPr>
                <w:rFonts w:ascii="Calibri" w:hAnsi="Calibri"/>
                <w:b/>
                <w:color w:val="000000"/>
                <w:szCs w:val="22"/>
              </w:rPr>
            </w:pPr>
            <w:r>
              <w:rPr>
                <w:rFonts w:ascii="Calibri" w:hAnsi="Calibri"/>
                <w:b/>
                <w:color w:val="000000"/>
                <w:szCs w:val="22"/>
              </w:rPr>
              <w:t>4</w:t>
            </w:r>
          </w:p>
        </w:tc>
        <w:tc>
          <w:tcPr>
            <w:tcW w:w="1981" w:type="dxa"/>
            <w:tcBorders>
              <w:top w:val="single" w:sz="4" w:space="0" w:color="auto"/>
              <w:left w:val="single" w:sz="4" w:space="0" w:color="auto"/>
              <w:bottom w:val="single" w:sz="4" w:space="0" w:color="auto"/>
              <w:right w:val="single" w:sz="4" w:space="0" w:color="auto"/>
            </w:tcBorders>
            <w:vAlign w:val="center"/>
          </w:tcPr>
          <w:p w14:paraId="0B6B5EC6" w14:textId="357D62F1" w:rsidR="00EB4A22" w:rsidRPr="00E04015" w:rsidRDefault="00121934" w:rsidP="00B12430">
            <w:pPr>
              <w:jc w:val="center"/>
              <w:rPr>
                <w:rFonts w:ascii="Calibri" w:hAnsi="Calibri"/>
                <w:b/>
                <w:color w:val="000000"/>
                <w:szCs w:val="22"/>
              </w:rPr>
            </w:pPr>
            <w:r>
              <w:rPr>
                <w:rFonts w:ascii="Calibri" w:hAnsi="Calibri"/>
                <w:b/>
                <w:color w:val="000000"/>
                <w:szCs w:val="22"/>
              </w:rPr>
              <w:t>0.7%</w:t>
            </w:r>
          </w:p>
        </w:tc>
      </w:tr>
      <w:tr w:rsidR="00EB4A22" w14:paraId="3A516160" w14:textId="77777777" w:rsidTr="00B12430">
        <w:trPr>
          <w:trHeight w:val="263"/>
        </w:trPr>
        <w:tc>
          <w:tcPr>
            <w:tcW w:w="4664" w:type="dxa"/>
            <w:tcBorders>
              <w:top w:val="single" w:sz="4" w:space="0" w:color="auto"/>
              <w:left w:val="single" w:sz="4" w:space="0" w:color="auto"/>
              <w:bottom w:val="single" w:sz="4" w:space="0" w:color="auto"/>
              <w:right w:val="single" w:sz="4" w:space="0" w:color="auto"/>
            </w:tcBorders>
            <w:vAlign w:val="bottom"/>
            <w:hideMark/>
          </w:tcPr>
          <w:p w14:paraId="1FDDC902" w14:textId="77777777" w:rsidR="00EB4A22" w:rsidRDefault="00EB4A22" w:rsidP="00B12430">
            <w:pPr>
              <w:rPr>
                <w:rFonts w:cs="Arial"/>
                <w:b/>
                <w:szCs w:val="22"/>
              </w:rPr>
            </w:pPr>
            <w:r>
              <w:rPr>
                <w:rFonts w:cs="Arial"/>
                <w:b/>
                <w:szCs w:val="22"/>
              </w:rPr>
              <w:t>Diagnostics</w:t>
            </w:r>
          </w:p>
        </w:tc>
        <w:tc>
          <w:tcPr>
            <w:tcW w:w="2263" w:type="dxa"/>
            <w:tcBorders>
              <w:top w:val="single" w:sz="4" w:space="0" w:color="auto"/>
              <w:left w:val="single" w:sz="4" w:space="0" w:color="auto"/>
              <w:bottom w:val="single" w:sz="4" w:space="0" w:color="auto"/>
              <w:right w:val="single" w:sz="4" w:space="0" w:color="auto"/>
            </w:tcBorders>
            <w:vAlign w:val="center"/>
          </w:tcPr>
          <w:p w14:paraId="1A752187" w14:textId="48FC99EE" w:rsidR="00EB4A22" w:rsidRPr="00E04015" w:rsidRDefault="00C40401" w:rsidP="00B12430">
            <w:pPr>
              <w:jc w:val="center"/>
              <w:rPr>
                <w:rFonts w:ascii="Calibri" w:hAnsi="Calibri"/>
                <w:b/>
                <w:color w:val="000000"/>
                <w:szCs w:val="22"/>
              </w:rPr>
            </w:pPr>
            <w:r>
              <w:rPr>
                <w:rFonts w:ascii="Calibri" w:hAnsi="Calibri"/>
                <w:b/>
                <w:color w:val="000000"/>
                <w:szCs w:val="22"/>
              </w:rPr>
              <w:t>22</w:t>
            </w:r>
          </w:p>
        </w:tc>
        <w:tc>
          <w:tcPr>
            <w:tcW w:w="1981" w:type="dxa"/>
            <w:tcBorders>
              <w:top w:val="single" w:sz="4" w:space="0" w:color="auto"/>
              <w:left w:val="single" w:sz="4" w:space="0" w:color="auto"/>
              <w:bottom w:val="single" w:sz="4" w:space="0" w:color="auto"/>
              <w:right w:val="single" w:sz="4" w:space="0" w:color="auto"/>
            </w:tcBorders>
            <w:vAlign w:val="center"/>
          </w:tcPr>
          <w:p w14:paraId="1A93FCAE" w14:textId="52FD40B6" w:rsidR="00EB4A22" w:rsidRPr="00E04015" w:rsidRDefault="00121934" w:rsidP="00B12430">
            <w:pPr>
              <w:jc w:val="center"/>
              <w:rPr>
                <w:rFonts w:ascii="Calibri" w:hAnsi="Calibri"/>
                <w:b/>
                <w:color w:val="000000"/>
                <w:szCs w:val="22"/>
              </w:rPr>
            </w:pPr>
            <w:r>
              <w:rPr>
                <w:rFonts w:ascii="Calibri" w:hAnsi="Calibri"/>
                <w:b/>
                <w:color w:val="000000"/>
                <w:szCs w:val="22"/>
              </w:rPr>
              <w:t>4.0%</w:t>
            </w:r>
          </w:p>
        </w:tc>
      </w:tr>
      <w:tr w:rsidR="00EB4A22" w14:paraId="362284B6" w14:textId="77777777" w:rsidTr="00B12430">
        <w:trPr>
          <w:trHeight w:val="282"/>
        </w:trPr>
        <w:tc>
          <w:tcPr>
            <w:tcW w:w="4664" w:type="dxa"/>
            <w:tcBorders>
              <w:top w:val="single" w:sz="4" w:space="0" w:color="auto"/>
              <w:left w:val="single" w:sz="4" w:space="0" w:color="auto"/>
              <w:bottom w:val="single" w:sz="4" w:space="0" w:color="auto"/>
              <w:right w:val="single" w:sz="4" w:space="0" w:color="auto"/>
            </w:tcBorders>
            <w:vAlign w:val="bottom"/>
            <w:hideMark/>
          </w:tcPr>
          <w:p w14:paraId="5F116243" w14:textId="77777777" w:rsidR="00EB4A22" w:rsidRDefault="00EB4A22" w:rsidP="00B12430">
            <w:pPr>
              <w:rPr>
                <w:rFonts w:cs="Arial"/>
                <w:b/>
                <w:szCs w:val="22"/>
              </w:rPr>
            </w:pPr>
            <w:r>
              <w:rPr>
                <w:rFonts w:cs="Arial"/>
                <w:b/>
                <w:szCs w:val="22"/>
              </w:rPr>
              <w:t>Disability services</w:t>
            </w:r>
          </w:p>
        </w:tc>
        <w:tc>
          <w:tcPr>
            <w:tcW w:w="2263" w:type="dxa"/>
            <w:tcBorders>
              <w:top w:val="single" w:sz="4" w:space="0" w:color="auto"/>
              <w:left w:val="single" w:sz="4" w:space="0" w:color="auto"/>
              <w:bottom w:val="single" w:sz="4" w:space="0" w:color="auto"/>
              <w:right w:val="single" w:sz="4" w:space="0" w:color="auto"/>
            </w:tcBorders>
            <w:vAlign w:val="center"/>
          </w:tcPr>
          <w:p w14:paraId="38F37BA2" w14:textId="3B9E04C5" w:rsidR="00EB4A22" w:rsidRPr="00E04015" w:rsidRDefault="00C40401" w:rsidP="00B12430">
            <w:pPr>
              <w:jc w:val="center"/>
              <w:rPr>
                <w:rFonts w:ascii="Calibri" w:hAnsi="Calibri"/>
                <w:b/>
                <w:color w:val="000000"/>
                <w:szCs w:val="22"/>
              </w:rPr>
            </w:pPr>
            <w:r>
              <w:rPr>
                <w:rFonts w:ascii="Calibri" w:hAnsi="Calibri"/>
                <w:b/>
                <w:color w:val="000000"/>
                <w:szCs w:val="22"/>
              </w:rPr>
              <w:t>11</w:t>
            </w:r>
          </w:p>
        </w:tc>
        <w:tc>
          <w:tcPr>
            <w:tcW w:w="1981" w:type="dxa"/>
            <w:tcBorders>
              <w:top w:val="single" w:sz="4" w:space="0" w:color="auto"/>
              <w:left w:val="single" w:sz="4" w:space="0" w:color="auto"/>
              <w:bottom w:val="single" w:sz="4" w:space="0" w:color="auto"/>
              <w:right w:val="single" w:sz="4" w:space="0" w:color="auto"/>
            </w:tcBorders>
            <w:vAlign w:val="center"/>
          </w:tcPr>
          <w:p w14:paraId="6FDAC0C7" w14:textId="48F9AB63" w:rsidR="00EB4A22" w:rsidRPr="00E04015" w:rsidRDefault="00121934" w:rsidP="00B12430">
            <w:pPr>
              <w:jc w:val="center"/>
              <w:rPr>
                <w:rFonts w:ascii="Calibri" w:hAnsi="Calibri"/>
                <w:b/>
                <w:color w:val="000000"/>
                <w:szCs w:val="22"/>
              </w:rPr>
            </w:pPr>
            <w:r>
              <w:rPr>
                <w:rFonts w:ascii="Calibri" w:hAnsi="Calibri"/>
                <w:b/>
                <w:color w:val="000000"/>
                <w:szCs w:val="22"/>
              </w:rPr>
              <w:t>2.0%</w:t>
            </w:r>
          </w:p>
        </w:tc>
      </w:tr>
      <w:tr w:rsidR="00EB4A22" w14:paraId="729085B0" w14:textId="77777777" w:rsidTr="00B12430">
        <w:trPr>
          <w:trHeight w:val="257"/>
        </w:trPr>
        <w:tc>
          <w:tcPr>
            <w:tcW w:w="4664" w:type="dxa"/>
            <w:tcBorders>
              <w:top w:val="single" w:sz="4" w:space="0" w:color="auto"/>
              <w:left w:val="single" w:sz="4" w:space="0" w:color="auto"/>
              <w:bottom w:val="single" w:sz="4" w:space="0" w:color="auto"/>
              <w:right w:val="single" w:sz="4" w:space="0" w:color="auto"/>
            </w:tcBorders>
            <w:vAlign w:val="bottom"/>
            <w:hideMark/>
          </w:tcPr>
          <w:p w14:paraId="6549FBAD" w14:textId="77777777" w:rsidR="00EB4A22" w:rsidRDefault="00EB4A22" w:rsidP="00B12430">
            <w:pPr>
              <w:rPr>
                <w:rFonts w:cs="Arial"/>
                <w:b/>
                <w:szCs w:val="22"/>
              </w:rPr>
            </w:pPr>
            <w:r>
              <w:rPr>
                <w:rFonts w:cs="Arial"/>
                <w:b/>
                <w:szCs w:val="22"/>
              </w:rPr>
              <w:t xml:space="preserve">District nursing </w:t>
            </w:r>
          </w:p>
        </w:tc>
        <w:tc>
          <w:tcPr>
            <w:tcW w:w="2263" w:type="dxa"/>
            <w:tcBorders>
              <w:top w:val="single" w:sz="4" w:space="0" w:color="auto"/>
              <w:left w:val="single" w:sz="4" w:space="0" w:color="auto"/>
              <w:bottom w:val="single" w:sz="4" w:space="0" w:color="auto"/>
              <w:right w:val="single" w:sz="4" w:space="0" w:color="auto"/>
            </w:tcBorders>
            <w:vAlign w:val="center"/>
          </w:tcPr>
          <w:p w14:paraId="62491993" w14:textId="768F8D02" w:rsidR="00EB4A22" w:rsidRPr="00E04015" w:rsidRDefault="00C40401" w:rsidP="00B12430">
            <w:pPr>
              <w:jc w:val="center"/>
              <w:rPr>
                <w:rFonts w:ascii="Calibri" w:hAnsi="Calibri"/>
                <w:b/>
                <w:color w:val="000000"/>
                <w:szCs w:val="22"/>
              </w:rPr>
            </w:pPr>
            <w:r>
              <w:rPr>
                <w:rFonts w:ascii="Calibri" w:hAnsi="Calibri"/>
                <w:b/>
                <w:color w:val="000000"/>
                <w:szCs w:val="22"/>
              </w:rPr>
              <w:t>5</w:t>
            </w:r>
          </w:p>
        </w:tc>
        <w:tc>
          <w:tcPr>
            <w:tcW w:w="1981" w:type="dxa"/>
            <w:tcBorders>
              <w:top w:val="single" w:sz="4" w:space="0" w:color="auto"/>
              <w:left w:val="single" w:sz="4" w:space="0" w:color="auto"/>
              <w:bottom w:val="single" w:sz="4" w:space="0" w:color="auto"/>
              <w:right w:val="single" w:sz="4" w:space="0" w:color="auto"/>
            </w:tcBorders>
            <w:vAlign w:val="center"/>
          </w:tcPr>
          <w:p w14:paraId="296714AA" w14:textId="02CC2338" w:rsidR="00EB4A22" w:rsidRPr="00E04015" w:rsidRDefault="00121934" w:rsidP="00B12430">
            <w:pPr>
              <w:jc w:val="center"/>
              <w:rPr>
                <w:rFonts w:ascii="Calibri" w:hAnsi="Calibri"/>
                <w:b/>
                <w:color w:val="000000"/>
                <w:szCs w:val="22"/>
              </w:rPr>
            </w:pPr>
            <w:r>
              <w:rPr>
                <w:rFonts w:ascii="Calibri" w:hAnsi="Calibri"/>
                <w:b/>
                <w:color w:val="000000"/>
                <w:szCs w:val="22"/>
              </w:rPr>
              <w:t>0.9%</w:t>
            </w:r>
          </w:p>
        </w:tc>
      </w:tr>
      <w:tr w:rsidR="00EB4A22" w14:paraId="2B1BFA4F" w14:textId="77777777" w:rsidTr="00B12430">
        <w:trPr>
          <w:trHeight w:val="262"/>
        </w:trPr>
        <w:tc>
          <w:tcPr>
            <w:tcW w:w="4664" w:type="dxa"/>
            <w:tcBorders>
              <w:top w:val="single" w:sz="4" w:space="0" w:color="auto"/>
              <w:left w:val="single" w:sz="4" w:space="0" w:color="auto"/>
              <w:bottom w:val="single" w:sz="4" w:space="0" w:color="auto"/>
              <w:right w:val="single" w:sz="4" w:space="0" w:color="auto"/>
            </w:tcBorders>
            <w:vAlign w:val="bottom"/>
            <w:hideMark/>
          </w:tcPr>
          <w:p w14:paraId="2D65992A" w14:textId="77777777" w:rsidR="00EB4A22" w:rsidRDefault="00EB4A22" w:rsidP="00B12430">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3" w:type="dxa"/>
            <w:tcBorders>
              <w:top w:val="single" w:sz="4" w:space="0" w:color="auto"/>
              <w:left w:val="single" w:sz="4" w:space="0" w:color="auto"/>
              <w:bottom w:val="single" w:sz="4" w:space="0" w:color="auto"/>
              <w:right w:val="single" w:sz="4" w:space="0" w:color="auto"/>
            </w:tcBorders>
            <w:vAlign w:val="center"/>
          </w:tcPr>
          <w:p w14:paraId="2DB1AD36" w14:textId="216587AF" w:rsidR="00EB4A22" w:rsidRPr="00E04015" w:rsidRDefault="00C40401" w:rsidP="00B12430">
            <w:pPr>
              <w:jc w:val="center"/>
              <w:rPr>
                <w:rFonts w:ascii="Calibri" w:hAnsi="Calibri"/>
                <w:b/>
                <w:color w:val="000000"/>
                <w:szCs w:val="22"/>
              </w:rPr>
            </w:pPr>
            <w:r>
              <w:rPr>
                <w:rFonts w:ascii="Calibri" w:hAnsi="Calibri"/>
                <w:b/>
                <w:color w:val="000000"/>
                <w:szCs w:val="22"/>
              </w:rPr>
              <w:t>65</w:t>
            </w:r>
          </w:p>
        </w:tc>
        <w:tc>
          <w:tcPr>
            <w:tcW w:w="1981" w:type="dxa"/>
            <w:tcBorders>
              <w:top w:val="single" w:sz="4" w:space="0" w:color="auto"/>
              <w:left w:val="single" w:sz="4" w:space="0" w:color="auto"/>
              <w:bottom w:val="single" w:sz="4" w:space="0" w:color="auto"/>
              <w:right w:val="single" w:sz="4" w:space="0" w:color="auto"/>
            </w:tcBorders>
            <w:vAlign w:val="center"/>
          </w:tcPr>
          <w:p w14:paraId="144EB900" w14:textId="0D1AA966" w:rsidR="00EB4A22" w:rsidRPr="00E04015" w:rsidRDefault="00121934" w:rsidP="00B12430">
            <w:pPr>
              <w:jc w:val="center"/>
              <w:rPr>
                <w:rFonts w:ascii="Calibri" w:hAnsi="Calibri"/>
                <w:b/>
                <w:color w:val="000000"/>
                <w:szCs w:val="22"/>
              </w:rPr>
            </w:pPr>
            <w:r>
              <w:rPr>
                <w:rFonts w:ascii="Calibri" w:hAnsi="Calibri"/>
                <w:b/>
                <w:color w:val="000000"/>
                <w:szCs w:val="22"/>
              </w:rPr>
              <w:t>11.8%</w:t>
            </w:r>
          </w:p>
        </w:tc>
      </w:tr>
      <w:tr w:rsidR="00EB4A22" w14:paraId="727149FD"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6B5E8336" w14:textId="77777777" w:rsidR="00EB4A22" w:rsidRDefault="00EB4A22" w:rsidP="00B12430">
            <w:pPr>
              <w:rPr>
                <w:rFonts w:ascii="Calibri" w:hAnsi="Calibri" w:cs="Calibri"/>
                <w:b/>
                <w:color w:val="000000"/>
                <w:szCs w:val="22"/>
              </w:rPr>
            </w:pPr>
            <w:r>
              <w:rPr>
                <w:rFonts w:ascii="Calibri" w:hAnsi="Calibri" w:cs="Calibri"/>
                <w:b/>
                <w:color w:val="000000"/>
                <w:szCs w:val="22"/>
              </w:rPr>
              <w:t>Intensive care/critical care</w:t>
            </w:r>
          </w:p>
        </w:tc>
        <w:tc>
          <w:tcPr>
            <w:tcW w:w="2263" w:type="dxa"/>
            <w:tcBorders>
              <w:top w:val="single" w:sz="4" w:space="0" w:color="auto"/>
              <w:left w:val="single" w:sz="4" w:space="0" w:color="auto"/>
              <w:bottom w:val="single" w:sz="4" w:space="0" w:color="auto"/>
              <w:right w:val="single" w:sz="4" w:space="0" w:color="auto"/>
            </w:tcBorders>
            <w:vAlign w:val="center"/>
          </w:tcPr>
          <w:p w14:paraId="23DC98A5" w14:textId="1F28947E" w:rsidR="00EB4A22" w:rsidRPr="00E04015" w:rsidRDefault="00C40401" w:rsidP="00B12430">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60D8A651" w14:textId="48D13719" w:rsidR="00EB4A22" w:rsidRPr="00E04015" w:rsidRDefault="00121934" w:rsidP="00B12430">
            <w:pPr>
              <w:jc w:val="center"/>
              <w:rPr>
                <w:rFonts w:ascii="Calibri" w:hAnsi="Calibri"/>
                <w:b/>
                <w:color w:val="000000"/>
                <w:szCs w:val="22"/>
              </w:rPr>
            </w:pPr>
            <w:r>
              <w:rPr>
                <w:rFonts w:ascii="Calibri" w:hAnsi="Calibri"/>
                <w:b/>
                <w:color w:val="000000"/>
                <w:szCs w:val="22"/>
              </w:rPr>
              <w:t>0.4%</w:t>
            </w:r>
          </w:p>
        </w:tc>
      </w:tr>
      <w:tr w:rsidR="00EB4A22" w14:paraId="0C3619C8"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7F306392" w14:textId="77777777" w:rsidR="00EB4A22" w:rsidRDefault="00EB4A22" w:rsidP="00B12430">
            <w:pPr>
              <w:rPr>
                <w:rFonts w:ascii="Calibri" w:hAnsi="Calibri" w:cs="Calibri"/>
                <w:b/>
                <w:color w:val="000000"/>
                <w:szCs w:val="22"/>
              </w:rPr>
            </w:pPr>
            <w:r>
              <w:rPr>
                <w:rFonts w:ascii="Calibri" w:hAnsi="Calibri" w:cs="Calibri"/>
                <w:b/>
                <w:color w:val="000000"/>
                <w:szCs w:val="22"/>
              </w:rPr>
              <w:t>Maternity</w:t>
            </w:r>
          </w:p>
        </w:tc>
        <w:tc>
          <w:tcPr>
            <w:tcW w:w="2263" w:type="dxa"/>
            <w:tcBorders>
              <w:top w:val="single" w:sz="4" w:space="0" w:color="auto"/>
              <w:left w:val="single" w:sz="4" w:space="0" w:color="auto"/>
              <w:bottom w:val="single" w:sz="4" w:space="0" w:color="auto"/>
              <w:right w:val="single" w:sz="4" w:space="0" w:color="auto"/>
            </w:tcBorders>
            <w:vAlign w:val="center"/>
          </w:tcPr>
          <w:p w14:paraId="7E68D132" w14:textId="3CAE607B" w:rsidR="00EB4A22" w:rsidRPr="00E04015" w:rsidRDefault="00C40401" w:rsidP="00B12430">
            <w:pPr>
              <w:jc w:val="center"/>
              <w:rPr>
                <w:rFonts w:ascii="Calibri" w:hAnsi="Calibri"/>
                <w:b/>
                <w:color w:val="000000"/>
                <w:szCs w:val="22"/>
              </w:rPr>
            </w:pPr>
            <w:r>
              <w:rPr>
                <w:rFonts w:ascii="Calibri" w:hAnsi="Calibri"/>
                <w:b/>
                <w:color w:val="000000"/>
                <w:szCs w:val="22"/>
              </w:rPr>
              <w:t>29</w:t>
            </w:r>
          </w:p>
        </w:tc>
        <w:tc>
          <w:tcPr>
            <w:tcW w:w="1981" w:type="dxa"/>
            <w:tcBorders>
              <w:top w:val="single" w:sz="4" w:space="0" w:color="auto"/>
              <w:left w:val="single" w:sz="4" w:space="0" w:color="auto"/>
              <w:bottom w:val="single" w:sz="4" w:space="0" w:color="auto"/>
              <w:right w:val="single" w:sz="4" w:space="0" w:color="auto"/>
            </w:tcBorders>
            <w:vAlign w:val="center"/>
          </w:tcPr>
          <w:p w14:paraId="162E606E" w14:textId="2A265EE1" w:rsidR="00EB4A22" w:rsidRPr="00E04015" w:rsidRDefault="00121934" w:rsidP="00B12430">
            <w:pPr>
              <w:jc w:val="center"/>
              <w:rPr>
                <w:rFonts w:ascii="Calibri" w:hAnsi="Calibri"/>
                <w:b/>
                <w:color w:val="000000"/>
                <w:szCs w:val="22"/>
              </w:rPr>
            </w:pPr>
            <w:r>
              <w:rPr>
                <w:rFonts w:ascii="Calibri" w:hAnsi="Calibri"/>
                <w:b/>
                <w:color w:val="000000"/>
                <w:szCs w:val="22"/>
              </w:rPr>
              <w:t>5.3%</w:t>
            </w:r>
          </w:p>
        </w:tc>
      </w:tr>
      <w:tr w:rsidR="00EB4A22" w14:paraId="354AA580" w14:textId="77777777" w:rsidTr="00B12430">
        <w:tc>
          <w:tcPr>
            <w:tcW w:w="4664" w:type="dxa"/>
            <w:tcBorders>
              <w:top w:val="single" w:sz="4" w:space="0" w:color="auto"/>
              <w:left w:val="single" w:sz="4" w:space="0" w:color="auto"/>
              <w:bottom w:val="single" w:sz="4" w:space="0" w:color="auto"/>
              <w:right w:val="single" w:sz="4" w:space="0" w:color="auto"/>
            </w:tcBorders>
          </w:tcPr>
          <w:p w14:paraId="1287BB84" w14:textId="77777777" w:rsidR="00EB4A22" w:rsidRDefault="00EB4A22" w:rsidP="00B12430">
            <w:pPr>
              <w:jc w:val="left"/>
              <w:rPr>
                <w:rFonts w:ascii="Calibri" w:hAnsi="Calibri" w:cs="Calibri"/>
                <w:b/>
                <w:color w:val="000000"/>
                <w:szCs w:val="22"/>
              </w:rPr>
            </w:pPr>
            <w:r>
              <w:rPr>
                <w:rFonts w:ascii="Calibri" w:hAnsi="Calibri" w:cs="Calibri"/>
                <w:b/>
                <w:color w:val="000000"/>
                <w:szCs w:val="22"/>
              </w:rPr>
              <w:t>Medicine</w:t>
            </w:r>
          </w:p>
          <w:p w14:paraId="7C3170B8" w14:textId="5D3A7711" w:rsidR="00EB4A22" w:rsidRPr="009100DA" w:rsidRDefault="00B12430" w:rsidP="00B12430">
            <w:pPr>
              <w:jc w:val="left"/>
              <w:rPr>
                <w:rFonts w:ascii="Calibri" w:hAnsi="Calibri" w:cs="Calibri"/>
                <w:color w:val="000000"/>
                <w:szCs w:val="22"/>
              </w:rPr>
            </w:pPr>
            <w:r>
              <w:rPr>
                <w:rFonts w:ascii="Calibri" w:hAnsi="Calibri" w:cs="Calibri"/>
                <w:b/>
                <w:color w:val="000000"/>
                <w:szCs w:val="22"/>
              </w:rPr>
              <w:t xml:space="preserve"> </w:t>
            </w:r>
            <w:r w:rsidR="00EB4A22" w:rsidRPr="009100DA">
              <w:rPr>
                <w:rFonts w:ascii="Calibri" w:hAnsi="Calibri" w:cs="Calibri"/>
                <w:color w:val="000000"/>
                <w:szCs w:val="22"/>
              </w:rPr>
              <w:t>General medicine</w:t>
            </w:r>
          </w:p>
          <w:p w14:paraId="0FBE44C6" w14:textId="26F6AD3B"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Cardiology</w:t>
            </w:r>
          </w:p>
          <w:p w14:paraId="54045085" w14:textId="6620B3F1" w:rsidR="00EB4A22" w:rsidRDefault="00C40401"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Endocrinology</w:t>
            </w:r>
          </w:p>
          <w:p w14:paraId="4491F348" w14:textId="46AC91BB"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Gastroenterology</w:t>
            </w:r>
          </w:p>
          <w:p w14:paraId="2E2ED963" w14:textId="655F802F"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Geriatric medicine</w:t>
            </w:r>
          </w:p>
          <w:p w14:paraId="565688B3" w14:textId="1BC56F55"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Haematology</w:t>
            </w:r>
          </w:p>
          <w:p w14:paraId="50C71DC8" w14:textId="004CC4B5"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Neurology</w:t>
            </w:r>
          </w:p>
          <w:p w14:paraId="66E90E2A" w14:textId="3EB1FA90"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C40401">
              <w:rPr>
                <w:rFonts w:ascii="Calibri" w:hAnsi="Calibri" w:cs="Calibri"/>
                <w:color w:val="000000"/>
                <w:szCs w:val="22"/>
              </w:rPr>
              <w:t>Oncology</w:t>
            </w:r>
          </w:p>
          <w:p w14:paraId="15D15C12" w14:textId="53AAD66A"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Renal/nephrology</w:t>
            </w:r>
          </w:p>
          <w:p w14:paraId="1BC5DDDB" w14:textId="5BF074CD"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Respiratory</w:t>
            </w:r>
          </w:p>
          <w:p w14:paraId="10DCE0B2" w14:textId="32BDC393"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Rheumatology</w:t>
            </w:r>
          </w:p>
          <w:p w14:paraId="04A4C0BE" w14:textId="3504B5D8" w:rsidR="00EB4A22" w:rsidRDefault="00B12430" w:rsidP="00B12430">
            <w:pPr>
              <w:jc w:val="left"/>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Other/unspecified</w:t>
            </w:r>
          </w:p>
        </w:tc>
        <w:tc>
          <w:tcPr>
            <w:tcW w:w="2263" w:type="dxa"/>
            <w:tcBorders>
              <w:top w:val="single" w:sz="4" w:space="0" w:color="auto"/>
              <w:left w:val="single" w:sz="4" w:space="0" w:color="auto"/>
              <w:bottom w:val="single" w:sz="4" w:space="0" w:color="auto"/>
              <w:right w:val="single" w:sz="4" w:space="0" w:color="auto"/>
            </w:tcBorders>
          </w:tcPr>
          <w:p w14:paraId="795A17DB" w14:textId="24B6B29D" w:rsidR="00EB4A22" w:rsidRPr="00C40401" w:rsidRDefault="00C40401" w:rsidP="00B12430">
            <w:pPr>
              <w:jc w:val="center"/>
              <w:rPr>
                <w:rFonts w:ascii="Calibri" w:hAnsi="Calibri"/>
                <w:b/>
                <w:color w:val="000000"/>
                <w:szCs w:val="22"/>
              </w:rPr>
            </w:pPr>
            <w:r>
              <w:rPr>
                <w:rFonts w:ascii="Calibri" w:hAnsi="Calibri"/>
                <w:b/>
                <w:color w:val="000000"/>
                <w:szCs w:val="22"/>
              </w:rPr>
              <w:t>86</w:t>
            </w:r>
          </w:p>
          <w:p w14:paraId="6F43893B" w14:textId="77777777" w:rsidR="00C40401" w:rsidRDefault="00C40401" w:rsidP="00B12430">
            <w:pPr>
              <w:jc w:val="center"/>
              <w:rPr>
                <w:rFonts w:ascii="Calibri" w:hAnsi="Calibri"/>
                <w:color w:val="000000"/>
                <w:szCs w:val="22"/>
              </w:rPr>
            </w:pPr>
            <w:r>
              <w:rPr>
                <w:rFonts w:ascii="Calibri" w:hAnsi="Calibri"/>
                <w:color w:val="000000"/>
                <w:szCs w:val="22"/>
              </w:rPr>
              <w:t>19</w:t>
            </w:r>
          </w:p>
          <w:p w14:paraId="2D4DBC1F" w14:textId="77777777" w:rsidR="00C40401" w:rsidRDefault="00C40401" w:rsidP="00B12430">
            <w:pPr>
              <w:jc w:val="center"/>
              <w:rPr>
                <w:rFonts w:ascii="Calibri" w:hAnsi="Calibri"/>
                <w:color w:val="000000"/>
                <w:szCs w:val="22"/>
              </w:rPr>
            </w:pPr>
            <w:r>
              <w:rPr>
                <w:rFonts w:ascii="Calibri" w:hAnsi="Calibri"/>
                <w:color w:val="000000"/>
                <w:szCs w:val="22"/>
              </w:rPr>
              <w:t>8</w:t>
            </w:r>
          </w:p>
          <w:p w14:paraId="660B580A" w14:textId="77777777" w:rsidR="00C40401" w:rsidRDefault="00C40401" w:rsidP="00B12430">
            <w:pPr>
              <w:jc w:val="center"/>
              <w:rPr>
                <w:rFonts w:ascii="Calibri" w:hAnsi="Calibri"/>
                <w:color w:val="000000"/>
                <w:szCs w:val="22"/>
              </w:rPr>
            </w:pPr>
            <w:r>
              <w:rPr>
                <w:rFonts w:ascii="Calibri" w:hAnsi="Calibri"/>
                <w:color w:val="000000"/>
                <w:szCs w:val="22"/>
              </w:rPr>
              <w:t>1</w:t>
            </w:r>
          </w:p>
          <w:p w14:paraId="43A1FCC3" w14:textId="77777777" w:rsidR="00C40401" w:rsidRDefault="00C40401" w:rsidP="00B12430">
            <w:pPr>
              <w:jc w:val="center"/>
              <w:rPr>
                <w:rFonts w:ascii="Calibri" w:hAnsi="Calibri"/>
                <w:color w:val="000000"/>
                <w:szCs w:val="22"/>
              </w:rPr>
            </w:pPr>
            <w:r>
              <w:rPr>
                <w:rFonts w:ascii="Calibri" w:hAnsi="Calibri"/>
                <w:color w:val="000000"/>
                <w:szCs w:val="22"/>
              </w:rPr>
              <w:t>18</w:t>
            </w:r>
          </w:p>
          <w:p w14:paraId="701ECB07" w14:textId="77777777" w:rsidR="00C40401" w:rsidRDefault="00C40401" w:rsidP="00B12430">
            <w:pPr>
              <w:jc w:val="center"/>
              <w:rPr>
                <w:rFonts w:ascii="Calibri" w:hAnsi="Calibri"/>
                <w:color w:val="000000"/>
                <w:szCs w:val="22"/>
              </w:rPr>
            </w:pPr>
            <w:r>
              <w:rPr>
                <w:rFonts w:ascii="Calibri" w:hAnsi="Calibri"/>
                <w:color w:val="000000"/>
                <w:szCs w:val="22"/>
              </w:rPr>
              <w:t>5</w:t>
            </w:r>
          </w:p>
          <w:p w14:paraId="10634025" w14:textId="77777777" w:rsidR="00C40401" w:rsidRDefault="00C40401" w:rsidP="00B12430">
            <w:pPr>
              <w:jc w:val="center"/>
              <w:rPr>
                <w:rFonts w:ascii="Calibri" w:hAnsi="Calibri"/>
                <w:color w:val="000000"/>
                <w:szCs w:val="22"/>
              </w:rPr>
            </w:pPr>
            <w:r>
              <w:rPr>
                <w:rFonts w:ascii="Calibri" w:hAnsi="Calibri"/>
                <w:color w:val="000000"/>
                <w:szCs w:val="22"/>
              </w:rPr>
              <w:t>1</w:t>
            </w:r>
          </w:p>
          <w:p w14:paraId="319F79CC" w14:textId="77777777" w:rsidR="00C40401" w:rsidRDefault="00C40401" w:rsidP="00B12430">
            <w:pPr>
              <w:jc w:val="center"/>
              <w:rPr>
                <w:rFonts w:ascii="Calibri" w:hAnsi="Calibri"/>
                <w:color w:val="000000"/>
                <w:szCs w:val="22"/>
              </w:rPr>
            </w:pPr>
            <w:r>
              <w:rPr>
                <w:rFonts w:ascii="Calibri" w:hAnsi="Calibri"/>
                <w:color w:val="000000"/>
                <w:szCs w:val="22"/>
              </w:rPr>
              <w:t>9</w:t>
            </w:r>
          </w:p>
          <w:p w14:paraId="07CE6FE2" w14:textId="77777777" w:rsidR="00C40401" w:rsidRDefault="00C40401" w:rsidP="00B12430">
            <w:pPr>
              <w:jc w:val="center"/>
              <w:rPr>
                <w:rFonts w:ascii="Calibri" w:hAnsi="Calibri"/>
                <w:color w:val="000000"/>
                <w:szCs w:val="22"/>
              </w:rPr>
            </w:pPr>
            <w:r>
              <w:rPr>
                <w:rFonts w:ascii="Calibri" w:hAnsi="Calibri"/>
                <w:color w:val="000000"/>
                <w:szCs w:val="22"/>
              </w:rPr>
              <w:t>9</w:t>
            </w:r>
          </w:p>
          <w:p w14:paraId="0AFDAE54" w14:textId="77777777" w:rsidR="00C40401" w:rsidRDefault="00C40401" w:rsidP="00B12430">
            <w:pPr>
              <w:jc w:val="center"/>
              <w:rPr>
                <w:rFonts w:ascii="Calibri" w:hAnsi="Calibri"/>
                <w:color w:val="000000"/>
                <w:szCs w:val="22"/>
              </w:rPr>
            </w:pPr>
            <w:r>
              <w:rPr>
                <w:rFonts w:ascii="Calibri" w:hAnsi="Calibri"/>
                <w:color w:val="000000"/>
                <w:szCs w:val="22"/>
              </w:rPr>
              <w:t>2</w:t>
            </w:r>
          </w:p>
          <w:p w14:paraId="2040EC90" w14:textId="77777777" w:rsidR="00C40401" w:rsidRDefault="00C40401" w:rsidP="00B12430">
            <w:pPr>
              <w:jc w:val="center"/>
              <w:rPr>
                <w:rFonts w:ascii="Calibri" w:hAnsi="Calibri"/>
                <w:color w:val="000000"/>
                <w:szCs w:val="22"/>
              </w:rPr>
            </w:pPr>
            <w:r>
              <w:rPr>
                <w:rFonts w:ascii="Calibri" w:hAnsi="Calibri"/>
                <w:color w:val="000000"/>
                <w:szCs w:val="22"/>
              </w:rPr>
              <w:t>5</w:t>
            </w:r>
          </w:p>
          <w:p w14:paraId="09C9FDB1" w14:textId="77777777" w:rsidR="00C40401" w:rsidRDefault="00C40401" w:rsidP="00B12430">
            <w:pPr>
              <w:jc w:val="center"/>
              <w:rPr>
                <w:rFonts w:ascii="Calibri" w:hAnsi="Calibri"/>
                <w:color w:val="000000"/>
                <w:szCs w:val="22"/>
              </w:rPr>
            </w:pPr>
            <w:r>
              <w:rPr>
                <w:rFonts w:ascii="Calibri" w:hAnsi="Calibri"/>
                <w:color w:val="000000"/>
                <w:szCs w:val="22"/>
              </w:rPr>
              <w:t>2</w:t>
            </w:r>
          </w:p>
          <w:p w14:paraId="1675696F" w14:textId="7139D179" w:rsidR="00C40401" w:rsidRPr="00BB20D1" w:rsidRDefault="00C40401" w:rsidP="00B12430">
            <w:pPr>
              <w:jc w:val="center"/>
              <w:rPr>
                <w:rFonts w:ascii="Calibri" w:hAnsi="Calibri"/>
                <w:color w:val="000000"/>
                <w:szCs w:val="22"/>
              </w:rPr>
            </w:pPr>
            <w:r>
              <w:rPr>
                <w:rFonts w:ascii="Calibri" w:hAnsi="Calibri"/>
                <w:color w:val="000000"/>
                <w:szCs w:val="22"/>
              </w:rPr>
              <w:t>7</w:t>
            </w:r>
          </w:p>
        </w:tc>
        <w:tc>
          <w:tcPr>
            <w:tcW w:w="1981" w:type="dxa"/>
            <w:tcBorders>
              <w:top w:val="single" w:sz="4" w:space="0" w:color="auto"/>
              <w:left w:val="single" w:sz="4" w:space="0" w:color="auto"/>
              <w:bottom w:val="single" w:sz="4" w:space="0" w:color="auto"/>
              <w:right w:val="single" w:sz="4" w:space="0" w:color="auto"/>
            </w:tcBorders>
          </w:tcPr>
          <w:p w14:paraId="3E54BD3D" w14:textId="77777777" w:rsidR="00EB4A22" w:rsidRPr="00DD38F0" w:rsidRDefault="00121934" w:rsidP="00B12430">
            <w:pPr>
              <w:jc w:val="center"/>
              <w:rPr>
                <w:rFonts w:ascii="Calibri" w:hAnsi="Calibri"/>
                <w:b/>
                <w:color w:val="000000"/>
                <w:szCs w:val="22"/>
              </w:rPr>
            </w:pPr>
            <w:r w:rsidRPr="00DD38F0">
              <w:rPr>
                <w:rFonts w:ascii="Calibri" w:hAnsi="Calibri"/>
                <w:b/>
                <w:color w:val="000000"/>
                <w:szCs w:val="22"/>
              </w:rPr>
              <w:t>15.6%</w:t>
            </w:r>
          </w:p>
          <w:p w14:paraId="5DB6FA11" w14:textId="77777777" w:rsidR="00121934" w:rsidRDefault="00121934" w:rsidP="00B12430">
            <w:pPr>
              <w:jc w:val="center"/>
              <w:rPr>
                <w:rFonts w:ascii="Calibri" w:hAnsi="Calibri"/>
                <w:color w:val="000000"/>
                <w:szCs w:val="22"/>
              </w:rPr>
            </w:pPr>
            <w:r>
              <w:rPr>
                <w:rFonts w:ascii="Calibri" w:hAnsi="Calibri"/>
                <w:color w:val="000000"/>
                <w:szCs w:val="22"/>
              </w:rPr>
              <w:t>3.4%</w:t>
            </w:r>
          </w:p>
          <w:p w14:paraId="349072B8" w14:textId="77777777" w:rsidR="00121934" w:rsidRDefault="00121934" w:rsidP="00B12430">
            <w:pPr>
              <w:jc w:val="center"/>
              <w:rPr>
                <w:rFonts w:ascii="Calibri" w:hAnsi="Calibri"/>
                <w:color w:val="000000"/>
                <w:szCs w:val="22"/>
              </w:rPr>
            </w:pPr>
            <w:r>
              <w:rPr>
                <w:rFonts w:ascii="Calibri" w:hAnsi="Calibri"/>
                <w:color w:val="000000"/>
                <w:szCs w:val="22"/>
              </w:rPr>
              <w:t>1.5%</w:t>
            </w:r>
          </w:p>
          <w:p w14:paraId="0454B011" w14:textId="77777777" w:rsidR="00121934" w:rsidRDefault="00121934" w:rsidP="00B12430">
            <w:pPr>
              <w:jc w:val="center"/>
              <w:rPr>
                <w:rFonts w:ascii="Calibri" w:hAnsi="Calibri"/>
                <w:color w:val="000000"/>
                <w:szCs w:val="22"/>
              </w:rPr>
            </w:pPr>
            <w:r>
              <w:rPr>
                <w:rFonts w:ascii="Calibri" w:hAnsi="Calibri"/>
                <w:color w:val="000000"/>
                <w:szCs w:val="22"/>
              </w:rPr>
              <w:t>0.2%</w:t>
            </w:r>
          </w:p>
          <w:p w14:paraId="3640B203" w14:textId="77777777" w:rsidR="00121934" w:rsidRDefault="00121934" w:rsidP="00B12430">
            <w:pPr>
              <w:jc w:val="center"/>
              <w:rPr>
                <w:rFonts w:ascii="Calibri" w:hAnsi="Calibri"/>
                <w:color w:val="000000"/>
                <w:szCs w:val="22"/>
              </w:rPr>
            </w:pPr>
            <w:r>
              <w:rPr>
                <w:rFonts w:ascii="Calibri" w:hAnsi="Calibri"/>
                <w:color w:val="000000"/>
                <w:szCs w:val="22"/>
              </w:rPr>
              <w:t>3.3%</w:t>
            </w:r>
          </w:p>
          <w:p w14:paraId="6E3F1545" w14:textId="77777777" w:rsidR="00121934" w:rsidRDefault="00121934" w:rsidP="00B12430">
            <w:pPr>
              <w:jc w:val="center"/>
              <w:rPr>
                <w:rFonts w:ascii="Calibri" w:hAnsi="Calibri"/>
                <w:color w:val="000000"/>
                <w:szCs w:val="22"/>
              </w:rPr>
            </w:pPr>
            <w:r>
              <w:rPr>
                <w:rFonts w:ascii="Calibri" w:hAnsi="Calibri"/>
                <w:color w:val="000000"/>
                <w:szCs w:val="22"/>
              </w:rPr>
              <w:t>0.9%</w:t>
            </w:r>
          </w:p>
          <w:p w14:paraId="4CCD3D15" w14:textId="77777777" w:rsidR="00121934" w:rsidRDefault="00121934" w:rsidP="00B12430">
            <w:pPr>
              <w:jc w:val="center"/>
              <w:rPr>
                <w:rFonts w:ascii="Calibri" w:hAnsi="Calibri"/>
                <w:color w:val="000000"/>
                <w:szCs w:val="22"/>
              </w:rPr>
            </w:pPr>
            <w:r>
              <w:rPr>
                <w:rFonts w:ascii="Calibri" w:hAnsi="Calibri"/>
                <w:color w:val="000000"/>
                <w:szCs w:val="22"/>
              </w:rPr>
              <w:t>0.2%</w:t>
            </w:r>
          </w:p>
          <w:p w14:paraId="7E70FFE7" w14:textId="77777777" w:rsidR="00121934" w:rsidRDefault="00121934" w:rsidP="00B12430">
            <w:pPr>
              <w:jc w:val="center"/>
              <w:rPr>
                <w:rFonts w:ascii="Calibri" w:hAnsi="Calibri"/>
                <w:color w:val="000000"/>
                <w:szCs w:val="22"/>
              </w:rPr>
            </w:pPr>
            <w:r>
              <w:rPr>
                <w:rFonts w:ascii="Calibri" w:hAnsi="Calibri"/>
                <w:color w:val="000000"/>
                <w:szCs w:val="22"/>
              </w:rPr>
              <w:t>1.6%</w:t>
            </w:r>
          </w:p>
          <w:p w14:paraId="091A0867" w14:textId="77777777" w:rsidR="00121934" w:rsidRDefault="00121934" w:rsidP="00B12430">
            <w:pPr>
              <w:jc w:val="center"/>
              <w:rPr>
                <w:rFonts w:ascii="Calibri" w:hAnsi="Calibri"/>
                <w:color w:val="000000"/>
                <w:szCs w:val="22"/>
              </w:rPr>
            </w:pPr>
            <w:r>
              <w:rPr>
                <w:rFonts w:ascii="Calibri" w:hAnsi="Calibri"/>
                <w:color w:val="000000"/>
                <w:szCs w:val="22"/>
              </w:rPr>
              <w:t>1.6%</w:t>
            </w:r>
          </w:p>
          <w:p w14:paraId="6225BDF9" w14:textId="77777777" w:rsidR="00121934" w:rsidRDefault="00121934" w:rsidP="00B12430">
            <w:pPr>
              <w:jc w:val="center"/>
              <w:rPr>
                <w:rFonts w:ascii="Calibri" w:hAnsi="Calibri"/>
                <w:color w:val="000000"/>
                <w:szCs w:val="22"/>
              </w:rPr>
            </w:pPr>
            <w:r>
              <w:rPr>
                <w:rFonts w:ascii="Calibri" w:hAnsi="Calibri"/>
                <w:color w:val="000000"/>
                <w:szCs w:val="22"/>
              </w:rPr>
              <w:t>0.4%</w:t>
            </w:r>
          </w:p>
          <w:p w14:paraId="5DC68344" w14:textId="77777777" w:rsidR="00121934" w:rsidRDefault="00121934" w:rsidP="00B12430">
            <w:pPr>
              <w:jc w:val="center"/>
              <w:rPr>
                <w:rFonts w:ascii="Calibri" w:hAnsi="Calibri"/>
                <w:color w:val="000000"/>
                <w:szCs w:val="22"/>
              </w:rPr>
            </w:pPr>
            <w:r>
              <w:rPr>
                <w:rFonts w:ascii="Calibri" w:hAnsi="Calibri"/>
                <w:color w:val="000000"/>
                <w:szCs w:val="22"/>
              </w:rPr>
              <w:t>0.9%</w:t>
            </w:r>
          </w:p>
          <w:p w14:paraId="20218498" w14:textId="77777777" w:rsidR="00121934" w:rsidRDefault="00121934" w:rsidP="00B12430">
            <w:pPr>
              <w:jc w:val="center"/>
              <w:rPr>
                <w:rFonts w:ascii="Calibri" w:hAnsi="Calibri"/>
                <w:color w:val="000000"/>
                <w:szCs w:val="22"/>
              </w:rPr>
            </w:pPr>
            <w:r>
              <w:rPr>
                <w:rFonts w:ascii="Calibri" w:hAnsi="Calibri"/>
                <w:color w:val="000000"/>
                <w:szCs w:val="22"/>
              </w:rPr>
              <w:t>0.4%</w:t>
            </w:r>
          </w:p>
          <w:p w14:paraId="1A86828A" w14:textId="49E61A19" w:rsidR="00121934" w:rsidRPr="00163955" w:rsidRDefault="00121934" w:rsidP="00B12430">
            <w:pPr>
              <w:jc w:val="center"/>
              <w:rPr>
                <w:rFonts w:ascii="Calibri" w:hAnsi="Calibri"/>
                <w:color w:val="000000"/>
                <w:szCs w:val="22"/>
              </w:rPr>
            </w:pPr>
            <w:r>
              <w:rPr>
                <w:rFonts w:ascii="Calibri" w:hAnsi="Calibri"/>
                <w:color w:val="000000"/>
                <w:szCs w:val="22"/>
              </w:rPr>
              <w:t>1.3%</w:t>
            </w:r>
          </w:p>
        </w:tc>
      </w:tr>
      <w:tr w:rsidR="00EB4A22" w14:paraId="734829C3"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0BBBF047" w14:textId="77777777" w:rsidR="00EB4A22" w:rsidRDefault="00EB4A22" w:rsidP="00B12430">
            <w:pPr>
              <w:rPr>
                <w:rFonts w:ascii="Calibri" w:hAnsi="Calibri" w:cs="Calibri"/>
                <w:b/>
                <w:color w:val="000000"/>
                <w:szCs w:val="22"/>
              </w:rPr>
            </w:pPr>
            <w:r>
              <w:rPr>
                <w:rFonts w:ascii="Calibri" w:hAnsi="Calibri" w:cs="Calibri"/>
                <w:b/>
                <w:color w:val="000000"/>
                <w:szCs w:val="22"/>
              </w:rPr>
              <w:t xml:space="preserve">Mental health </w:t>
            </w:r>
          </w:p>
        </w:tc>
        <w:tc>
          <w:tcPr>
            <w:tcW w:w="2263" w:type="dxa"/>
            <w:tcBorders>
              <w:top w:val="single" w:sz="4" w:space="0" w:color="auto"/>
              <w:left w:val="single" w:sz="4" w:space="0" w:color="auto"/>
              <w:bottom w:val="single" w:sz="4" w:space="0" w:color="auto"/>
              <w:right w:val="single" w:sz="4" w:space="0" w:color="auto"/>
            </w:tcBorders>
            <w:vAlign w:val="center"/>
          </w:tcPr>
          <w:p w14:paraId="43FD7FED" w14:textId="0A04B77E" w:rsidR="00EB4A22" w:rsidRPr="00E04015" w:rsidRDefault="00C40401" w:rsidP="00B12430">
            <w:pPr>
              <w:jc w:val="center"/>
              <w:rPr>
                <w:rFonts w:ascii="Calibri" w:hAnsi="Calibri"/>
                <w:b/>
                <w:color w:val="000000"/>
                <w:szCs w:val="22"/>
              </w:rPr>
            </w:pPr>
            <w:r>
              <w:rPr>
                <w:rFonts w:ascii="Calibri" w:hAnsi="Calibri"/>
                <w:b/>
                <w:color w:val="000000"/>
                <w:szCs w:val="22"/>
              </w:rPr>
              <w:t>128</w:t>
            </w:r>
          </w:p>
        </w:tc>
        <w:tc>
          <w:tcPr>
            <w:tcW w:w="1981" w:type="dxa"/>
            <w:tcBorders>
              <w:top w:val="single" w:sz="4" w:space="0" w:color="auto"/>
              <w:left w:val="single" w:sz="4" w:space="0" w:color="auto"/>
              <w:bottom w:val="single" w:sz="4" w:space="0" w:color="auto"/>
              <w:right w:val="single" w:sz="4" w:space="0" w:color="auto"/>
            </w:tcBorders>
            <w:vAlign w:val="center"/>
          </w:tcPr>
          <w:p w14:paraId="6F218069" w14:textId="4802660A" w:rsidR="00EB4A22" w:rsidRPr="00E04015" w:rsidRDefault="00121934" w:rsidP="00B12430">
            <w:pPr>
              <w:jc w:val="center"/>
              <w:rPr>
                <w:rFonts w:ascii="Calibri" w:hAnsi="Calibri"/>
                <w:b/>
                <w:color w:val="000000"/>
                <w:szCs w:val="22"/>
              </w:rPr>
            </w:pPr>
            <w:r>
              <w:rPr>
                <w:rFonts w:ascii="Calibri" w:hAnsi="Calibri"/>
                <w:b/>
                <w:color w:val="000000"/>
                <w:szCs w:val="22"/>
              </w:rPr>
              <w:t>23.3%</w:t>
            </w:r>
          </w:p>
        </w:tc>
      </w:tr>
      <w:tr w:rsidR="00EB4A22" w14:paraId="63F778F0"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32771427" w14:textId="77777777" w:rsidR="00EB4A22" w:rsidRDefault="00EB4A22" w:rsidP="00B12430">
            <w:pPr>
              <w:rPr>
                <w:rFonts w:cs="Arial"/>
                <w:b/>
                <w:szCs w:val="22"/>
              </w:rPr>
            </w:pPr>
            <w:r>
              <w:rPr>
                <w:rFonts w:cs="Arial"/>
                <w:b/>
                <w:szCs w:val="22"/>
              </w:rPr>
              <w:t>Paediatrics (not surgical)</w:t>
            </w:r>
          </w:p>
        </w:tc>
        <w:tc>
          <w:tcPr>
            <w:tcW w:w="2263" w:type="dxa"/>
            <w:tcBorders>
              <w:top w:val="single" w:sz="4" w:space="0" w:color="auto"/>
              <w:left w:val="single" w:sz="4" w:space="0" w:color="auto"/>
              <w:bottom w:val="single" w:sz="4" w:space="0" w:color="auto"/>
              <w:right w:val="single" w:sz="4" w:space="0" w:color="auto"/>
            </w:tcBorders>
            <w:vAlign w:val="center"/>
          </w:tcPr>
          <w:p w14:paraId="1D4CEED1" w14:textId="5D0CA085" w:rsidR="00EB4A22" w:rsidRPr="00E04015" w:rsidRDefault="00C40401" w:rsidP="00B12430">
            <w:pPr>
              <w:jc w:val="center"/>
              <w:rPr>
                <w:rFonts w:ascii="Calibri" w:hAnsi="Calibri"/>
                <w:b/>
                <w:color w:val="000000"/>
                <w:szCs w:val="22"/>
              </w:rPr>
            </w:pPr>
            <w:r>
              <w:rPr>
                <w:rFonts w:ascii="Calibri" w:hAnsi="Calibri"/>
                <w:b/>
                <w:color w:val="000000"/>
                <w:szCs w:val="22"/>
              </w:rPr>
              <w:t>15</w:t>
            </w:r>
          </w:p>
        </w:tc>
        <w:tc>
          <w:tcPr>
            <w:tcW w:w="1981" w:type="dxa"/>
            <w:tcBorders>
              <w:top w:val="single" w:sz="4" w:space="0" w:color="auto"/>
              <w:left w:val="single" w:sz="4" w:space="0" w:color="auto"/>
              <w:bottom w:val="single" w:sz="4" w:space="0" w:color="auto"/>
              <w:right w:val="single" w:sz="4" w:space="0" w:color="auto"/>
            </w:tcBorders>
            <w:vAlign w:val="center"/>
          </w:tcPr>
          <w:p w14:paraId="2B7288D1" w14:textId="24BC9E2F" w:rsidR="00EB4A22" w:rsidRPr="00E04015" w:rsidRDefault="00121934" w:rsidP="00B12430">
            <w:pPr>
              <w:jc w:val="center"/>
              <w:rPr>
                <w:rFonts w:ascii="Calibri" w:hAnsi="Calibri"/>
                <w:b/>
                <w:color w:val="000000"/>
                <w:szCs w:val="22"/>
              </w:rPr>
            </w:pPr>
            <w:r>
              <w:rPr>
                <w:rFonts w:ascii="Calibri" w:hAnsi="Calibri"/>
                <w:b/>
                <w:color w:val="000000"/>
                <w:szCs w:val="22"/>
              </w:rPr>
              <w:t>2.7%</w:t>
            </w:r>
          </w:p>
        </w:tc>
      </w:tr>
      <w:tr w:rsidR="00EB4A22" w14:paraId="4F7A9FC3"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27E7862D" w14:textId="6E36C912" w:rsidR="00EB4A22" w:rsidRDefault="00C40401" w:rsidP="00B12430">
            <w:pPr>
              <w:rPr>
                <w:rFonts w:ascii="Calibri" w:hAnsi="Calibri" w:cs="Calibri"/>
                <w:b/>
                <w:color w:val="000000"/>
                <w:szCs w:val="22"/>
              </w:rPr>
            </w:pPr>
            <w:r>
              <w:rPr>
                <w:rFonts w:ascii="Calibri" w:hAnsi="Calibri" w:cs="Calibri"/>
                <w:b/>
                <w:color w:val="000000"/>
                <w:szCs w:val="22"/>
              </w:rPr>
              <w:t>Rehabilitation services</w:t>
            </w:r>
          </w:p>
        </w:tc>
        <w:tc>
          <w:tcPr>
            <w:tcW w:w="2263" w:type="dxa"/>
            <w:tcBorders>
              <w:top w:val="single" w:sz="4" w:space="0" w:color="auto"/>
              <w:left w:val="single" w:sz="4" w:space="0" w:color="auto"/>
              <w:bottom w:val="single" w:sz="4" w:space="0" w:color="auto"/>
              <w:right w:val="single" w:sz="4" w:space="0" w:color="auto"/>
            </w:tcBorders>
            <w:vAlign w:val="center"/>
          </w:tcPr>
          <w:p w14:paraId="781330E7" w14:textId="0F82A518" w:rsidR="00EB4A22" w:rsidRPr="00E04015" w:rsidRDefault="00C40401" w:rsidP="00B12430">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134815D7" w14:textId="65A5EDEB" w:rsidR="00EB4A22" w:rsidRPr="00E04015" w:rsidRDefault="00121934" w:rsidP="00B12430">
            <w:pPr>
              <w:jc w:val="center"/>
              <w:rPr>
                <w:rFonts w:ascii="Calibri" w:hAnsi="Calibri"/>
                <w:b/>
                <w:color w:val="000000"/>
                <w:szCs w:val="22"/>
              </w:rPr>
            </w:pPr>
            <w:r>
              <w:rPr>
                <w:rFonts w:ascii="Calibri" w:hAnsi="Calibri"/>
                <w:b/>
                <w:color w:val="000000"/>
                <w:szCs w:val="22"/>
              </w:rPr>
              <w:t>0.4%</w:t>
            </w:r>
          </w:p>
        </w:tc>
      </w:tr>
      <w:tr w:rsidR="00C40401" w14:paraId="5727E282"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3D701CD3" w14:textId="1A98ED63" w:rsidR="00C40401" w:rsidRDefault="00C40401" w:rsidP="00B12430">
            <w:pPr>
              <w:rPr>
                <w:rFonts w:ascii="Calibri" w:hAnsi="Calibri" w:cs="Calibri"/>
                <w:b/>
                <w:color w:val="000000"/>
                <w:szCs w:val="22"/>
              </w:rPr>
            </w:pPr>
            <w:r>
              <w:rPr>
                <w:rFonts w:ascii="Calibri" w:hAnsi="Calibri" w:cs="Calibri"/>
                <w:b/>
                <w:color w:val="000000"/>
                <w:szCs w:val="22"/>
              </w:rPr>
              <w:t>Sexual health</w:t>
            </w:r>
          </w:p>
        </w:tc>
        <w:tc>
          <w:tcPr>
            <w:tcW w:w="2263" w:type="dxa"/>
            <w:tcBorders>
              <w:top w:val="single" w:sz="4" w:space="0" w:color="auto"/>
              <w:left w:val="single" w:sz="4" w:space="0" w:color="auto"/>
              <w:bottom w:val="single" w:sz="4" w:space="0" w:color="auto"/>
              <w:right w:val="single" w:sz="4" w:space="0" w:color="auto"/>
            </w:tcBorders>
            <w:vAlign w:val="center"/>
          </w:tcPr>
          <w:p w14:paraId="110EAADD" w14:textId="3D673B13" w:rsidR="00C40401" w:rsidRDefault="00C40401" w:rsidP="00B12430">
            <w:pPr>
              <w:jc w:val="center"/>
              <w:rPr>
                <w:rFonts w:ascii="Calibri" w:hAnsi="Calibri"/>
                <w:b/>
                <w:color w:val="000000"/>
                <w:szCs w:val="22"/>
              </w:rPr>
            </w:pPr>
            <w:r>
              <w:rPr>
                <w:rFonts w:ascii="Calibri" w:hAnsi="Calibri"/>
                <w:b/>
                <w:color w:val="000000"/>
                <w:szCs w:val="22"/>
              </w:rPr>
              <w:t>2</w:t>
            </w:r>
          </w:p>
        </w:tc>
        <w:tc>
          <w:tcPr>
            <w:tcW w:w="1981" w:type="dxa"/>
            <w:tcBorders>
              <w:top w:val="single" w:sz="4" w:space="0" w:color="auto"/>
              <w:left w:val="single" w:sz="4" w:space="0" w:color="auto"/>
              <w:bottom w:val="single" w:sz="4" w:space="0" w:color="auto"/>
              <w:right w:val="single" w:sz="4" w:space="0" w:color="auto"/>
            </w:tcBorders>
            <w:vAlign w:val="center"/>
          </w:tcPr>
          <w:p w14:paraId="7ABD9C73" w14:textId="5AB8D239" w:rsidR="00C40401" w:rsidRPr="00E04015" w:rsidRDefault="00121934" w:rsidP="00B12430">
            <w:pPr>
              <w:jc w:val="center"/>
              <w:rPr>
                <w:rFonts w:ascii="Calibri" w:hAnsi="Calibri"/>
                <w:b/>
                <w:color w:val="000000"/>
                <w:szCs w:val="22"/>
              </w:rPr>
            </w:pPr>
            <w:r>
              <w:rPr>
                <w:rFonts w:ascii="Calibri" w:hAnsi="Calibri"/>
                <w:b/>
                <w:color w:val="000000"/>
                <w:szCs w:val="22"/>
              </w:rPr>
              <w:t>0.4%</w:t>
            </w:r>
          </w:p>
        </w:tc>
      </w:tr>
      <w:tr w:rsidR="00EB4A22" w14:paraId="79C61442" w14:textId="77777777" w:rsidTr="00B12430">
        <w:tc>
          <w:tcPr>
            <w:tcW w:w="4664" w:type="dxa"/>
            <w:tcBorders>
              <w:top w:val="single" w:sz="4" w:space="0" w:color="auto"/>
              <w:left w:val="single" w:sz="4" w:space="0" w:color="auto"/>
              <w:bottom w:val="single" w:sz="4" w:space="0" w:color="auto"/>
              <w:right w:val="single" w:sz="4" w:space="0" w:color="auto"/>
            </w:tcBorders>
            <w:vAlign w:val="bottom"/>
          </w:tcPr>
          <w:p w14:paraId="2E4FE0B2" w14:textId="77777777" w:rsidR="00EB4A22" w:rsidRDefault="00EB4A22" w:rsidP="00B12430">
            <w:pPr>
              <w:rPr>
                <w:rFonts w:ascii="Calibri" w:hAnsi="Calibri" w:cs="Calibri"/>
                <w:b/>
                <w:color w:val="000000"/>
                <w:szCs w:val="22"/>
              </w:rPr>
            </w:pPr>
            <w:r>
              <w:rPr>
                <w:rFonts w:ascii="Calibri" w:hAnsi="Calibri" w:cs="Calibri"/>
                <w:b/>
                <w:color w:val="000000"/>
                <w:szCs w:val="22"/>
              </w:rPr>
              <w:t>Surgery</w:t>
            </w:r>
          </w:p>
          <w:p w14:paraId="496BD2DF" w14:textId="10C0F856" w:rsidR="00EB4A22" w:rsidRDefault="00B12430" w:rsidP="00B12430">
            <w:pPr>
              <w:rPr>
                <w:rFonts w:ascii="Calibri" w:hAnsi="Calibri" w:cs="Calibri"/>
                <w:color w:val="000000"/>
                <w:szCs w:val="22"/>
              </w:rPr>
            </w:pPr>
            <w:r>
              <w:rPr>
                <w:rFonts w:ascii="Calibri" w:hAnsi="Calibri" w:cs="Calibri"/>
                <w:b/>
                <w:color w:val="000000"/>
                <w:szCs w:val="22"/>
              </w:rPr>
              <w:t xml:space="preserve"> </w:t>
            </w:r>
            <w:r w:rsidR="00EB4A22">
              <w:rPr>
                <w:rFonts w:ascii="Calibri" w:hAnsi="Calibri" w:cs="Calibri"/>
                <w:color w:val="000000"/>
                <w:szCs w:val="22"/>
              </w:rPr>
              <w:t>Cardiothoracic</w:t>
            </w:r>
          </w:p>
          <w:p w14:paraId="4885966B" w14:textId="5603BF0D"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General</w:t>
            </w:r>
          </w:p>
          <w:p w14:paraId="47E865CE" w14:textId="68C53E52"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Gynaecology</w:t>
            </w:r>
          </w:p>
          <w:p w14:paraId="39966EFF" w14:textId="71F4BF8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Neurosurgery</w:t>
            </w:r>
          </w:p>
          <w:p w14:paraId="5B2CFA56" w14:textId="043B386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Ophthalmology</w:t>
            </w:r>
          </w:p>
          <w:p w14:paraId="6EEE9FCD" w14:textId="4EF3AE8C" w:rsidR="00C40401" w:rsidRDefault="00C40401" w:rsidP="00B12430">
            <w:pPr>
              <w:rPr>
                <w:rFonts w:ascii="Calibri" w:hAnsi="Calibri" w:cs="Calibri"/>
                <w:color w:val="000000"/>
                <w:szCs w:val="22"/>
              </w:rPr>
            </w:pPr>
            <w:r>
              <w:rPr>
                <w:rFonts w:ascii="Calibri" w:hAnsi="Calibri" w:cs="Calibri"/>
                <w:color w:val="000000"/>
                <w:szCs w:val="22"/>
              </w:rPr>
              <w:t xml:space="preserve"> Oral/Maxillofacial</w:t>
            </w:r>
          </w:p>
          <w:p w14:paraId="678C9CF1" w14:textId="6C99618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Orthopaedics</w:t>
            </w:r>
          </w:p>
          <w:p w14:paraId="186DB261" w14:textId="533E8EB1"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Otolaryngology</w:t>
            </w:r>
          </w:p>
          <w:p w14:paraId="4360EB23" w14:textId="21F50DD2"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Plastic and Reconstructive</w:t>
            </w:r>
          </w:p>
          <w:p w14:paraId="78296485" w14:textId="511FEBE2"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Urology</w:t>
            </w:r>
          </w:p>
          <w:p w14:paraId="6702351B" w14:textId="50A91897" w:rsidR="00EB4A22"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Vascular</w:t>
            </w:r>
          </w:p>
          <w:p w14:paraId="5ABC3123" w14:textId="02212A62" w:rsidR="00EB4A22" w:rsidRPr="0002765C" w:rsidRDefault="00B12430" w:rsidP="00B12430">
            <w:pPr>
              <w:rPr>
                <w:rFonts w:ascii="Calibri" w:hAnsi="Calibri" w:cs="Calibri"/>
                <w:color w:val="000000"/>
                <w:szCs w:val="22"/>
              </w:rPr>
            </w:pPr>
            <w:r>
              <w:rPr>
                <w:rFonts w:ascii="Calibri" w:hAnsi="Calibri" w:cs="Calibri"/>
                <w:color w:val="000000"/>
                <w:szCs w:val="22"/>
              </w:rPr>
              <w:t xml:space="preserve"> </w:t>
            </w:r>
            <w:r w:rsidR="00EB4A22">
              <w:rPr>
                <w:rFonts w:ascii="Calibri" w:hAnsi="Calibri" w:cs="Calibri"/>
                <w:color w:val="000000"/>
                <w:szCs w:val="22"/>
              </w:rPr>
              <w:t>Other/unknown</w:t>
            </w:r>
          </w:p>
        </w:tc>
        <w:tc>
          <w:tcPr>
            <w:tcW w:w="2263" w:type="dxa"/>
            <w:tcBorders>
              <w:top w:val="single" w:sz="4" w:space="0" w:color="auto"/>
              <w:left w:val="single" w:sz="4" w:space="0" w:color="auto"/>
              <w:bottom w:val="single" w:sz="4" w:space="0" w:color="auto"/>
              <w:right w:val="single" w:sz="4" w:space="0" w:color="auto"/>
            </w:tcBorders>
          </w:tcPr>
          <w:p w14:paraId="19BC9EE4" w14:textId="44514DB4" w:rsidR="00EB4A22" w:rsidRPr="00C40401" w:rsidRDefault="00C40401" w:rsidP="00B12430">
            <w:pPr>
              <w:jc w:val="center"/>
              <w:rPr>
                <w:rFonts w:ascii="Calibri" w:hAnsi="Calibri"/>
                <w:b/>
                <w:color w:val="000000"/>
                <w:szCs w:val="22"/>
              </w:rPr>
            </w:pPr>
            <w:r w:rsidRPr="00C40401">
              <w:rPr>
                <w:rFonts w:ascii="Calibri" w:hAnsi="Calibri"/>
                <w:b/>
                <w:color w:val="000000"/>
                <w:szCs w:val="22"/>
              </w:rPr>
              <w:t>146</w:t>
            </w:r>
          </w:p>
          <w:p w14:paraId="617CAB62" w14:textId="77777777" w:rsidR="00C40401" w:rsidRDefault="00C40401" w:rsidP="00B12430">
            <w:pPr>
              <w:jc w:val="center"/>
              <w:rPr>
                <w:rFonts w:ascii="Calibri" w:hAnsi="Calibri"/>
                <w:color w:val="000000"/>
                <w:szCs w:val="22"/>
              </w:rPr>
            </w:pPr>
            <w:r>
              <w:rPr>
                <w:rFonts w:ascii="Calibri" w:hAnsi="Calibri"/>
                <w:color w:val="000000"/>
                <w:szCs w:val="22"/>
              </w:rPr>
              <w:t>5</w:t>
            </w:r>
          </w:p>
          <w:p w14:paraId="78E2C73A" w14:textId="77777777" w:rsidR="00C40401" w:rsidRDefault="00C40401" w:rsidP="00B12430">
            <w:pPr>
              <w:jc w:val="center"/>
              <w:rPr>
                <w:rFonts w:ascii="Calibri" w:hAnsi="Calibri"/>
                <w:color w:val="000000"/>
                <w:szCs w:val="22"/>
              </w:rPr>
            </w:pPr>
            <w:r>
              <w:rPr>
                <w:rFonts w:ascii="Calibri" w:hAnsi="Calibri"/>
                <w:color w:val="000000"/>
                <w:szCs w:val="22"/>
              </w:rPr>
              <w:t>40</w:t>
            </w:r>
          </w:p>
          <w:p w14:paraId="6E25958F" w14:textId="77777777" w:rsidR="00C40401" w:rsidRDefault="00C40401" w:rsidP="00B12430">
            <w:pPr>
              <w:jc w:val="center"/>
              <w:rPr>
                <w:rFonts w:ascii="Calibri" w:hAnsi="Calibri"/>
                <w:color w:val="000000"/>
                <w:szCs w:val="22"/>
              </w:rPr>
            </w:pPr>
            <w:r>
              <w:rPr>
                <w:rFonts w:ascii="Calibri" w:hAnsi="Calibri"/>
                <w:color w:val="000000"/>
                <w:szCs w:val="22"/>
              </w:rPr>
              <w:t>21</w:t>
            </w:r>
          </w:p>
          <w:p w14:paraId="1831795D" w14:textId="77777777" w:rsidR="00C40401" w:rsidRDefault="00C40401" w:rsidP="00B12430">
            <w:pPr>
              <w:jc w:val="center"/>
              <w:rPr>
                <w:rFonts w:ascii="Calibri" w:hAnsi="Calibri"/>
                <w:color w:val="000000"/>
                <w:szCs w:val="22"/>
              </w:rPr>
            </w:pPr>
            <w:r>
              <w:rPr>
                <w:rFonts w:ascii="Calibri" w:hAnsi="Calibri"/>
                <w:color w:val="000000"/>
                <w:szCs w:val="22"/>
              </w:rPr>
              <w:t>6</w:t>
            </w:r>
          </w:p>
          <w:p w14:paraId="448327D5" w14:textId="77777777" w:rsidR="00C40401" w:rsidRDefault="00C40401" w:rsidP="00B12430">
            <w:pPr>
              <w:jc w:val="center"/>
              <w:rPr>
                <w:rFonts w:ascii="Calibri" w:hAnsi="Calibri"/>
                <w:color w:val="000000"/>
                <w:szCs w:val="22"/>
              </w:rPr>
            </w:pPr>
            <w:r>
              <w:rPr>
                <w:rFonts w:ascii="Calibri" w:hAnsi="Calibri"/>
                <w:color w:val="000000"/>
                <w:szCs w:val="22"/>
              </w:rPr>
              <w:t>7</w:t>
            </w:r>
          </w:p>
          <w:p w14:paraId="2FB46F32" w14:textId="77777777" w:rsidR="00C40401" w:rsidRDefault="00C40401" w:rsidP="00B12430">
            <w:pPr>
              <w:jc w:val="center"/>
              <w:rPr>
                <w:rFonts w:ascii="Calibri" w:hAnsi="Calibri"/>
                <w:color w:val="000000"/>
                <w:szCs w:val="22"/>
              </w:rPr>
            </w:pPr>
            <w:r>
              <w:rPr>
                <w:rFonts w:ascii="Calibri" w:hAnsi="Calibri"/>
                <w:color w:val="000000"/>
                <w:szCs w:val="22"/>
              </w:rPr>
              <w:t>1</w:t>
            </w:r>
          </w:p>
          <w:p w14:paraId="6F71147F" w14:textId="77777777" w:rsidR="00C40401" w:rsidRDefault="00C40401" w:rsidP="00B12430">
            <w:pPr>
              <w:jc w:val="center"/>
              <w:rPr>
                <w:rFonts w:ascii="Calibri" w:hAnsi="Calibri"/>
                <w:color w:val="000000"/>
                <w:szCs w:val="22"/>
              </w:rPr>
            </w:pPr>
            <w:r>
              <w:rPr>
                <w:rFonts w:ascii="Calibri" w:hAnsi="Calibri"/>
                <w:color w:val="000000"/>
                <w:szCs w:val="22"/>
              </w:rPr>
              <w:t>37</w:t>
            </w:r>
          </w:p>
          <w:p w14:paraId="033EADDA" w14:textId="77777777" w:rsidR="00C40401" w:rsidRDefault="00C40401" w:rsidP="00B12430">
            <w:pPr>
              <w:jc w:val="center"/>
              <w:rPr>
                <w:rFonts w:ascii="Calibri" w:hAnsi="Calibri"/>
                <w:color w:val="000000"/>
                <w:szCs w:val="22"/>
              </w:rPr>
            </w:pPr>
            <w:r>
              <w:rPr>
                <w:rFonts w:ascii="Calibri" w:hAnsi="Calibri"/>
                <w:color w:val="000000"/>
                <w:szCs w:val="22"/>
              </w:rPr>
              <w:t>2</w:t>
            </w:r>
          </w:p>
          <w:p w14:paraId="30EAED8C" w14:textId="77777777" w:rsidR="00C40401" w:rsidRDefault="00C40401" w:rsidP="00B12430">
            <w:pPr>
              <w:jc w:val="center"/>
              <w:rPr>
                <w:rFonts w:ascii="Calibri" w:hAnsi="Calibri"/>
                <w:color w:val="000000"/>
                <w:szCs w:val="22"/>
              </w:rPr>
            </w:pPr>
            <w:r>
              <w:rPr>
                <w:rFonts w:ascii="Calibri" w:hAnsi="Calibri"/>
                <w:color w:val="000000"/>
                <w:szCs w:val="22"/>
              </w:rPr>
              <w:t>11</w:t>
            </w:r>
          </w:p>
          <w:p w14:paraId="0DCE36B3" w14:textId="77777777" w:rsidR="00C40401" w:rsidRDefault="00C40401" w:rsidP="00B12430">
            <w:pPr>
              <w:jc w:val="center"/>
              <w:rPr>
                <w:rFonts w:ascii="Calibri" w:hAnsi="Calibri"/>
                <w:color w:val="000000"/>
                <w:szCs w:val="22"/>
              </w:rPr>
            </w:pPr>
            <w:r>
              <w:rPr>
                <w:rFonts w:ascii="Calibri" w:hAnsi="Calibri"/>
                <w:color w:val="000000"/>
                <w:szCs w:val="22"/>
              </w:rPr>
              <w:t>12</w:t>
            </w:r>
          </w:p>
          <w:p w14:paraId="79690C08" w14:textId="77777777" w:rsidR="00C40401" w:rsidRDefault="00C40401" w:rsidP="00B12430">
            <w:pPr>
              <w:jc w:val="center"/>
              <w:rPr>
                <w:rFonts w:ascii="Calibri" w:hAnsi="Calibri"/>
                <w:color w:val="000000"/>
                <w:szCs w:val="22"/>
              </w:rPr>
            </w:pPr>
            <w:r>
              <w:rPr>
                <w:rFonts w:ascii="Calibri" w:hAnsi="Calibri"/>
                <w:color w:val="000000"/>
                <w:szCs w:val="22"/>
              </w:rPr>
              <w:t>2</w:t>
            </w:r>
          </w:p>
          <w:p w14:paraId="4669DB87" w14:textId="122C72B6" w:rsidR="00C40401" w:rsidRPr="00E04015" w:rsidRDefault="00C40401" w:rsidP="00B12430">
            <w:pPr>
              <w:jc w:val="center"/>
              <w:rPr>
                <w:rFonts w:ascii="Calibri" w:hAnsi="Calibri"/>
                <w:color w:val="000000"/>
                <w:szCs w:val="22"/>
              </w:rPr>
            </w:pPr>
            <w:r>
              <w:rPr>
                <w:rFonts w:ascii="Calibri" w:hAnsi="Calibri"/>
                <w:color w:val="000000"/>
                <w:szCs w:val="22"/>
              </w:rPr>
              <w:t>2</w:t>
            </w:r>
          </w:p>
        </w:tc>
        <w:tc>
          <w:tcPr>
            <w:tcW w:w="1981" w:type="dxa"/>
            <w:tcBorders>
              <w:top w:val="single" w:sz="4" w:space="0" w:color="auto"/>
              <w:left w:val="single" w:sz="4" w:space="0" w:color="auto"/>
              <w:bottom w:val="single" w:sz="4" w:space="0" w:color="auto"/>
              <w:right w:val="single" w:sz="4" w:space="0" w:color="auto"/>
            </w:tcBorders>
          </w:tcPr>
          <w:p w14:paraId="74FBB32C" w14:textId="77777777" w:rsidR="00EB4A22" w:rsidRDefault="00121934" w:rsidP="00B12430">
            <w:pPr>
              <w:jc w:val="center"/>
              <w:rPr>
                <w:rFonts w:ascii="Calibri" w:hAnsi="Calibri"/>
                <w:color w:val="000000"/>
                <w:szCs w:val="22"/>
              </w:rPr>
            </w:pPr>
            <w:r w:rsidRPr="00121934">
              <w:rPr>
                <w:rFonts w:ascii="Calibri" w:hAnsi="Calibri"/>
                <w:b/>
                <w:color w:val="000000"/>
                <w:szCs w:val="22"/>
              </w:rPr>
              <w:t>26.5%</w:t>
            </w:r>
          </w:p>
          <w:p w14:paraId="25720386" w14:textId="77777777" w:rsidR="00121934" w:rsidRDefault="00121934" w:rsidP="00B12430">
            <w:pPr>
              <w:jc w:val="center"/>
              <w:rPr>
                <w:rFonts w:ascii="Calibri" w:hAnsi="Calibri"/>
                <w:color w:val="000000"/>
                <w:szCs w:val="22"/>
              </w:rPr>
            </w:pPr>
            <w:r>
              <w:rPr>
                <w:rFonts w:ascii="Calibri" w:hAnsi="Calibri"/>
                <w:color w:val="000000"/>
                <w:szCs w:val="22"/>
              </w:rPr>
              <w:t>0.9%</w:t>
            </w:r>
          </w:p>
          <w:p w14:paraId="28A45E91" w14:textId="77777777" w:rsidR="00121934" w:rsidRDefault="00121934" w:rsidP="00B12430">
            <w:pPr>
              <w:jc w:val="center"/>
              <w:rPr>
                <w:rFonts w:ascii="Calibri" w:hAnsi="Calibri"/>
                <w:color w:val="000000"/>
                <w:szCs w:val="22"/>
              </w:rPr>
            </w:pPr>
            <w:r>
              <w:rPr>
                <w:rFonts w:ascii="Calibri" w:hAnsi="Calibri"/>
                <w:color w:val="000000"/>
                <w:szCs w:val="22"/>
              </w:rPr>
              <w:t>7.3%</w:t>
            </w:r>
          </w:p>
          <w:p w14:paraId="02A37C13" w14:textId="77777777" w:rsidR="00121934" w:rsidRDefault="00121934" w:rsidP="00B12430">
            <w:pPr>
              <w:jc w:val="center"/>
              <w:rPr>
                <w:rFonts w:ascii="Calibri" w:hAnsi="Calibri"/>
                <w:color w:val="000000"/>
                <w:szCs w:val="22"/>
              </w:rPr>
            </w:pPr>
            <w:r>
              <w:rPr>
                <w:rFonts w:ascii="Calibri" w:hAnsi="Calibri"/>
                <w:color w:val="000000"/>
                <w:szCs w:val="22"/>
              </w:rPr>
              <w:t>3.8%</w:t>
            </w:r>
          </w:p>
          <w:p w14:paraId="41C851CB" w14:textId="77777777" w:rsidR="00121934" w:rsidRDefault="00121934" w:rsidP="00B12430">
            <w:pPr>
              <w:jc w:val="center"/>
              <w:rPr>
                <w:rFonts w:ascii="Calibri" w:hAnsi="Calibri"/>
                <w:color w:val="000000"/>
                <w:szCs w:val="22"/>
              </w:rPr>
            </w:pPr>
            <w:r>
              <w:rPr>
                <w:rFonts w:ascii="Calibri" w:hAnsi="Calibri"/>
                <w:color w:val="000000"/>
                <w:szCs w:val="22"/>
              </w:rPr>
              <w:t>1.1%</w:t>
            </w:r>
          </w:p>
          <w:p w14:paraId="46AE76A0" w14:textId="77777777" w:rsidR="00121934" w:rsidRDefault="00121934" w:rsidP="00B12430">
            <w:pPr>
              <w:jc w:val="center"/>
              <w:rPr>
                <w:rFonts w:ascii="Calibri" w:hAnsi="Calibri"/>
                <w:color w:val="000000"/>
                <w:szCs w:val="22"/>
              </w:rPr>
            </w:pPr>
            <w:r>
              <w:rPr>
                <w:rFonts w:ascii="Calibri" w:hAnsi="Calibri"/>
                <w:color w:val="000000"/>
                <w:szCs w:val="22"/>
              </w:rPr>
              <w:t>1.3%</w:t>
            </w:r>
          </w:p>
          <w:p w14:paraId="5BEBBBE5" w14:textId="77777777" w:rsidR="00121934" w:rsidRDefault="00121934" w:rsidP="00B12430">
            <w:pPr>
              <w:jc w:val="center"/>
              <w:rPr>
                <w:rFonts w:ascii="Calibri" w:hAnsi="Calibri"/>
                <w:color w:val="000000"/>
                <w:szCs w:val="22"/>
              </w:rPr>
            </w:pPr>
            <w:r>
              <w:rPr>
                <w:rFonts w:ascii="Calibri" w:hAnsi="Calibri"/>
                <w:color w:val="000000"/>
                <w:szCs w:val="22"/>
              </w:rPr>
              <w:t>0.2%</w:t>
            </w:r>
          </w:p>
          <w:p w14:paraId="44DF4A14" w14:textId="77777777" w:rsidR="00121934" w:rsidRDefault="00121934" w:rsidP="00B12430">
            <w:pPr>
              <w:jc w:val="center"/>
              <w:rPr>
                <w:rFonts w:ascii="Calibri" w:hAnsi="Calibri"/>
                <w:color w:val="000000"/>
                <w:szCs w:val="22"/>
              </w:rPr>
            </w:pPr>
            <w:r>
              <w:rPr>
                <w:rFonts w:ascii="Calibri" w:hAnsi="Calibri"/>
                <w:color w:val="000000"/>
                <w:szCs w:val="22"/>
              </w:rPr>
              <w:t>6.7%</w:t>
            </w:r>
          </w:p>
          <w:p w14:paraId="26980608" w14:textId="77777777" w:rsidR="00121934" w:rsidRDefault="00121934" w:rsidP="00B12430">
            <w:pPr>
              <w:jc w:val="center"/>
              <w:rPr>
                <w:rFonts w:ascii="Calibri" w:hAnsi="Calibri"/>
                <w:color w:val="000000"/>
                <w:szCs w:val="22"/>
              </w:rPr>
            </w:pPr>
            <w:r>
              <w:rPr>
                <w:rFonts w:ascii="Calibri" w:hAnsi="Calibri"/>
                <w:color w:val="000000"/>
                <w:szCs w:val="22"/>
              </w:rPr>
              <w:t>0.4%</w:t>
            </w:r>
          </w:p>
          <w:p w14:paraId="1B4102AE" w14:textId="77777777" w:rsidR="00121934" w:rsidRDefault="00121934" w:rsidP="00B12430">
            <w:pPr>
              <w:jc w:val="center"/>
              <w:rPr>
                <w:rFonts w:ascii="Calibri" w:hAnsi="Calibri"/>
                <w:color w:val="000000"/>
                <w:szCs w:val="22"/>
              </w:rPr>
            </w:pPr>
            <w:r>
              <w:rPr>
                <w:rFonts w:ascii="Calibri" w:hAnsi="Calibri"/>
                <w:color w:val="000000"/>
                <w:szCs w:val="22"/>
              </w:rPr>
              <w:t>2.0%</w:t>
            </w:r>
          </w:p>
          <w:p w14:paraId="22DAA453" w14:textId="77777777" w:rsidR="00121934" w:rsidRDefault="00121934" w:rsidP="00B12430">
            <w:pPr>
              <w:jc w:val="center"/>
              <w:rPr>
                <w:rFonts w:ascii="Calibri" w:hAnsi="Calibri"/>
                <w:color w:val="000000"/>
                <w:szCs w:val="22"/>
              </w:rPr>
            </w:pPr>
            <w:r>
              <w:rPr>
                <w:rFonts w:ascii="Calibri" w:hAnsi="Calibri"/>
                <w:color w:val="000000"/>
                <w:szCs w:val="22"/>
              </w:rPr>
              <w:t>2.2%</w:t>
            </w:r>
          </w:p>
          <w:p w14:paraId="0AEFCD3B" w14:textId="77777777" w:rsidR="00121934" w:rsidRDefault="00121934" w:rsidP="00B12430">
            <w:pPr>
              <w:jc w:val="center"/>
              <w:rPr>
                <w:rFonts w:ascii="Calibri" w:hAnsi="Calibri"/>
                <w:color w:val="000000"/>
                <w:szCs w:val="22"/>
              </w:rPr>
            </w:pPr>
            <w:r>
              <w:rPr>
                <w:rFonts w:ascii="Calibri" w:hAnsi="Calibri"/>
                <w:color w:val="000000"/>
                <w:szCs w:val="22"/>
              </w:rPr>
              <w:t>0.4%</w:t>
            </w:r>
          </w:p>
          <w:p w14:paraId="4CE49F74" w14:textId="2AC6C7D6" w:rsidR="00121934" w:rsidRPr="00121934" w:rsidRDefault="00121934" w:rsidP="00B12430">
            <w:pPr>
              <w:jc w:val="center"/>
              <w:rPr>
                <w:rFonts w:ascii="Calibri" w:hAnsi="Calibri"/>
                <w:color w:val="000000"/>
                <w:szCs w:val="22"/>
              </w:rPr>
            </w:pPr>
            <w:r>
              <w:rPr>
                <w:rFonts w:ascii="Calibri" w:hAnsi="Calibri"/>
                <w:color w:val="000000"/>
                <w:szCs w:val="22"/>
              </w:rPr>
              <w:t>0.4%</w:t>
            </w:r>
          </w:p>
        </w:tc>
      </w:tr>
      <w:tr w:rsidR="00EB4A22" w14:paraId="506C3731" w14:textId="77777777" w:rsidTr="00B12430">
        <w:tc>
          <w:tcPr>
            <w:tcW w:w="4664" w:type="dxa"/>
            <w:tcBorders>
              <w:top w:val="single" w:sz="4" w:space="0" w:color="auto"/>
              <w:left w:val="single" w:sz="4" w:space="0" w:color="auto"/>
              <w:bottom w:val="single" w:sz="4" w:space="0" w:color="auto"/>
              <w:right w:val="single" w:sz="4" w:space="0" w:color="auto"/>
            </w:tcBorders>
            <w:vAlign w:val="bottom"/>
            <w:hideMark/>
          </w:tcPr>
          <w:p w14:paraId="3F041021" w14:textId="77777777" w:rsidR="00EB4A22" w:rsidRDefault="00EB4A22" w:rsidP="00B12430">
            <w:pPr>
              <w:rPr>
                <w:rFonts w:ascii="Calibri" w:hAnsi="Calibri" w:cs="Calibri"/>
                <w:color w:val="000000"/>
                <w:szCs w:val="22"/>
              </w:rPr>
            </w:pPr>
            <w:r>
              <w:rPr>
                <w:rFonts w:cs="Arial"/>
                <w:b/>
                <w:szCs w:val="22"/>
              </w:rPr>
              <w:t>Other/unknown health service</w:t>
            </w:r>
          </w:p>
        </w:tc>
        <w:tc>
          <w:tcPr>
            <w:tcW w:w="2263" w:type="dxa"/>
            <w:tcBorders>
              <w:top w:val="single" w:sz="4" w:space="0" w:color="auto"/>
              <w:left w:val="single" w:sz="4" w:space="0" w:color="auto"/>
              <w:bottom w:val="single" w:sz="4" w:space="0" w:color="auto"/>
              <w:right w:val="single" w:sz="4" w:space="0" w:color="auto"/>
            </w:tcBorders>
            <w:vAlign w:val="center"/>
          </w:tcPr>
          <w:p w14:paraId="19EB880D" w14:textId="4E8963A4" w:rsidR="00EB4A22" w:rsidRPr="00E04015" w:rsidRDefault="00C40401" w:rsidP="00B12430">
            <w:pPr>
              <w:jc w:val="center"/>
              <w:rPr>
                <w:rFonts w:ascii="Calibri" w:hAnsi="Calibri"/>
                <w:b/>
                <w:color w:val="000000"/>
                <w:szCs w:val="22"/>
              </w:rPr>
            </w:pPr>
            <w:r>
              <w:rPr>
                <w:rFonts w:ascii="Calibri" w:hAnsi="Calibri"/>
                <w:b/>
                <w:color w:val="000000"/>
                <w:szCs w:val="22"/>
              </w:rPr>
              <w:t>14</w:t>
            </w:r>
          </w:p>
        </w:tc>
        <w:tc>
          <w:tcPr>
            <w:tcW w:w="1981" w:type="dxa"/>
            <w:tcBorders>
              <w:top w:val="single" w:sz="4" w:space="0" w:color="auto"/>
              <w:left w:val="single" w:sz="4" w:space="0" w:color="auto"/>
              <w:bottom w:val="single" w:sz="4" w:space="0" w:color="auto"/>
              <w:right w:val="single" w:sz="4" w:space="0" w:color="auto"/>
            </w:tcBorders>
            <w:vAlign w:val="center"/>
          </w:tcPr>
          <w:p w14:paraId="7BCF07D3" w14:textId="25C6E20B" w:rsidR="00EB4A22" w:rsidRPr="00E04015" w:rsidRDefault="00121934" w:rsidP="00B12430">
            <w:pPr>
              <w:jc w:val="center"/>
              <w:rPr>
                <w:rFonts w:ascii="Calibri" w:hAnsi="Calibri"/>
                <w:b/>
                <w:color w:val="000000"/>
                <w:szCs w:val="22"/>
              </w:rPr>
            </w:pPr>
            <w:r>
              <w:rPr>
                <w:rFonts w:ascii="Calibri" w:hAnsi="Calibri"/>
                <w:b/>
                <w:color w:val="000000"/>
                <w:szCs w:val="22"/>
              </w:rPr>
              <w:t>2.5%</w:t>
            </w:r>
          </w:p>
        </w:tc>
      </w:tr>
      <w:tr w:rsidR="00EB4A22" w14:paraId="1D7BA761" w14:textId="77777777" w:rsidTr="00B12430">
        <w:tc>
          <w:tcPr>
            <w:tcW w:w="4664" w:type="dxa"/>
            <w:tcBorders>
              <w:top w:val="single" w:sz="4" w:space="0" w:color="auto"/>
              <w:left w:val="single" w:sz="4" w:space="0" w:color="auto"/>
              <w:bottom w:val="single" w:sz="4" w:space="0" w:color="auto"/>
              <w:right w:val="single" w:sz="4" w:space="0" w:color="auto"/>
            </w:tcBorders>
            <w:shd w:val="clear" w:color="auto" w:fill="C00000"/>
            <w:hideMark/>
          </w:tcPr>
          <w:p w14:paraId="628E3149" w14:textId="77777777" w:rsidR="00EB4A22" w:rsidRDefault="00EB4A22" w:rsidP="00B12430">
            <w:pPr>
              <w:rPr>
                <w:rFonts w:cs="Arial"/>
                <w:b/>
                <w:szCs w:val="22"/>
              </w:rPr>
            </w:pPr>
            <w:r>
              <w:rPr>
                <w:rFonts w:ascii="Calibri" w:hAnsi="Calibri"/>
                <w:b/>
                <w:szCs w:val="22"/>
              </w:rPr>
              <w:t>TOTAL</w:t>
            </w:r>
          </w:p>
        </w:tc>
        <w:tc>
          <w:tcPr>
            <w:tcW w:w="2263" w:type="dxa"/>
            <w:tcBorders>
              <w:top w:val="single" w:sz="4" w:space="0" w:color="auto"/>
              <w:left w:val="single" w:sz="4" w:space="0" w:color="auto"/>
              <w:bottom w:val="single" w:sz="4" w:space="0" w:color="auto"/>
              <w:right w:val="single" w:sz="4" w:space="0" w:color="auto"/>
            </w:tcBorders>
            <w:shd w:val="clear" w:color="auto" w:fill="C00000"/>
            <w:vAlign w:val="center"/>
          </w:tcPr>
          <w:p w14:paraId="0405993C" w14:textId="7F429A78" w:rsidR="00EB4A22" w:rsidRPr="00C40401" w:rsidRDefault="00C40401" w:rsidP="00B12430">
            <w:pPr>
              <w:jc w:val="center"/>
              <w:rPr>
                <w:rFonts w:ascii="Calibri" w:hAnsi="Calibri"/>
                <w:b/>
                <w:color w:val="FFFFFF" w:themeColor="background1"/>
                <w:szCs w:val="22"/>
              </w:rPr>
            </w:pPr>
            <w:r w:rsidRPr="00C40401">
              <w:rPr>
                <w:rFonts w:ascii="Calibri" w:hAnsi="Calibri"/>
                <w:b/>
                <w:color w:val="FFFFFF" w:themeColor="background1"/>
                <w:szCs w:val="22"/>
              </w:rPr>
              <w:t>551</w:t>
            </w:r>
          </w:p>
        </w:tc>
        <w:tc>
          <w:tcPr>
            <w:tcW w:w="1981" w:type="dxa"/>
            <w:tcBorders>
              <w:top w:val="single" w:sz="4" w:space="0" w:color="auto"/>
              <w:left w:val="single" w:sz="4" w:space="0" w:color="auto"/>
              <w:bottom w:val="single" w:sz="4" w:space="0" w:color="auto"/>
              <w:right w:val="single" w:sz="4" w:space="0" w:color="auto"/>
            </w:tcBorders>
            <w:shd w:val="clear" w:color="auto" w:fill="C00000"/>
            <w:vAlign w:val="center"/>
          </w:tcPr>
          <w:p w14:paraId="65D452DC" w14:textId="77777777" w:rsidR="00EB4A22" w:rsidRPr="00C40401" w:rsidRDefault="00EB4A22" w:rsidP="00B12430">
            <w:pPr>
              <w:jc w:val="center"/>
              <w:rPr>
                <w:rFonts w:ascii="Calibri" w:hAnsi="Calibri"/>
                <w:b/>
                <w:color w:val="FFFFFF" w:themeColor="background1"/>
                <w:szCs w:val="22"/>
              </w:rPr>
            </w:pPr>
          </w:p>
        </w:tc>
      </w:tr>
    </w:tbl>
    <w:p w14:paraId="2BD0E578" w14:textId="77777777" w:rsidR="00EB4A22" w:rsidRDefault="00EB4A22" w:rsidP="00EB4A22"/>
    <w:p w14:paraId="07FFED09" w14:textId="77777777" w:rsidR="00EB4A22" w:rsidRDefault="00EB4A22" w:rsidP="00EB4A22">
      <w:pPr>
        <w:spacing w:after="200"/>
        <w:jc w:val="left"/>
      </w:pPr>
      <w:r>
        <w:br w:type="page"/>
      </w:r>
    </w:p>
    <w:p w14:paraId="132C5418" w14:textId="49607195" w:rsidR="00EB4A22" w:rsidRPr="004C6DD1" w:rsidRDefault="00EB4A22" w:rsidP="00A504BF">
      <w:pPr>
        <w:widowControl w:val="0"/>
        <w:spacing w:after="360"/>
        <w:rPr>
          <w:szCs w:val="22"/>
        </w:rPr>
      </w:pPr>
      <w:bookmarkStart w:id="49" w:name="_Toc443992227"/>
      <w:bookmarkStart w:id="50" w:name="_Toc445910051"/>
      <w:bookmarkStart w:id="51" w:name="_Toc447291335"/>
      <w:bookmarkStart w:id="52" w:name="_Toc447291473"/>
      <w:bookmarkStart w:id="53" w:name="_Toc447527530"/>
      <w:bookmarkStart w:id="54" w:name="_Toc493684128"/>
      <w:r>
        <w:rPr>
          <w:szCs w:val="22"/>
        </w:rPr>
        <w:lastRenderedPageBreak/>
        <w:t>Table 7</w:t>
      </w:r>
      <w:r w:rsidRPr="00666BAC">
        <w:rPr>
          <w:szCs w:val="22"/>
        </w:rPr>
        <w:t xml:space="preserve"> below shows </w:t>
      </w:r>
      <w:r>
        <w:rPr>
          <w:szCs w:val="22"/>
        </w:rPr>
        <w:t xml:space="preserve">a </w:t>
      </w:r>
      <w:r w:rsidRPr="00666BAC">
        <w:rPr>
          <w:szCs w:val="22"/>
        </w:rPr>
        <w:t>comparison of the proportion of complaints received</w:t>
      </w:r>
      <w:r>
        <w:rPr>
          <w:szCs w:val="22"/>
        </w:rPr>
        <w:t xml:space="preserve"> over time</w:t>
      </w:r>
      <w:r w:rsidRPr="00666BAC">
        <w:rPr>
          <w:szCs w:val="22"/>
        </w:rPr>
        <w:t xml:space="preserve"> for the most commonly complained about service types. As can be seen from this table, </w:t>
      </w:r>
      <w:r>
        <w:rPr>
          <w:szCs w:val="22"/>
        </w:rPr>
        <w:t xml:space="preserve">complaints about surgical services </w:t>
      </w:r>
      <w:r w:rsidR="00DD38F0">
        <w:rPr>
          <w:szCs w:val="22"/>
        </w:rPr>
        <w:t>started to decrease</w:t>
      </w:r>
      <w:r>
        <w:rPr>
          <w:szCs w:val="22"/>
        </w:rPr>
        <w:t xml:space="preserve"> for the first time in </w:t>
      </w:r>
      <w:r>
        <w:t>Jul–Dec 2020</w:t>
      </w:r>
      <w:r w:rsidR="00DD38F0">
        <w:rPr>
          <w:szCs w:val="22"/>
        </w:rPr>
        <w:t>.</w:t>
      </w:r>
    </w:p>
    <w:p w14:paraId="26A2DF09" w14:textId="77777777" w:rsidR="00EB4A22" w:rsidRPr="00666BAC" w:rsidRDefault="00EB4A22" w:rsidP="00EB4A22">
      <w:pPr>
        <w:widowControl w:val="0"/>
        <w:spacing w:after="120"/>
        <w:rPr>
          <w:szCs w:val="22"/>
        </w:rPr>
      </w:pPr>
      <w:r>
        <w:rPr>
          <w:b/>
          <w:szCs w:val="22"/>
        </w:rPr>
        <w:t>Table 7</w:t>
      </w:r>
      <w:r w:rsidRPr="00666BAC">
        <w:rPr>
          <w:b/>
          <w:szCs w:val="22"/>
        </w:rPr>
        <w:t>.</w:t>
      </w:r>
      <w:r w:rsidRPr="00636882">
        <w:rPr>
          <w:szCs w:val="22"/>
        </w:rPr>
        <w:t xml:space="preserve"> Comparison</w:t>
      </w:r>
      <w:r w:rsidRPr="00666BAC">
        <w:rPr>
          <w:szCs w:val="22"/>
        </w:rPr>
        <w:t xml:space="preserve"> of the proportion of complaints received about the most commonly complained about service types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8"/>
        <w:gridCol w:w="1392"/>
        <w:gridCol w:w="1381"/>
        <w:gridCol w:w="1380"/>
        <w:gridCol w:w="1355"/>
        <w:gridCol w:w="1332"/>
      </w:tblGrid>
      <w:tr w:rsidR="00DD38F0" w:rsidRPr="00666BAC" w14:paraId="72DB3CD3" w14:textId="77777777" w:rsidTr="00B12430">
        <w:trPr>
          <w:trHeight w:val="624"/>
          <w:tblHeader/>
        </w:trPr>
        <w:tc>
          <w:tcPr>
            <w:tcW w:w="2048" w:type="dxa"/>
            <w:shd w:val="clear" w:color="auto" w:fill="C00000"/>
          </w:tcPr>
          <w:p w14:paraId="51531499" w14:textId="77777777" w:rsidR="00DD38F0" w:rsidRPr="00666BAC" w:rsidRDefault="00DD38F0" w:rsidP="00DD38F0">
            <w:pPr>
              <w:tabs>
                <w:tab w:val="left" w:pos="1440"/>
                <w:tab w:val="decimal" w:pos="4320"/>
              </w:tabs>
              <w:spacing w:before="120" w:after="120"/>
              <w:jc w:val="center"/>
              <w:outlineLvl w:val="0"/>
              <w:rPr>
                <w:b/>
                <w:szCs w:val="22"/>
                <w:vertAlign w:val="superscript"/>
              </w:rPr>
            </w:pPr>
            <w:r w:rsidRPr="00666BAC">
              <w:rPr>
                <w:b/>
                <w:szCs w:val="22"/>
              </w:rPr>
              <w:t>Service type</w:t>
            </w:r>
          </w:p>
        </w:tc>
        <w:tc>
          <w:tcPr>
            <w:tcW w:w="1392" w:type="dxa"/>
            <w:shd w:val="clear" w:color="auto" w:fill="C00000"/>
          </w:tcPr>
          <w:p w14:paraId="7B4A03B3" w14:textId="35852F57" w:rsidR="00DD38F0" w:rsidRPr="00666BAC" w:rsidRDefault="00DD38F0" w:rsidP="00DD38F0">
            <w:pPr>
              <w:tabs>
                <w:tab w:val="left" w:pos="1440"/>
                <w:tab w:val="decimal" w:pos="4320"/>
              </w:tabs>
              <w:spacing w:before="120" w:after="120"/>
              <w:jc w:val="center"/>
              <w:outlineLvl w:val="0"/>
              <w:rPr>
                <w:b/>
                <w:szCs w:val="22"/>
              </w:rPr>
            </w:pPr>
            <w:r>
              <w:rPr>
                <w:b/>
                <w:szCs w:val="22"/>
              </w:rPr>
              <w:t>Jan–Jun 2019</w:t>
            </w:r>
          </w:p>
        </w:tc>
        <w:tc>
          <w:tcPr>
            <w:tcW w:w="1381" w:type="dxa"/>
            <w:shd w:val="clear" w:color="auto" w:fill="C00000"/>
          </w:tcPr>
          <w:p w14:paraId="617CED3A" w14:textId="349EEF0C" w:rsidR="00DD38F0" w:rsidRPr="00666BAC" w:rsidRDefault="00DD38F0" w:rsidP="00DD38F0">
            <w:pPr>
              <w:tabs>
                <w:tab w:val="left" w:pos="1440"/>
                <w:tab w:val="decimal" w:pos="4320"/>
              </w:tabs>
              <w:spacing w:before="120" w:after="120"/>
              <w:jc w:val="center"/>
              <w:outlineLvl w:val="0"/>
              <w:rPr>
                <w:b/>
                <w:szCs w:val="22"/>
              </w:rPr>
            </w:pPr>
            <w:r>
              <w:rPr>
                <w:b/>
                <w:szCs w:val="22"/>
              </w:rPr>
              <w:t>Jul–Dec 2019</w:t>
            </w:r>
          </w:p>
        </w:tc>
        <w:tc>
          <w:tcPr>
            <w:tcW w:w="1380" w:type="dxa"/>
            <w:shd w:val="clear" w:color="auto" w:fill="C00000"/>
          </w:tcPr>
          <w:p w14:paraId="10A5A603" w14:textId="1005FC38" w:rsidR="00DD38F0" w:rsidRPr="00666BAC" w:rsidRDefault="00DD38F0" w:rsidP="00DD38F0">
            <w:pPr>
              <w:tabs>
                <w:tab w:val="left" w:pos="1440"/>
                <w:tab w:val="decimal" w:pos="4320"/>
              </w:tabs>
              <w:spacing w:before="120" w:after="120"/>
              <w:jc w:val="center"/>
              <w:outlineLvl w:val="0"/>
              <w:rPr>
                <w:b/>
                <w:szCs w:val="22"/>
              </w:rPr>
            </w:pPr>
            <w:r>
              <w:rPr>
                <w:b/>
                <w:szCs w:val="22"/>
              </w:rPr>
              <w:t>Jan–Jun 2020</w:t>
            </w:r>
          </w:p>
        </w:tc>
        <w:tc>
          <w:tcPr>
            <w:tcW w:w="1355" w:type="dxa"/>
            <w:shd w:val="clear" w:color="auto" w:fill="C00000"/>
          </w:tcPr>
          <w:p w14:paraId="3DDE6FB2" w14:textId="1546B4C0" w:rsidR="00DD38F0" w:rsidRPr="00666BAC" w:rsidRDefault="00DD38F0" w:rsidP="00DD38F0">
            <w:pPr>
              <w:tabs>
                <w:tab w:val="left" w:pos="1440"/>
                <w:tab w:val="decimal" w:pos="4320"/>
              </w:tabs>
              <w:spacing w:before="120" w:after="120"/>
              <w:jc w:val="center"/>
              <w:outlineLvl w:val="0"/>
              <w:rPr>
                <w:b/>
                <w:szCs w:val="22"/>
              </w:rPr>
            </w:pPr>
            <w:r>
              <w:rPr>
                <w:b/>
                <w:szCs w:val="22"/>
              </w:rPr>
              <w:t>Jul–Dec 2020</w:t>
            </w:r>
          </w:p>
        </w:tc>
        <w:tc>
          <w:tcPr>
            <w:tcW w:w="1332" w:type="dxa"/>
            <w:shd w:val="clear" w:color="auto" w:fill="C00000"/>
          </w:tcPr>
          <w:p w14:paraId="196FD8C2" w14:textId="4B3ECC22" w:rsidR="00DD38F0" w:rsidRDefault="00DD38F0" w:rsidP="00DD38F0">
            <w:pPr>
              <w:tabs>
                <w:tab w:val="left" w:pos="1440"/>
                <w:tab w:val="decimal" w:pos="4320"/>
              </w:tabs>
              <w:spacing w:before="120" w:after="120"/>
              <w:jc w:val="center"/>
              <w:outlineLvl w:val="0"/>
              <w:rPr>
                <w:b/>
                <w:szCs w:val="22"/>
              </w:rPr>
            </w:pPr>
            <w:r>
              <w:rPr>
                <w:b/>
                <w:szCs w:val="22"/>
              </w:rPr>
              <w:t>Jan–Jun 2021</w:t>
            </w:r>
          </w:p>
        </w:tc>
      </w:tr>
      <w:tr w:rsidR="00DD38F0" w:rsidRPr="00666BAC" w14:paraId="5E85AF7B" w14:textId="77777777" w:rsidTr="00223447">
        <w:trPr>
          <w:trHeight w:val="278"/>
        </w:trPr>
        <w:tc>
          <w:tcPr>
            <w:tcW w:w="2048" w:type="dxa"/>
            <w:vAlign w:val="bottom"/>
          </w:tcPr>
          <w:p w14:paraId="5FB96D40" w14:textId="77777777" w:rsidR="00DD38F0" w:rsidRPr="00666BAC" w:rsidRDefault="00DD38F0" w:rsidP="00DD38F0">
            <w:pPr>
              <w:jc w:val="left"/>
              <w:rPr>
                <w:rFonts w:cs="Calibri"/>
                <w:b/>
                <w:color w:val="000000"/>
                <w:szCs w:val="22"/>
              </w:rPr>
            </w:pPr>
            <w:r w:rsidRPr="00666BAC">
              <w:rPr>
                <w:rFonts w:cs="Calibri"/>
                <w:b/>
                <w:color w:val="000000"/>
                <w:szCs w:val="22"/>
              </w:rPr>
              <w:t>Surgery</w:t>
            </w:r>
          </w:p>
        </w:tc>
        <w:tc>
          <w:tcPr>
            <w:tcW w:w="1392" w:type="dxa"/>
          </w:tcPr>
          <w:p w14:paraId="67A1212A" w14:textId="4F9B544A" w:rsidR="00DD38F0" w:rsidRPr="0086165A" w:rsidRDefault="00DD38F0" w:rsidP="00DD38F0">
            <w:pPr>
              <w:jc w:val="center"/>
              <w:rPr>
                <w:rFonts w:cs="Calibri"/>
                <w:color w:val="000000"/>
                <w:szCs w:val="22"/>
              </w:rPr>
            </w:pPr>
            <w:r w:rsidRPr="0086165A">
              <w:rPr>
                <w:rFonts w:cs="Calibri"/>
                <w:color w:val="000000"/>
                <w:szCs w:val="22"/>
              </w:rPr>
              <w:t>31%</w:t>
            </w:r>
          </w:p>
        </w:tc>
        <w:tc>
          <w:tcPr>
            <w:tcW w:w="1381" w:type="dxa"/>
          </w:tcPr>
          <w:p w14:paraId="2B823E32" w14:textId="5BD53EF8" w:rsidR="00DD38F0" w:rsidRPr="0086165A" w:rsidRDefault="00DD38F0" w:rsidP="00DD38F0">
            <w:pPr>
              <w:jc w:val="center"/>
              <w:rPr>
                <w:rFonts w:cs="Calibri"/>
                <w:color w:val="000000"/>
                <w:szCs w:val="22"/>
              </w:rPr>
            </w:pPr>
            <w:r w:rsidRPr="0086165A">
              <w:rPr>
                <w:rFonts w:cs="Calibri"/>
                <w:color w:val="000000"/>
                <w:szCs w:val="22"/>
              </w:rPr>
              <w:t>31%</w:t>
            </w:r>
          </w:p>
        </w:tc>
        <w:tc>
          <w:tcPr>
            <w:tcW w:w="1380" w:type="dxa"/>
          </w:tcPr>
          <w:p w14:paraId="3E98DA42" w14:textId="38769428" w:rsidR="00DD38F0" w:rsidRPr="0086165A" w:rsidRDefault="00DD38F0" w:rsidP="00DD38F0">
            <w:pPr>
              <w:jc w:val="center"/>
              <w:rPr>
                <w:rFonts w:cs="Calibri"/>
                <w:color w:val="000000"/>
                <w:szCs w:val="22"/>
              </w:rPr>
            </w:pPr>
            <w:r w:rsidRPr="0086165A">
              <w:rPr>
                <w:rFonts w:cs="Calibri"/>
                <w:color w:val="000000"/>
                <w:szCs w:val="22"/>
              </w:rPr>
              <w:t>31%</w:t>
            </w:r>
          </w:p>
        </w:tc>
        <w:tc>
          <w:tcPr>
            <w:tcW w:w="1355" w:type="dxa"/>
          </w:tcPr>
          <w:p w14:paraId="08F9E481" w14:textId="059905C5" w:rsidR="00DD38F0" w:rsidRPr="0086165A" w:rsidRDefault="00DD38F0" w:rsidP="00DD38F0">
            <w:pPr>
              <w:jc w:val="center"/>
              <w:rPr>
                <w:rFonts w:cs="Calibri"/>
                <w:color w:val="000000"/>
                <w:szCs w:val="22"/>
              </w:rPr>
            </w:pPr>
            <w:r>
              <w:rPr>
                <w:rFonts w:cs="Calibri"/>
                <w:color w:val="000000"/>
                <w:szCs w:val="22"/>
              </w:rPr>
              <w:t>23</w:t>
            </w:r>
            <w:r w:rsidRPr="0086165A">
              <w:rPr>
                <w:rFonts w:cs="Calibri"/>
                <w:color w:val="000000"/>
                <w:szCs w:val="22"/>
              </w:rPr>
              <w:t>%</w:t>
            </w:r>
          </w:p>
        </w:tc>
        <w:tc>
          <w:tcPr>
            <w:tcW w:w="1332" w:type="dxa"/>
          </w:tcPr>
          <w:p w14:paraId="75BFEA1F" w14:textId="4D95D123" w:rsidR="00DD38F0" w:rsidRPr="0086165A" w:rsidRDefault="00DD38F0" w:rsidP="00DD38F0">
            <w:pPr>
              <w:jc w:val="center"/>
              <w:rPr>
                <w:rFonts w:cs="Calibri"/>
                <w:color w:val="000000"/>
                <w:szCs w:val="22"/>
              </w:rPr>
            </w:pPr>
            <w:r>
              <w:rPr>
                <w:rFonts w:cs="Calibri"/>
                <w:color w:val="000000"/>
                <w:szCs w:val="22"/>
              </w:rPr>
              <w:t>26</w:t>
            </w:r>
            <w:r w:rsidRPr="0086165A">
              <w:rPr>
                <w:rFonts w:cs="Calibri"/>
                <w:color w:val="000000"/>
                <w:szCs w:val="22"/>
              </w:rPr>
              <w:t>%</w:t>
            </w:r>
          </w:p>
        </w:tc>
      </w:tr>
      <w:tr w:rsidR="00DD38F0" w:rsidRPr="00666BAC" w14:paraId="79CB6A3F" w14:textId="77777777" w:rsidTr="00223447">
        <w:trPr>
          <w:trHeight w:val="267"/>
        </w:trPr>
        <w:tc>
          <w:tcPr>
            <w:tcW w:w="2048" w:type="dxa"/>
            <w:vAlign w:val="bottom"/>
          </w:tcPr>
          <w:p w14:paraId="49A9E437" w14:textId="77777777" w:rsidR="00DD38F0" w:rsidRPr="00666BAC" w:rsidRDefault="00DD38F0" w:rsidP="00DD38F0">
            <w:pPr>
              <w:rPr>
                <w:rFonts w:cs="Calibri"/>
                <w:b/>
                <w:color w:val="000000"/>
                <w:szCs w:val="22"/>
              </w:rPr>
            </w:pPr>
            <w:r w:rsidRPr="00666BAC">
              <w:rPr>
                <w:rFonts w:cs="Calibri"/>
                <w:b/>
                <w:color w:val="000000"/>
                <w:szCs w:val="22"/>
              </w:rPr>
              <w:t>Mental health</w:t>
            </w:r>
          </w:p>
        </w:tc>
        <w:tc>
          <w:tcPr>
            <w:tcW w:w="1392" w:type="dxa"/>
          </w:tcPr>
          <w:p w14:paraId="15A4E65A" w14:textId="57C7ED1F" w:rsidR="00DD38F0" w:rsidRPr="0086165A" w:rsidRDefault="00DD38F0" w:rsidP="00DD38F0">
            <w:pPr>
              <w:jc w:val="center"/>
              <w:rPr>
                <w:rFonts w:cs="Calibri"/>
                <w:color w:val="000000"/>
                <w:szCs w:val="22"/>
              </w:rPr>
            </w:pPr>
            <w:r w:rsidRPr="0086165A">
              <w:rPr>
                <w:rFonts w:cs="Calibri"/>
                <w:color w:val="000000"/>
                <w:szCs w:val="22"/>
              </w:rPr>
              <w:t>22%</w:t>
            </w:r>
          </w:p>
        </w:tc>
        <w:tc>
          <w:tcPr>
            <w:tcW w:w="1381" w:type="dxa"/>
          </w:tcPr>
          <w:p w14:paraId="7225D266" w14:textId="657C697B" w:rsidR="00DD38F0" w:rsidRPr="0086165A" w:rsidRDefault="00DD38F0" w:rsidP="00DD38F0">
            <w:pPr>
              <w:jc w:val="center"/>
              <w:rPr>
                <w:rFonts w:cs="Calibri"/>
                <w:color w:val="000000"/>
                <w:szCs w:val="22"/>
              </w:rPr>
            </w:pPr>
            <w:r w:rsidRPr="0086165A">
              <w:rPr>
                <w:rFonts w:cs="Calibri"/>
                <w:color w:val="000000"/>
                <w:szCs w:val="22"/>
              </w:rPr>
              <w:t>25%</w:t>
            </w:r>
          </w:p>
        </w:tc>
        <w:tc>
          <w:tcPr>
            <w:tcW w:w="1380" w:type="dxa"/>
          </w:tcPr>
          <w:p w14:paraId="30058CBD" w14:textId="7D91AF1C" w:rsidR="00DD38F0" w:rsidRPr="0086165A" w:rsidRDefault="00DD38F0" w:rsidP="00DD38F0">
            <w:pPr>
              <w:jc w:val="center"/>
              <w:rPr>
                <w:rFonts w:cs="Calibri"/>
                <w:color w:val="000000"/>
                <w:szCs w:val="22"/>
              </w:rPr>
            </w:pPr>
            <w:r w:rsidRPr="0086165A">
              <w:rPr>
                <w:rFonts w:cs="Calibri"/>
                <w:color w:val="000000"/>
                <w:szCs w:val="22"/>
              </w:rPr>
              <w:t>22%</w:t>
            </w:r>
          </w:p>
        </w:tc>
        <w:tc>
          <w:tcPr>
            <w:tcW w:w="1355" w:type="dxa"/>
          </w:tcPr>
          <w:p w14:paraId="5FF507E6" w14:textId="33E8CACC" w:rsidR="00DD38F0" w:rsidRPr="0086165A" w:rsidRDefault="00DD38F0" w:rsidP="00DD38F0">
            <w:pPr>
              <w:jc w:val="center"/>
              <w:rPr>
                <w:rFonts w:cs="Calibri"/>
                <w:color w:val="000000"/>
                <w:szCs w:val="22"/>
              </w:rPr>
            </w:pPr>
            <w:r>
              <w:rPr>
                <w:rFonts w:cs="Calibri"/>
                <w:color w:val="000000"/>
                <w:szCs w:val="22"/>
              </w:rPr>
              <w:t>24</w:t>
            </w:r>
            <w:r w:rsidRPr="0086165A">
              <w:rPr>
                <w:rFonts w:cs="Calibri"/>
                <w:color w:val="000000"/>
                <w:szCs w:val="22"/>
              </w:rPr>
              <w:t>%</w:t>
            </w:r>
          </w:p>
        </w:tc>
        <w:tc>
          <w:tcPr>
            <w:tcW w:w="1332" w:type="dxa"/>
          </w:tcPr>
          <w:p w14:paraId="563CE935" w14:textId="194FD817" w:rsidR="00DD38F0" w:rsidRPr="0086165A" w:rsidRDefault="00DD38F0" w:rsidP="00DD38F0">
            <w:pPr>
              <w:jc w:val="center"/>
              <w:rPr>
                <w:rFonts w:cs="Calibri"/>
                <w:color w:val="000000"/>
                <w:szCs w:val="22"/>
              </w:rPr>
            </w:pPr>
            <w:r>
              <w:rPr>
                <w:rFonts w:cs="Calibri"/>
                <w:color w:val="000000"/>
                <w:szCs w:val="22"/>
              </w:rPr>
              <w:t>23</w:t>
            </w:r>
            <w:r w:rsidRPr="0086165A">
              <w:rPr>
                <w:rFonts w:cs="Calibri"/>
                <w:color w:val="000000"/>
                <w:szCs w:val="22"/>
              </w:rPr>
              <w:t>%</w:t>
            </w:r>
          </w:p>
        </w:tc>
      </w:tr>
      <w:tr w:rsidR="00DD38F0" w:rsidRPr="00666BAC" w14:paraId="24711760" w14:textId="77777777" w:rsidTr="00223447">
        <w:trPr>
          <w:trHeight w:val="267"/>
        </w:trPr>
        <w:tc>
          <w:tcPr>
            <w:tcW w:w="2048" w:type="dxa"/>
            <w:vAlign w:val="bottom"/>
          </w:tcPr>
          <w:p w14:paraId="0BB7E47B" w14:textId="77777777" w:rsidR="00DD38F0" w:rsidRPr="00666BAC" w:rsidRDefault="00DD38F0" w:rsidP="00DD38F0">
            <w:pPr>
              <w:rPr>
                <w:rFonts w:cs="Calibri"/>
                <w:b/>
                <w:color w:val="000000"/>
                <w:szCs w:val="22"/>
              </w:rPr>
            </w:pPr>
            <w:r w:rsidRPr="00666BAC">
              <w:rPr>
                <w:rFonts w:cs="Calibri"/>
                <w:b/>
                <w:color w:val="000000"/>
                <w:szCs w:val="22"/>
              </w:rPr>
              <w:t>General medicine</w:t>
            </w:r>
          </w:p>
        </w:tc>
        <w:tc>
          <w:tcPr>
            <w:tcW w:w="1392" w:type="dxa"/>
          </w:tcPr>
          <w:p w14:paraId="28C5043F" w14:textId="3DB0F841" w:rsidR="00DD38F0" w:rsidRPr="0086165A" w:rsidRDefault="00DD38F0" w:rsidP="00DD38F0">
            <w:pPr>
              <w:jc w:val="center"/>
              <w:rPr>
                <w:rFonts w:cs="Calibri"/>
                <w:color w:val="000000"/>
                <w:szCs w:val="22"/>
              </w:rPr>
            </w:pPr>
            <w:r w:rsidRPr="0086165A">
              <w:rPr>
                <w:rFonts w:cs="Calibri"/>
                <w:color w:val="000000"/>
                <w:szCs w:val="22"/>
              </w:rPr>
              <w:t>18%</w:t>
            </w:r>
          </w:p>
        </w:tc>
        <w:tc>
          <w:tcPr>
            <w:tcW w:w="1381" w:type="dxa"/>
          </w:tcPr>
          <w:p w14:paraId="2940BC41" w14:textId="6D9691FD" w:rsidR="00DD38F0" w:rsidRPr="0086165A" w:rsidRDefault="00DD38F0" w:rsidP="00DD38F0">
            <w:pPr>
              <w:jc w:val="center"/>
              <w:rPr>
                <w:rFonts w:cs="Calibri"/>
                <w:color w:val="000000"/>
                <w:szCs w:val="22"/>
              </w:rPr>
            </w:pPr>
            <w:r w:rsidRPr="0086165A">
              <w:rPr>
                <w:rFonts w:cs="Calibri"/>
                <w:color w:val="000000"/>
                <w:szCs w:val="22"/>
              </w:rPr>
              <w:t>16%</w:t>
            </w:r>
          </w:p>
        </w:tc>
        <w:tc>
          <w:tcPr>
            <w:tcW w:w="1380" w:type="dxa"/>
          </w:tcPr>
          <w:p w14:paraId="3382DB83" w14:textId="6CCDB9A9" w:rsidR="00DD38F0" w:rsidRPr="0086165A" w:rsidRDefault="00DD38F0" w:rsidP="00DD38F0">
            <w:pPr>
              <w:jc w:val="center"/>
              <w:rPr>
                <w:rFonts w:cs="Calibri"/>
                <w:color w:val="000000"/>
                <w:szCs w:val="22"/>
              </w:rPr>
            </w:pPr>
            <w:r w:rsidRPr="0086165A">
              <w:rPr>
                <w:rFonts w:cs="Calibri"/>
                <w:color w:val="000000"/>
                <w:szCs w:val="22"/>
              </w:rPr>
              <w:t>18%</w:t>
            </w:r>
          </w:p>
        </w:tc>
        <w:tc>
          <w:tcPr>
            <w:tcW w:w="1355" w:type="dxa"/>
          </w:tcPr>
          <w:p w14:paraId="3E2BF885" w14:textId="79FC7B43" w:rsidR="00DD38F0" w:rsidRPr="0086165A" w:rsidRDefault="00DD38F0" w:rsidP="00DD38F0">
            <w:pPr>
              <w:jc w:val="center"/>
              <w:rPr>
                <w:rFonts w:cs="Calibri"/>
                <w:color w:val="000000"/>
                <w:szCs w:val="22"/>
              </w:rPr>
            </w:pPr>
            <w:r>
              <w:rPr>
                <w:rFonts w:cs="Calibri"/>
                <w:color w:val="000000"/>
                <w:szCs w:val="22"/>
              </w:rPr>
              <w:t>19</w:t>
            </w:r>
            <w:r w:rsidRPr="0086165A">
              <w:rPr>
                <w:rFonts w:cs="Calibri"/>
                <w:color w:val="000000"/>
                <w:szCs w:val="22"/>
              </w:rPr>
              <w:t>%</w:t>
            </w:r>
          </w:p>
        </w:tc>
        <w:tc>
          <w:tcPr>
            <w:tcW w:w="1332" w:type="dxa"/>
          </w:tcPr>
          <w:p w14:paraId="37E9EE8B" w14:textId="31DA24B5" w:rsidR="00DD38F0" w:rsidRPr="0086165A" w:rsidRDefault="00DD38F0" w:rsidP="00DD38F0">
            <w:pPr>
              <w:jc w:val="center"/>
              <w:rPr>
                <w:rFonts w:cs="Calibri"/>
                <w:color w:val="000000"/>
                <w:szCs w:val="22"/>
              </w:rPr>
            </w:pPr>
            <w:r>
              <w:rPr>
                <w:rFonts w:cs="Calibri"/>
                <w:color w:val="000000"/>
                <w:szCs w:val="22"/>
              </w:rPr>
              <w:t>16</w:t>
            </w:r>
            <w:r w:rsidRPr="0086165A">
              <w:rPr>
                <w:rFonts w:cs="Calibri"/>
                <w:color w:val="000000"/>
                <w:szCs w:val="22"/>
              </w:rPr>
              <w:t>%</w:t>
            </w:r>
          </w:p>
        </w:tc>
      </w:tr>
      <w:tr w:rsidR="00DD38F0" w:rsidRPr="00666BAC" w14:paraId="78D6D6C3" w14:textId="77777777" w:rsidTr="00B12430">
        <w:trPr>
          <w:trHeight w:val="286"/>
        </w:trPr>
        <w:tc>
          <w:tcPr>
            <w:tcW w:w="2048" w:type="dxa"/>
            <w:vAlign w:val="bottom"/>
          </w:tcPr>
          <w:p w14:paraId="219A7F4A" w14:textId="77777777" w:rsidR="00DD38F0" w:rsidRPr="00666BAC" w:rsidRDefault="00DD38F0" w:rsidP="00DD38F0">
            <w:pPr>
              <w:rPr>
                <w:rFonts w:cs="Calibri"/>
                <w:b/>
                <w:color w:val="000000"/>
                <w:szCs w:val="22"/>
              </w:rPr>
            </w:pPr>
            <w:r w:rsidRPr="00666BAC">
              <w:rPr>
                <w:rFonts w:cs="Calibri"/>
                <w:b/>
                <w:color w:val="000000"/>
                <w:szCs w:val="22"/>
              </w:rPr>
              <w:t>Emergency department</w:t>
            </w:r>
          </w:p>
        </w:tc>
        <w:tc>
          <w:tcPr>
            <w:tcW w:w="1392" w:type="dxa"/>
            <w:vAlign w:val="center"/>
          </w:tcPr>
          <w:p w14:paraId="3F120350" w14:textId="4DBDA136" w:rsidR="00DD38F0" w:rsidRPr="0086165A" w:rsidRDefault="00DD38F0" w:rsidP="00DD38F0">
            <w:pPr>
              <w:jc w:val="center"/>
              <w:rPr>
                <w:rFonts w:cs="Calibri"/>
                <w:color w:val="000000"/>
                <w:szCs w:val="22"/>
              </w:rPr>
            </w:pPr>
            <w:r w:rsidRPr="0086165A">
              <w:rPr>
                <w:rFonts w:cs="Calibri"/>
                <w:color w:val="000000"/>
                <w:szCs w:val="22"/>
              </w:rPr>
              <w:t>12%</w:t>
            </w:r>
          </w:p>
        </w:tc>
        <w:tc>
          <w:tcPr>
            <w:tcW w:w="1381" w:type="dxa"/>
            <w:vAlign w:val="center"/>
          </w:tcPr>
          <w:p w14:paraId="3115EE34" w14:textId="35407BB0" w:rsidR="00DD38F0" w:rsidRPr="0086165A" w:rsidRDefault="00DD38F0" w:rsidP="00DD38F0">
            <w:pPr>
              <w:jc w:val="center"/>
              <w:rPr>
                <w:rFonts w:cs="Calibri"/>
                <w:color w:val="000000"/>
                <w:szCs w:val="22"/>
              </w:rPr>
            </w:pPr>
            <w:r w:rsidRPr="0086165A">
              <w:rPr>
                <w:rFonts w:cs="Calibri"/>
                <w:color w:val="000000"/>
                <w:szCs w:val="22"/>
              </w:rPr>
              <w:t>11%</w:t>
            </w:r>
          </w:p>
        </w:tc>
        <w:tc>
          <w:tcPr>
            <w:tcW w:w="1380" w:type="dxa"/>
            <w:vAlign w:val="center"/>
          </w:tcPr>
          <w:p w14:paraId="31600813" w14:textId="77BAC9B5" w:rsidR="00DD38F0" w:rsidRPr="0086165A" w:rsidRDefault="00DD38F0" w:rsidP="00DD38F0">
            <w:pPr>
              <w:jc w:val="center"/>
              <w:rPr>
                <w:rFonts w:cs="Calibri"/>
                <w:color w:val="000000"/>
                <w:szCs w:val="22"/>
              </w:rPr>
            </w:pPr>
            <w:r w:rsidRPr="0086165A">
              <w:rPr>
                <w:rFonts w:cs="Calibri"/>
                <w:color w:val="000000"/>
                <w:szCs w:val="22"/>
              </w:rPr>
              <w:t>11%</w:t>
            </w:r>
          </w:p>
        </w:tc>
        <w:tc>
          <w:tcPr>
            <w:tcW w:w="1355" w:type="dxa"/>
            <w:vAlign w:val="center"/>
          </w:tcPr>
          <w:p w14:paraId="4C2289CF" w14:textId="4AAB30ED" w:rsidR="00DD38F0" w:rsidRPr="0086165A" w:rsidRDefault="00DD38F0" w:rsidP="00DD38F0">
            <w:pPr>
              <w:jc w:val="center"/>
              <w:rPr>
                <w:rFonts w:cs="Calibri"/>
                <w:color w:val="000000"/>
                <w:szCs w:val="22"/>
              </w:rPr>
            </w:pPr>
            <w:r>
              <w:rPr>
                <w:rFonts w:cs="Calibri"/>
                <w:color w:val="000000"/>
                <w:szCs w:val="22"/>
              </w:rPr>
              <w:t>15</w:t>
            </w:r>
            <w:r w:rsidRPr="0086165A">
              <w:rPr>
                <w:rFonts w:cs="Calibri"/>
                <w:color w:val="000000"/>
                <w:szCs w:val="22"/>
              </w:rPr>
              <w:t>%</w:t>
            </w:r>
          </w:p>
        </w:tc>
        <w:tc>
          <w:tcPr>
            <w:tcW w:w="1332" w:type="dxa"/>
            <w:vAlign w:val="center"/>
          </w:tcPr>
          <w:p w14:paraId="640D99EC" w14:textId="40844378" w:rsidR="00DD38F0" w:rsidRPr="0086165A" w:rsidRDefault="00DD38F0" w:rsidP="00DD38F0">
            <w:pPr>
              <w:jc w:val="center"/>
              <w:rPr>
                <w:rFonts w:cs="Calibri"/>
                <w:color w:val="000000"/>
                <w:szCs w:val="22"/>
              </w:rPr>
            </w:pPr>
            <w:r>
              <w:rPr>
                <w:rFonts w:cs="Calibri"/>
                <w:color w:val="000000"/>
                <w:szCs w:val="22"/>
              </w:rPr>
              <w:t>12</w:t>
            </w:r>
            <w:r w:rsidRPr="0086165A">
              <w:rPr>
                <w:rFonts w:cs="Calibri"/>
                <w:color w:val="000000"/>
                <w:szCs w:val="22"/>
              </w:rPr>
              <w:t>%</w:t>
            </w:r>
          </w:p>
        </w:tc>
      </w:tr>
      <w:tr w:rsidR="00DD38F0" w:rsidRPr="00666BAC" w14:paraId="5250B5D2" w14:textId="77777777" w:rsidTr="00223447">
        <w:trPr>
          <w:trHeight w:val="286"/>
        </w:trPr>
        <w:tc>
          <w:tcPr>
            <w:tcW w:w="2048" w:type="dxa"/>
            <w:vAlign w:val="bottom"/>
          </w:tcPr>
          <w:p w14:paraId="64F9E37C" w14:textId="77777777" w:rsidR="00DD38F0" w:rsidRPr="00666BAC" w:rsidRDefault="00DD38F0" w:rsidP="00DD38F0">
            <w:pPr>
              <w:rPr>
                <w:rFonts w:cs="Calibri"/>
                <w:b/>
                <w:color w:val="000000"/>
                <w:szCs w:val="22"/>
              </w:rPr>
            </w:pPr>
            <w:r w:rsidRPr="00666BAC">
              <w:rPr>
                <w:rFonts w:cs="Calibri"/>
                <w:b/>
                <w:color w:val="000000"/>
                <w:szCs w:val="22"/>
              </w:rPr>
              <w:t>Maternity</w:t>
            </w:r>
          </w:p>
        </w:tc>
        <w:tc>
          <w:tcPr>
            <w:tcW w:w="1392" w:type="dxa"/>
            <w:vAlign w:val="bottom"/>
          </w:tcPr>
          <w:p w14:paraId="6198F492" w14:textId="7BFEE6A4" w:rsidR="00DD38F0" w:rsidRPr="0086165A" w:rsidRDefault="00DD38F0" w:rsidP="00DD38F0">
            <w:pPr>
              <w:jc w:val="center"/>
              <w:rPr>
                <w:rFonts w:cs="Calibri"/>
                <w:color w:val="000000"/>
                <w:szCs w:val="22"/>
              </w:rPr>
            </w:pPr>
            <w:r w:rsidRPr="0086165A">
              <w:rPr>
                <w:rFonts w:cs="Calibri"/>
                <w:color w:val="000000"/>
                <w:szCs w:val="22"/>
              </w:rPr>
              <w:t>6%</w:t>
            </w:r>
          </w:p>
        </w:tc>
        <w:tc>
          <w:tcPr>
            <w:tcW w:w="1381" w:type="dxa"/>
          </w:tcPr>
          <w:p w14:paraId="43EB6DCA" w14:textId="305D29C9" w:rsidR="00DD38F0" w:rsidRPr="0086165A" w:rsidRDefault="00DD38F0" w:rsidP="00DD38F0">
            <w:pPr>
              <w:jc w:val="center"/>
              <w:rPr>
                <w:rFonts w:cs="Calibri"/>
                <w:color w:val="000000"/>
                <w:szCs w:val="22"/>
              </w:rPr>
            </w:pPr>
            <w:r w:rsidRPr="0086165A">
              <w:rPr>
                <w:rFonts w:cs="Calibri"/>
                <w:color w:val="000000"/>
                <w:szCs w:val="22"/>
              </w:rPr>
              <w:t>5%</w:t>
            </w:r>
          </w:p>
        </w:tc>
        <w:tc>
          <w:tcPr>
            <w:tcW w:w="1380" w:type="dxa"/>
          </w:tcPr>
          <w:p w14:paraId="39DFB5AD" w14:textId="32321087" w:rsidR="00DD38F0" w:rsidRPr="0086165A" w:rsidRDefault="00DD38F0" w:rsidP="00DD38F0">
            <w:pPr>
              <w:jc w:val="center"/>
              <w:rPr>
                <w:rFonts w:cs="Calibri"/>
                <w:color w:val="000000"/>
                <w:szCs w:val="22"/>
              </w:rPr>
            </w:pPr>
            <w:r w:rsidRPr="0086165A">
              <w:rPr>
                <w:rFonts w:cs="Calibri"/>
                <w:color w:val="000000"/>
                <w:szCs w:val="22"/>
              </w:rPr>
              <w:t>7%</w:t>
            </w:r>
          </w:p>
        </w:tc>
        <w:tc>
          <w:tcPr>
            <w:tcW w:w="1355" w:type="dxa"/>
          </w:tcPr>
          <w:p w14:paraId="564978C6" w14:textId="2A167FA5" w:rsidR="00DD38F0" w:rsidRPr="0086165A" w:rsidRDefault="00DD38F0" w:rsidP="00DD38F0">
            <w:pPr>
              <w:jc w:val="center"/>
              <w:rPr>
                <w:rFonts w:cs="Calibri"/>
                <w:color w:val="000000"/>
                <w:szCs w:val="22"/>
              </w:rPr>
            </w:pPr>
            <w:r>
              <w:rPr>
                <w:rFonts w:cs="Calibri"/>
                <w:color w:val="000000"/>
                <w:szCs w:val="22"/>
              </w:rPr>
              <w:t>5</w:t>
            </w:r>
            <w:r w:rsidRPr="0086165A">
              <w:rPr>
                <w:rFonts w:cs="Calibri"/>
                <w:color w:val="000000"/>
                <w:szCs w:val="22"/>
              </w:rPr>
              <w:t>%</w:t>
            </w:r>
          </w:p>
        </w:tc>
        <w:tc>
          <w:tcPr>
            <w:tcW w:w="1332" w:type="dxa"/>
          </w:tcPr>
          <w:p w14:paraId="5BAB3658" w14:textId="33FBF2FA" w:rsidR="00DD38F0" w:rsidRPr="0086165A" w:rsidRDefault="00DD38F0" w:rsidP="00DD38F0">
            <w:pPr>
              <w:jc w:val="center"/>
              <w:rPr>
                <w:rFonts w:cs="Calibri"/>
                <w:color w:val="000000"/>
                <w:szCs w:val="22"/>
              </w:rPr>
            </w:pPr>
            <w:r>
              <w:rPr>
                <w:rFonts w:cs="Calibri"/>
                <w:color w:val="000000"/>
                <w:szCs w:val="22"/>
              </w:rPr>
              <w:t>5</w:t>
            </w:r>
            <w:r w:rsidRPr="0086165A">
              <w:rPr>
                <w:rFonts w:cs="Calibri"/>
                <w:color w:val="000000"/>
                <w:szCs w:val="22"/>
              </w:rPr>
              <w:t>%</w:t>
            </w:r>
          </w:p>
        </w:tc>
      </w:tr>
    </w:tbl>
    <w:p w14:paraId="7D5C09AF" w14:textId="77777777" w:rsidR="00EB4A22" w:rsidRPr="00636882" w:rsidRDefault="00EB4A22" w:rsidP="00EB4A22">
      <w:pPr>
        <w:rPr>
          <w:lang w:val="en-AU" w:bidi="ar-SA"/>
        </w:rPr>
      </w:pPr>
    </w:p>
    <w:p w14:paraId="4EEC7AF4" w14:textId="77777777" w:rsidR="00EB4A22" w:rsidRDefault="00EB4A22" w:rsidP="00EB4A22">
      <w:pPr>
        <w:pStyle w:val="Heading2"/>
        <w:spacing w:before="600" w:after="240"/>
        <w:rPr>
          <w:sz w:val="36"/>
          <w:szCs w:val="36"/>
        </w:rPr>
      </w:pPr>
      <w:bookmarkStart w:id="55" w:name="_Toc404344431"/>
      <w:bookmarkStart w:id="56" w:name="_Toc506278070"/>
      <w:bookmarkEnd w:id="48"/>
      <w:bookmarkEnd w:id="49"/>
      <w:bookmarkEnd w:id="50"/>
      <w:bookmarkEnd w:id="51"/>
      <w:bookmarkEnd w:id="52"/>
      <w:bookmarkEnd w:id="53"/>
      <w:bookmarkEnd w:id="54"/>
      <w:r>
        <w:rPr>
          <w:sz w:val="36"/>
          <w:szCs w:val="36"/>
        </w:rPr>
        <w:br w:type="page"/>
      </w:r>
    </w:p>
    <w:p w14:paraId="6135D08F" w14:textId="3AB0EF1F" w:rsidR="00EB4A22" w:rsidRPr="00666BAC" w:rsidRDefault="00EB4A22" w:rsidP="00EB4A22">
      <w:pPr>
        <w:pStyle w:val="Heading2"/>
        <w:spacing w:before="600" w:after="240"/>
        <w:rPr>
          <w:sz w:val="36"/>
          <w:szCs w:val="36"/>
        </w:rPr>
      </w:pPr>
      <w:bookmarkStart w:id="57" w:name="_Toc71561656"/>
      <w:bookmarkStart w:id="58" w:name="_Toc90639022"/>
      <w:r>
        <w:rPr>
          <w:sz w:val="36"/>
          <w:szCs w:val="36"/>
        </w:rPr>
        <w:lastRenderedPageBreak/>
        <w:t>4</w:t>
      </w:r>
      <w:r w:rsidRPr="00666BAC">
        <w:rPr>
          <w:sz w:val="36"/>
          <w:szCs w:val="36"/>
        </w:rPr>
        <w:t>.</w:t>
      </w:r>
      <w:r w:rsidRPr="00666BAC">
        <w:rPr>
          <w:sz w:val="36"/>
          <w:szCs w:val="36"/>
        </w:rPr>
        <w:tab/>
        <w:t>What did people complain about?</w:t>
      </w:r>
      <w:bookmarkEnd w:id="55"/>
      <w:bookmarkEnd w:id="56"/>
      <w:bookmarkEnd w:id="57"/>
      <w:bookmarkEnd w:id="58"/>
      <w:r w:rsidRPr="00666BAC">
        <w:rPr>
          <w:sz w:val="36"/>
          <w:szCs w:val="36"/>
        </w:rPr>
        <w:t xml:space="preserve"> </w:t>
      </w:r>
    </w:p>
    <w:p w14:paraId="688EE9B2" w14:textId="77777777" w:rsidR="00EB4A22" w:rsidRPr="003D2C86" w:rsidRDefault="00EB4A22" w:rsidP="00932E72">
      <w:pPr>
        <w:pStyle w:val="Heading3"/>
      </w:pPr>
      <w:bookmarkStart w:id="59" w:name="_Toc404344432"/>
      <w:bookmarkStart w:id="60" w:name="_Toc506278071"/>
      <w:bookmarkStart w:id="61" w:name="_Toc71561657"/>
      <w:bookmarkStart w:id="62" w:name="_Toc90639023"/>
      <w:r>
        <w:t>4</w:t>
      </w:r>
      <w:r w:rsidRPr="00666BAC">
        <w:t>.1</w:t>
      </w:r>
      <w:r w:rsidRPr="00666BAC">
        <w:tab/>
      </w:r>
      <w:r>
        <w:t>Primary i</w:t>
      </w:r>
      <w:r w:rsidRPr="00666BAC">
        <w:t>ssues identified in complaints</w:t>
      </w:r>
      <w:bookmarkEnd w:id="59"/>
      <w:bookmarkEnd w:id="60"/>
      <w:bookmarkEnd w:id="61"/>
      <w:bookmarkEnd w:id="62"/>
      <w:r w:rsidRPr="00666BAC">
        <w:t xml:space="preserve"> </w:t>
      </w:r>
    </w:p>
    <w:p w14:paraId="4DA83325" w14:textId="541BD940" w:rsidR="00EB4A22" w:rsidRDefault="00EB4A22" w:rsidP="00EB4A22">
      <w:pPr>
        <w:spacing w:after="240"/>
      </w:pPr>
      <w:r>
        <w:t xml:space="preserve">For each complaint received by HDC, one primary complaint issue is identified. The primary issues identified in complaints received in </w:t>
      </w:r>
      <w:r w:rsidR="00075613">
        <w:rPr>
          <w:lang w:eastAsia="en-NZ" w:bidi="ar-SA"/>
        </w:rPr>
        <w:t>Jan–Jun 2021</w:t>
      </w:r>
      <w:r>
        <w:rPr>
          <w:lang w:eastAsia="en-NZ" w:bidi="ar-SA"/>
        </w:rPr>
        <w:t xml:space="preserve"> </w:t>
      </w:r>
      <w:r>
        <w:t xml:space="preserve">are listed below in Table 8. It should be noted that </w:t>
      </w:r>
      <w:r w:rsidRPr="00666BAC">
        <w:t>the issues included are as articul</w:t>
      </w:r>
      <w:r>
        <w:t>ated by the complainant to HDC.</w:t>
      </w:r>
      <w:r w:rsidRPr="00666BAC">
        <w:t xml:space="preserve"> While not all issues raised in complaints are subsequently factually and/or clinically subst</w:t>
      </w:r>
      <w:r w:rsidR="00BF7B25">
        <w:t>antiated, they</w:t>
      </w:r>
      <w:r w:rsidRPr="00666BAC">
        <w:t xml:space="preserve"> pro</w:t>
      </w:r>
      <w:r w:rsidR="00BF7B25">
        <w:t>vide a valuable insight into consumers</w:t>
      </w:r>
      <w:r w:rsidR="00863A57">
        <w:t>’</w:t>
      </w:r>
      <w:r w:rsidR="00BF7B25">
        <w:t xml:space="preserve"> experience of</w:t>
      </w:r>
      <w:r w:rsidRPr="00666BAC">
        <w:t xml:space="preserve"> services provided and the issues they care about most</w:t>
      </w:r>
      <w:r>
        <w:t>.</w:t>
      </w:r>
    </w:p>
    <w:p w14:paraId="48BEF858" w14:textId="77777777" w:rsidR="00EB4A22" w:rsidRDefault="00EB4A22" w:rsidP="004D22EA">
      <w:pPr>
        <w:spacing w:after="120"/>
      </w:pPr>
      <w:r>
        <w:t xml:space="preserve">The most common primary issue categories were: </w:t>
      </w:r>
    </w:p>
    <w:p w14:paraId="742DD1CD" w14:textId="002C3AA7" w:rsidR="00EB4A22" w:rsidRDefault="00075613" w:rsidP="004B1404">
      <w:pPr>
        <w:pStyle w:val="ListParagraph"/>
        <w:numPr>
          <w:ilvl w:val="0"/>
          <w:numId w:val="3"/>
        </w:numPr>
        <w:ind w:left="284" w:hanging="284"/>
      </w:pPr>
      <w:r>
        <w:t>Care/treatment (48</w:t>
      </w:r>
      <w:r w:rsidR="00EB4A22">
        <w:t xml:space="preserve">%) </w:t>
      </w:r>
    </w:p>
    <w:p w14:paraId="1CD689A7" w14:textId="77777777" w:rsidR="00EB4A22" w:rsidRDefault="00EB4A22" w:rsidP="004B1404">
      <w:pPr>
        <w:pStyle w:val="ListParagraph"/>
        <w:numPr>
          <w:ilvl w:val="0"/>
          <w:numId w:val="3"/>
        </w:numPr>
        <w:ind w:left="284" w:hanging="284"/>
      </w:pPr>
      <w:r>
        <w:t xml:space="preserve">Access/funding (16%) </w:t>
      </w:r>
    </w:p>
    <w:p w14:paraId="6D6B9FF6" w14:textId="20CCAE08" w:rsidR="00EB4A22" w:rsidRDefault="00075613" w:rsidP="004B1404">
      <w:pPr>
        <w:pStyle w:val="ListParagraph"/>
        <w:numPr>
          <w:ilvl w:val="0"/>
          <w:numId w:val="3"/>
        </w:numPr>
        <w:ind w:left="284" w:hanging="284"/>
      </w:pPr>
      <w:r>
        <w:t>Consent/information (11</w:t>
      </w:r>
      <w:r w:rsidR="00EB4A22">
        <w:t>%)</w:t>
      </w:r>
    </w:p>
    <w:p w14:paraId="54E48778" w14:textId="77777777" w:rsidR="00EB4A22" w:rsidRDefault="00EB4A22" w:rsidP="004B1404">
      <w:pPr>
        <w:pStyle w:val="ListParagraph"/>
        <w:numPr>
          <w:ilvl w:val="0"/>
          <w:numId w:val="3"/>
        </w:numPr>
        <w:spacing w:after="240"/>
        <w:ind w:left="284" w:hanging="284"/>
      </w:pPr>
      <w:r>
        <w:t>Communication (7%)</w:t>
      </w:r>
    </w:p>
    <w:p w14:paraId="5E2DDE09" w14:textId="77777777" w:rsidR="00EB4A22" w:rsidRDefault="00EB4A22" w:rsidP="004D22EA">
      <w:pPr>
        <w:spacing w:after="120"/>
      </w:pPr>
      <w:r>
        <w:t xml:space="preserve">The most common specific primary issues complained about were: </w:t>
      </w:r>
    </w:p>
    <w:p w14:paraId="7B8F7A86" w14:textId="4FCD336E" w:rsidR="00EB4A22" w:rsidRDefault="00EB4A22" w:rsidP="001E3CF1">
      <w:pPr>
        <w:pStyle w:val="ListParagraph"/>
        <w:numPr>
          <w:ilvl w:val="0"/>
          <w:numId w:val="4"/>
        </w:numPr>
        <w:tabs>
          <w:tab w:val="left" w:pos="284"/>
        </w:tabs>
        <w:ind w:left="284" w:hanging="284"/>
      </w:pPr>
      <w:r w:rsidRPr="00EB09C2">
        <w:t xml:space="preserve">Missed/incorrect/delayed diagnosis </w:t>
      </w:r>
      <w:r w:rsidR="00075613">
        <w:t>(11</w:t>
      </w:r>
      <w:r>
        <w:t>%)</w:t>
      </w:r>
    </w:p>
    <w:p w14:paraId="64101AA3" w14:textId="43AE0132" w:rsidR="00075613" w:rsidRDefault="00075613" w:rsidP="00075613">
      <w:pPr>
        <w:pStyle w:val="ListParagraph"/>
        <w:numPr>
          <w:ilvl w:val="0"/>
          <w:numId w:val="4"/>
        </w:numPr>
        <w:tabs>
          <w:tab w:val="left" w:pos="284"/>
        </w:tabs>
        <w:ind w:left="284" w:hanging="284"/>
      </w:pPr>
      <w:r w:rsidRPr="00EB09C2">
        <w:t>Unexpected treatment outcome</w:t>
      </w:r>
      <w:r>
        <w:t xml:space="preserve"> (8%)</w:t>
      </w:r>
    </w:p>
    <w:p w14:paraId="4A5C4F47" w14:textId="7E357680" w:rsidR="00EB4A22" w:rsidRDefault="00EB4A22" w:rsidP="001E3CF1">
      <w:pPr>
        <w:pStyle w:val="ListParagraph"/>
        <w:numPr>
          <w:ilvl w:val="0"/>
          <w:numId w:val="4"/>
        </w:numPr>
        <w:tabs>
          <w:tab w:val="left" w:pos="284"/>
        </w:tabs>
        <w:ind w:left="284" w:hanging="284"/>
      </w:pPr>
      <w:r>
        <w:t>Lack of access to services (8%)</w:t>
      </w:r>
    </w:p>
    <w:p w14:paraId="6C4FE2C2" w14:textId="0F73323F" w:rsidR="00EB4A22" w:rsidRDefault="00EB4A22" w:rsidP="001E3CF1">
      <w:pPr>
        <w:pStyle w:val="ListParagraph"/>
        <w:numPr>
          <w:ilvl w:val="0"/>
          <w:numId w:val="4"/>
        </w:numPr>
        <w:tabs>
          <w:tab w:val="left" w:pos="284"/>
        </w:tabs>
        <w:ind w:left="284" w:hanging="284"/>
      </w:pPr>
      <w:r w:rsidRPr="00EB09C2">
        <w:t>Waiting list/prioritisation issue</w:t>
      </w:r>
      <w:r w:rsidR="00075613">
        <w:t xml:space="preserve"> (6</w:t>
      </w:r>
      <w:r>
        <w:t>%)</w:t>
      </w:r>
    </w:p>
    <w:p w14:paraId="794CF7A6" w14:textId="0F1C567D" w:rsidR="00075613" w:rsidRDefault="00EB4A22" w:rsidP="00075613">
      <w:pPr>
        <w:pStyle w:val="ListParagraph"/>
        <w:numPr>
          <w:ilvl w:val="0"/>
          <w:numId w:val="4"/>
        </w:numPr>
        <w:tabs>
          <w:tab w:val="left" w:pos="284"/>
        </w:tabs>
        <w:ind w:left="284" w:hanging="284"/>
      </w:pPr>
      <w:r w:rsidRPr="007817CA">
        <w:t>Inadequate/inappropriate treatment</w:t>
      </w:r>
      <w:r>
        <w:t xml:space="preserve"> (6%)</w:t>
      </w:r>
    </w:p>
    <w:p w14:paraId="4D2EAFF5" w14:textId="1C929555" w:rsidR="00075613" w:rsidRDefault="00075613" w:rsidP="00075613">
      <w:pPr>
        <w:tabs>
          <w:tab w:val="left" w:pos="284"/>
        </w:tabs>
      </w:pPr>
    </w:p>
    <w:p w14:paraId="3E77A6B6" w14:textId="4B6A42B8" w:rsidR="00075613" w:rsidRDefault="00075613" w:rsidP="00075613">
      <w:pPr>
        <w:tabs>
          <w:tab w:val="left" w:pos="284"/>
        </w:tabs>
      </w:pPr>
      <w:r>
        <w:t>This is very similar to what was seen in the previous six</w:t>
      </w:r>
      <w:r w:rsidR="00863A57">
        <w:t>-</w:t>
      </w:r>
      <w:r>
        <w:t>month period.</w:t>
      </w:r>
    </w:p>
    <w:p w14:paraId="0998AD8E" w14:textId="6CAA9EF6" w:rsidR="00EB4A22" w:rsidRDefault="00EB4A22" w:rsidP="00075613">
      <w:pPr>
        <w:tabs>
          <w:tab w:val="left" w:pos="426"/>
        </w:tabs>
      </w:pPr>
    </w:p>
    <w:p w14:paraId="68A123B9" w14:textId="4806D0CF" w:rsidR="001D4D95" w:rsidRDefault="001D4D95" w:rsidP="00075613">
      <w:pPr>
        <w:tabs>
          <w:tab w:val="left" w:pos="426"/>
        </w:tabs>
      </w:pPr>
    </w:p>
    <w:p w14:paraId="4885697E" w14:textId="51FD87AC" w:rsidR="001D4D95" w:rsidRDefault="001D4D95" w:rsidP="00075613">
      <w:pPr>
        <w:tabs>
          <w:tab w:val="left" w:pos="426"/>
        </w:tabs>
      </w:pPr>
    </w:p>
    <w:p w14:paraId="064AA868" w14:textId="61830B80" w:rsidR="001D4D95" w:rsidRDefault="001D4D95" w:rsidP="00075613">
      <w:pPr>
        <w:tabs>
          <w:tab w:val="left" w:pos="426"/>
        </w:tabs>
      </w:pPr>
    </w:p>
    <w:p w14:paraId="7B5D08D6" w14:textId="0C27D391" w:rsidR="001D4D95" w:rsidRDefault="001D4D95" w:rsidP="00075613">
      <w:pPr>
        <w:tabs>
          <w:tab w:val="left" w:pos="426"/>
        </w:tabs>
      </w:pPr>
    </w:p>
    <w:p w14:paraId="6EEC29FB" w14:textId="7BF00AFC" w:rsidR="001D4D95" w:rsidRDefault="001D4D95" w:rsidP="00075613">
      <w:pPr>
        <w:tabs>
          <w:tab w:val="left" w:pos="426"/>
        </w:tabs>
      </w:pPr>
    </w:p>
    <w:p w14:paraId="42E24DB3" w14:textId="1E320EDE" w:rsidR="001D4D95" w:rsidRDefault="001D4D95" w:rsidP="00075613">
      <w:pPr>
        <w:tabs>
          <w:tab w:val="left" w:pos="426"/>
        </w:tabs>
      </w:pPr>
    </w:p>
    <w:p w14:paraId="017123A2" w14:textId="6F1263E9" w:rsidR="001D4D95" w:rsidRDefault="001D4D95" w:rsidP="00075613">
      <w:pPr>
        <w:tabs>
          <w:tab w:val="left" w:pos="426"/>
        </w:tabs>
      </w:pPr>
    </w:p>
    <w:p w14:paraId="2F8FD76F" w14:textId="21801B9E" w:rsidR="001D4D95" w:rsidRDefault="001D4D95" w:rsidP="00075613">
      <w:pPr>
        <w:tabs>
          <w:tab w:val="left" w:pos="426"/>
        </w:tabs>
      </w:pPr>
    </w:p>
    <w:p w14:paraId="4AB0338C" w14:textId="59A93670" w:rsidR="001D4D95" w:rsidRDefault="001D4D95" w:rsidP="00075613">
      <w:pPr>
        <w:tabs>
          <w:tab w:val="left" w:pos="426"/>
        </w:tabs>
      </w:pPr>
    </w:p>
    <w:p w14:paraId="4B9A544F" w14:textId="31D33784" w:rsidR="001D4D95" w:rsidRDefault="001D4D95" w:rsidP="00075613">
      <w:pPr>
        <w:tabs>
          <w:tab w:val="left" w:pos="426"/>
        </w:tabs>
      </w:pPr>
    </w:p>
    <w:p w14:paraId="0F057E26" w14:textId="564C4C5A" w:rsidR="001D4D95" w:rsidRDefault="001D4D95" w:rsidP="00075613">
      <w:pPr>
        <w:tabs>
          <w:tab w:val="left" w:pos="426"/>
        </w:tabs>
      </w:pPr>
    </w:p>
    <w:p w14:paraId="481A08A3" w14:textId="3B73333D" w:rsidR="001D4D95" w:rsidRDefault="001D4D95" w:rsidP="00075613">
      <w:pPr>
        <w:tabs>
          <w:tab w:val="left" w:pos="426"/>
        </w:tabs>
      </w:pPr>
    </w:p>
    <w:p w14:paraId="4D817544" w14:textId="12873DD6" w:rsidR="001D4D95" w:rsidRDefault="001D4D95" w:rsidP="00075613">
      <w:pPr>
        <w:tabs>
          <w:tab w:val="left" w:pos="426"/>
        </w:tabs>
      </w:pPr>
    </w:p>
    <w:p w14:paraId="695BFBB4" w14:textId="3E96B3D5" w:rsidR="001D4D95" w:rsidRDefault="001D4D95" w:rsidP="00075613">
      <w:pPr>
        <w:tabs>
          <w:tab w:val="left" w:pos="426"/>
        </w:tabs>
      </w:pPr>
    </w:p>
    <w:p w14:paraId="367DCAA5" w14:textId="4777A7D0" w:rsidR="001D4D95" w:rsidRDefault="001D4D95" w:rsidP="00075613">
      <w:pPr>
        <w:tabs>
          <w:tab w:val="left" w:pos="426"/>
        </w:tabs>
      </w:pPr>
    </w:p>
    <w:p w14:paraId="546DB678" w14:textId="101F81F0" w:rsidR="001D4D95" w:rsidRDefault="001D4D95" w:rsidP="00075613">
      <w:pPr>
        <w:tabs>
          <w:tab w:val="left" w:pos="426"/>
        </w:tabs>
      </w:pPr>
    </w:p>
    <w:p w14:paraId="23C8A09E" w14:textId="4E364D1A" w:rsidR="001D4D95" w:rsidRDefault="001D4D95" w:rsidP="00075613">
      <w:pPr>
        <w:tabs>
          <w:tab w:val="left" w:pos="426"/>
        </w:tabs>
      </w:pPr>
    </w:p>
    <w:p w14:paraId="1438C52D" w14:textId="2C87207F" w:rsidR="001D4D95" w:rsidRDefault="001D4D95" w:rsidP="00075613">
      <w:pPr>
        <w:tabs>
          <w:tab w:val="left" w:pos="426"/>
        </w:tabs>
      </w:pPr>
    </w:p>
    <w:p w14:paraId="56F67217" w14:textId="44427949" w:rsidR="001D4D95" w:rsidRDefault="001D4D95" w:rsidP="00075613">
      <w:pPr>
        <w:tabs>
          <w:tab w:val="left" w:pos="426"/>
        </w:tabs>
      </w:pPr>
    </w:p>
    <w:p w14:paraId="4533B911" w14:textId="080C22EE" w:rsidR="001D4D95" w:rsidRDefault="001D4D95" w:rsidP="00075613">
      <w:pPr>
        <w:tabs>
          <w:tab w:val="left" w:pos="426"/>
        </w:tabs>
      </w:pPr>
    </w:p>
    <w:p w14:paraId="54A4BB88" w14:textId="393B1817" w:rsidR="001D4D95" w:rsidRDefault="001D4D95" w:rsidP="00075613">
      <w:pPr>
        <w:tabs>
          <w:tab w:val="left" w:pos="426"/>
        </w:tabs>
      </w:pPr>
    </w:p>
    <w:p w14:paraId="2B17ED45" w14:textId="676C95EC" w:rsidR="001D4D95" w:rsidRDefault="001D4D95" w:rsidP="00075613">
      <w:pPr>
        <w:tabs>
          <w:tab w:val="left" w:pos="426"/>
        </w:tabs>
      </w:pPr>
    </w:p>
    <w:p w14:paraId="4BC061DD" w14:textId="1C2490EF" w:rsidR="001D4D95" w:rsidRDefault="001D4D95" w:rsidP="00075613">
      <w:pPr>
        <w:tabs>
          <w:tab w:val="left" w:pos="426"/>
        </w:tabs>
      </w:pPr>
    </w:p>
    <w:p w14:paraId="41D8CFCE" w14:textId="2D57B7A0" w:rsidR="001D4D95" w:rsidRDefault="001D4D95" w:rsidP="00075613">
      <w:pPr>
        <w:tabs>
          <w:tab w:val="left" w:pos="426"/>
        </w:tabs>
      </w:pPr>
    </w:p>
    <w:p w14:paraId="192C527D" w14:textId="77777777" w:rsidR="001D4D95" w:rsidRDefault="001D4D95" w:rsidP="00075613">
      <w:pPr>
        <w:tabs>
          <w:tab w:val="left" w:pos="426"/>
        </w:tabs>
      </w:pPr>
    </w:p>
    <w:p w14:paraId="3594C64B" w14:textId="77777777" w:rsidR="00EB4A22" w:rsidRDefault="00EB4A22" w:rsidP="00EB4A22">
      <w:pPr>
        <w:spacing w:before="240" w:after="120"/>
        <w:rPr>
          <w:b/>
        </w:rPr>
      </w:pPr>
      <w:r>
        <w:rPr>
          <w:b/>
        </w:rPr>
        <w:lastRenderedPageBreak/>
        <w:t xml:space="preserve">Table 8. </w:t>
      </w:r>
      <w:r>
        <w:t>Primary issues complained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EB4A22" w14:paraId="3CC2F804" w14:textId="77777777" w:rsidTr="00B12430">
        <w:trPr>
          <w:tblHeader/>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2787F474" w14:textId="77777777" w:rsidR="00EB4A22" w:rsidRDefault="00EB4A22" w:rsidP="00B12430">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shd w:val="clear" w:color="auto" w:fill="C00000"/>
            <w:hideMark/>
          </w:tcPr>
          <w:p w14:paraId="25B9CB60" w14:textId="77777777" w:rsidR="00EB4A22" w:rsidRDefault="00EB4A22" w:rsidP="00B12430">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shd w:val="clear" w:color="auto" w:fill="C00000"/>
            <w:hideMark/>
          </w:tcPr>
          <w:p w14:paraId="63BBF56B" w14:textId="77777777" w:rsidR="00EB4A22" w:rsidRDefault="00EB4A22" w:rsidP="00B12430">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EB4A22" w14:paraId="0B126D49"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EB18BBE" w14:textId="77777777" w:rsidR="00EB4A22" w:rsidRDefault="00EB4A22" w:rsidP="00B12430">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ACD25" w14:textId="5E4A72DE" w:rsidR="00EB4A22" w:rsidRDefault="00950AFA" w:rsidP="00B12430">
            <w:pPr>
              <w:keepNext/>
              <w:keepLines/>
              <w:jc w:val="center"/>
              <w:rPr>
                <w:rFonts w:ascii="Calibri" w:hAnsi="Calibri" w:cs="Calibri"/>
                <w:b/>
                <w:i/>
                <w:color w:val="000000"/>
                <w:szCs w:val="22"/>
              </w:rPr>
            </w:pPr>
            <w:r>
              <w:rPr>
                <w:rFonts w:ascii="Calibri" w:hAnsi="Calibri" w:cs="Calibri"/>
                <w:b/>
                <w:i/>
                <w:color w:val="000000"/>
                <w:szCs w:val="22"/>
              </w:rPr>
              <w:t>83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CC51A" w14:textId="27AB67C2" w:rsidR="00EB4A22" w:rsidRDefault="001472D9" w:rsidP="00B12430">
            <w:pPr>
              <w:keepNext/>
              <w:keepLines/>
              <w:jc w:val="center"/>
              <w:rPr>
                <w:rFonts w:ascii="Calibri" w:hAnsi="Calibri" w:cs="Calibri"/>
                <w:b/>
                <w:i/>
                <w:color w:val="000000"/>
                <w:szCs w:val="22"/>
              </w:rPr>
            </w:pPr>
            <w:r>
              <w:rPr>
                <w:rFonts w:ascii="Calibri" w:hAnsi="Calibri" w:cs="Calibri"/>
                <w:b/>
                <w:i/>
                <w:color w:val="000000"/>
                <w:szCs w:val="22"/>
              </w:rPr>
              <w:t>15.6%</w:t>
            </w:r>
          </w:p>
        </w:tc>
      </w:tr>
      <w:tr w:rsidR="00EB4A22" w14:paraId="19F36D81"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CF7404A" w14:textId="77777777" w:rsidR="00EB4A22" w:rsidRDefault="00EB4A22" w:rsidP="00B12430">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14:paraId="146A4E9F" w14:textId="7B78CC34" w:rsidR="00EB4A22" w:rsidRDefault="00223447" w:rsidP="00B12430">
            <w:pPr>
              <w:keepNext/>
              <w:keepLines/>
              <w:jc w:val="center"/>
              <w:rPr>
                <w:rFonts w:ascii="Calibri" w:hAnsi="Calibri" w:cs="Calibri"/>
                <w:color w:val="000000"/>
                <w:szCs w:val="22"/>
              </w:rPr>
            </w:pPr>
            <w:r>
              <w:rPr>
                <w:rFonts w:ascii="Calibri" w:hAnsi="Calibri" w:cs="Calibri"/>
                <w:color w:val="000000"/>
                <w:szCs w:val="22"/>
              </w:rPr>
              <w:t>41</w:t>
            </w:r>
          </w:p>
        </w:tc>
        <w:tc>
          <w:tcPr>
            <w:tcW w:w="1418" w:type="dxa"/>
            <w:tcBorders>
              <w:top w:val="single" w:sz="4" w:space="0" w:color="auto"/>
              <w:left w:val="single" w:sz="4" w:space="0" w:color="auto"/>
              <w:bottom w:val="single" w:sz="4" w:space="0" w:color="auto"/>
              <w:right w:val="single" w:sz="4" w:space="0" w:color="auto"/>
            </w:tcBorders>
            <w:vAlign w:val="center"/>
          </w:tcPr>
          <w:p w14:paraId="4D56E747" w14:textId="51DB60DA" w:rsidR="00EB4A22" w:rsidRDefault="001472D9" w:rsidP="00B12430">
            <w:pPr>
              <w:keepNext/>
              <w:keepLines/>
              <w:jc w:val="center"/>
              <w:rPr>
                <w:rFonts w:ascii="Calibri" w:hAnsi="Calibri" w:cs="Calibri"/>
                <w:color w:val="000000"/>
                <w:szCs w:val="22"/>
              </w:rPr>
            </w:pPr>
            <w:r>
              <w:rPr>
                <w:rFonts w:ascii="Calibri" w:hAnsi="Calibri" w:cs="Calibri"/>
                <w:color w:val="000000"/>
                <w:szCs w:val="22"/>
              </w:rPr>
              <w:t>7.7%</w:t>
            </w:r>
          </w:p>
        </w:tc>
      </w:tr>
      <w:tr w:rsidR="00EB4A22" w14:paraId="033C97F2"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2ABCB81E" w14:textId="77777777" w:rsidR="00EB4A22" w:rsidRDefault="00EB4A22" w:rsidP="00B12430">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14:paraId="24F030F7" w14:textId="5882EE5D" w:rsidR="00EB4A22" w:rsidRDefault="00223447" w:rsidP="00B12430">
            <w:pPr>
              <w:keepNext/>
              <w:keepLines/>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2D9333F2" w14:textId="2C72E86E" w:rsidR="00EB4A22" w:rsidRDefault="001472D9" w:rsidP="00B12430">
            <w:pPr>
              <w:keepNext/>
              <w:keepLines/>
              <w:jc w:val="center"/>
              <w:rPr>
                <w:rFonts w:ascii="Calibri" w:hAnsi="Calibri" w:cs="Calibri"/>
                <w:color w:val="000000"/>
                <w:szCs w:val="22"/>
              </w:rPr>
            </w:pPr>
            <w:r>
              <w:rPr>
                <w:rFonts w:ascii="Calibri" w:hAnsi="Calibri" w:cs="Calibri"/>
                <w:color w:val="000000"/>
                <w:szCs w:val="22"/>
              </w:rPr>
              <w:t>1.5%</w:t>
            </w:r>
          </w:p>
        </w:tc>
      </w:tr>
      <w:tr w:rsidR="00EB4A22" w14:paraId="51C31376"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469DC7E6" w14:textId="77777777" w:rsidR="00EB4A22" w:rsidRDefault="00EB4A22" w:rsidP="00B12430">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14:paraId="2E0AAA1C" w14:textId="0A577199" w:rsidR="00EB4A22" w:rsidRDefault="00223447" w:rsidP="00B12430">
            <w:pPr>
              <w:keepNext/>
              <w:keepLines/>
              <w:jc w:val="center"/>
              <w:rPr>
                <w:rFonts w:ascii="Calibri" w:hAnsi="Calibri" w:cs="Calibri"/>
                <w:color w:val="000000"/>
                <w:szCs w:val="22"/>
              </w:rPr>
            </w:pPr>
            <w:r>
              <w:rPr>
                <w:rFonts w:ascii="Calibri" w:hAnsi="Calibri" w:cs="Calibri"/>
                <w:color w:val="000000"/>
                <w:szCs w:val="22"/>
              </w:rPr>
              <w:t>34</w:t>
            </w:r>
          </w:p>
        </w:tc>
        <w:tc>
          <w:tcPr>
            <w:tcW w:w="1418" w:type="dxa"/>
            <w:tcBorders>
              <w:top w:val="single" w:sz="4" w:space="0" w:color="auto"/>
              <w:left w:val="single" w:sz="4" w:space="0" w:color="auto"/>
              <w:bottom w:val="single" w:sz="4" w:space="0" w:color="auto"/>
              <w:right w:val="single" w:sz="4" w:space="0" w:color="auto"/>
            </w:tcBorders>
            <w:vAlign w:val="center"/>
          </w:tcPr>
          <w:p w14:paraId="6A2CBFB3" w14:textId="71917CD5" w:rsidR="00EB4A22" w:rsidRDefault="001472D9" w:rsidP="00B12430">
            <w:pPr>
              <w:keepNext/>
              <w:keepLines/>
              <w:jc w:val="center"/>
              <w:rPr>
                <w:rFonts w:ascii="Calibri" w:hAnsi="Calibri" w:cs="Calibri"/>
                <w:color w:val="000000"/>
                <w:szCs w:val="22"/>
              </w:rPr>
            </w:pPr>
            <w:r>
              <w:rPr>
                <w:rFonts w:ascii="Calibri" w:hAnsi="Calibri" w:cs="Calibri"/>
                <w:color w:val="000000"/>
                <w:szCs w:val="22"/>
              </w:rPr>
              <w:t>6.4%</w:t>
            </w:r>
          </w:p>
        </w:tc>
      </w:tr>
      <w:tr w:rsidR="00EB4A22" w14:paraId="54DEF6A7"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CE831D" w14:textId="77777777" w:rsidR="00EB4A22" w:rsidRDefault="00EB4A22" w:rsidP="00B12430">
            <w:pPr>
              <w:keepNext/>
              <w:keepLines/>
              <w:tabs>
                <w:tab w:val="left" w:pos="176"/>
              </w:tabs>
              <w:jc w:val="left"/>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8C2EE" w14:textId="6EB3762D" w:rsidR="00EB4A22" w:rsidRDefault="00223447" w:rsidP="00B12430">
            <w:pPr>
              <w:keepNext/>
              <w:keepLines/>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B04AB" w14:textId="1B6F40CA" w:rsidR="00EB4A22" w:rsidRDefault="001472D9" w:rsidP="00B12430">
            <w:pPr>
              <w:keepNext/>
              <w:keepLines/>
              <w:jc w:val="center"/>
              <w:rPr>
                <w:rFonts w:ascii="Calibri" w:hAnsi="Calibri" w:cs="Calibri"/>
                <w:b/>
                <w:i/>
                <w:color w:val="000000"/>
                <w:szCs w:val="22"/>
              </w:rPr>
            </w:pPr>
            <w:r>
              <w:rPr>
                <w:rFonts w:ascii="Calibri" w:hAnsi="Calibri" w:cs="Calibri"/>
                <w:b/>
                <w:i/>
                <w:color w:val="000000"/>
                <w:szCs w:val="22"/>
              </w:rPr>
              <w:t>0.4%</w:t>
            </w:r>
          </w:p>
        </w:tc>
      </w:tr>
      <w:tr w:rsidR="00EB4A22" w14:paraId="6A00758A"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A9391E" w14:textId="77777777" w:rsidR="00EB4A22" w:rsidRDefault="00EB4A22" w:rsidP="00B12430">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0DC35" w14:textId="3C27F4C8" w:rsidR="00EB4A22" w:rsidRDefault="00950AFA" w:rsidP="00B12430">
            <w:pPr>
              <w:keepNext/>
              <w:keepLines/>
              <w:jc w:val="center"/>
              <w:rPr>
                <w:rFonts w:ascii="Calibri" w:hAnsi="Calibri" w:cs="Calibri"/>
                <w:b/>
                <w:i/>
                <w:color w:val="000000"/>
                <w:szCs w:val="22"/>
              </w:rPr>
            </w:pPr>
            <w:r>
              <w:rPr>
                <w:rFonts w:ascii="Calibri" w:hAnsi="Calibri" w:cs="Calibri"/>
                <w:b/>
                <w:i/>
                <w:color w:val="000000"/>
                <w:szCs w:val="22"/>
              </w:rPr>
              <w:t>257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CD2D1" w14:textId="4CFB44F3" w:rsidR="00EB4A22" w:rsidRDefault="001472D9" w:rsidP="00B12430">
            <w:pPr>
              <w:keepNext/>
              <w:keepLines/>
              <w:jc w:val="center"/>
              <w:rPr>
                <w:rFonts w:ascii="Calibri" w:hAnsi="Calibri" w:cs="Calibri"/>
                <w:b/>
                <w:i/>
                <w:color w:val="000000"/>
                <w:szCs w:val="22"/>
              </w:rPr>
            </w:pPr>
            <w:r>
              <w:rPr>
                <w:rFonts w:ascii="Calibri" w:hAnsi="Calibri" w:cs="Calibri"/>
                <w:b/>
                <w:i/>
                <w:color w:val="000000"/>
                <w:szCs w:val="22"/>
              </w:rPr>
              <w:t>48.3%</w:t>
            </w:r>
          </w:p>
        </w:tc>
      </w:tr>
      <w:tr w:rsidR="00EB4A22" w14:paraId="40B3C99B"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2EAA1244" w14:textId="77777777" w:rsidR="00EB4A22" w:rsidRDefault="00EB4A22" w:rsidP="00B12430">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14:paraId="4D8B7A18" w14:textId="1B0DB057" w:rsidR="00EB4A22" w:rsidRDefault="00223447" w:rsidP="00B12430">
            <w:pPr>
              <w:keepNext/>
              <w:keepLines/>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7AD7B7D1" w14:textId="08142435" w:rsidR="00EB4A22" w:rsidRDefault="001472D9" w:rsidP="00B12430">
            <w:pPr>
              <w:keepNext/>
              <w:keepLines/>
              <w:jc w:val="center"/>
              <w:rPr>
                <w:rFonts w:ascii="Calibri" w:hAnsi="Calibri" w:cs="Calibri"/>
                <w:color w:val="000000"/>
                <w:szCs w:val="22"/>
              </w:rPr>
            </w:pPr>
            <w:r>
              <w:rPr>
                <w:rFonts w:ascii="Calibri" w:hAnsi="Calibri" w:cs="Calibri"/>
                <w:color w:val="000000"/>
                <w:szCs w:val="22"/>
              </w:rPr>
              <w:t>3.8%</w:t>
            </w:r>
          </w:p>
        </w:tc>
      </w:tr>
      <w:tr w:rsidR="00EB4A22" w14:paraId="5FBF834B" w14:textId="77777777" w:rsidTr="00B12430">
        <w:tc>
          <w:tcPr>
            <w:tcW w:w="5670" w:type="dxa"/>
            <w:tcBorders>
              <w:top w:val="single" w:sz="4" w:space="0" w:color="auto"/>
              <w:left w:val="single" w:sz="4" w:space="0" w:color="auto"/>
              <w:bottom w:val="single" w:sz="4" w:space="0" w:color="auto"/>
              <w:right w:val="single" w:sz="4" w:space="0" w:color="auto"/>
            </w:tcBorders>
            <w:vAlign w:val="bottom"/>
          </w:tcPr>
          <w:p w14:paraId="4C4A22BD" w14:textId="77777777" w:rsidR="00EB4A22" w:rsidRDefault="00EB4A22" w:rsidP="00B12430">
            <w:pPr>
              <w:tabs>
                <w:tab w:val="left" w:pos="204"/>
              </w:tabs>
              <w:ind w:firstLine="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14:paraId="532387EC" w14:textId="34B2C670" w:rsidR="00EB4A22" w:rsidRDefault="00223447" w:rsidP="00B12430">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15224BB8" w14:textId="4F3227DD" w:rsidR="00EB4A22" w:rsidRDefault="001472D9" w:rsidP="00B12430">
            <w:pPr>
              <w:jc w:val="center"/>
              <w:rPr>
                <w:rFonts w:ascii="Calibri" w:hAnsi="Calibri" w:cs="Calibri"/>
                <w:color w:val="000000"/>
                <w:szCs w:val="22"/>
              </w:rPr>
            </w:pPr>
            <w:r>
              <w:rPr>
                <w:rFonts w:ascii="Calibri" w:hAnsi="Calibri" w:cs="Calibri"/>
                <w:color w:val="000000"/>
                <w:szCs w:val="22"/>
              </w:rPr>
              <w:t>0.4%</w:t>
            </w:r>
          </w:p>
        </w:tc>
      </w:tr>
      <w:tr w:rsidR="00EB4A22" w14:paraId="2A9D6DAF"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511CCFF4" w14:textId="77777777" w:rsidR="00EB4A22" w:rsidRDefault="00EB4A22" w:rsidP="00B12430">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14:paraId="59629935" w14:textId="4C30FD2D" w:rsidR="00EB4A22" w:rsidRDefault="00223447" w:rsidP="00B12430">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369C70BA" w14:textId="78814B95" w:rsidR="00EB4A22" w:rsidRDefault="001472D9" w:rsidP="00B12430">
            <w:pPr>
              <w:jc w:val="center"/>
              <w:rPr>
                <w:rFonts w:ascii="Calibri" w:hAnsi="Calibri" w:cs="Calibri"/>
                <w:color w:val="000000"/>
                <w:szCs w:val="22"/>
              </w:rPr>
            </w:pPr>
            <w:r>
              <w:rPr>
                <w:rFonts w:ascii="Calibri" w:hAnsi="Calibri" w:cs="Calibri"/>
                <w:color w:val="000000"/>
                <w:szCs w:val="22"/>
              </w:rPr>
              <w:t>1.7%</w:t>
            </w:r>
          </w:p>
        </w:tc>
      </w:tr>
      <w:tr w:rsidR="00EB4A22" w14:paraId="73B65031"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74858B71" w14:textId="77777777" w:rsidR="00EB4A22" w:rsidRDefault="00EB4A22" w:rsidP="00B1243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14:paraId="42436915" w14:textId="38CBF096" w:rsidR="00EB4A22" w:rsidRDefault="00223447" w:rsidP="00B12430">
            <w:pPr>
              <w:jc w:val="center"/>
              <w:rPr>
                <w:rFonts w:ascii="Calibri" w:hAnsi="Calibri" w:cs="Calibri"/>
                <w:color w:val="000000"/>
                <w:szCs w:val="22"/>
              </w:rPr>
            </w:pPr>
            <w:r>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14:paraId="2F232E5C" w14:textId="6C723028" w:rsidR="00EB4A22" w:rsidRDefault="001472D9" w:rsidP="00B12430">
            <w:pPr>
              <w:jc w:val="center"/>
              <w:rPr>
                <w:rFonts w:ascii="Calibri" w:hAnsi="Calibri" w:cs="Calibri"/>
                <w:color w:val="000000"/>
                <w:szCs w:val="22"/>
              </w:rPr>
            </w:pPr>
            <w:r>
              <w:rPr>
                <w:rFonts w:ascii="Calibri" w:hAnsi="Calibri" w:cs="Calibri"/>
                <w:color w:val="000000"/>
                <w:szCs w:val="22"/>
              </w:rPr>
              <w:t>6.2%</w:t>
            </w:r>
          </w:p>
        </w:tc>
      </w:tr>
      <w:tr w:rsidR="00EB4A22" w14:paraId="543DC1A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342F60A9" w14:textId="77777777" w:rsidR="00EB4A22" w:rsidRDefault="00EB4A22" w:rsidP="00B1243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14:paraId="189C0CC9" w14:textId="59DEF61C" w:rsidR="00EB4A22" w:rsidRDefault="00223447" w:rsidP="00B12430">
            <w:pPr>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14:paraId="35A3493F" w14:textId="72556687" w:rsidR="00EB4A22" w:rsidRDefault="001472D9" w:rsidP="00B12430">
            <w:pPr>
              <w:jc w:val="center"/>
              <w:rPr>
                <w:rFonts w:ascii="Calibri" w:hAnsi="Calibri" w:cs="Calibri"/>
                <w:color w:val="000000"/>
                <w:szCs w:val="22"/>
              </w:rPr>
            </w:pPr>
            <w:r>
              <w:rPr>
                <w:rFonts w:ascii="Calibri" w:hAnsi="Calibri" w:cs="Calibri"/>
                <w:color w:val="000000"/>
                <w:szCs w:val="22"/>
              </w:rPr>
              <w:t>3.6%</w:t>
            </w:r>
          </w:p>
        </w:tc>
      </w:tr>
      <w:tr w:rsidR="00EB4A22" w14:paraId="2B80922E"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603A7C8E"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14:paraId="3EC93478" w14:textId="480D8226" w:rsidR="00EB4A22" w:rsidRDefault="00223447" w:rsidP="00B12430">
            <w:pPr>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47EEB41D" w14:textId="1D2BB6B2" w:rsidR="00EB4A22" w:rsidRDefault="001472D9" w:rsidP="00B12430">
            <w:pPr>
              <w:jc w:val="center"/>
              <w:rPr>
                <w:rFonts w:ascii="Calibri" w:hAnsi="Calibri" w:cs="Calibri"/>
                <w:color w:val="000000"/>
                <w:szCs w:val="22"/>
              </w:rPr>
            </w:pPr>
            <w:r>
              <w:rPr>
                <w:rFonts w:ascii="Calibri" w:hAnsi="Calibri" w:cs="Calibri"/>
                <w:color w:val="000000"/>
                <w:szCs w:val="22"/>
              </w:rPr>
              <w:t>2.6%</w:t>
            </w:r>
          </w:p>
        </w:tc>
      </w:tr>
      <w:tr w:rsidR="00EB4A22" w14:paraId="69A37647"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7E74B9C9"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14:paraId="5F08545F" w14:textId="01194CE6" w:rsidR="00EB4A22" w:rsidRDefault="00223447" w:rsidP="00B12430">
            <w:pPr>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D99A032" w14:textId="7FD5DA71" w:rsidR="00EB4A22" w:rsidRDefault="001472D9" w:rsidP="00B12430">
            <w:pPr>
              <w:jc w:val="center"/>
              <w:rPr>
                <w:rFonts w:ascii="Calibri" w:hAnsi="Calibri" w:cs="Calibri"/>
                <w:color w:val="000000"/>
                <w:szCs w:val="22"/>
              </w:rPr>
            </w:pPr>
            <w:r>
              <w:rPr>
                <w:rFonts w:ascii="Calibri" w:hAnsi="Calibri" w:cs="Calibri"/>
                <w:color w:val="000000"/>
                <w:szCs w:val="22"/>
              </w:rPr>
              <w:t>1.9%</w:t>
            </w:r>
          </w:p>
        </w:tc>
      </w:tr>
      <w:tr w:rsidR="00EB4A22" w14:paraId="243E5508"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3EFD7303"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14:paraId="1C31FF2D" w14:textId="4F256B70" w:rsidR="00EB4A22" w:rsidRDefault="00223447" w:rsidP="00B12430">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51726F5" w14:textId="5C4B0C8B" w:rsidR="00EB4A22" w:rsidRDefault="001472D9" w:rsidP="00B12430">
            <w:pPr>
              <w:jc w:val="center"/>
              <w:rPr>
                <w:rFonts w:ascii="Calibri" w:hAnsi="Calibri" w:cs="Calibri"/>
                <w:color w:val="000000"/>
                <w:szCs w:val="22"/>
              </w:rPr>
            </w:pPr>
            <w:r>
              <w:rPr>
                <w:rFonts w:ascii="Calibri" w:hAnsi="Calibri" w:cs="Calibri"/>
                <w:color w:val="000000"/>
                <w:szCs w:val="22"/>
              </w:rPr>
              <w:t>0.9%</w:t>
            </w:r>
          </w:p>
        </w:tc>
      </w:tr>
      <w:tr w:rsidR="00EB4A22" w14:paraId="721A6FB3" w14:textId="77777777" w:rsidTr="00B12430">
        <w:tc>
          <w:tcPr>
            <w:tcW w:w="5670" w:type="dxa"/>
            <w:tcBorders>
              <w:top w:val="single" w:sz="4" w:space="0" w:color="auto"/>
              <w:left w:val="single" w:sz="4" w:space="0" w:color="auto"/>
              <w:bottom w:val="single" w:sz="4" w:space="0" w:color="auto"/>
              <w:right w:val="single" w:sz="4" w:space="0" w:color="auto"/>
            </w:tcBorders>
            <w:vAlign w:val="bottom"/>
          </w:tcPr>
          <w:p w14:paraId="0650C716"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14:paraId="63F24CCA" w14:textId="08FA7E22" w:rsidR="00EB4A22" w:rsidRDefault="00223447" w:rsidP="00B12430">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6178CB41" w14:textId="1D4CDE5D" w:rsidR="00EB4A22" w:rsidRDefault="001472D9" w:rsidP="00B12430">
            <w:pPr>
              <w:jc w:val="center"/>
              <w:rPr>
                <w:rFonts w:ascii="Calibri" w:hAnsi="Calibri" w:cs="Calibri"/>
                <w:color w:val="000000"/>
                <w:szCs w:val="22"/>
              </w:rPr>
            </w:pPr>
            <w:r>
              <w:rPr>
                <w:rFonts w:ascii="Calibri" w:hAnsi="Calibri" w:cs="Calibri"/>
                <w:color w:val="000000"/>
                <w:szCs w:val="22"/>
              </w:rPr>
              <w:t>0.2%</w:t>
            </w:r>
          </w:p>
        </w:tc>
      </w:tr>
      <w:tr w:rsidR="00EB4A22" w14:paraId="71225C83" w14:textId="77777777" w:rsidTr="00B12430">
        <w:tc>
          <w:tcPr>
            <w:tcW w:w="5670" w:type="dxa"/>
            <w:tcBorders>
              <w:top w:val="single" w:sz="4" w:space="0" w:color="auto"/>
              <w:left w:val="single" w:sz="4" w:space="0" w:color="auto"/>
              <w:bottom w:val="single" w:sz="4" w:space="0" w:color="auto"/>
              <w:right w:val="single" w:sz="4" w:space="0" w:color="auto"/>
            </w:tcBorders>
          </w:tcPr>
          <w:p w14:paraId="7B3C263A"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14:paraId="4D93772E" w14:textId="14A1B4BE" w:rsidR="00EB4A22" w:rsidRDefault="00223447"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D500025" w14:textId="7B92D249"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0.7%</w:t>
            </w:r>
          </w:p>
        </w:tc>
      </w:tr>
      <w:tr w:rsidR="00EB4A22" w14:paraId="47ECF232"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E43FBF5"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14:paraId="2125D546" w14:textId="2C119AFD" w:rsidR="00EB4A22" w:rsidRDefault="00223447" w:rsidP="00B12430">
            <w:pPr>
              <w:widowControl w:val="0"/>
              <w:jc w:val="center"/>
              <w:rPr>
                <w:rFonts w:ascii="Calibri" w:hAnsi="Calibri" w:cs="Calibri"/>
                <w:color w:val="000000"/>
                <w:szCs w:val="22"/>
              </w:rPr>
            </w:pPr>
            <w:r>
              <w:rPr>
                <w:rFonts w:ascii="Calibri" w:hAnsi="Calibri" w:cs="Calibri"/>
                <w:color w:val="000000"/>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14:paraId="4373AE27" w14:textId="2813AB5F" w:rsidR="00EB4A22" w:rsidRDefault="00075613" w:rsidP="00B12430">
            <w:pPr>
              <w:widowControl w:val="0"/>
              <w:jc w:val="center"/>
              <w:rPr>
                <w:rFonts w:ascii="Calibri" w:hAnsi="Calibri" w:cs="Calibri"/>
                <w:color w:val="000000"/>
                <w:szCs w:val="22"/>
              </w:rPr>
            </w:pPr>
            <w:r>
              <w:rPr>
                <w:rFonts w:ascii="Calibri" w:hAnsi="Calibri" w:cs="Calibri"/>
                <w:color w:val="000000"/>
                <w:szCs w:val="22"/>
              </w:rPr>
              <w:t>4.1%</w:t>
            </w:r>
          </w:p>
        </w:tc>
      </w:tr>
      <w:tr w:rsidR="00EB4A22" w14:paraId="60C8F083" w14:textId="77777777" w:rsidTr="00B12430">
        <w:tc>
          <w:tcPr>
            <w:tcW w:w="5670" w:type="dxa"/>
            <w:tcBorders>
              <w:top w:val="single" w:sz="4" w:space="0" w:color="auto"/>
              <w:left w:val="single" w:sz="4" w:space="0" w:color="auto"/>
              <w:bottom w:val="single" w:sz="4" w:space="0" w:color="auto"/>
              <w:right w:val="single" w:sz="4" w:space="0" w:color="auto"/>
            </w:tcBorders>
            <w:vAlign w:val="bottom"/>
            <w:hideMark/>
          </w:tcPr>
          <w:p w14:paraId="681454CF" w14:textId="77777777" w:rsidR="00EB4A22" w:rsidRDefault="00EB4A22" w:rsidP="00B12430">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F067192" w14:textId="7ECDCA6E" w:rsidR="00EB4A22" w:rsidRDefault="00223447" w:rsidP="00B12430">
            <w:pPr>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653FEF37" w14:textId="1E0B4666" w:rsidR="00EB4A22" w:rsidRDefault="00075613" w:rsidP="00B12430">
            <w:pPr>
              <w:jc w:val="center"/>
              <w:rPr>
                <w:rFonts w:ascii="Calibri" w:hAnsi="Calibri" w:cs="Calibri"/>
                <w:color w:val="000000"/>
                <w:szCs w:val="22"/>
              </w:rPr>
            </w:pPr>
            <w:r>
              <w:rPr>
                <w:rFonts w:ascii="Calibri" w:hAnsi="Calibri" w:cs="Calibri"/>
                <w:color w:val="000000"/>
                <w:szCs w:val="22"/>
              </w:rPr>
              <w:t>0.6%</w:t>
            </w:r>
          </w:p>
        </w:tc>
      </w:tr>
      <w:tr w:rsidR="00EB4A22" w14:paraId="65D6722F"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17BFC223"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14:paraId="32876573" w14:textId="26C154E3" w:rsidR="00EB4A22" w:rsidRDefault="00223447" w:rsidP="00B12430">
            <w:pPr>
              <w:widowControl w:val="0"/>
              <w:jc w:val="center"/>
              <w:rPr>
                <w:rFonts w:ascii="Calibri" w:hAnsi="Calibri" w:cs="Calibri"/>
                <w:color w:val="000000"/>
                <w:szCs w:val="22"/>
              </w:rPr>
            </w:pPr>
            <w:r>
              <w:rPr>
                <w:rFonts w:ascii="Calibri" w:hAnsi="Calibri" w:cs="Calibri"/>
                <w:color w:val="000000"/>
                <w:szCs w:val="22"/>
              </w:rPr>
              <w:t>57</w:t>
            </w:r>
          </w:p>
        </w:tc>
        <w:tc>
          <w:tcPr>
            <w:tcW w:w="1418" w:type="dxa"/>
            <w:tcBorders>
              <w:top w:val="single" w:sz="4" w:space="0" w:color="auto"/>
              <w:left w:val="single" w:sz="4" w:space="0" w:color="auto"/>
              <w:bottom w:val="single" w:sz="4" w:space="0" w:color="auto"/>
              <w:right w:val="single" w:sz="4" w:space="0" w:color="auto"/>
            </w:tcBorders>
            <w:vAlign w:val="center"/>
          </w:tcPr>
          <w:p w14:paraId="0F4BB11E" w14:textId="61DFA3B1" w:rsidR="00EB4A22" w:rsidRDefault="00075613" w:rsidP="00B12430">
            <w:pPr>
              <w:widowControl w:val="0"/>
              <w:jc w:val="center"/>
              <w:rPr>
                <w:rFonts w:ascii="Calibri" w:hAnsi="Calibri" w:cs="Calibri"/>
                <w:color w:val="000000"/>
                <w:szCs w:val="22"/>
              </w:rPr>
            </w:pPr>
            <w:r>
              <w:rPr>
                <w:rFonts w:ascii="Calibri" w:hAnsi="Calibri" w:cs="Calibri"/>
                <w:color w:val="000000"/>
                <w:szCs w:val="22"/>
              </w:rPr>
              <w:t>10.7%</w:t>
            </w:r>
          </w:p>
        </w:tc>
      </w:tr>
      <w:tr w:rsidR="00EB4A22" w14:paraId="1F20BB01" w14:textId="77777777" w:rsidTr="00B12430">
        <w:tc>
          <w:tcPr>
            <w:tcW w:w="5670" w:type="dxa"/>
            <w:tcBorders>
              <w:top w:val="single" w:sz="4" w:space="0" w:color="auto"/>
              <w:left w:val="single" w:sz="4" w:space="0" w:color="auto"/>
              <w:bottom w:val="single" w:sz="4" w:space="0" w:color="auto"/>
              <w:right w:val="single" w:sz="4" w:space="0" w:color="auto"/>
            </w:tcBorders>
          </w:tcPr>
          <w:p w14:paraId="6EE76E4E"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14:paraId="3F7FA27E" w14:textId="16B5ECCD" w:rsidR="00EB4A22" w:rsidRDefault="00223447"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E8994DE" w14:textId="15C022F3"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6652265C" w14:textId="77777777" w:rsidTr="00B12430">
        <w:tc>
          <w:tcPr>
            <w:tcW w:w="5670" w:type="dxa"/>
            <w:tcBorders>
              <w:top w:val="single" w:sz="4" w:space="0" w:color="auto"/>
              <w:left w:val="single" w:sz="4" w:space="0" w:color="auto"/>
              <w:bottom w:val="single" w:sz="4" w:space="0" w:color="auto"/>
              <w:right w:val="single" w:sz="4" w:space="0" w:color="auto"/>
            </w:tcBorders>
          </w:tcPr>
          <w:p w14:paraId="45B2CB3D"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14:paraId="772BADA3" w14:textId="08ECAF79" w:rsidR="00EB4A22" w:rsidRDefault="00223447"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61B1352F" w14:textId="0C6A6EB7"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0.7%</w:t>
            </w:r>
          </w:p>
        </w:tc>
      </w:tr>
      <w:tr w:rsidR="00EB4A22" w14:paraId="00AE54D3"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789692E7" w14:textId="77777777" w:rsidR="00EB4A22" w:rsidRDefault="00EB4A22" w:rsidP="00B12430">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438E8EF2" w14:textId="6E65E5C2" w:rsidR="00EB4A22" w:rsidRDefault="00223447"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0EAA76" w14:textId="49637C4F"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0.7%</w:t>
            </w:r>
          </w:p>
        </w:tc>
      </w:tr>
      <w:tr w:rsidR="00EB4A22" w14:paraId="78577E7E"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3AF8E1F8"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14:paraId="7901AD3A" w14:textId="3E9BFB50" w:rsidR="00EB4A22" w:rsidRDefault="00223447" w:rsidP="00B1243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505F6FF9" w14:textId="09066DDB"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0.9%</w:t>
            </w:r>
          </w:p>
        </w:tc>
      </w:tr>
      <w:tr w:rsidR="00EB4A22" w14:paraId="4945776E"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F9C9C36"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14:paraId="4621A7F2" w14:textId="6372A1D1" w:rsidR="00EB4A22" w:rsidRDefault="00223447" w:rsidP="00B12430">
            <w:pPr>
              <w:widowControl w:val="0"/>
              <w:jc w:val="center"/>
              <w:rPr>
                <w:rFonts w:ascii="Calibri" w:hAnsi="Calibri" w:cs="Calibri"/>
                <w:color w:val="000000"/>
                <w:szCs w:val="22"/>
              </w:rPr>
            </w:pPr>
            <w:r>
              <w:rPr>
                <w:rFonts w:ascii="Calibri" w:hAnsi="Calibri" w:cs="Calibri"/>
                <w:color w:val="000000"/>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14:paraId="1434D113" w14:textId="22E699E2" w:rsidR="00EB4A22" w:rsidRDefault="00075613" w:rsidP="00B12430">
            <w:pPr>
              <w:widowControl w:val="0"/>
              <w:jc w:val="center"/>
              <w:rPr>
                <w:rFonts w:ascii="Calibri" w:hAnsi="Calibri" w:cs="Calibri"/>
                <w:color w:val="000000"/>
                <w:szCs w:val="22"/>
              </w:rPr>
            </w:pPr>
            <w:r>
              <w:rPr>
                <w:rFonts w:ascii="Calibri" w:hAnsi="Calibri" w:cs="Calibri"/>
                <w:color w:val="000000"/>
                <w:szCs w:val="22"/>
              </w:rPr>
              <w:t>7.9%</w:t>
            </w:r>
          </w:p>
        </w:tc>
      </w:tr>
      <w:tr w:rsidR="00EB4A22" w14:paraId="2E2C8E4C" w14:textId="77777777" w:rsidTr="00B12430">
        <w:tc>
          <w:tcPr>
            <w:tcW w:w="5670" w:type="dxa"/>
            <w:tcBorders>
              <w:top w:val="single" w:sz="4" w:space="0" w:color="auto"/>
              <w:left w:val="single" w:sz="4" w:space="0" w:color="auto"/>
              <w:bottom w:val="single" w:sz="4" w:space="0" w:color="auto"/>
              <w:right w:val="single" w:sz="4" w:space="0" w:color="auto"/>
            </w:tcBorders>
          </w:tcPr>
          <w:p w14:paraId="09039347"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935B5E0" w14:textId="0ECD2D0A" w:rsidR="00EB4A22" w:rsidRDefault="00223447"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4C8F3D39" w14:textId="1C006D4D"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0.4%</w:t>
            </w:r>
          </w:p>
        </w:tc>
      </w:tr>
      <w:tr w:rsidR="00EB4A22" w14:paraId="19727B8F" w14:textId="77777777" w:rsidTr="00B1243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BC43C" w14:textId="77777777" w:rsidR="00EB4A22" w:rsidRDefault="00EB4A22" w:rsidP="00B12430">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42EB4" w14:textId="3925D475"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38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0816F" w14:textId="5D229781"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7.1%</w:t>
            </w:r>
          </w:p>
        </w:tc>
      </w:tr>
      <w:tr w:rsidR="00EB4A22" w14:paraId="7531265A"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57FAD691"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14:paraId="4D066CAA" w14:textId="24751F54" w:rsidR="00EB4A22" w:rsidRDefault="00223447" w:rsidP="00B12430">
            <w:pPr>
              <w:widowControl w:val="0"/>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14:paraId="0A83967E" w14:textId="52D1FABF" w:rsidR="00EB4A22" w:rsidRDefault="00075613" w:rsidP="00B12430">
            <w:pPr>
              <w:widowControl w:val="0"/>
              <w:jc w:val="center"/>
              <w:rPr>
                <w:rFonts w:ascii="Calibri" w:hAnsi="Calibri" w:cs="Calibri"/>
                <w:color w:val="000000"/>
                <w:szCs w:val="22"/>
              </w:rPr>
            </w:pPr>
            <w:r>
              <w:rPr>
                <w:rFonts w:ascii="Calibri" w:hAnsi="Calibri" w:cs="Calibri"/>
                <w:color w:val="000000"/>
                <w:szCs w:val="22"/>
              </w:rPr>
              <w:t>3.9%</w:t>
            </w:r>
          </w:p>
        </w:tc>
      </w:tr>
      <w:tr w:rsidR="00EB4A22" w14:paraId="1CA396CE" w14:textId="77777777" w:rsidTr="00B12430">
        <w:tc>
          <w:tcPr>
            <w:tcW w:w="5670" w:type="dxa"/>
            <w:tcBorders>
              <w:top w:val="single" w:sz="4" w:space="0" w:color="auto"/>
              <w:left w:val="single" w:sz="4" w:space="0" w:color="auto"/>
              <w:bottom w:val="single" w:sz="4" w:space="0" w:color="auto"/>
              <w:right w:val="single" w:sz="4" w:space="0" w:color="auto"/>
            </w:tcBorders>
          </w:tcPr>
          <w:p w14:paraId="79994EF1"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14:paraId="09766452" w14:textId="66996C42" w:rsidR="00EB4A22" w:rsidRDefault="00223447"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F35F81" w14:textId="7263142B"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0.2%</w:t>
            </w:r>
          </w:p>
        </w:tc>
      </w:tr>
      <w:tr w:rsidR="00EB4A22" w14:paraId="0369C92F" w14:textId="77777777" w:rsidTr="00B12430">
        <w:tc>
          <w:tcPr>
            <w:tcW w:w="5670" w:type="dxa"/>
            <w:tcBorders>
              <w:top w:val="single" w:sz="4" w:space="0" w:color="auto"/>
              <w:left w:val="single" w:sz="4" w:space="0" w:color="auto"/>
              <w:bottom w:val="single" w:sz="4" w:space="0" w:color="auto"/>
              <w:right w:val="single" w:sz="4" w:space="0" w:color="auto"/>
            </w:tcBorders>
            <w:hideMark/>
          </w:tcPr>
          <w:p w14:paraId="4ADD267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211A7875" w14:textId="5778BCC4" w:rsidR="00EB4A22" w:rsidRDefault="00223447" w:rsidP="00B1243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0F8BDB53" w14:textId="0862F497" w:rsidR="00EB4A22" w:rsidRDefault="00075613" w:rsidP="00B12430">
            <w:pPr>
              <w:widowControl w:val="0"/>
              <w:jc w:val="center"/>
              <w:rPr>
                <w:rFonts w:ascii="Calibri" w:hAnsi="Calibri" w:cs="Calibri"/>
                <w:color w:val="000000"/>
                <w:szCs w:val="22"/>
              </w:rPr>
            </w:pPr>
            <w:r>
              <w:rPr>
                <w:rFonts w:ascii="Calibri" w:hAnsi="Calibri" w:cs="Calibri"/>
                <w:color w:val="000000"/>
                <w:szCs w:val="22"/>
              </w:rPr>
              <w:t>1.7%</w:t>
            </w:r>
          </w:p>
        </w:tc>
      </w:tr>
      <w:tr w:rsidR="00EB4A22" w14:paraId="783B253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0C57D53D" w14:textId="2E847AA8" w:rsidR="00EB4A22" w:rsidRPr="00F21DAA" w:rsidRDefault="00EB4A22" w:rsidP="00B12430">
            <w:pPr>
              <w:widowControl w:val="0"/>
              <w:tabs>
                <w:tab w:val="left" w:pos="176"/>
                <w:tab w:val="left" w:pos="1440"/>
                <w:tab w:val="decimal" w:pos="4320"/>
              </w:tabs>
              <w:ind w:left="176"/>
              <w:jc w:val="left"/>
              <w:outlineLvl w:val="0"/>
              <w:rPr>
                <w:rFonts w:ascii="Calibri" w:hAnsi="Calibri"/>
                <w:szCs w:val="22"/>
                <w:lang w:val="mi-NZ"/>
              </w:rPr>
            </w:pPr>
            <w:r>
              <w:rPr>
                <w:rFonts w:ascii="Calibri" w:hAnsi="Calibri"/>
                <w:szCs w:val="22"/>
              </w:rPr>
              <w:t>Failure to communicate openly/honestly/effectively with family</w:t>
            </w:r>
            <w:r w:rsidR="00F21DAA">
              <w:rPr>
                <w:rFonts w:ascii="Calibri" w:hAnsi="Calibri"/>
                <w:szCs w:val="22"/>
              </w:rPr>
              <w:t>/</w:t>
            </w:r>
            <w:proofErr w:type="spellStart"/>
            <w:r w:rsidR="00F21DAA">
              <w:rPr>
                <w:rFonts w:ascii="Calibri" w:hAnsi="Calibri"/>
                <w:szCs w:val="22"/>
              </w:rPr>
              <w:t>wh</w:t>
            </w:r>
            <w:proofErr w:type="spellEnd"/>
            <w:r w:rsidR="00F21DAA">
              <w:rPr>
                <w:rFonts w:ascii="Calibri" w:hAnsi="Calibri"/>
                <w:szCs w:val="22"/>
                <w:lang w:val="mi-NZ"/>
              </w:rPr>
              <w:t>ānau</w:t>
            </w:r>
          </w:p>
        </w:tc>
        <w:tc>
          <w:tcPr>
            <w:tcW w:w="1701" w:type="dxa"/>
            <w:tcBorders>
              <w:top w:val="single" w:sz="4" w:space="0" w:color="auto"/>
              <w:left w:val="single" w:sz="4" w:space="0" w:color="auto"/>
              <w:bottom w:val="single" w:sz="4" w:space="0" w:color="auto"/>
              <w:right w:val="single" w:sz="4" w:space="0" w:color="auto"/>
            </w:tcBorders>
            <w:vAlign w:val="center"/>
          </w:tcPr>
          <w:p w14:paraId="209C2B60" w14:textId="4BF2FC34" w:rsidR="00EB4A22" w:rsidRDefault="00223447"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2238CDC8" w14:textId="655A1436" w:rsidR="00EB4A22" w:rsidRDefault="00075613" w:rsidP="00B12430">
            <w:pPr>
              <w:widowControl w:val="0"/>
              <w:jc w:val="center"/>
              <w:rPr>
                <w:rFonts w:ascii="Calibri" w:hAnsi="Calibri" w:cs="Calibri"/>
                <w:color w:val="000000"/>
                <w:szCs w:val="22"/>
              </w:rPr>
            </w:pPr>
            <w:r>
              <w:rPr>
                <w:rFonts w:ascii="Calibri" w:hAnsi="Calibri" w:cs="Calibri"/>
                <w:color w:val="000000"/>
                <w:szCs w:val="22"/>
              </w:rPr>
              <w:t>1.3%</w:t>
            </w:r>
          </w:p>
        </w:tc>
      </w:tr>
      <w:tr w:rsidR="00EB4A22" w14:paraId="6EB58EB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F3AE6"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33889" w14:textId="26BFE304"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CB557" w14:textId="71EE8513"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0.4%</w:t>
            </w:r>
          </w:p>
        </w:tc>
      </w:tr>
      <w:tr w:rsidR="00EB4A22" w14:paraId="0CD574C3"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630E097" w14:textId="07991EB9" w:rsidR="00EB4A22" w:rsidRDefault="00B12430" w:rsidP="00B12430">
            <w:pPr>
              <w:widowControl w:val="0"/>
              <w:tabs>
                <w:tab w:val="left" w:pos="176"/>
                <w:tab w:val="left" w:pos="1440"/>
                <w:tab w:val="decimal" w:pos="4320"/>
              </w:tabs>
              <w:jc w:val="left"/>
              <w:outlineLvl w:val="0"/>
              <w:rPr>
                <w:rFonts w:ascii="Calibri" w:hAnsi="Calibri"/>
                <w:b/>
                <w:i/>
                <w:szCs w:val="22"/>
              </w:rPr>
            </w:pPr>
            <w:r>
              <w:rPr>
                <w:rFonts w:ascii="Calibri" w:hAnsi="Calibri"/>
                <w:szCs w:val="22"/>
              </w:rPr>
              <w:t xml:space="preserve">  </w:t>
            </w:r>
            <w:r w:rsidR="00EB4A22">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4E017" w14:textId="3DDDA138" w:rsidR="00EB4A22" w:rsidRPr="00905A9C" w:rsidRDefault="00223447"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B5A707" w14:textId="40F11DC6" w:rsidR="00EB4A22" w:rsidRPr="00075613" w:rsidRDefault="00075613" w:rsidP="00B12430">
            <w:pPr>
              <w:widowControl w:val="0"/>
              <w:jc w:val="center"/>
              <w:rPr>
                <w:rFonts w:ascii="Calibri" w:hAnsi="Calibri" w:cs="Calibri"/>
                <w:color w:val="000000"/>
                <w:szCs w:val="22"/>
              </w:rPr>
            </w:pPr>
            <w:r w:rsidRPr="00075613">
              <w:rPr>
                <w:rFonts w:ascii="Calibri" w:hAnsi="Calibri" w:cs="Calibri"/>
                <w:color w:val="000000"/>
                <w:szCs w:val="22"/>
              </w:rPr>
              <w:t>0.4%</w:t>
            </w:r>
          </w:p>
        </w:tc>
      </w:tr>
      <w:tr w:rsidR="00EB4A22" w14:paraId="316FEEB2"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D1FAC"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0A95" w14:textId="1AF7D541"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56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3F521" w14:textId="4CC9468A"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10.5%</w:t>
            </w:r>
          </w:p>
        </w:tc>
      </w:tr>
      <w:tr w:rsidR="00EB4A22" w14:paraId="13CC66C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2E24F84F"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14:paraId="5B56B9C7" w14:textId="44137428" w:rsidR="00EB4A22" w:rsidRDefault="00223447" w:rsidP="00B12430">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14:paraId="2921E149" w14:textId="70462D34" w:rsidR="00EB4A22" w:rsidRDefault="00075613" w:rsidP="00B12430">
            <w:pPr>
              <w:widowControl w:val="0"/>
              <w:jc w:val="center"/>
              <w:rPr>
                <w:rFonts w:ascii="Calibri" w:hAnsi="Calibri" w:cs="Calibri"/>
                <w:color w:val="000000"/>
                <w:szCs w:val="22"/>
              </w:rPr>
            </w:pPr>
            <w:r>
              <w:rPr>
                <w:rFonts w:ascii="Calibri" w:hAnsi="Calibri" w:cs="Calibri"/>
                <w:color w:val="000000"/>
                <w:szCs w:val="22"/>
              </w:rPr>
              <w:t>3.4%</w:t>
            </w:r>
          </w:p>
        </w:tc>
      </w:tr>
      <w:tr w:rsidR="00223447" w14:paraId="57EA763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1363415C" w14:textId="2900F641" w:rsidR="00223447" w:rsidRDefault="00223447"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assess capacity to consent</w:t>
            </w:r>
          </w:p>
        </w:tc>
        <w:tc>
          <w:tcPr>
            <w:tcW w:w="1701" w:type="dxa"/>
            <w:tcBorders>
              <w:top w:val="single" w:sz="4" w:space="0" w:color="auto"/>
              <w:left w:val="single" w:sz="4" w:space="0" w:color="auto"/>
              <w:bottom w:val="single" w:sz="4" w:space="0" w:color="auto"/>
              <w:right w:val="single" w:sz="4" w:space="0" w:color="auto"/>
            </w:tcBorders>
            <w:vAlign w:val="center"/>
          </w:tcPr>
          <w:p w14:paraId="61CF23A3" w14:textId="34495381" w:rsidR="00223447" w:rsidRDefault="00950AFA"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62970D6A" w14:textId="5F3160A1" w:rsidR="00223447" w:rsidRDefault="00075613" w:rsidP="00B12430">
            <w:pPr>
              <w:jc w:val="center"/>
            </w:pPr>
            <w:r>
              <w:t>0.2%</w:t>
            </w:r>
          </w:p>
        </w:tc>
      </w:tr>
      <w:tr w:rsidR="00EB4A22" w14:paraId="0AF6DF4C"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38F3E5A"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14:paraId="4957D1AB" w14:textId="524FE700" w:rsidR="00EB4A22" w:rsidRDefault="00223447"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49137832" w14:textId="6CDCD274" w:rsidR="00EB4A22" w:rsidRDefault="00075613" w:rsidP="00B12430">
            <w:pPr>
              <w:jc w:val="center"/>
            </w:pPr>
            <w:r>
              <w:t>0.4%</w:t>
            </w:r>
          </w:p>
        </w:tc>
      </w:tr>
      <w:tr w:rsidR="00950AFA" w14:paraId="5F4C624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DDC911A" w14:textId="0BF82F1C" w:rsidR="00950AFA" w:rsidRDefault="00950AFA"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14:paraId="01B761F3" w14:textId="4CECCE9A" w:rsidR="00950AFA" w:rsidRDefault="00950AFA"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73355009" w14:textId="3D72CC5A" w:rsidR="00950AFA" w:rsidRDefault="00075613" w:rsidP="00B12430">
            <w:pPr>
              <w:jc w:val="center"/>
            </w:pPr>
            <w:r>
              <w:t>0.4%</w:t>
            </w:r>
          </w:p>
        </w:tc>
      </w:tr>
      <w:tr w:rsidR="00950AFA" w14:paraId="34A9345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646E838C" w14:textId="47384321" w:rsidR="00950AFA" w:rsidRDefault="00950AFA"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14:paraId="7EB97775" w14:textId="649FD403" w:rsidR="00950AFA" w:rsidRDefault="00950AFA"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2C28CF66" w14:textId="4920AEA5" w:rsidR="00950AFA" w:rsidRDefault="00075613" w:rsidP="00B12430">
            <w:pPr>
              <w:jc w:val="center"/>
            </w:pPr>
            <w:r>
              <w:t>0.6%</w:t>
            </w:r>
          </w:p>
        </w:tc>
      </w:tr>
      <w:tr w:rsidR="00EB4A22" w14:paraId="0445602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CD299CC"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14:paraId="2662E5E7" w14:textId="621FCB26" w:rsidR="00EB4A22" w:rsidRDefault="00950AFA"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3B1A8AA3" w14:textId="79ADC459" w:rsidR="00EB4A22" w:rsidRDefault="00075613" w:rsidP="00B12430">
            <w:pPr>
              <w:jc w:val="center"/>
            </w:pPr>
            <w:r>
              <w:t>0.2%</w:t>
            </w:r>
          </w:p>
        </w:tc>
      </w:tr>
      <w:tr w:rsidR="00EB4A22" w14:paraId="6E4557F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485FF25"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14:paraId="539A25E0" w14:textId="61276FBC" w:rsidR="00EB4A22" w:rsidRDefault="00950AFA"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5BABF0E5" w14:textId="6522BA05" w:rsidR="00EB4A22" w:rsidRDefault="00075613" w:rsidP="00B12430">
            <w:pPr>
              <w:jc w:val="center"/>
            </w:pPr>
            <w:r>
              <w:t>0.2%</w:t>
            </w:r>
          </w:p>
        </w:tc>
      </w:tr>
      <w:tr w:rsidR="00EB4A22" w14:paraId="121AA3D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54C38E1"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14:paraId="082EF8B7" w14:textId="392D05CA" w:rsidR="00EB4A22" w:rsidRDefault="00950AFA"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14:paraId="0D084A64" w14:textId="397BFA37" w:rsidR="00EB4A22" w:rsidRDefault="00075613" w:rsidP="00B12430">
            <w:pPr>
              <w:jc w:val="center"/>
            </w:pPr>
            <w:r>
              <w:t>0.7%</w:t>
            </w:r>
          </w:p>
        </w:tc>
      </w:tr>
      <w:tr w:rsidR="00EB4A22" w14:paraId="4DD89C41"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3351352B"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14:paraId="4D718A96" w14:textId="5180BE1D" w:rsidR="00EB4A22" w:rsidRDefault="00950AFA" w:rsidP="00B12430">
            <w:pPr>
              <w:widowControl w:val="0"/>
              <w:jc w:val="center"/>
              <w:rPr>
                <w:rFonts w:ascii="Calibri" w:hAnsi="Calibri" w:cs="Calibri"/>
                <w:color w:val="000000"/>
                <w:szCs w:val="22"/>
              </w:rPr>
            </w:pPr>
            <w:r>
              <w:rPr>
                <w:rFonts w:ascii="Calibri" w:hAnsi="Calibri" w:cs="Calibri"/>
                <w:color w:val="000000"/>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17DE7FC6" w14:textId="63141356" w:rsidR="00EB4A22" w:rsidRDefault="00075613" w:rsidP="00B12430">
            <w:pPr>
              <w:widowControl w:val="0"/>
              <w:jc w:val="center"/>
              <w:rPr>
                <w:rFonts w:ascii="Calibri" w:hAnsi="Calibri" w:cs="Calibri"/>
                <w:color w:val="000000"/>
                <w:szCs w:val="22"/>
              </w:rPr>
            </w:pPr>
            <w:r>
              <w:rPr>
                <w:rFonts w:ascii="Calibri" w:hAnsi="Calibri" w:cs="Calibri"/>
                <w:color w:val="000000"/>
                <w:szCs w:val="22"/>
              </w:rPr>
              <w:t>4.5%</w:t>
            </w:r>
          </w:p>
        </w:tc>
      </w:tr>
      <w:tr w:rsidR="00EB4A22" w14:paraId="7A50DBE8"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F54D7"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66CCF" w14:textId="050FDD40"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91D96" w14:textId="66F17E5B"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1.1%</w:t>
            </w:r>
          </w:p>
        </w:tc>
      </w:tr>
      <w:tr w:rsidR="00EB4A22" w14:paraId="42DCA1F9"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0B113A03"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14:paraId="2EEB39C4" w14:textId="2AB84D85" w:rsidR="00EB4A22" w:rsidRDefault="00950AFA" w:rsidP="00B1243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113E248" w14:textId="6943BE2F"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0.7%</w:t>
            </w:r>
          </w:p>
        </w:tc>
      </w:tr>
      <w:tr w:rsidR="00EB4A22" w14:paraId="7F62610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53EA1AE" w14:textId="1D7FD85A" w:rsidR="00EB4A22" w:rsidRDefault="00950AFA"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6ECD49FA" w14:textId="7CA58F40" w:rsidR="00EB4A22" w:rsidRDefault="00950AFA"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49BFDBF" w14:textId="08663C53"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0.4%</w:t>
            </w:r>
          </w:p>
        </w:tc>
      </w:tr>
      <w:tr w:rsidR="00EB4A22" w14:paraId="7BEE13CB"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11ECF"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7E051" w14:textId="4572BFCD"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5334F" w14:textId="45624171"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4.9%</w:t>
            </w:r>
          </w:p>
        </w:tc>
      </w:tr>
      <w:tr w:rsidR="00950AFA" w14:paraId="576A61F1"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2F7AC988" w14:textId="3A526BD4" w:rsidR="00950AFA" w:rsidRDefault="00950AFA"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14:paraId="149238FB" w14:textId="6F8467D7" w:rsidR="00950AFA" w:rsidRDefault="00950AFA"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48A0AF1A" w14:textId="09ADA554" w:rsidR="00950AFA" w:rsidRDefault="00075613" w:rsidP="00B12430">
            <w:pPr>
              <w:jc w:val="center"/>
            </w:pPr>
            <w:r>
              <w:t>0.4%</w:t>
            </w:r>
          </w:p>
        </w:tc>
      </w:tr>
      <w:tr w:rsidR="00EB4A22" w14:paraId="4114F7B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5E82C77B"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14:paraId="5A2BB29E" w14:textId="5AD55E33" w:rsidR="00EB4A22" w:rsidRDefault="00950AFA" w:rsidP="00B12430">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tcPr>
          <w:p w14:paraId="597037AE" w14:textId="6A9C5F8C" w:rsidR="00EB4A22" w:rsidRDefault="00075613" w:rsidP="00B12430">
            <w:pPr>
              <w:jc w:val="center"/>
            </w:pPr>
            <w:r>
              <w:t>2.8%</w:t>
            </w:r>
          </w:p>
        </w:tc>
      </w:tr>
      <w:tr w:rsidR="00EB4A22" w14:paraId="5532D06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C6FD15D" w14:textId="77777777" w:rsidR="00EB4A22" w:rsidRDefault="00EB4A22"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48BFCB3B" w14:textId="7E40A4F1" w:rsidR="00EB4A22" w:rsidRDefault="00950AFA"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00E4663D" w14:textId="78254F2C" w:rsidR="00EB4A22" w:rsidRDefault="00075613" w:rsidP="00B12430">
            <w:pPr>
              <w:jc w:val="center"/>
            </w:pPr>
            <w:r>
              <w:t>1.3%</w:t>
            </w:r>
          </w:p>
        </w:tc>
      </w:tr>
      <w:tr w:rsidR="00950AFA" w14:paraId="0AB8AD5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2C3E0CC" w14:textId="6448AAD8" w:rsidR="00950AFA" w:rsidRDefault="00950AFA" w:rsidP="00B1243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5F93DF47" w14:textId="79EBC936" w:rsidR="00950AFA" w:rsidRDefault="00950AFA"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46E999A8" w14:textId="4F13EB03" w:rsidR="00950AFA" w:rsidRDefault="00075613" w:rsidP="00B12430">
            <w:pPr>
              <w:jc w:val="center"/>
            </w:pPr>
            <w:r>
              <w:t>0.4%</w:t>
            </w:r>
          </w:p>
        </w:tc>
      </w:tr>
      <w:tr w:rsidR="00EB4A22" w14:paraId="0B6D919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2F47D"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A2D42" w14:textId="0F697A96"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37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7329E" w14:textId="7607FE69"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6.9%</w:t>
            </w:r>
          </w:p>
        </w:tc>
      </w:tr>
      <w:tr w:rsidR="00EB4A22" w14:paraId="282E86E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05783969"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14:paraId="703F30E8" w14:textId="6F7932A6" w:rsidR="00EB4A22" w:rsidRDefault="00950AFA"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43442439" w14:textId="0CAA6B37" w:rsidR="00EB4A22" w:rsidRDefault="00075613" w:rsidP="00B12430">
            <w:pPr>
              <w:jc w:val="center"/>
            </w:pPr>
            <w:r>
              <w:t>1.3%</w:t>
            </w:r>
          </w:p>
        </w:tc>
      </w:tr>
      <w:tr w:rsidR="00EB4A22" w14:paraId="0B55ED87"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78C28CA6"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14:paraId="5A9AAB92" w14:textId="198FC2CA" w:rsidR="00EB4A22" w:rsidRDefault="00950AFA" w:rsidP="00B1243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7AB4F633" w14:textId="1D3B7245" w:rsidR="00EB4A22" w:rsidRDefault="00075613" w:rsidP="00B12430">
            <w:pPr>
              <w:widowControl w:val="0"/>
              <w:jc w:val="center"/>
              <w:rPr>
                <w:rFonts w:ascii="Calibri" w:hAnsi="Calibri" w:cs="Calibri"/>
                <w:color w:val="000000"/>
                <w:szCs w:val="22"/>
              </w:rPr>
            </w:pPr>
            <w:r>
              <w:rPr>
                <w:rFonts w:ascii="Calibri" w:hAnsi="Calibri" w:cs="Calibri"/>
                <w:color w:val="000000"/>
                <w:szCs w:val="22"/>
              </w:rPr>
              <w:t>0.6%</w:t>
            </w:r>
          </w:p>
        </w:tc>
      </w:tr>
      <w:tr w:rsidR="00EB4A22" w14:paraId="65BD70A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7A861634"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14:paraId="050EB1A5" w14:textId="0ED89CAA" w:rsidR="00EB4A22" w:rsidRDefault="00950AFA" w:rsidP="00B12430">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14:paraId="1FC1B806" w14:textId="2F48A344" w:rsidR="00EB4A22" w:rsidRDefault="00075613" w:rsidP="00B12430">
            <w:pPr>
              <w:widowControl w:val="0"/>
              <w:jc w:val="center"/>
              <w:rPr>
                <w:rFonts w:ascii="Calibri" w:hAnsi="Calibri" w:cs="Calibri"/>
                <w:color w:val="000000"/>
                <w:szCs w:val="22"/>
              </w:rPr>
            </w:pPr>
            <w:r>
              <w:rPr>
                <w:rFonts w:ascii="Calibri" w:hAnsi="Calibri" w:cs="Calibri"/>
                <w:color w:val="000000"/>
                <w:szCs w:val="22"/>
              </w:rPr>
              <w:t>3.4%</w:t>
            </w:r>
          </w:p>
        </w:tc>
      </w:tr>
      <w:tr w:rsidR="00950AFA" w14:paraId="1F319624"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663A2C4C" w14:textId="7CFE1980" w:rsidR="00950AFA" w:rsidRDefault="00950AFA"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14:paraId="60C23CE5" w14:textId="0EFF3CD7" w:rsidR="00950AFA" w:rsidRDefault="00950AFA" w:rsidP="00B1243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16A6FC81" w14:textId="0A31E665" w:rsidR="00950AFA" w:rsidRDefault="00075613" w:rsidP="00B12430">
            <w:pPr>
              <w:jc w:val="center"/>
            </w:pPr>
            <w:r>
              <w:t>0.4%</w:t>
            </w:r>
          </w:p>
        </w:tc>
      </w:tr>
      <w:tr w:rsidR="00EB4A22" w14:paraId="5B8DC10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2F98AD63"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14:paraId="0F407134" w14:textId="56BD5193" w:rsidR="00EB4A22" w:rsidRDefault="00950AFA" w:rsidP="00B1243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14:paraId="3643A13F" w14:textId="66A0DDE5" w:rsidR="00EB4A22" w:rsidRDefault="00075613" w:rsidP="00B12430">
            <w:pPr>
              <w:jc w:val="center"/>
            </w:pPr>
            <w:r>
              <w:t>1.3%</w:t>
            </w:r>
          </w:p>
        </w:tc>
      </w:tr>
      <w:tr w:rsidR="00EB4A22" w14:paraId="60C553B5"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427C0"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5DFA5" w14:textId="5F59EDF3"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9031" w14:textId="2B8627B5" w:rsidR="00EB4A22" w:rsidRDefault="00075613" w:rsidP="00B12430">
            <w:pPr>
              <w:widowControl w:val="0"/>
              <w:jc w:val="center"/>
              <w:rPr>
                <w:rFonts w:ascii="Calibri" w:hAnsi="Calibri" w:cs="Calibri"/>
                <w:b/>
                <w:i/>
                <w:color w:val="000000"/>
                <w:szCs w:val="22"/>
              </w:rPr>
            </w:pPr>
            <w:r>
              <w:rPr>
                <w:rFonts w:ascii="Calibri" w:hAnsi="Calibri" w:cs="Calibri"/>
                <w:b/>
                <w:i/>
                <w:color w:val="000000"/>
                <w:szCs w:val="22"/>
              </w:rPr>
              <w:t>1.1%</w:t>
            </w:r>
          </w:p>
        </w:tc>
      </w:tr>
      <w:tr w:rsidR="00EB4A22" w14:paraId="20186C6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0D293188"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5DDBAB" w14:textId="63CC0A3A" w:rsidR="00EB4A22" w:rsidRPr="004D62A7" w:rsidRDefault="00950AFA" w:rsidP="00B1243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C0D782" w14:textId="103C2F78" w:rsidR="00EB4A22" w:rsidRPr="00F16F2F" w:rsidRDefault="00075613" w:rsidP="00B12430">
            <w:pPr>
              <w:widowControl w:val="0"/>
              <w:jc w:val="center"/>
              <w:rPr>
                <w:rFonts w:ascii="Calibri" w:hAnsi="Calibri" w:cs="Calibri"/>
                <w:color w:val="000000"/>
                <w:szCs w:val="22"/>
              </w:rPr>
            </w:pPr>
            <w:r>
              <w:rPr>
                <w:rFonts w:ascii="Calibri" w:hAnsi="Calibri" w:cs="Calibri"/>
                <w:color w:val="000000"/>
                <w:szCs w:val="22"/>
              </w:rPr>
              <w:t>1.1%</w:t>
            </w:r>
          </w:p>
        </w:tc>
      </w:tr>
      <w:tr w:rsidR="00EB4A22" w14:paraId="00719182"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34292" w14:textId="77777777" w:rsidR="00EB4A22" w:rsidRDefault="00EB4A22" w:rsidP="00B1243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DB9BF" w14:textId="0878B6D2"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BC501" w14:textId="79C0F29B" w:rsidR="00EB4A22" w:rsidRDefault="00075613" w:rsidP="00075613">
            <w:pPr>
              <w:widowControl w:val="0"/>
              <w:jc w:val="center"/>
              <w:rPr>
                <w:rFonts w:ascii="Calibri" w:hAnsi="Calibri" w:cs="Calibri"/>
                <w:b/>
                <w:i/>
                <w:color w:val="000000"/>
                <w:szCs w:val="22"/>
              </w:rPr>
            </w:pPr>
            <w:r>
              <w:rPr>
                <w:rFonts w:ascii="Calibri" w:hAnsi="Calibri" w:cs="Calibri"/>
                <w:b/>
                <w:i/>
                <w:color w:val="000000"/>
                <w:szCs w:val="22"/>
              </w:rPr>
              <w:t>3.4%</w:t>
            </w:r>
          </w:p>
        </w:tc>
      </w:tr>
      <w:tr w:rsidR="00EB4A22" w14:paraId="5B79D38F"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534B1C06"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14:paraId="037EFE01" w14:textId="1155516F" w:rsidR="00EB4A22" w:rsidRDefault="00950AFA" w:rsidP="00B1243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39E32E73" w14:textId="005B8BC5" w:rsidR="00EB4A22" w:rsidRDefault="00075613" w:rsidP="00B12430">
            <w:pPr>
              <w:widowControl w:val="0"/>
              <w:jc w:val="center"/>
              <w:rPr>
                <w:rFonts w:ascii="Calibri" w:hAnsi="Calibri" w:cs="Calibri"/>
                <w:color w:val="000000"/>
                <w:szCs w:val="22"/>
              </w:rPr>
            </w:pPr>
            <w:r>
              <w:rPr>
                <w:rFonts w:ascii="Calibri" w:hAnsi="Calibri" w:cs="Calibri"/>
                <w:color w:val="000000"/>
                <w:szCs w:val="22"/>
              </w:rPr>
              <w:t>1.1%</w:t>
            </w:r>
          </w:p>
        </w:tc>
      </w:tr>
      <w:tr w:rsidR="00EB4A22" w14:paraId="210C29AD"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hideMark/>
          </w:tcPr>
          <w:p w14:paraId="6BB5F05C" w14:textId="77777777" w:rsidR="00EB4A22" w:rsidRDefault="00EB4A22"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3DD2EA57" w14:textId="28241549" w:rsidR="00EB4A22" w:rsidRDefault="00950AFA" w:rsidP="00B1243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tcPr>
          <w:p w14:paraId="5F74DB41" w14:textId="056234F7" w:rsidR="00EB4A22" w:rsidRDefault="00075613" w:rsidP="00B12430">
            <w:pPr>
              <w:jc w:val="center"/>
            </w:pPr>
            <w:r>
              <w:t>2.1%</w:t>
            </w:r>
          </w:p>
        </w:tc>
      </w:tr>
      <w:tr w:rsidR="00EB4A22" w14:paraId="043C8C46"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tcPr>
          <w:p w14:paraId="6AA79C40" w14:textId="2F62A912" w:rsidR="00EB4A22" w:rsidRDefault="00950AFA" w:rsidP="00B1243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Threatening/bullying/harassing behaviour</w:t>
            </w:r>
          </w:p>
        </w:tc>
        <w:tc>
          <w:tcPr>
            <w:tcW w:w="1701" w:type="dxa"/>
            <w:tcBorders>
              <w:top w:val="single" w:sz="4" w:space="0" w:color="auto"/>
              <w:left w:val="single" w:sz="4" w:space="0" w:color="auto"/>
              <w:bottom w:val="single" w:sz="4" w:space="0" w:color="auto"/>
              <w:right w:val="single" w:sz="4" w:space="0" w:color="auto"/>
            </w:tcBorders>
            <w:vAlign w:val="center"/>
          </w:tcPr>
          <w:p w14:paraId="3B222B40" w14:textId="35DA3AE6" w:rsidR="00EB4A22" w:rsidRDefault="00950AFA" w:rsidP="00B1243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14:paraId="28E21496" w14:textId="0B8DE0D1" w:rsidR="00EB4A22" w:rsidRDefault="00075613" w:rsidP="00B12430">
            <w:pPr>
              <w:jc w:val="center"/>
            </w:pPr>
            <w:r>
              <w:t>0.2%</w:t>
            </w:r>
          </w:p>
        </w:tc>
      </w:tr>
      <w:tr w:rsidR="00EB4A22" w14:paraId="790F6CAE" w14:textId="77777777" w:rsidTr="00B1243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DFB60" w14:textId="77777777" w:rsidR="00EB4A22" w:rsidRDefault="00EB4A22" w:rsidP="00B12430">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15037" w14:textId="35400CD6" w:rsidR="00EB4A22" w:rsidRDefault="00950AFA" w:rsidP="00B12430">
            <w:pPr>
              <w:widowControl w:val="0"/>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F2C9E" w14:textId="629F14CB" w:rsidR="00EB4A22" w:rsidRPr="00F509B5" w:rsidRDefault="00075613" w:rsidP="00B12430">
            <w:pPr>
              <w:widowControl w:val="0"/>
              <w:jc w:val="center"/>
              <w:rPr>
                <w:rFonts w:ascii="Calibri" w:hAnsi="Calibri" w:cs="Calibri"/>
                <w:b/>
                <w:i/>
                <w:color w:val="000000"/>
                <w:szCs w:val="22"/>
              </w:rPr>
            </w:pPr>
            <w:r>
              <w:rPr>
                <w:rFonts w:ascii="Calibri" w:hAnsi="Calibri" w:cs="Calibri"/>
                <w:b/>
                <w:i/>
                <w:color w:val="000000"/>
                <w:szCs w:val="22"/>
              </w:rPr>
              <w:t>0.2%</w:t>
            </w:r>
          </w:p>
        </w:tc>
      </w:tr>
      <w:tr w:rsidR="00EB4A22" w14:paraId="03E3A501" w14:textId="77777777" w:rsidTr="00B12430">
        <w:trPr>
          <w:trHeight w:val="70"/>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689EE5EA" w14:textId="77777777" w:rsidR="00EB4A22" w:rsidRDefault="00EB4A22" w:rsidP="00B12430">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32E731F4" w14:textId="5DA8181C" w:rsidR="00EB4A22" w:rsidRPr="004F2B73" w:rsidRDefault="004F2B73" w:rsidP="00B12430">
            <w:pPr>
              <w:widowControl w:val="0"/>
              <w:jc w:val="center"/>
              <w:rPr>
                <w:rFonts w:ascii="Calibri" w:hAnsi="Calibri" w:cs="Calibri"/>
                <w:b/>
                <w:color w:val="FFFFFF" w:themeColor="background1"/>
                <w:szCs w:val="22"/>
              </w:rPr>
            </w:pPr>
            <w:r w:rsidRPr="004F2B73">
              <w:rPr>
                <w:rFonts w:ascii="Calibri" w:hAnsi="Calibri" w:cs="Calibri"/>
                <w:b/>
                <w:color w:val="FFFFFF" w:themeColor="background1"/>
                <w:szCs w:val="22"/>
              </w:rPr>
              <w:t>532</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6A741F5A" w14:textId="77777777" w:rsidR="00EB4A22" w:rsidRPr="004F2B73" w:rsidRDefault="00EB4A22" w:rsidP="00B12430">
            <w:pPr>
              <w:widowControl w:val="0"/>
              <w:jc w:val="center"/>
              <w:rPr>
                <w:rFonts w:ascii="Calibri" w:hAnsi="Calibri" w:cs="Calibri"/>
                <w:b/>
                <w:color w:val="FFFFFF" w:themeColor="background1"/>
                <w:szCs w:val="22"/>
              </w:rPr>
            </w:pPr>
          </w:p>
        </w:tc>
      </w:tr>
    </w:tbl>
    <w:p w14:paraId="4F3DBAA7" w14:textId="77777777" w:rsidR="00EB4A22" w:rsidRDefault="00EB4A22" w:rsidP="00EB4A22">
      <w:pPr>
        <w:spacing w:before="480" w:after="240"/>
      </w:pPr>
      <w:r>
        <w:t xml:space="preserve">Table 9 shows a comparison over time for the top five primary issues complained about. </w:t>
      </w:r>
    </w:p>
    <w:p w14:paraId="2A19324D" w14:textId="77777777" w:rsidR="00EB4A22" w:rsidRDefault="00EB4A22" w:rsidP="00EB4A22">
      <w:pPr>
        <w:spacing w:after="120"/>
      </w:pPr>
      <w:r>
        <w:rPr>
          <w:b/>
        </w:rPr>
        <w:t xml:space="preserve">Table 9. </w:t>
      </w:r>
      <w:r>
        <w:t>Top five primary issues in complaints received over the last four six-month periods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562"/>
        <w:gridCol w:w="1625"/>
        <w:gridCol w:w="562"/>
        <w:gridCol w:w="1630"/>
        <w:gridCol w:w="562"/>
        <w:gridCol w:w="1676"/>
        <w:gridCol w:w="677"/>
      </w:tblGrid>
      <w:tr w:rsidR="00EB4A22" w14:paraId="050DB187" w14:textId="77777777" w:rsidTr="00B12430">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3AB7E01" w14:textId="77777777" w:rsidR="00EB4A22" w:rsidRDefault="00EB4A22" w:rsidP="00B12430">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075613" w14:paraId="33E6636F" w14:textId="77777777" w:rsidTr="00B12430">
        <w:tc>
          <w:tcPr>
            <w:tcW w:w="1229"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68F9C237" w14:textId="77777777" w:rsidR="00075613" w:rsidRDefault="00075613" w:rsidP="00075613">
            <w:pPr>
              <w:keepNext/>
              <w:keepLines/>
              <w:tabs>
                <w:tab w:val="left" w:pos="1440"/>
                <w:tab w:val="decimal" w:pos="4320"/>
              </w:tabs>
              <w:ind w:firstLine="152"/>
              <w:jc w:val="center"/>
              <w:outlineLvl w:val="0"/>
              <w:rPr>
                <w:rFonts w:ascii="Calibri" w:hAnsi="Calibri"/>
                <w:b/>
              </w:rPr>
            </w:pPr>
            <w:r>
              <w:rPr>
                <w:rFonts w:ascii="Calibri" w:hAnsi="Calibri"/>
                <w:b/>
                <w:szCs w:val="22"/>
              </w:rPr>
              <w:t>Jul–Dec 19</w:t>
            </w:r>
          </w:p>
          <w:p w14:paraId="79DB65E0" w14:textId="509CA8E6" w:rsidR="00075613" w:rsidRDefault="00075613" w:rsidP="00075613">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n=472</w:t>
            </w:r>
          </w:p>
        </w:tc>
        <w:tc>
          <w:tcPr>
            <w:tcW w:w="1225"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4AD07B15" w14:textId="77777777" w:rsidR="00075613" w:rsidRDefault="00075613" w:rsidP="00075613">
            <w:pPr>
              <w:keepNext/>
              <w:keepLines/>
              <w:tabs>
                <w:tab w:val="left" w:pos="1440"/>
                <w:tab w:val="decimal" w:pos="4320"/>
              </w:tabs>
              <w:ind w:firstLine="152"/>
              <w:jc w:val="center"/>
              <w:outlineLvl w:val="0"/>
              <w:rPr>
                <w:rFonts w:ascii="Calibri" w:hAnsi="Calibri"/>
                <w:b/>
              </w:rPr>
            </w:pPr>
            <w:r>
              <w:rPr>
                <w:rFonts w:ascii="Calibri" w:hAnsi="Calibri"/>
                <w:b/>
                <w:szCs w:val="22"/>
              </w:rPr>
              <w:t>Jan–Jun 20</w:t>
            </w:r>
          </w:p>
          <w:p w14:paraId="666CB940" w14:textId="3B0EA328" w:rsidR="00075613" w:rsidRDefault="00075613" w:rsidP="00075613">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n=392</w:t>
            </w:r>
          </w:p>
        </w:tc>
        <w:tc>
          <w:tcPr>
            <w:tcW w:w="122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0329AB9B" w14:textId="77777777" w:rsidR="00075613" w:rsidRDefault="00075613" w:rsidP="00075613">
            <w:pPr>
              <w:keepNext/>
              <w:keepLines/>
              <w:tabs>
                <w:tab w:val="left" w:pos="1440"/>
                <w:tab w:val="decimal" w:pos="4320"/>
              </w:tabs>
              <w:ind w:firstLine="152"/>
              <w:jc w:val="center"/>
              <w:outlineLvl w:val="0"/>
              <w:rPr>
                <w:rFonts w:ascii="Calibri" w:hAnsi="Calibri"/>
                <w:b/>
              </w:rPr>
            </w:pPr>
            <w:r>
              <w:rPr>
                <w:rFonts w:ascii="Calibri" w:hAnsi="Calibri"/>
                <w:b/>
                <w:szCs w:val="22"/>
              </w:rPr>
              <w:t>Jul–Dec 20</w:t>
            </w:r>
          </w:p>
          <w:p w14:paraId="037012A9" w14:textId="70A91553" w:rsidR="00075613" w:rsidRDefault="00075613" w:rsidP="00075613">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n=464</w:t>
            </w:r>
          </w:p>
        </w:tc>
        <w:tc>
          <w:tcPr>
            <w:tcW w:w="131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7D889E5B" w14:textId="77777777" w:rsidR="00075613" w:rsidRDefault="00075613" w:rsidP="00075613">
            <w:pPr>
              <w:keepNext/>
              <w:keepLines/>
              <w:tabs>
                <w:tab w:val="left" w:pos="1440"/>
                <w:tab w:val="decimal" w:pos="4320"/>
              </w:tabs>
              <w:ind w:firstLine="152"/>
              <w:jc w:val="center"/>
              <w:outlineLvl w:val="0"/>
              <w:rPr>
                <w:rFonts w:ascii="Calibri" w:hAnsi="Calibri"/>
                <w:b/>
              </w:rPr>
            </w:pPr>
            <w:r>
              <w:rPr>
                <w:rFonts w:ascii="Calibri" w:hAnsi="Calibri"/>
                <w:b/>
                <w:szCs w:val="22"/>
              </w:rPr>
              <w:t>Jul–Dec 20</w:t>
            </w:r>
          </w:p>
          <w:p w14:paraId="7D2FF567" w14:textId="77777777" w:rsidR="00075613" w:rsidRDefault="00075613" w:rsidP="00075613">
            <w:pPr>
              <w:jc w:val="center"/>
              <w:rPr>
                <w:rFonts w:ascii="Calibri" w:hAnsi="Calibri"/>
                <w:b/>
                <w:szCs w:val="22"/>
              </w:rPr>
            </w:pPr>
            <w:r>
              <w:rPr>
                <w:rFonts w:ascii="Calibri" w:hAnsi="Calibri"/>
                <w:b/>
                <w:szCs w:val="22"/>
              </w:rPr>
              <w:t>n=464</w:t>
            </w:r>
          </w:p>
        </w:tc>
      </w:tr>
      <w:tr w:rsidR="00075613" w14:paraId="02235CA5" w14:textId="77777777" w:rsidTr="00B12430">
        <w:trPr>
          <w:trHeight w:val="450"/>
        </w:trPr>
        <w:tc>
          <w:tcPr>
            <w:tcW w:w="914" w:type="pct"/>
            <w:tcBorders>
              <w:top w:val="single" w:sz="4" w:space="0" w:color="auto"/>
              <w:left w:val="single" w:sz="4" w:space="0" w:color="auto"/>
              <w:bottom w:val="single" w:sz="4" w:space="0" w:color="auto"/>
              <w:right w:val="single" w:sz="4" w:space="0" w:color="auto"/>
            </w:tcBorders>
            <w:vAlign w:val="center"/>
            <w:hideMark/>
          </w:tcPr>
          <w:p w14:paraId="28816C46" w14:textId="38BEF832" w:rsidR="00075613" w:rsidRDefault="00075613" w:rsidP="00075613">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hideMark/>
          </w:tcPr>
          <w:p w14:paraId="08236FD5" w14:textId="0A9ABBC1" w:rsidR="00075613" w:rsidRDefault="00075613" w:rsidP="00075613">
            <w:pPr>
              <w:jc w:val="center"/>
              <w:rPr>
                <w:rFonts w:ascii="Calibri" w:hAnsi="Calibri"/>
                <w:sz w:val="20"/>
                <w:szCs w:val="20"/>
              </w:rPr>
            </w:pPr>
            <w:r>
              <w:rPr>
                <w:rFonts w:ascii="Calibri" w:hAnsi="Calibri"/>
                <w:sz w:val="20"/>
                <w:szCs w:val="20"/>
              </w:rPr>
              <w:t>14%</w:t>
            </w:r>
          </w:p>
        </w:tc>
        <w:tc>
          <w:tcPr>
            <w:tcW w:w="910" w:type="pct"/>
            <w:tcBorders>
              <w:top w:val="single" w:sz="4" w:space="0" w:color="auto"/>
              <w:left w:val="single" w:sz="4" w:space="0" w:color="auto"/>
              <w:bottom w:val="single" w:sz="4" w:space="0" w:color="auto"/>
              <w:right w:val="single" w:sz="4" w:space="0" w:color="auto"/>
            </w:tcBorders>
            <w:vAlign w:val="center"/>
          </w:tcPr>
          <w:p w14:paraId="5285ECE9" w14:textId="32A0D839" w:rsidR="00075613" w:rsidRDefault="00075613" w:rsidP="00075613">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76DE78C3" w14:textId="46DCB465" w:rsidR="00075613" w:rsidRDefault="00075613" w:rsidP="00075613">
            <w:pPr>
              <w:jc w:val="center"/>
              <w:rPr>
                <w:rFonts w:ascii="Calibri" w:hAnsi="Calibri"/>
                <w:sz w:val="20"/>
                <w:szCs w:val="20"/>
              </w:rPr>
            </w:pPr>
            <w:r>
              <w:rPr>
                <w:rFonts w:ascii="Calibri" w:hAnsi="Calibri"/>
                <w:sz w:val="20"/>
                <w:szCs w:val="20"/>
              </w:rPr>
              <w:t>12%</w:t>
            </w:r>
          </w:p>
        </w:tc>
        <w:tc>
          <w:tcPr>
            <w:tcW w:w="913" w:type="pct"/>
            <w:tcBorders>
              <w:top w:val="single" w:sz="4" w:space="0" w:color="auto"/>
              <w:left w:val="single" w:sz="4" w:space="0" w:color="auto"/>
              <w:bottom w:val="single" w:sz="4" w:space="0" w:color="auto"/>
              <w:right w:val="single" w:sz="4" w:space="0" w:color="auto"/>
            </w:tcBorders>
            <w:vAlign w:val="center"/>
          </w:tcPr>
          <w:p w14:paraId="4FCBD40A" w14:textId="32BA2559" w:rsidR="00075613" w:rsidRDefault="00075613" w:rsidP="00075613">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59925F92" w14:textId="32688F95" w:rsidR="00075613" w:rsidRDefault="00075613" w:rsidP="00075613">
            <w:pPr>
              <w:jc w:val="center"/>
              <w:rPr>
                <w:rFonts w:ascii="Calibri" w:hAnsi="Calibri"/>
                <w:sz w:val="20"/>
                <w:szCs w:val="20"/>
              </w:rPr>
            </w:pPr>
            <w:r>
              <w:rPr>
                <w:rFonts w:ascii="Calibri" w:hAnsi="Calibri"/>
                <w:sz w:val="20"/>
                <w:szCs w:val="20"/>
              </w:rPr>
              <w:t>13%</w:t>
            </w:r>
          </w:p>
        </w:tc>
        <w:tc>
          <w:tcPr>
            <w:tcW w:w="939" w:type="pct"/>
            <w:tcBorders>
              <w:top w:val="single" w:sz="4" w:space="0" w:color="auto"/>
              <w:left w:val="single" w:sz="4" w:space="0" w:color="auto"/>
              <w:bottom w:val="single" w:sz="4" w:space="0" w:color="auto"/>
              <w:right w:val="single" w:sz="4" w:space="0" w:color="auto"/>
            </w:tcBorders>
            <w:vAlign w:val="center"/>
          </w:tcPr>
          <w:p w14:paraId="5F693902" w14:textId="77777777" w:rsidR="00075613" w:rsidRDefault="00075613" w:rsidP="00075613">
            <w:pPr>
              <w:jc w:val="left"/>
              <w:rPr>
                <w:rFonts w:ascii="Calibri" w:hAnsi="Calibri"/>
                <w:sz w:val="20"/>
                <w:szCs w:val="20"/>
              </w:rPr>
            </w:pPr>
            <w:r>
              <w:rPr>
                <w:rFonts w:ascii="Calibri" w:hAnsi="Calibri"/>
                <w:sz w:val="20"/>
                <w:szCs w:val="20"/>
              </w:rPr>
              <w:t>Misdiagnosis</w:t>
            </w:r>
          </w:p>
        </w:tc>
        <w:tc>
          <w:tcPr>
            <w:tcW w:w="379" w:type="pct"/>
            <w:tcBorders>
              <w:top w:val="single" w:sz="4" w:space="0" w:color="auto"/>
              <w:left w:val="single" w:sz="4" w:space="0" w:color="auto"/>
              <w:bottom w:val="single" w:sz="4" w:space="0" w:color="auto"/>
              <w:right w:val="single" w:sz="4" w:space="0" w:color="auto"/>
            </w:tcBorders>
            <w:vAlign w:val="center"/>
          </w:tcPr>
          <w:p w14:paraId="62BCDAD1" w14:textId="6469FCAE" w:rsidR="00075613" w:rsidRDefault="00075613" w:rsidP="00075613">
            <w:pPr>
              <w:jc w:val="center"/>
              <w:rPr>
                <w:rFonts w:ascii="Calibri" w:hAnsi="Calibri"/>
                <w:sz w:val="20"/>
                <w:szCs w:val="20"/>
              </w:rPr>
            </w:pPr>
            <w:r>
              <w:rPr>
                <w:rFonts w:ascii="Calibri" w:hAnsi="Calibri"/>
                <w:sz w:val="20"/>
                <w:szCs w:val="20"/>
              </w:rPr>
              <w:t>11%</w:t>
            </w:r>
          </w:p>
        </w:tc>
      </w:tr>
      <w:tr w:rsidR="00075613" w14:paraId="4F4FF487" w14:textId="77777777" w:rsidTr="00B12430">
        <w:trPr>
          <w:trHeight w:val="400"/>
        </w:trPr>
        <w:tc>
          <w:tcPr>
            <w:tcW w:w="914" w:type="pct"/>
            <w:tcBorders>
              <w:top w:val="single" w:sz="4" w:space="0" w:color="auto"/>
              <w:left w:val="single" w:sz="4" w:space="0" w:color="auto"/>
              <w:bottom w:val="single" w:sz="4" w:space="0" w:color="auto"/>
              <w:right w:val="single" w:sz="4" w:space="0" w:color="auto"/>
            </w:tcBorders>
            <w:vAlign w:val="center"/>
            <w:hideMark/>
          </w:tcPr>
          <w:p w14:paraId="72EEAB67" w14:textId="3286E6AB" w:rsidR="00075613" w:rsidRDefault="00075613" w:rsidP="00075613">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hideMark/>
          </w:tcPr>
          <w:p w14:paraId="49329464" w14:textId="088A4032" w:rsidR="00075613" w:rsidRDefault="00075613" w:rsidP="00075613">
            <w:pPr>
              <w:jc w:val="center"/>
              <w:rPr>
                <w:rFonts w:ascii="Calibri" w:hAnsi="Calibri"/>
                <w:sz w:val="20"/>
                <w:szCs w:val="20"/>
              </w:rPr>
            </w:pPr>
            <w:r>
              <w:rPr>
                <w:rFonts w:ascii="Calibri" w:hAnsi="Calibri"/>
                <w:sz w:val="20"/>
                <w:szCs w:val="20"/>
              </w:rPr>
              <w:t>9%</w:t>
            </w:r>
          </w:p>
        </w:tc>
        <w:tc>
          <w:tcPr>
            <w:tcW w:w="910" w:type="pct"/>
            <w:tcBorders>
              <w:top w:val="single" w:sz="4" w:space="0" w:color="auto"/>
              <w:left w:val="single" w:sz="4" w:space="0" w:color="auto"/>
              <w:bottom w:val="single" w:sz="4" w:space="0" w:color="auto"/>
              <w:right w:val="single" w:sz="4" w:space="0" w:color="auto"/>
            </w:tcBorders>
            <w:vAlign w:val="center"/>
          </w:tcPr>
          <w:p w14:paraId="3473917A" w14:textId="74B60775" w:rsidR="00075613" w:rsidRDefault="00075613" w:rsidP="00075613">
            <w:pPr>
              <w:jc w:val="left"/>
              <w:rPr>
                <w:rFonts w:ascii="Calibri" w:hAnsi="Calibri"/>
                <w:sz w:val="20"/>
                <w:szCs w:val="20"/>
              </w:rPr>
            </w:pPr>
            <w:r>
              <w:rPr>
                <w:rFonts w:ascii="Calibri" w:hAnsi="Calibri"/>
                <w:sz w:val="20"/>
                <w:szCs w:val="20"/>
              </w:rPr>
              <w:t>Misdiagnosis</w:t>
            </w:r>
          </w:p>
        </w:tc>
        <w:tc>
          <w:tcPr>
            <w:tcW w:w="315" w:type="pct"/>
            <w:tcBorders>
              <w:top w:val="single" w:sz="4" w:space="0" w:color="auto"/>
              <w:left w:val="single" w:sz="4" w:space="0" w:color="auto"/>
              <w:bottom w:val="single" w:sz="4" w:space="0" w:color="auto"/>
              <w:right w:val="single" w:sz="4" w:space="0" w:color="auto"/>
            </w:tcBorders>
            <w:vAlign w:val="center"/>
          </w:tcPr>
          <w:p w14:paraId="50A0C44B" w14:textId="3A4132A0" w:rsidR="00075613" w:rsidRDefault="00075613" w:rsidP="00075613">
            <w:pPr>
              <w:jc w:val="center"/>
              <w:rPr>
                <w:rFonts w:ascii="Calibri" w:hAnsi="Calibri"/>
                <w:sz w:val="20"/>
                <w:szCs w:val="20"/>
              </w:rPr>
            </w:pPr>
            <w:r>
              <w:rPr>
                <w:rFonts w:ascii="Calibri" w:hAnsi="Calibri"/>
                <w:sz w:val="20"/>
                <w:szCs w:val="20"/>
              </w:rPr>
              <w:t>10%</w:t>
            </w:r>
          </w:p>
        </w:tc>
        <w:tc>
          <w:tcPr>
            <w:tcW w:w="913" w:type="pct"/>
            <w:tcBorders>
              <w:top w:val="single" w:sz="4" w:space="0" w:color="auto"/>
              <w:left w:val="single" w:sz="4" w:space="0" w:color="auto"/>
              <w:bottom w:val="single" w:sz="4" w:space="0" w:color="auto"/>
              <w:right w:val="single" w:sz="4" w:space="0" w:color="auto"/>
            </w:tcBorders>
            <w:vAlign w:val="center"/>
          </w:tcPr>
          <w:p w14:paraId="42975C52" w14:textId="1B3E2712" w:rsidR="00075613" w:rsidRDefault="00075613" w:rsidP="00075613">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tcPr>
          <w:p w14:paraId="43BD7EEB" w14:textId="19750BB6" w:rsidR="00075613" w:rsidRDefault="00075613" w:rsidP="00075613">
            <w:pPr>
              <w:jc w:val="center"/>
              <w:rPr>
                <w:rFonts w:ascii="Calibri" w:hAnsi="Calibri"/>
                <w:sz w:val="20"/>
                <w:szCs w:val="20"/>
              </w:rPr>
            </w:pPr>
            <w:r>
              <w:rPr>
                <w:rFonts w:ascii="Calibri" w:hAnsi="Calibri"/>
                <w:sz w:val="20"/>
                <w:szCs w:val="20"/>
              </w:rPr>
              <w:t>8%</w:t>
            </w:r>
          </w:p>
        </w:tc>
        <w:tc>
          <w:tcPr>
            <w:tcW w:w="939" w:type="pct"/>
            <w:tcBorders>
              <w:top w:val="single" w:sz="4" w:space="0" w:color="auto"/>
              <w:left w:val="single" w:sz="4" w:space="0" w:color="auto"/>
              <w:bottom w:val="single" w:sz="4" w:space="0" w:color="auto"/>
              <w:right w:val="single" w:sz="4" w:space="0" w:color="auto"/>
            </w:tcBorders>
            <w:vAlign w:val="center"/>
          </w:tcPr>
          <w:p w14:paraId="57BAE200" w14:textId="4C764DE4" w:rsidR="00075613" w:rsidRDefault="00075613" w:rsidP="00075613">
            <w:pPr>
              <w:jc w:val="left"/>
              <w:rPr>
                <w:rFonts w:ascii="Calibri" w:hAnsi="Calibri"/>
                <w:sz w:val="20"/>
                <w:szCs w:val="20"/>
              </w:rPr>
            </w:pPr>
            <w:r>
              <w:rPr>
                <w:rFonts w:ascii="Calibri" w:hAnsi="Calibri"/>
                <w:sz w:val="20"/>
                <w:szCs w:val="20"/>
              </w:rPr>
              <w:t>Unexpected treatment outcome</w:t>
            </w:r>
          </w:p>
        </w:tc>
        <w:tc>
          <w:tcPr>
            <w:tcW w:w="379" w:type="pct"/>
            <w:tcBorders>
              <w:top w:val="single" w:sz="4" w:space="0" w:color="auto"/>
              <w:left w:val="single" w:sz="4" w:space="0" w:color="auto"/>
              <w:bottom w:val="single" w:sz="4" w:space="0" w:color="auto"/>
              <w:right w:val="single" w:sz="4" w:space="0" w:color="auto"/>
            </w:tcBorders>
            <w:vAlign w:val="center"/>
          </w:tcPr>
          <w:p w14:paraId="377CF1AB" w14:textId="77777777" w:rsidR="00075613" w:rsidRDefault="00075613" w:rsidP="00075613">
            <w:pPr>
              <w:jc w:val="center"/>
              <w:rPr>
                <w:rFonts w:ascii="Calibri" w:hAnsi="Calibri"/>
                <w:sz w:val="20"/>
                <w:szCs w:val="20"/>
              </w:rPr>
            </w:pPr>
            <w:r>
              <w:rPr>
                <w:rFonts w:ascii="Calibri" w:hAnsi="Calibri"/>
                <w:sz w:val="20"/>
                <w:szCs w:val="20"/>
              </w:rPr>
              <w:t>8%</w:t>
            </w:r>
          </w:p>
        </w:tc>
      </w:tr>
      <w:tr w:rsidR="00075613" w14:paraId="6E180E6B" w14:textId="77777777" w:rsidTr="00B12430">
        <w:tc>
          <w:tcPr>
            <w:tcW w:w="914" w:type="pct"/>
            <w:tcBorders>
              <w:top w:val="single" w:sz="4" w:space="0" w:color="auto"/>
              <w:left w:val="single" w:sz="4" w:space="0" w:color="auto"/>
              <w:bottom w:val="single" w:sz="4" w:space="0" w:color="auto"/>
              <w:right w:val="single" w:sz="4" w:space="0" w:color="auto"/>
            </w:tcBorders>
            <w:vAlign w:val="center"/>
            <w:hideMark/>
          </w:tcPr>
          <w:p w14:paraId="7C152519" w14:textId="77777777" w:rsidR="00075613" w:rsidRDefault="00075613" w:rsidP="00075613">
            <w:pPr>
              <w:jc w:val="left"/>
              <w:rPr>
                <w:rFonts w:ascii="Calibri" w:hAnsi="Calibri"/>
                <w:sz w:val="20"/>
                <w:szCs w:val="20"/>
              </w:rPr>
            </w:pPr>
            <w:r>
              <w:rPr>
                <w:rFonts w:ascii="Calibri" w:hAnsi="Calibri"/>
                <w:sz w:val="20"/>
                <w:szCs w:val="20"/>
              </w:rPr>
              <w:t>Waiting list/</w:t>
            </w:r>
          </w:p>
          <w:p w14:paraId="4964BCDA" w14:textId="1762F926" w:rsidR="00075613" w:rsidRDefault="00BF7B25" w:rsidP="00075613">
            <w:pPr>
              <w:jc w:val="left"/>
              <w:rPr>
                <w:rFonts w:ascii="Calibri" w:hAnsi="Calibri"/>
                <w:sz w:val="20"/>
                <w:szCs w:val="20"/>
              </w:rPr>
            </w:pPr>
            <w:r>
              <w:rPr>
                <w:rFonts w:ascii="Calibri" w:hAnsi="Calibri"/>
                <w:sz w:val="20"/>
                <w:szCs w:val="20"/>
              </w:rPr>
              <w:t>P</w:t>
            </w:r>
            <w:r w:rsidR="00075613">
              <w:rPr>
                <w:rFonts w:ascii="Calibri" w:hAnsi="Calibri"/>
                <w:sz w:val="20"/>
                <w:szCs w:val="20"/>
              </w:rPr>
              <w:t>rioritisation</w:t>
            </w:r>
          </w:p>
        </w:tc>
        <w:tc>
          <w:tcPr>
            <w:tcW w:w="315" w:type="pct"/>
            <w:tcBorders>
              <w:top w:val="single" w:sz="4" w:space="0" w:color="auto"/>
              <w:left w:val="single" w:sz="4" w:space="0" w:color="auto"/>
              <w:bottom w:val="single" w:sz="4" w:space="0" w:color="auto"/>
              <w:right w:val="single" w:sz="4" w:space="0" w:color="auto"/>
            </w:tcBorders>
            <w:vAlign w:val="center"/>
            <w:hideMark/>
          </w:tcPr>
          <w:p w14:paraId="38ADE0EB" w14:textId="23F31443" w:rsidR="00075613" w:rsidRDefault="00075613" w:rsidP="00075613">
            <w:pPr>
              <w:jc w:val="center"/>
              <w:rPr>
                <w:rFonts w:ascii="Calibri" w:hAnsi="Calibri"/>
                <w:sz w:val="20"/>
                <w:szCs w:val="20"/>
              </w:rPr>
            </w:pPr>
            <w:r>
              <w:rPr>
                <w:rFonts w:ascii="Calibri" w:hAnsi="Calibri"/>
                <w:sz w:val="20"/>
                <w:szCs w:val="20"/>
              </w:rPr>
              <w:t>8%</w:t>
            </w:r>
          </w:p>
        </w:tc>
        <w:tc>
          <w:tcPr>
            <w:tcW w:w="910" w:type="pct"/>
            <w:tcBorders>
              <w:top w:val="single" w:sz="4" w:space="0" w:color="auto"/>
              <w:left w:val="single" w:sz="4" w:space="0" w:color="auto"/>
              <w:bottom w:val="single" w:sz="4" w:space="0" w:color="auto"/>
              <w:right w:val="single" w:sz="4" w:space="0" w:color="auto"/>
            </w:tcBorders>
            <w:vAlign w:val="center"/>
          </w:tcPr>
          <w:p w14:paraId="1EA802C3" w14:textId="71C4966F" w:rsidR="00075613" w:rsidRDefault="00075613" w:rsidP="00075613">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2E7EC3C4" w14:textId="3ADAAEDC" w:rsidR="00075613" w:rsidRDefault="00075613" w:rsidP="00075613">
            <w:pPr>
              <w:jc w:val="center"/>
              <w:rPr>
                <w:rFonts w:ascii="Calibri" w:hAnsi="Calibri"/>
                <w:sz w:val="20"/>
                <w:szCs w:val="20"/>
              </w:rPr>
            </w:pPr>
            <w:r>
              <w:rPr>
                <w:rFonts w:ascii="Calibri" w:hAnsi="Calibri"/>
                <w:sz w:val="20"/>
                <w:szCs w:val="20"/>
              </w:rPr>
              <w:t>8%</w:t>
            </w:r>
          </w:p>
        </w:tc>
        <w:tc>
          <w:tcPr>
            <w:tcW w:w="913" w:type="pct"/>
            <w:tcBorders>
              <w:top w:val="single" w:sz="4" w:space="0" w:color="auto"/>
              <w:left w:val="single" w:sz="4" w:space="0" w:color="auto"/>
              <w:bottom w:val="single" w:sz="4" w:space="0" w:color="auto"/>
              <w:right w:val="single" w:sz="4" w:space="0" w:color="auto"/>
            </w:tcBorders>
            <w:vAlign w:val="center"/>
          </w:tcPr>
          <w:p w14:paraId="5028FBC6" w14:textId="4159BCE2" w:rsidR="00075613" w:rsidRDefault="00075613" w:rsidP="00075613">
            <w:pPr>
              <w:jc w:val="left"/>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4F4FBAA6" w14:textId="3E3ABEB9" w:rsidR="00075613" w:rsidRDefault="00075613" w:rsidP="00075613">
            <w:pPr>
              <w:jc w:val="center"/>
              <w:rPr>
                <w:rFonts w:ascii="Calibri" w:hAnsi="Calibri"/>
                <w:sz w:val="20"/>
                <w:szCs w:val="20"/>
              </w:rPr>
            </w:pPr>
            <w:r>
              <w:rPr>
                <w:rFonts w:ascii="Calibri" w:hAnsi="Calibri"/>
                <w:sz w:val="20"/>
                <w:szCs w:val="20"/>
              </w:rPr>
              <w:t>7%</w:t>
            </w:r>
          </w:p>
        </w:tc>
        <w:tc>
          <w:tcPr>
            <w:tcW w:w="939" w:type="pct"/>
            <w:tcBorders>
              <w:top w:val="single" w:sz="4" w:space="0" w:color="auto"/>
              <w:left w:val="single" w:sz="4" w:space="0" w:color="auto"/>
              <w:bottom w:val="single" w:sz="4" w:space="0" w:color="auto"/>
              <w:right w:val="single" w:sz="4" w:space="0" w:color="auto"/>
            </w:tcBorders>
            <w:vAlign w:val="center"/>
          </w:tcPr>
          <w:p w14:paraId="40B8610D" w14:textId="067461BF" w:rsidR="00075613" w:rsidRDefault="00075613" w:rsidP="00075613">
            <w:pPr>
              <w:jc w:val="left"/>
              <w:rPr>
                <w:rFonts w:ascii="Calibri" w:hAnsi="Calibri"/>
                <w:sz w:val="20"/>
                <w:szCs w:val="20"/>
              </w:rPr>
            </w:pPr>
            <w:r>
              <w:rPr>
                <w:rFonts w:ascii="Calibri" w:hAnsi="Calibri"/>
                <w:sz w:val="20"/>
                <w:szCs w:val="20"/>
              </w:rPr>
              <w:t>Lack of access to services</w:t>
            </w:r>
          </w:p>
        </w:tc>
        <w:tc>
          <w:tcPr>
            <w:tcW w:w="379" w:type="pct"/>
            <w:tcBorders>
              <w:top w:val="single" w:sz="4" w:space="0" w:color="auto"/>
              <w:left w:val="single" w:sz="4" w:space="0" w:color="auto"/>
              <w:bottom w:val="single" w:sz="4" w:space="0" w:color="auto"/>
              <w:right w:val="single" w:sz="4" w:space="0" w:color="auto"/>
            </w:tcBorders>
            <w:vAlign w:val="center"/>
          </w:tcPr>
          <w:p w14:paraId="7C6FF507" w14:textId="3C22A7CE" w:rsidR="00075613" w:rsidRDefault="00075613" w:rsidP="00075613">
            <w:pPr>
              <w:jc w:val="center"/>
              <w:rPr>
                <w:rFonts w:ascii="Calibri" w:hAnsi="Calibri"/>
                <w:sz w:val="20"/>
                <w:szCs w:val="20"/>
              </w:rPr>
            </w:pPr>
            <w:r>
              <w:rPr>
                <w:rFonts w:ascii="Calibri" w:hAnsi="Calibri"/>
                <w:sz w:val="20"/>
                <w:szCs w:val="20"/>
              </w:rPr>
              <w:t>8%</w:t>
            </w:r>
          </w:p>
        </w:tc>
      </w:tr>
      <w:tr w:rsidR="00075613" w14:paraId="4191F54A" w14:textId="77777777" w:rsidTr="00B12430">
        <w:trPr>
          <w:trHeight w:val="639"/>
        </w:trPr>
        <w:tc>
          <w:tcPr>
            <w:tcW w:w="914" w:type="pct"/>
            <w:tcBorders>
              <w:top w:val="single" w:sz="4" w:space="0" w:color="auto"/>
              <w:left w:val="single" w:sz="4" w:space="0" w:color="auto"/>
              <w:bottom w:val="single" w:sz="4" w:space="0" w:color="auto"/>
              <w:right w:val="single" w:sz="4" w:space="0" w:color="auto"/>
            </w:tcBorders>
            <w:vAlign w:val="center"/>
            <w:hideMark/>
          </w:tcPr>
          <w:p w14:paraId="2BEE08E5" w14:textId="08050FAD" w:rsidR="00075613" w:rsidRDefault="00075613" w:rsidP="00075613">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hideMark/>
          </w:tcPr>
          <w:p w14:paraId="65D813ED" w14:textId="6D4EE46D" w:rsidR="00075613" w:rsidRDefault="00075613" w:rsidP="00075613">
            <w:pPr>
              <w:jc w:val="center"/>
              <w:rPr>
                <w:rFonts w:ascii="Calibri" w:hAnsi="Calibri"/>
                <w:sz w:val="20"/>
                <w:szCs w:val="20"/>
              </w:rPr>
            </w:pPr>
            <w:r>
              <w:rPr>
                <w:rFonts w:ascii="Calibri" w:hAnsi="Calibri"/>
                <w:sz w:val="20"/>
                <w:szCs w:val="20"/>
              </w:rPr>
              <w:t xml:space="preserve">8% </w:t>
            </w:r>
          </w:p>
        </w:tc>
        <w:tc>
          <w:tcPr>
            <w:tcW w:w="910" w:type="pct"/>
            <w:tcBorders>
              <w:top w:val="single" w:sz="4" w:space="0" w:color="auto"/>
              <w:left w:val="single" w:sz="4" w:space="0" w:color="auto"/>
              <w:bottom w:val="single" w:sz="4" w:space="0" w:color="auto"/>
              <w:right w:val="single" w:sz="4" w:space="0" w:color="auto"/>
            </w:tcBorders>
            <w:vAlign w:val="center"/>
          </w:tcPr>
          <w:p w14:paraId="78E51B30" w14:textId="77777777" w:rsidR="00075613" w:rsidRDefault="00075613" w:rsidP="00075613">
            <w:pPr>
              <w:jc w:val="left"/>
              <w:rPr>
                <w:rFonts w:ascii="Calibri" w:hAnsi="Calibri"/>
                <w:sz w:val="20"/>
                <w:szCs w:val="20"/>
              </w:rPr>
            </w:pPr>
            <w:r>
              <w:rPr>
                <w:rFonts w:ascii="Calibri" w:hAnsi="Calibri"/>
                <w:sz w:val="20"/>
                <w:szCs w:val="20"/>
              </w:rPr>
              <w:t>Waiting list/</w:t>
            </w:r>
          </w:p>
          <w:p w14:paraId="2D816A07" w14:textId="0850F4E1" w:rsidR="00075613" w:rsidRDefault="00075613" w:rsidP="00075613">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58CD5CD8" w14:textId="3819F08C" w:rsidR="00075613" w:rsidRDefault="00075613" w:rsidP="00075613">
            <w:pPr>
              <w:jc w:val="center"/>
              <w:rPr>
                <w:rFonts w:ascii="Calibri" w:hAnsi="Calibri"/>
                <w:sz w:val="20"/>
                <w:szCs w:val="20"/>
              </w:rPr>
            </w:pPr>
            <w:r>
              <w:rPr>
                <w:rFonts w:ascii="Calibri" w:hAnsi="Calibri"/>
                <w:sz w:val="20"/>
                <w:szCs w:val="20"/>
              </w:rPr>
              <w:t xml:space="preserve">7% </w:t>
            </w:r>
          </w:p>
        </w:tc>
        <w:tc>
          <w:tcPr>
            <w:tcW w:w="913" w:type="pct"/>
            <w:tcBorders>
              <w:top w:val="single" w:sz="4" w:space="0" w:color="auto"/>
              <w:left w:val="single" w:sz="4" w:space="0" w:color="auto"/>
              <w:bottom w:val="single" w:sz="4" w:space="0" w:color="auto"/>
              <w:right w:val="single" w:sz="4" w:space="0" w:color="auto"/>
            </w:tcBorders>
            <w:vAlign w:val="center"/>
          </w:tcPr>
          <w:p w14:paraId="3E2C5C10" w14:textId="77777777" w:rsidR="00075613" w:rsidRDefault="00075613" w:rsidP="00075613">
            <w:pPr>
              <w:jc w:val="left"/>
              <w:rPr>
                <w:rFonts w:ascii="Calibri" w:hAnsi="Calibri"/>
                <w:sz w:val="20"/>
                <w:szCs w:val="20"/>
              </w:rPr>
            </w:pPr>
            <w:r>
              <w:rPr>
                <w:rFonts w:ascii="Calibri" w:hAnsi="Calibri"/>
                <w:sz w:val="20"/>
                <w:szCs w:val="20"/>
              </w:rPr>
              <w:t>Waiting list/</w:t>
            </w:r>
          </w:p>
          <w:p w14:paraId="29EE28A9" w14:textId="46D4A342" w:rsidR="00075613" w:rsidRDefault="00075613" w:rsidP="00075613">
            <w:pPr>
              <w:jc w:val="left"/>
              <w:rPr>
                <w:rFonts w:ascii="Calibri" w:hAnsi="Calibri"/>
                <w:sz w:val="20"/>
                <w:szCs w:val="20"/>
              </w:rPr>
            </w:pPr>
            <w:r>
              <w:rPr>
                <w:rFonts w:ascii="Calibri" w:hAnsi="Calibri"/>
                <w:sz w:val="20"/>
                <w:szCs w:val="20"/>
              </w:rPr>
              <w:t>prioritisation</w:t>
            </w:r>
          </w:p>
        </w:tc>
        <w:tc>
          <w:tcPr>
            <w:tcW w:w="315" w:type="pct"/>
            <w:tcBorders>
              <w:top w:val="single" w:sz="4" w:space="0" w:color="auto"/>
              <w:left w:val="single" w:sz="4" w:space="0" w:color="auto"/>
              <w:bottom w:val="single" w:sz="4" w:space="0" w:color="auto"/>
              <w:right w:val="single" w:sz="4" w:space="0" w:color="auto"/>
            </w:tcBorders>
            <w:vAlign w:val="center"/>
          </w:tcPr>
          <w:p w14:paraId="309A964A" w14:textId="0B544A3F" w:rsidR="00075613" w:rsidRDefault="00075613" w:rsidP="00075613">
            <w:pPr>
              <w:jc w:val="center"/>
              <w:rPr>
                <w:rFonts w:ascii="Calibri" w:hAnsi="Calibri"/>
                <w:sz w:val="20"/>
                <w:szCs w:val="20"/>
              </w:rPr>
            </w:pPr>
            <w:r>
              <w:rPr>
                <w:rFonts w:ascii="Calibri" w:hAnsi="Calibri"/>
                <w:sz w:val="20"/>
                <w:szCs w:val="20"/>
              </w:rPr>
              <w:t>7%</w:t>
            </w:r>
          </w:p>
        </w:tc>
        <w:tc>
          <w:tcPr>
            <w:tcW w:w="939" w:type="pct"/>
            <w:tcBorders>
              <w:top w:val="single" w:sz="4" w:space="0" w:color="auto"/>
              <w:left w:val="single" w:sz="4" w:space="0" w:color="auto"/>
              <w:bottom w:val="single" w:sz="4" w:space="0" w:color="auto"/>
              <w:right w:val="single" w:sz="4" w:space="0" w:color="auto"/>
            </w:tcBorders>
            <w:vAlign w:val="center"/>
          </w:tcPr>
          <w:p w14:paraId="358465E2" w14:textId="77777777" w:rsidR="00075613" w:rsidRDefault="00075613" w:rsidP="00075613">
            <w:pPr>
              <w:jc w:val="left"/>
              <w:rPr>
                <w:rFonts w:ascii="Calibri" w:hAnsi="Calibri"/>
                <w:sz w:val="20"/>
                <w:szCs w:val="20"/>
              </w:rPr>
            </w:pPr>
            <w:r>
              <w:rPr>
                <w:rFonts w:ascii="Calibri" w:hAnsi="Calibri"/>
                <w:sz w:val="20"/>
                <w:szCs w:val="20"/>
              </w:rPr>
              <w:t>Waiting list/</w:t>
            </w:r>
          </w:p>
          <w:p w14:paraId="33455024" w14:textId="77777777" w:rsidR="00075613" w:rsidRDefault="00075613" w:rsidP="00075613">
            <w:pPr>
              <w:jc w:val="left"/>
              <w:rPr>
                <w:rFonts w:ascii="Calibri" w:hAnsi="Calibri"/>
                <w:sz w:val="20"/>
                <w:szCs w:val="20"/>
              </w:rPr>
            </w:pPr>
            <w:r>
              <w:rPr>
                <w:rFonts w:ascii="Calibri" w:hAnsi="Calibri"/>
                <w:sz w:val="20"/>
                <w:szCs w:val="20"/>
              </w:rPr>
              <w:t>prioritisation</w:t>
            </w:r>
          </w:p>
        </w:tc>
        <w:tc>
          <w:tcPr>
            <w:tcW w:w="379" w:type="pct"/>
            <w:tcBorders>
              <w:top w:val="single" w:sz="4" w:space="0" w:color="auto"/>
              <w:left w:val="single" w:sz="4" w:space="0" w:color="auto"/>
              <w:bottom w:val="single" w:sz="4" w:space="0" w:color="auto"/>
              <w:right w:val="single" w:sz="4" w:space="0" w:color="auto"/>
            </w:tcBorders>
            <w:vAlign w:val="center"/>
          </w:tcPr>
          <w:p w14:paraId="05204209" w14:textId="756CA4A3" w:rsidR="00075613" w:rsidRDefault="00075613" w:rsidP="00075613">
            <w:pPr>
              <w:jc w:val="center"/>
              <w:rPr>
                <w:rFonts w:ascii="Calibri" w:hAnsi="Calibri"/>
                <w:sz w:val="20"/>
                <w:szCs w:val="20"/>
              </w:rPr>
            </w:pPr>
            <w:r>
              <w:rPr>
                <w:rFonts w:ascii="Calibri" w:hAnsi="Calibri"/>
                <w:sz w:val="20"/>
                <w:szCs w:val="20"/>
              </w:rPr>
              <w:t>6%</w:t>
            </w:r>
          </w:p>
        </w:tc>
      </w:tr>
      <w:tr w:rsidR="00075613" w14:paraId="58A45853" w14:textId="77777777" w:rsidTr="00B12430">
        <w:trPr>
          <w:trHeight w:val="561"/>
        </w:trPr>
        <w:tc>
          <w:tcPr>
            <w:tcW w:w="914" w:type="pct"/>
            <w:tcBorders>
              <w:top w:val="single" w:sz="4" w:space="0" w:color="auto"/>
              <w:left w:val="single" w:sz="4" w:space="0" w:color="auto"/>
              <w:bottom w:val="single" w:sz="4" w:space="0" w:color="auto"/>
              <w:right w:val="single" w:sz="4" w:space="0" w:color="auto"/>
            </w:tcBorders>
            <w:vAlign w:val="center"/>
            <w:hideMark/>
          </w:tcPr>
          <w:p w14:paraId="177BDD32" w14:textId="1000D582" w:rsidR="00075613" w:rsidRDefault="00075613" w:rsidP="00075613">
            <w:pPr>
              <w:jc w:val="left"/>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05E17B51" w14:textId="58CAD913" w:rsidR="00075613" w:rsidRDefault="00075613" w:rsidP="00075613">
            <w:pPr>
              <w:jc w:val="center"/>
              <w:rPr>
                <w:rFonts w:ascii="Calibri" w:hAnsi="Calibri"/>
                <w:sz w:val="20"/>
                <w:szCs w:val="20"/>
              </w:rPr>
            </w:pPr>
            <w:r>
              <w:rPr>
                <w:rFonts w:ascii="Calibri" w:hAnsi="Calibri"/>
                <w:sz w:val="20"/>
                <w:szCs w:val="20"/>
              </w:rPr>
              <w:t xml:space="preserve">8% </w:t>
            </w:r>
          </w:p>
        </w:tc>
        <w:tc>
          <w:tcPr>
            <w:tcW w:w="910" w:type="pct"/>
            <w:tcBorders>
              <w:top w:val="single" w:sz="4" w:space="0" w:color="auto"/>
              <w:left w:val="single" w:sz="4" w:space="0" w:color="auto"/>
              <w:bottom w:val="single" w:sz="4" w:space="0" w:color="auto"/>
              <w:right w:val="single" w:sz="4" w:space="0" w:color="auto"/>
            </w:tcBorders>
            <w:vAlign w:val="center"/>
          </w:tcPr>
          <w:p w14:paraId="36449616" w14:textId="2649441C" w:rsidR="00075613" w:rsidRDefault="00075613" w:rsidP="00075613">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003EA4A9" w14:textId="5734ADA1" w:rsidR="00075613" w:rsidRDefault="00075613" w:rsidP="00075613">
            <w:pPr>
              <w:jc w:val="center"/>
              <w:rPr>
                <w:rFonts w:ascii="Calibri" w:hAnsi="Calibri"/>
                <w:sz w:val="20"/>
                <w:szCs w:val="20"/>
              </w:rPr>
            </w:pPr>
            <w:r>
              <w:rPr>
                <w:rFonts w:ascii="Calibri" w:hAnsi="Calibri"/>
                <w:sz w:val="20"/>
                <w:szCs w:val="20"/>
              </w:rPr>
              <w:t xml:space="preserve">5% </w:t>
            </w:r>
          </w:p>
        </w:tc>
        <w:tc>
          <w:tcPr>
            <w:tcW w:w="913" w:type="pct"/>
            <w:tcBorders>
              <w:top w:val="single" w:sz="4" w:space="0" w:color="auto"/>
              <w:left w:val="single" w:sz="4" w:space="0" w:color="auto"/>
              <w:bottom w:val="single" w:sz="4" w:space="0" w:color="auto"/>
              <w:right w:val="single" w:sz="4" w:space="0" w:color="auto"/>
            </w:tcBorders>
            <w:vAlign w:val="center"/>
          </w:tcPr>
          <w:p w14:paraId="7E3F92A0" w14:textId="63575395" w:rsidR="00075613" w:rsidRDefault="00075613" w:rsidP="00075613">
            <w:pPr>
              <w:jc w:val="left"/>
              <w:rPr>
                <w:rFonts w:ascii="Calibri" w:hAnsi="Calibri"/>
                <w:sz w:val="20"/>
                <w:szCs w:val="20"/>
              </w:rPr>
            </w:pPr>
            <w:r>
              <w:rPr>
                <w:rFonts w:ascii="Calibri" w:hAnsi="Calibri"/>
                <w:sz w:val="20"/>
                <w:szCs w:val="20"/>
              </w:rPr>
              <w:t>Inadequate treatment</w:t>
            </w:r>
          </w:p>
        </w:tc>
        <w:tc>
          <w:tcPr>
            <w:tcW w:w="315" w:type="pct"/>
            <w:tcBorders>
              <w:top w:val="single" w:sz="4" w:space="0" w:color="auto"/>
              <w:left w:val="single" w:sz="4" w:space="0" w:color="auto"/>
              <w:bottom w:val="single" w:sz="4" w:space="0" w:color="auto"/>
              <w:right w:val="single" w:sz="4" w:space="0" w:color="auto"/>
            </w:tcBorders>
            <w:vAlign w:val="center"/>
          </w:tcPr>
          <w:p w14:paraId="67E8FCE9" w14:textId="182D5559" w:rsidR="00075613" w:rsidRDefault="00075613" w:rsidP="00075613">
            <w:pPr>
              <w:jc w:val="center"/>
              <w:rPr>
                <w:rFonts w:ascii="Calibri" w:hAnsi="Calibri"/>
                <w:sz w:val="20"/>
                <w:szCs w:val="20"/>
              </w:rPr>
            </w:pPr>
            <w:r>
              <w:rPr>
                <w:rFonts w:ascii="Calibri" w:hAnsi="Calibri"/>
                <w:sz w:val="20"/>
                <w:szCs w:val="20"/>
              </w:rPr>
              <w:t>6%</w:t>
            </w:r>
          </w:p>
        </w:tc>
        <w:tc>
          <w:tcPr>
            <w:tcW w:w="939" w:type="pct"/>
            <w:tcBorders>
              <w:top w:val="single" w:sz="4" w:space="0" w:color="auto"/>
              <w:left w:val="single" w:sz="4" w:space="0" w:color="auto"/>
              <w:bottom w:val="single" w:sz="4" w:space="0" w:color="auto"/>
              <w:right w:val="single" w:sz="4" w:space="0" w:color="auto"/>
            </w:tcBorders>
            <w:vAlign w:val="center"/>
          </w:tcPr>
          <w:p w14:paraId="703B5760" w14:textId="77777777" w:rsidR="00075613" w:rsidRDefault="00075613" w:rsidP="00075613">
            <w:pPr>
              <w:jc w:val="left"/>
              <w:rPr>
                <w:rFonts w:ascii="Calibri" w:hAnsi="Calibri"/>
                <w:sz w:val="20"/>
                <w:szCs w:val="20"/>
              </w:rPr>
            </w:pPr>
            <w:r>
              <w:rPr>
                <w:rFonts w:ascii="Calibri" w:hAnsi="Calibri"/>
                <w:sz w:val="20"/>
                <w:szCs w:val="20"/>
              </w:rPr>
              <w:t>Inadequate treatment</w:t>
            </w:r>
          </w:p>
        </w:tc>
        <w:tc>
          <w:tcPr>
            <w:tcW w:w="379" w:type="pct"/>
            <w:tcBorders>
              <w:top w:val="single" w:sz="4" w:space="0" w:color="auto"/>
              <w:left w:val="single" w:sz="4" w:space="0" w:color="auto"/>
              <w:bottom w:val="single" w:sz="4" w:space="0" w:color="auto"/>
              <w:right w:val="single" w:sz="4" w:space="0" w:color="auto"/>
            </w:tcBorders>
            <w:vAlign w:val="center"/>
          </w:tcPr>
          <w:p w14:paraId="2F93EAD2" w14:textId="77777777" w:rsidR="00075613" w:rsidRDefault="00075613" w:rsidP="00075613">
            <w:pPr>
              <w:jc w:val="center"/>
              <w:rPr>
                <w:rFonts w:ascii="Calibri" w:hAnsi="Calibri"/>
                <w:sz w:val="20"/>
                <w:szCs w:val="20"/>
              </w:rPr>
            </w:pPr>
            <w:r>
              <w:rPr>
                <w:rFonts w:ascii="Calibri" w:hAnsi="Calibri"/>
                <w:sz w:val="20"/>
                <w:szCs w:val="20"/>
              </w:rPr>
              <w:t>6%</w:t>
            </w:r>
          </w:p>
        </w:tc>
      </w:tr>
    </w:tbl>
    <w:p w14:paraId="33DD406B" w14:textId="12B56957" w:rsidR="00EB4A22" w:rsidRDefault="00EB4A22" w:rsidP="00EB4A22">
      <w:pPr>
        <w:spacing w:after="120"/>
        <w:rPr>
          <w:b/>
        </w:rPr>
      </w:pPr>
    </w:p>
    <w:p w14:paraId="5496E048" w14:textId="77777777" w:rsidR="001D4D95" w:rsidRDefault="001D4D95" w:rsidP="00EB4A22">
      <w:pPr>
        <w:spacing w:after="120"/>
        <w:rPr>
          <w:b/>
        </w:rPr>
      </w:pPr>
    </w:p>
    <w:p w14:paraId="42A6819C" w14:textId="57D5BC7E" w:rsidR="00F67C7F" w:rsidRDefault="00F67C7F" w:rsidP="00EB4A22">
      <w:pPr>
        <w:spacing w:after="120"/>
        <w:rPr>
          <w:b/>
        </w:rPr>
      </w:pPr>
    </w:p>
    <w:p w14:paraId="49FD21A9" w14:textId="77777777" w:rsidR="00EB4A22" w:rsidRPr="003D2C86" w:rsidRDefault="00EB4A22" w:rsidP="00932E72">
      <w:pPr>
        <w:pStyle w:val="Heading3"/>
      </w:pPr>
      <w:bookmarkStart w:id="63" w:name="_Toc71561658"/>
      <w:bookmarkStart w:id="64" w:name="_Toc90639024"/>
      <w:r>
        <w:lastRenderedPageBreak/>
        <w:t>4.2</w:t>
      </w:r>
      <w:r w:rsidRPr="00666BAC">
        <w:tab/>
      </w:r>
      <w:r>
        <w:t>All i</w:t>
      </w:r>
      <w:r w:rsidRPr="00666BAC">
        <w:t>ssues identified in complaints</w:t>
      </w:r>
      <w:bookmarkEnd w:id="63"/>
      <w:bookmarkEnd w:id="64"/>
      <w:r w:rsidRPr="00666BAC">
        <w:t xml:space="preserve"> </w:t>
      </w:r>
    </w:p>
    <w:p w14:paraId="0F01339A" w14:textId="77777777" w:rsidR="00EB4A22" w:rsidRDefault="00EB4A22" w:rsidP="00EB4A22">
      <w:pPr>
        <w:spacing w:after="480"/>
        <w:rPr>
          <w:rFonts w:ascii="Calibri" w:hAnsi="Calibri"/>
          <w:szCs w:val="22"/>
        </w:rPr>
      </w:pPr>
      <w:r>
        <w:rPr>
          <w:rFonts w:ascii="Calibri" w:hAnsi="Calibri"/>
          <w:szCs w:val="22"/>
        </w:rPr>
        <w:t xml:space="preserve">As well as the primary complaint issue, up to six additional complaint issues are identified for each complaint received by HDC. Table 10 includes these additional complaint issues, as well as the primary complaint issues, to show all issues identified in complaints received. </w:t>
      </w:r>
    </w:p>
    <w:p w14:paraId="3C25614E" w14:textId="77777777" w:rsidR="00EB4A22" w:rsidRDefault="00EB4A22" w:rsidP="00EB4A22">
      <w:pPr>
        <w:spacing w:after="120"/>
        <w:rPr>
          <w:rFonts w:ascii="Calibri" w:hAnsi="Calibri"/>
          <w:szCs w:val="22"/>
        </w:rPr>
      </w:pPr>
      <w:r>
        <w:rPr>
          <w:rFonts w:ascii="Calibri" w:hAnsi="Calibri"/>
          <w:b/>
          <w:szCs w:val="22"/>
        </w:rPr>
        <w:t xml:space="preserve">Table 10. </w:t>
      </w:r>
      <w:r>
        <w:rPr>
          <w:rFonts w:ascii="Calibri" w:hAnsi="Calibri"/>
          <w:szCs w:val="22"/>
        </w:rPr>
        <w:t>All issues identified in 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950AFA" w14:paraId="128D6CA5" w14:textId="77777777" w:rsidTr="00950AFA">
        <w:trPr>
          <w:tblHeader/>
        </w:trPr>
        <w:tc>
          <w:tcPr>
            <w:tcW w:w="5670" w:type="dxa"/>
            <w:tcBorders>
              <w:top w:val="single" w:sz="4" w:space="0" w:color="auto"/>
              <w:left w:val="single" w:sz="4" w:space="0" w:color="auto"/>
              <w:bottom w:val="single" w:sz="4" w:space="0" w:color="auto"/>
              <w:right w:val="single" w:sz="4" w:space="0" w:color="auto"/>
            </w:tcBorders>
            <w:shd w:val="clear" w:color="auto" w:fill="C00000"/>
            <w:hideMark/>
          </w:tcPr>
          <w:p w14:paraId="14223F6B" w14:textId="351F3C9D" w:rsidR="00950AFA" w:rsidRDefault="002F09C3" w:rsidP="00950AFA">
            <w:pPr>
              <w:keepNext/>
              <w:keepLines/>
              <w:tabs>
                <w:tab w:val="left" w:pos="1440"/>
                <w:tab w:val="decimal" w:pos="4320"/>
              </w:tabs>
              <w:spacing w:before="120"/>
              <w:jc w:val="left"/>
              <w:outlineLvl w:val="0"/>
              <w:rPr>
                <w:rFonts w:ascii="Calibri" w:hAnsi="Calibri"/>
                <w:b/>
                <w:szCs w:val="22"/>
              </w:rPr>
            </w:pPr>
            <w:r>
              <w:rPr>
                <w:rFonts w:ascii="Calibri" w:hAnsi="Calibri"/>
                <w:b/>
                <w:szCs w:val="22"/>
              </w:rPr>
              <w:t>All</w:t>
            </w:r>
            <w:r w:rsidR="00950AFA">
              <w:rPr>
                <w:rFonts w:ascii="Calibri" w:hAnsi="Calibri"/>
                <w:b/>
                <w:szCs w:val="22"/>
              </w:rPr>
              <w:t xml:space="preserve"> issue</w:t>
            </w:r>
            <w:r>
              <w:rPr>
                <w:rFonts w:ascii="Calibri" w:hAnsi="Calibri"/>
                <w:b/>
                <w:szCs w:val="22"/>
              </w:rPr>
              <w:t>s</w:t>
            </w:r>
            <w:r w:rsidR="00950AFA">
              <w:rPr>
                <w:rFonts w:ascii="Calibri" w:hAnsi="Calibri"/>
                <w:b/>
                <w:szCs w:val="22"/>
              </w:rPr>
              <w:t xml:space="preserve"> in complaints </w:t>
            </w:r>
          </w:p>
        </w:tc>
        <w:tc>
          <w:tcPr>
            <w:tcW w:w="1701" w:type="dxa"/>
            <w:tcBorders>
              <w:top w:val="single" w:sz="4" w:space="0" w:color="auto"/>
              <w:left w:val="single" w:sz="4" w:space="0" w:color="auto"/>
              <w:bottom w:val="single" w:sz="4" w:space="0" w:color="auto"/>
              <w:right w:val="single" w:sz="4" w:space="0" w:color="auto"/>
            </w:tcBorders>
            <w:shd w:val="clear" w:color="auto" w:fill="C00000"/>
            <w:hideMark/>
          </w:tcPr>
          <w:p w14:paraId="00E7B6BB" w14:textId="77777777" w:rsidR="00950AFA" w:rsidRDefault="00950AFA" w:rsidP="00950AFA">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shd w:val="clear" w:color="auto" w:fill="C00000"/>
            <w:hideMark/>
          </w:tcPr>
          <w:p w14:paraId="5459C2A7" w14:textId="77777777" w:rsidR="00950AFA" w:rsidRDefault="00950AFA" w:rsidP="00950AFA">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950AFA" w14:paraId="230D0727" w14:textId="77777777" w:rsidTr="00950AFA">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8DAB11" w14:textId="77777777" w:rsidR="00950AFA" w:rsidRDefault="00950AFA" w:rsidP="00950AFA">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87CB3" w14:textId="6159D5D0" w:rsidR="00950AFA" w:rsidRDefault="000E7FAF" w:rsidP="00950AFA">
            <w:pPr>
              <w:keepNext/>
              <w:keepLines/>
              <w:jc w:val="center"/>
              <w:rPr>
                <w:rFonts w:ascii="Calibri" w:hAnsi="Calibri" w:cs="Calibri"/>
                <w:b/>
                <w:i/>
                <w:color w:val="000000"/>
                <w:szCs w:val="22"/>
              </w:rPr>
            </w:pPr>
            <w:r>
              <w:rPr>
                <w:rFonts w:ascii="Calibri" w:hAnsi="Calibri" w:cs="Calibri"/>
                <w:b/>
                <w:i/>
                <w:color w:val="000000"/>
                <w:szCs w:val="22"/>
              </w:rPr>
              <w:t>130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4AA7B" w14:textId="62508174" w:rsidR="00950AFA" w:rsidRDefault="005001F0" w:rsidP="00950AFA">
            <w:pPr>
              <w:keepNext/>
              <w:keepLines/>
              <w:jc w:val="center"/>
              <w:rPr>
                <w:rFonts w:ascii="Calibri" w:hAnsi="Calibri" w:cs="Calibri"/>
                <w:b/>
                <w:i/>
                <w:color w:val="000000"/>
                <w:szCs w:val="22"/>
              </w:rPr>
            </w:pPr>
            <w:r>
              <w:rPr>
                <w:rFonts w:ascii="Calibri" w:hAnsi="Calibri" w:cs="Calibri"/>
                <w:b/>
                <w:i/>
                <w:color w:val="000000"/>
                <w:szCs w:val="22"/>
              </w:rPr>
              <w:t>24.4%</w:t>
            </w:r>
          </w:p>
        </w:tc>
      </w:tr>
      <w:tr w:rsidR="00950AFA" w14:paraId="76AFF47D"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45D82E2C" w14:textId="77777777" w:rsidR="00950AFA" w:rsidRDefault="00950AFA" w:rsidP="00950AFA">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14:paraId="11702102" w14:textId="58E3D9AD" w:rsidR="00950AFA" w:rsidRDefault="002F09C3" w:rsidP="00950AFA">
            <w:pPr>
              <w:keepNext/>
              <w:keepLines/>
              <w:jc w:val="center"/>
              <w:rPr>
                <w:rFonts w:ascii="Calibri" w:hAnsi="Calibri" w:cs="Calibri"/>
                <w:color w:val="000000"/>
                <w:szCs w:val="22"/>
              </w:rPr>
            </w:pPr>
            <w:r>
              <w:rPr>
                <w:rFonts w:ascii="Calibri" w:hAnsi="Calibri" w:cs="Calibri"/>
                <w:color w:val="000000"/>
                <w:szCs w:val="22"/>
              </w:rPr>
              <w:t>66</w:t>
            </w:r>
          </w:p>
        </w:tc>
        <w:tc>
          <w:tcPr>
            <w:tcW w:w="1418" w:type="dxa"/>
            <w:tcBorders>
              <w:top w:val="single" w:sz="4" w:space="0" w:color="auto"/>
              <w:left w:val="single" w:sz="4" w:space="0" w:color="auto"/>
              <w:bottom w:val="single" w:sz="4" w:space="0" w:color="auto"/>
              <w:right w:val="single" w:sz="4" w:space="0" w:color="auto"/>
            </w:tcBorders>
            <w:vAlign w:val="center"/>
          </w:tcPr>
          <w:p w14:paraId="15AF0719" w14:textId="12102798" w:rsidR="00950AFA" w:rsidRDefault="005001F0" w:rsidP="00950AFA">
            <w:pPr>
              <w:keepNext/>
              <w:keepLines/>
              <w:jc w:val="center"/>
              <w:rPr>
                <w:rFonts w:ascii="Calibri" w:hAnsi="Calibri" w:cs="Calibri"/>
                <w:color w:val="000000"/>
                <w:szCs w:val="22"/>
              </w:rPr>
            </w:pPr>
            <w:r>
              <w:rPr>
                <w:rFonts w:ascii="Calibri" w:hAnsi="Calibri" w:cs="Calibri"/>
                <w:color w:val="000000"/>
                <w:szCs w:val="22"/>
              </w:rPr>
              <w:t>12.4%</w:t>
            </w:r>
          </w:p>
        </w:tc>
      </w:tr>
      <w:tr w:rsidR="00950AFA" w14:paraId="02A777B1"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57435845" w14:textId="77777777" w:rsidR="00950AFA" w:rsidRDefault="00950AFA" w:rsidP="00950AFA">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14:paraId="4D9E2875" w14:textId="7C5947BF" w:rsidR="00950AFA" w:rsidRDefault="000E7FAF" w:rsidP="00950AFA">
            <w:pPr>
              <w:keepNext/>
              <w:keepLines/>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4782DEBB" w14:textId="08A28004" w:rsidR="00950AFA" w:rsidRDefault="005001F0" w:rsidP="00950AFA">
            <w:pPr>
              <w:keepNext/>
              <w:keepLines/>
              <w:jc w:val="center"/>
              <w:rPr>
                <w:rFonts w:ascii="Calibri" w:hAnsi="Calibri" w:cs="Calibri"/>
                <w:color w:val="000000"/>
                <w:szCs w:val="22"/>
              </w:rPr>
            </w:pPr>
            <w:r>
              <w:rPr>
                <w:rFonts w:ascii="Calibri" w:hAnsi="Calibri" w:cs="Calibri"/>
                <w:color w:val="000000"/>
                <w:szCs w:val="22"/>
              </w:rPr>
              <w:t>2.2%</w:t>
            </w:r>
          </w:p>
        </w:tc>
      </w:tr>
      <w:tr w:rsidR="00950AFA" w14:paraId="02FF7E47"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6DA766EA" w14:textId="77777777" w:rsidR="00950AFA" w:rsidRDefault="00950AFA" w:rsidP="00950AFA">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14:paraId="4A23FFE4" w14:textId="6F3B9DAD" w:rsidR="00950AFA" w:rsidRDefault="002F09C3" w:rsidP="00950AFA">
            <w:pPr>
              <w:keepNext/>
              <w:keepLines/>
              <w:jc w:val="center"/>
              <w:rPr>
                <w:rFonts w:ascii="Calibri" w:hAnsi="Calibri" w:cs="Calibri"/>
                <w:color w:val="000000"/>
                <w:szCs w:val="22"/>
              </w:rPr>
            </w:pPr>
            <w:r>
              <w:rPr>
                <w:rFonts w:ascii="Calibri" w:hAnsi="Calibri" w:cs="Calibri"/>
                <w:color w:val="000000"/>
                <w:szCs w:val="22"/>
              </w:rPr>
              <w:t>53</w:t>
            </w:r>
          </w:p>
        </w:tc>
        <w:tc>
          <w:tcPr>
            <w:tcW w:w="1418" w:type="dxa"/>
            <w:tcBorders>
              <w:top w:val="single" w:sz="4" w:space="0" w:color="auto"/>
              <w:left w:val="single" w:sz="4" w:space="0" w:color="auto"/>
              <w:bottom w:val="single" w:sz="4" w:space="0" w:color="auto"/>
              <w:right w:val="single" w:sz="4" w:space="0" w:color="auto"/>
            </w:tcBorders>
            <w:vAlign w:val="center"/>
          </w:tcPr>
          <w:p w14:paraId="621CB959" w14:textId="0391DC56" w:rsidR="00950AFA" w:rsidRDefault="005001F0" w:rsidP="00950AFA">
            <w:pPr>
              <w:keepNext/>
              <w:keepLines/>
              <w:jc w:val="center"/>
              <w:rPr>
                <w:rFonts w:ascii="Calibri" w:hAnsi="Calibri" w:cs="Calibri"/>
                <w:color w:val="000000"/>
                <w:szCs w:val="22"/>
              </w:rPr>
            </w:pPr>
            <w:r>
              <w:rPr>
                <w:rFonts w:ascii="Calibri" w:hAnsi="Calibri" w:cs="Calibri"/>
                <w:color w:val="000000"/>
                <w:szCs w:val="22"/>
              </w:rPr>
              <w:t>10.0%</w:t>
            </w:r>
          </w:p>
        </w:tc>
      </w:tr>
      <w:tr w:rsidR="00950AFA" w14:paraId="5FF6E887" w14:textId="77777777" w:rsidTr="00950AFA">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9C0F56" w14:textId="77777777" w:rsidR="00950AFA" w:rsidRDefault="00950AFA" w:rsidP="00950AFA">
            <w:pPr>
              <w:keepNext/>
              <w:keepLines/>
              <w:tabs>
                <w:tab w:val="left" w:pos="176"/>
              </w:tabs>
              <w:jc w:val="left"/>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509CB" w14:textId="77777777" w:rsidR="00950AFA" w:rsidRDefault="00950AFA" w:rsidP="00950AFA">
            <w:pPr>
              <w:keepNext/>
              <w:keepLines/>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5A064" w14:textId="61B21090" w:rsidR="00950AFA" w:rsidRDefault="005001F0" w:rsidP="00950AFA">
            <w:pPr>
              <w:keepNext/>
              <w:keepLines/>
              <w:jc w:val="center"/>
              <w:rPr>
                <w:rFonts w:ascii="Calibri" w:hAnsi="Calibri" w:cs="Calibri"/>
                <w:b/>
                <w:i/>
                <w:color w:val="000000"/>
                <w:szCs w:val="22"/>
              </w:rPr>
            </w:pPr>
            <w:r>
              <w:rPr>
                <w:rFonts w:ascii="Calibri" w:hAnsi="Calibri" w:cs="Calibri"/>
                <w:b/>
                <w:i/>
                <w:color w:val="000000"/>
                <w:szCs w:val="22"/>
              </w:rPr>
              <w:t>0.4%</w:t>
            </w:r>
          </w:p>
        </w:tc>
      </w:tr>
      <w:tr w:rsidR="00950AFA" w14:paraId="028577A6" w14:textId="77777777" w:rsidTr="00950AFA">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E4378D5" w14:textId="77777777" w:rsidR="00950AFA" w:rsidRDefault="00950AFA" w:rsidP="00950AFA">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F4B8A" w14:textId="23E4296A" w:rsidR="00950AFA" w:rsidRDefault="008B5B14" w:rsidP="00950AFA">
            <w:pPr>
              <w:keepNext/>
              <w:keepLines/>
              <w:jc w:val="center"/>
              <w:rPr>
                <w:rFonts w:ascii="Calibri" w:hAnsi="Calibri" w:cs="Calibri"/>
                <w:b/>
                <w:i/>
                <w:color w:val="000000"/>
                <w:szCs w:val="22"/>
              </w:rPr>
            </w:pPr>
            <w:r>
              <w:rPr>
                <w:rFonts w:ascii="Calibri" w:hAnsi="Calibri" w:cs="Calibri"/>
                <w:b/>
                <w:i/>
                <w:color w:val="000000"/>
                <w:szCs w:val="22"/>
              </w:rPr>
              <w:t>418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9D8A" w14:textId="1F37103B" w:rsidR="00950AFA" w:rsidRDefault="005001F0" w:rsidP="00950AFA">
            <w:pPr>
              <w:keepNext/>
              <w:keepLines/>
              <w:jc w:val="center"/>
              <w:rPr>
                <w:rFonts w:ascii="Calibri" w:hAnsi="Calibri" w:cs="Calibri"/>
                <w:b/>
                <w:i/>
                <w:color w:val="000000"/>
                <w:szCs w:val="22"/>
              </w:rPr>
            </w:pPr>
            <w:r>
              <w:rPr>
                <w:rFonts w:ascii="Calibri" w:hAnsi="Calibri" w:cs="Calibri"/>
                <w:b/>
                <w:i/>
                <w:color w:val="000000"/>
                <w:szCs w:val="22"/>
              </w:rPr>
              <w:t>78.6%</w:t>
            </w:r>
          </w:p>
        </w:tc>
      </w:tr>
      <w:tr w:rsidR="00950AFA" w14:paraId="2369F690"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554BDDD7" w14:textId="77777777" w:rsidR="00950AFA" w:rsidRDefault="00950AFA" w:rsidP="00950AFA">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14:paraId="5A8A6656" w14:textId="4FDAB43F" w:rsidR="00950AFA" w:rsidRDefault="000E7FAF" w:rsidP="00950AFA">
            <w:pPr>
              <w:keepNext/>
              <w:keepLines/>
              <w:jc w:val="center"/>
              <w:rPr>
                <w:rFonts w:ascii="Calibri" w:hAnsi="Calibri" w:cs="Calibri"/>
                <w:color w:val="000000"/>
                <w:szCs w:val="22"/>
              </w:rPr>
            </w:pPr>
            <w:r>
              <w:rPr>
                <w:rFonts w:ascii="Calibri" w:hAnsi="Calibri" w:cs="Calibri"/>
                <w:color w:val="000000"/>
                <w:szCs w:val="22"/>
              </w:rPr>
              <w:t>118</w:t>
            </w:r>
          </w:p>
        </w:tc>
        <w:tc>
          <w:tcPr>
            <w:tcW w:w="1418" w:type="dxa"/>
            <w:tcBorders>
              <w:top w:val="single" w:sz="4" w:space="0" w:color="auto"/>
              <w:left w:val="single" w:sz="4" w:space="0" w:color="auto"/>
              <w:bottom w:val="single" w:sz="4" w:space="0" w:color="auto"/>
              <w:right w:val="single" w:sz="4" w:space="0" w:color="auto"/>
            </w:tcBorders>
            <w:vAlign w:val="center"/>
          </w:tcPr>
          <w:p w14:paraId="0A84CAEF" w14:textId="2BD3C545" w:rsidR="00950AFA" w:rsidRDefault="005001F0" w:rsidP="00950AFA">
            <w:pPr>
              <w:keepNext/>
              <w:keepLines/>
              <w:jc w:val="center"/>
              <w:rPr>
                <w:rFonts w:ascii="Calibri" w:hAnsi="Calibri" w:cs="Calibri"/>
                <w:color w:val="000000"/>
                <w:szCs w:val="22"/>
              </w:rPr>
            </w:pPr>
            <w:r>
              <w:rPr>
                <w:rFonts w:ascii="Calibri" w:hAnsi="Calibri" w:cs="Calibri"/>
                <w:color w:val="000000"/>
                <w:szCs w:val="22"/>
              </w:rPr>
              <w:t>22.2%</w:t>
            </w:r>
          </w:p>
        </w:tc>
      </w:tr>
      <w:tr w:rsidR="00950AFA" w14:paraId="6BE8DDA1" w14:textId="77777777" w:rsidTr="00950AFA">
        <w:tc>
          <w:tcPr>
            <w:tcW w:w="5670" w:type="dxa"/>
            <w:tcBorders>
              <w:top w:val="single" w:sz="4" w:space="0" w:color="auto"/>
              <w:left w:val="single" w:sz="4" w:space="0" w:color="auto"/>
              <w:bottom w:val="single" w:sz="4" w:space="0" w:color="auto"/>
              <w:right w:val="single" w:sz="4" w:space="0" w:color="auto"/>
            </w:tcBorders>
            <w:vAlign w:val="bottom"/>
          </w:tcPr>
          <w:p w14:paraId="3324AD95" w14:textId="77777777" w:rsidR="00950AFA" w:rsidRDefault="00950AFA" w:rsidP="00950AFA">
            <w:pPr>
              <w:tabs>
                <w:tab w:val="left" w:pos="204"/>
              </w:tabs>
              <w:ind w:firstLine="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14:paraId="2123FA9B" w14:textId="3E40B9D3" w:rsidR="00950AFA" w:rsidRDefault="00D51C44" w:rsidP="00950AFA">
            <w:pPr>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14:paraId="7C51DF1A" w14:textId="05E51484" w:rsidR="00950AFA" w:rsidRDefault="005001F0" w:rsidP="00950AFA">
            <w:pPr>
              <w:jc w:val="center"/>
              <w:rPr>
                <w:rFonts w:ascii="Calibri" w:hAnsi="Calibri" w:cs="Calibri"/>
                <w:color w:val="000000"/>
                <w:szCs w:val="22"/>
              </w:rPr>
            </w:pPr>
            <w:r>
              <w:rPr>
                <w:rFonts w:ascii="Calibri" w:hAnsi="Calibri" w:cs="Calibri"/>
                <w:color w:val="000000"/>
                <w:szCs w:val="22"/>
              </w:rPr>
              <w:t>3.9%</w:t>
            </w:r>
          </w:p>
        </w:tc>
      </w:tr>
      <w:tr w:rsidR="00950AFA" w14:paraId="06BFC6E0"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5F8B6CFC" w14:textId="77777777" w:rsidR="00950AFA" w:rsidRDefault="00950AFA" w:rsidP="00950AFA">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14:paraId="02E0F75C" w14:textId="0D5D0C89" w:rsidR="00950AFA" w:rsidRDefault="00B65A71" w:rsidP="00950AFA">
            <w:pPr>
              <w:jc w:val="center"/>
              <w:rPr>
                <w:rFonts w:ascii="Calibri" w:hAnsi="Calibri" w:cs="Calibri"/>
                <w:color w:val="000000"/>
                <w:szCs w:val="22"/>
              </w:rPr>
            </w:pPr>
            <w:r>
              <w:rPr>
                <w:rFonts w:ascii="Calibri" w:hAnsi="Calibri" w:cs="Calibri"/>
                <w:color w:val="000000"/>
                <w:szCs w:val="22"/>
              </w:rPr>
              <w:t>98</w:t>
            </w:r>
          </w:p>
        </w:tc>
        <w:tc>
          <w:tcPr>
            <w:tcW w:w="1418" w:type="dxa"/>
            <w:tcBorders>
              <w:top w:val="single" w:sz="4" w:space="0" w:color="auto"/>
              <w:left w:val="single" w:sz="4" w:space="0" w:color="auto"/>
              <w:bottom w:val="single" w:sz="4" w:space="0" w:color="auto"/>
              <w:right w:val="single" w:sz="4" w:space="0" w:color="auto"/>
            </w:tcBorders>
            <w:vAlign w:val="center"/>
          </w:tcPr>
          <w:p w14:paraId="0B7E48E9" w14:textId="02F82187" w:rsidR="00950AFA" w:rsidRDefault="005001F0" w:rsidP="00950AFA">
            <w:pPr>
              <w:jc w:val="center"/>
              <w:rPr>
                <w:rFonts w:ascii="Calibri" w:hAnsi="Calibri" w:cs="Calibri"/>
                <w:color w:val="000000"/>
                <w:szCs w:val="22"/>
              </w:rPr>
            </w:pPr>
            <w:r>
              <w:rPr>
                <w:rFonts w:ascii="Calibri" w:hAnsi="Calibri" w:cs="Calibri"/>
                <w:color w:val="000000"/>
                <w:szCs w:val="22"/>
              </w:rPr>
              <w:t>18.4%</w:t>
            </w:r>
          </w:p>
        </w:tc>
      </w:tr>
      <w:tr w:rsidR="00950AFA" w14:paraId="6D5E950A"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063D3AA3" w14:textId="77777777" w:rsidR="00950AFA" w:rsidRDefault="00950AFA" w:rsidP="00950AFA">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14:paraId="75FF3D6E" w14:textId="7180C211" w:rsidR="00950AFA" w:rsidRDefault="000E7FAF" w:rsidP="00950AFA">
            <w:pPr>
              <w:jc w:val="center"/>
              <w:rPr>
                <w:rFonts w:ascii="Calibri" w:hAnsi="Calibri" w:cs="Calibri"/>
                <w:color w:val="000000"/>
                <w:szCs w:val="22"/>
              </w:rPr>
            </w:pPr>
            <w:r>
              <w:rPr>
                <w:rFonts w:ascii="Calibri" w:hAnsi="Calibri" w:cs="Calibri"/>
                <w:color w:val="000000"/>
                <w:szCs w:val="22"/>
              </w:rPr>
              <w:t>179</w:t>
            </w:r>
          </w:p>
        </w:tc>
        <w:tc>
          <w:tcPr>
            <w:tcW w:w="1418" w:type="dxa"/>
            <w:tcBorders>
              <w:top w:val="single" w:sz="4" w:space="0" w:color="auto"/>
              <w:left w:val="single" w:sz="4" w:space="0" w:color="auto"/>
              <w:bottom w:val="single" w:sz="4" w:space="0" w:color="auto"/>
              <w:right w:val="single" w:sz="4" w:space="0" w:color="auto"/>
            </w:tcBorders>
            <w:vAlign w:val="center"/>
          </w:tcPr>
          <w:p w14:paraId="5BE4A36E" w14:textId="77AF79FC" w:rsidR="00950AFA" w:rsidRDefault="005001F0" w:rsidP="00950AFA">
            <w:pPr>
              <w:jc w:val="center"/>
              <w:rPr>
                <w:rFonts w:ascii="Calibri" w:hAnsi="Calibri" w:cs="Calibri"/>
                <w:color w:val="000000"/>
                <w:szCs w:val="22"/>
              </w:rPr>
            </w:pPr>
            <w:r>
              <w:rPr>
                <w:rFonts w:ascii="Calibri" w:hAnsi="Calibri" w:cs="Calibri"/>
                <w:color w:val="000000"/>
                <w:szCs w:val="22"/>
              </w:rPr>
              <w:t>33.6%</w:t>
            </w:r>
          </w:p>
        </w:tc>
      </w:tr>
      <w:tr w:rsidR="00950AFA" w14:paraId="066847CE"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608897EB" w14:textId="77777777" w:rsidR="00950AFA" w:rsidRDefault="00950AFA" w:rsidP="00950AFA">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14:paraId="7338F2CD" w14:textId="5F7DD4AF" w:rsidR="00950AFA" w:rsidRDefault="00B65A71" w:rsidP="00950AFA">
            <w:pPr>
              <w:jc w:val="center"/>
              <w:rPr>
                <w:rFonts w:ascii="Calibri" w:hAnsi="Calibri" w:cs="Calibri"/>
                <w:color w:val="000000"/>
                <w:szCs w:val="22"/>
              </w:rPr>
            </w:pPr>
            <w:r>
              <w:rPr>
                <w:rFonts w:ascii="Calibri" w:hAnsi="Calibri" w:cs="Calibri"/>
                <w:color w:val="000000"/>
                <w:szCs w:val="22"/>
              </w:rPr>
              <w:t>14</w:t>
            </w:r>
            <w:r w:rsidR="00C47184">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6AC799E8" w14:textId="48250138" w:rsidR="00950AFA" w:rsidRDefault="005001F0" w:rsidP="00950AFA">
            <w:pPr>
              <w:jc w:val="center"/>
              <w:rPr>
                <w:rFonts w:ascii="Calibri" w:hAnsi="Calibri" w:cs="Calibri"/>
                <w:color w:val="000000"/>
                <w:szCs w:val="22"/>
              </w:rPr>
            </w:pPr>
            <w:r>
              <w:rPr>
                <w:rFonts w:ascii="Calibri" w:hAnsi="Calibri" w:cs="Calibri"/>
                <w:color w:val="000000"/>
                <w:szCs w:val="22"/>
              </w:rPr>
              <w:t>27.8%</w:t>
            </w:r>
          </w:p>
        </w:tc>
      </w:tr>
      <w:tr w:rsidR="00950AFA" w14:paraId="4C0C0620"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69975A50" w14:textId="77777777" w:rsidR="00950AFA" w:rsidRDefault="00950AFA" w:rsidP="00950AFA">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14:paraId="6E709CE8" w14:textId="6E6DFA55" w:rsidR="00950AFA" w:rsidRDefault="000E7FAF" w:rsidP="00950AFA">
            <w:pPr>
              <w:jc w:val="center"/>
              <w:rPr>
                <w:rFonts w:ascii="Calibri" w:hAnsi="Calibri" w:cs="Calibri"/>
                <w:color w:val="000000"/>
                <w:szCs w:val="22"/>
              </w:rPr>
            </w:pPr>
            <w:r>
              <w:rPr>
                <w:rFonts w:ascii="Calibri" w:hAnsi="Calibri" w:cs="Calibri"/>
                <w:color w:val="000000"/>
                <w:szCs w:val="22"/>
              </w:rPr>
              <w:t>73</w:t>
            </w:r>
          </w:p>
        </w:tc>
        <w:tc>
          <w:tcPr>
            <w:tcW w:w="1418" w:type="dxa"/>
            <w:tcBorders>
              <w:top w:val="single" w:sz="4" w:space="0" w:color="auto"/>
              <w:left w:val="single" w:sz="4" w:space="0" w:color="auto"/>
              <w:bottom w:val="single" w:sz="4" w:space="0" w:color="auto"/>
              <w:right w:val="single" w:sz="4" w:space="0" w:color="auto"/>
            </w:tcBorders>
            <w:vAlign w:val="center"/>
          </w:tcPr>
          <w:p w14:paraId="7140550F" w14:textId="5533CA1E" w:rsidR="00950AFA" w:rsidRDefault="005001F0" w:rsidP="00950AFA">
            <w:pPr>
              <w:jc w:val="center"/>
              <w:rPr>
                <w:rFonts w:ascii="Calibri" w:hAnsi="Calibri" w:cs="Calibri"/>
                <w:color w:val="000000"/>
                <w:szCs w:val="22"/>
              </w:rPr>
            </w:pPr>
            <w:r>
              <w:rPr>
                <w:rFonts w:ascii="Calibri" w:hAnsi="Calibri" w:cs="Calibri"/>
                <w:color w:val="000000"/>
                <w:szCs w:val="22"/>
              </w:rPr>
              <w:t>13.7%</w:t>
            </w:r>
          </w:p>
        </w:tc>
      </w:tr>
      <w:tr w:rsidR="00950AFA" w14:paraId="00A0A79F"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0453E633" w14:textId="77777777" w:rsidR="00950AFA" w:rsidRDefault="00950AFA" w:rsidP="00950AFA">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14:paraId="21B2ED93" w14:textId="646B2B81" w:rsidR="00950AFA" w:rsidRDefault="00C47184" w:rsidP="00950AFA">
            <w:pPr>
              <w:jc w:val="center"/>
              <w:rPr>
                <w:rFonts w:ascii="Calibri" w:hAnsi="Calibri" w:cs="Calibri"/>
                <w:color w:val="000000"/>
                <w:szCs w:val="22"/>
              </w:rPr>
            </w:pPr>
            <w:r>
              <w:rPr>
                <w:rFonts w:ascii="Calibri" w:hAnsi="Calibri" w:cs="Calibri"/>
                <w:color w:val="000000"/>
                <w:szCs w:val="22"/>
              </w:rPr>
              <w:t>53</w:t>
            </w:r>
          </w:p>
        </w:tc>
        <w:tc>
          <w:tcPr>
            <w:tcW w:w="1418" w:type="dxa"/>
            <w:tcBorders>
              <w:top w:val="single" w:sz="4" w:space="0" w:color="auto"/>
              <w:left w:val="single" w:sz="4" w:space="0" w:color="auto"/>
              <w:bottom w:val="single" w:sz="4" w:space="0" w:color="auto"/>
              <w:right w:val="single" w:sz="4" w:space="0" w:color="auto"/>
            </w:tcBorders>
            <w:vAlign w:val="center"/>
          </w:tcPr>
          <w:p w14:paraId="6850D8F9" w14:textId="5397C656" w:rsidR="00950AFA" w:rsidRDefault="005001F0" w:rsidP="00950AFA">
            <w:pPr>
              <w:jc w:val="center"/>
              <w:rPr>
                <w:rFonts w:ascii="Calibri" w:hAnsi="Calibri" w:cs="Calibri"/>
                <w:color w:val="000000"/>
                <w:szCs w:val="22"/>
              </w:rPr>
            </w:pPr>
            <w:r>
              <w:rPr>
                <w:rFonts w:ascii="Calibri" w:hAnsi="Calibri" w:cs="Calibri"/>
                <w:color w:val="000000"/>
                <w:szCs w:val="22"/>
              </w:rPr>
              <w:t>10.0%</w:t>
            </w:r>
          </w:p>
        </w:tc>
      </w:tr>
      <w:tr w:rsidR="00950AFA" w14:paraId="2C9A5A18"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2E4B261A" w14:textId="77777777" w:rsidR="00950AFA" w:rsidRDefault="00950AFA" w:rsidP="00950AFA">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14:paraId="140174C9" w14:textId="48083F85" w:rsidR="00950AFA" w:rsidRDefault="000E7FAF" w:rsidP="00950AFA">
            <w:pPr>
              <w:jc w:val="center"/>
              <w:rPr>
                <w:rFonts w:ascii="Calibri" w:hAnsi="Calibri" w:cs="Calibri"/>
                <w:color w:val="000000"/>
                <w:szCs w:val="22"/>
              </w:rPr>
            </w:pPr>
            <w:r>
              <w:rPr>
                <w:rFonts w:ascii="Calibri" w:hAnsi="Calibri" w:cs="Calibri"/>
                <w:color w:val="000000"/>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14:paraId="16EA10FC" w14:textId="0FB5D685" w:rsidR="00950AFA" w:rsidRDefault="005001F0" w:rsidP="00950AFA">
            <w:pPr>
              <w:jc w:val="center"/>
              <w:rPr>
                <w:rFonts w:ascii="Calibri" w:hAnsi="Calibri" w:cs="Calibri"/>
                <w:color w:val="000000"/>
                <w:szCs w:val="22"/>
              </w:rPr>
            </w:pPr>
            <w:r>
              <w:rPr>
                <w:rFonts w:ascii="Calibri" w:hAnsi="Calibri" w:cs="Calibri"/>
                <w:color w:val="000000"/>
                <w:szCs w:val="22"/>
              </w:rPr>
              <w:t>6.0%</w:t>
            </w:r>
          </w:p>
        </w:tc>
      </w:tr>
      <w:tr w:rsidR="00950AFA" w14:paraId="27806012" w14:textId="77777777" w:rsidTr="00950AFA">
        <w:tc>
          <w:tcPr>
            <w:tcW w:w="5670" w:type="dxa"/>
            <w:tcBorders>
              <w:top w:val="single" w:sz="4" w:space="0" w:color="auto"/>
              <w:left w:val="single" w:sz="4" w:space="0" w:color="auto"/>
              <w:bottom w:val="single" w:sz="4" w:space="0" w:color="auto"/>
              <w:right w:val="single" w:sz="4" w:space="0" w:color="auto"/>
            </w:tcBorders>
            <w:vAlign w:val="bottom"/>
          </w:tcPr>
          <w:p w14:paraId="387F11F0" w14:textId="77777777" w:rsidR="00950AFA" w:rsidRDefault="00950AFA" w:rsidP="00950AFA">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14:paraId="7DE003C1" w14:textId="6D5C5477" w:rsidR="00950AFA" w:rsidRDefault="00C47184" w:rsidP="00950AFA">
            <w:pPr>
              <w:jc w:val="center"/>
              <w:rPr>
                <w:rFonts w:ascii="Calibri" w:hAnsi="Calibri" w:cs="Calibri"/>
                <w:color w:val="000000"/>
                <w:szCs w:val="22"/>
              </w:rPr>
            </w:pPr>
            <w:r>
              <w:rPr>
                <w:rFonts w:ascii="Calibri" w:hAnsi="Calibri" w:cs="Calibri"/>
                <w:color w:val="000000"/>
                <w:szCs w:val="22"/>
              </w:rPr>
              <w:t>5</w:t>
            </w:r>
            <w:r w:rsidR="000E7FAF">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14:paraId="15FD0A49" w14:textId="395D9D4C" w:rsidR="00950AFA" w:rsidRDefault="005001F0" w:rsidP="00950AFA">
            <w:pPr>
              <w:jc w:val="center"/>
              <w:rPr>
                <w:rFonts w:ascii="Calibri" w:hAnsi="Calibri" w:cs="Calibri"/>
                <w:color w:val="000000"/>
                <w:szCs w:val="22"/>
              </w:rPr>
            </w:pPr>
            <w:r>
              <w:rPr>
                <w:rFonts w:ascii="Calibri" w:hAnsi="Calibri" w:cs="Calibri"/>
                <w:color w:val="000000"/>
                <w:szCs w:val="22"/>
              </w:rPr>
              <w:t>10.9%</w:t>
            </w:r>
          </w:p>
        </w:tc>
      </w:tr>
      <w:tr w:rsidR="00950AFA" w14:paraId="263BE84C" w14:textId="77777777" w:rsidTr="00950AFA">
        <w:tc>
          <w:tcPr>
            <w:tcW w:w="5670" w:type="dxa"/>
            <w:tcBorders>
              <w:top w:val="single" w:sz="4" w:space="0" w:color="auto"/>
              <w:left w:val="single" w:sz="4" w:space="0" w:color="auto"/>
              <w:bottom w:val="single" w:sz="4" w:space="0" w:color="auto"/>
              <w:right w:val="single" w:sz="4" w:space="0" w:color="auto"/>
            </w:tcBorders>
          </w:tcPr>
          <w:p w14:paraId="02F26C4F"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14:paraId="2931B70B" w14:textId="0D1D1756" w:rsidR="00950AFA" w:rsidRDefault="00C47184" w:rsidP="00950AFA">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7347D825" w14:textId="06A07FC1" w:rsidR="00950AFA" w:rsidRDefault="005001F0" w:rsidP="00950AFA">
            <w:pPr>
              <w:widowControl w:val="0"/>
              <w:jc w:val="center"/>
              <w:rPr>
                <w:rFonts w:ascii="Calibri" w:hAnsi="Calibri" w:cs="Calibri"/>
                <w:color w:val="000000"/>
                <w:szCs w:val="22"/>
              </w:rPr>
            </w:pPr>
            <w:r>
              <w:rPr>
                <w:rFonts w:ascii="Calibri" w:hAnsi="Calibri" w:cs="Calibri"/>
                <w:color w:val="000000"/>
                <w:szCs w:val="22"/>
              </w:rPr>
              <w:t>2.1%</w:t>
            </w:r>
          </w:p>
        </w:tc>
      </w:tr>
      <w:tr w:rsidR="00950AFA" w14:paraId="4F303A20"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634B71F7"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14:paraId="60600012" w14:textId="608C2FB4" w:rsidR="00950AFA" w:rsidRDefault="000E7FAF" w:rsidP="00950AFA">
            <w:pPr>
              <w:widowControl w:val="0"/>
              <w:jc w:val="center"/>
              <w:rPr>
                <w:rFonts w:ascii="Calibri" w:hAnsi="Calibri" w:cs="Calibri"/>
                <w:color w:val="000000"/>
                <w:szCs w:val="22"/>
              </w:rPr>
            </w:pPr>
            <w:r>
              <w:rPr>
                <w:rFonts w:ascii="Calibri" w:hAnsi="Calibri" w:cs="Calibri"/>
                <w:color w:val="000000"/>
                <w:szCs w:val="22"/>
              </w:rPr>
              <w:t>65</w:t>
            </w:r>
          </w:p>
        </w:tc>
        <w:tc>
          <w:tcPr>
            <w:tcW w:w="1418" w:type="dxa"/>
            <w:tcBorders>
              <w:top w:val="single" w:sz="4" w:space="0" w:color="auto"/>
              <w:left w:val="single" w:sz="4" w:space="0" w:color="auto"/>
              <w:bottom w:val="single" w:sz="4" w:space="0" w:color="auto"/>
              <w:right w:val="single" w:sz="4" w:space="0" w:color="auto"/>
            </w:tcBorders>
            <w:vAlign w:val="center"/>
          </w:tcPr>
          <w:p w14:paraId="5DEFAF98" w14:textId="2AF7DDB4" w:rsidR="00950AFA" w:rsidRDefault="005001F0" w:rsidP="00950AFA">
            <w:pPr>
              <w:widowControl w:val="0"/>
              <w:jc w:val="center"/>
              <w:rPr>
                <w:rFonts w:ascii="Calibri" w:hAnsi="Calibri" w:cs="Calibri"/>
                <w:color w:val="000000"/>
                <w:szCs w:val="22"/>
              </w:rPr>
            </w:pPr>
            <w:r>
              <w:rPr>
                <w:rFonts w:ascii="Calibri" w:hAnsi="Calibri" w:cs="Calibri"/>
                <w:color w:val="000000"/>
                <w:szCs w:val="22"/>
              </w:rPr>
              <w:t>12.2%</w:t>
            </w:r>
          </w:p>
        </w:tc>
      </w:tr>
      <w:tr w:rsidR="00950AFA" w14:paraId="35E4FCD5" w14:textId="77777777" w:rsidTr="00950AFA">
        <w:tc>
          <w:tcPr>
            <w:tcW w:w="5670" w:type="dxa"/>
            <w:tcBorders>
              <w:top w:val="single" w:sz="4" w:space="0" w:color="auto"/>
              <w:left w:val="single" w:sz="4" w:space="0" w:color="auto"/>
              <w:bottom w:val="single" w:sz="4" w:space="0" w:color="auto"/>
              <w:right w:val="single" w:sz="4" w:space="0" w:color="auto"/>
            </w:tcBorders>
            <w:vAlign w:val="bottom"/>
            <w:hideMark/>
          </w:tcPr>
          <w:p w14:paraId="0832CAA6" w14:textId="77777777" w:rsidR="00950AFA" w:rsidRDefault="00950AFA" w:rsidP="00950AFA">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14:paraId="1F9500CC" w14:textId="458AFF4A" w:rsidR="00950AFA" w:rsidRDefault="00C47184" w:rsidP="00950AFA">
            <w:pPr>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324C5851" w14:textId="4E8A8B2C" w:rsidR="00950AFA" w:rsidRDefault="005001F0" w:rsidP="00950AFA">
            <w:pPr>
              <w:jc w:val="center"/>
              <w:rPr>
                <w:rFonts w:ascii="Calibri" w:hAnsi="Calibri" w:cs="Calibri"/>
                <w:color w:val="000000"/>
                <w:szCs w:val="22"/>
              </w:rPr>
            </w:pPr>
            <w:r>
              <w:rPr>
                <w:rFonts w:ascii="Calibri" w:hAnsi="Calibri" w:cs="Calibri"/>
                <w:color w:val="000000"/>
                <w:szCs w:val="22"/>
              </w:rPr>
              <w:t>1.3%</w:t>
            </w:r>
          </w:p>
        </w:tc>
      </w:tr>
      <w:tr w:rsidR="00950AFA" w14:paraId="06E3DF7D"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2CC45651"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14:paraId="03301A3A" w14:textId="685BBA51" w:rsidR="00950AFA" w:rsidRDefault="000E7FAF" w:rsidP="00950AFA">
            <w:pPr>
              <w:widowControl w:val="0"/>
              <w:jc w:val="center"/>
              <w:rPr>
                <w:rFonts w:ascii="Calibri" w:hAnsi="Calibri" w:cs="Calibri"/>
                <w:color w:val="000000"/>
                <w:szCs w:val="22"/>
              </w:rPr>
            </w:pPr>
            <w:r>
              <w:rPr>
                <w:rFonts w:ascii="Calibri" w:hAnsi="Calibri" w:cs="Calibri"/>
                <w:color w:val="000000"/>
                <w:szCs w:val="22"/>
              </w:rPr>
              <w:t>89</w:t>
            </w:r>
          </w:p>
        </w:tc>
        <w:tc>
          <w:tcPr>
            <w:tcW w:w="1418" w:type="dxa"/>
            <w:tcBorders>
              <w:top w:val="single" w:sz="4" w:space="0" w:color="auto"/>
              <w:left w:val="single" w:sz="4" w:space="0" w:color="auto"/>
              <w:bottom w:val="single" w:sz="4" w:space="0" w:color="auto"/>
              <w:right w:val="single" w:sz="4" w:space="0" w:color="auto"/>
            </w:tcBorders>
            <w:vAlign w:val="center"/>
          </w:tcPr>
          <w:p w14:paraId="676ACA68" w14:textId="0FEE830A" w:rsidR="00950AFA" w:rsidRDefault="005001F0" w:rsidP="00950AFA">
            <w:pPr>
              <w:widowControl w:val="0"/>
              <w:jc w:val="center"/>
              <w:rPr>
                <w:rFonts w:ascii="Calibri" w:hAnsi="Calibri" w:cs="Calibri"/>
                <w:color w:val="000000"/>
                <w:szCs w:val="22"/>
              </w:rPr>
            </w:pPr>
            <w:r>
              <w:rPr>
                <w:rFonts w:ascii="Calibri" w:hAnsi="Calibri" w:cs="Calibri"/>
                <w:color w:val="000000"/>
                <w:szCs w:val="22"/>
              </w:rPr>
              <w:t>16.7%</w:t>
            </w:r>
          </w:p>
        </w:tc>
      </w:tr>
      <w:tr w:rsidR="00950AFA" w14:paraId="13CC1BE5" w14:textId="77777777" w:rsidTr="00950AFA">
        <w:tc>
          <w:tcPr>
            <w:tcW w:w="5670" w:type="dxa"/>
            <w:tcBorders>
              <w:top w:val="single" w:sz="4" w:space="0" w:color="auto"/>
              <w:left w:val="single" w:sz="4" w:space="0" w:color="auto"/>
              <w:bottom w:val="single" w:sz="4" w:space="0" w:color="auto"/>
              <w:right w:val="single" w:sz="4" w:space="0" w:color="auto"/>
            </w:tcBorders>
          </w:tcPr>
          <w:p w14:paraId="6F017182" w14:textId="77777777" w:rsidR="00950AFA" w:rsidRDefault="00950AFA" w:rsidP="00950AFA">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14:paraId="256C83C9" w14:textId="071CE11D" w:rsidR="00950AFA" w:rsidRDefault="00671664" w:rsidP="00950AFA">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4F087DBA" w14:textId="29C926E2" w:rsidR="00950AFA" w:rsidRDefault="005001F0" w:rsidP="00950AFA">
            <w:pPr>
              <w:widowControl w:val="0"/>
              <w:jc w:val="center"/>
              <w:rPr>
                <w:rFonts w:ascii="Calibri" w:hAnsi="Calibri" w:cs="Calibri"/>
                <w:color w:val="000000"/>
                <w:szCs w:val="22"/>
              </w:rPr>
            </w:pPr>
            <w:r>
              <w:rPr>
                <w:rFonts w:ascii="Calibri" w:hAnsi="Calibri" w:cs="Calibri"/>
                <w:color w:val="000000"/>
                <w:szCs w:val="22"/>
              </w:rPr>
              <w:t>0.9%</w:t>
            </w:r>
          </w:p>
        </w:tc>
      </w:tr>
      <w:tr w:rsidR="00950AFA" w14:paraId="04CB7452" w14:textId="77777777" w:rsidTr="00950AFA">
        <w:tc>
          <w:tcPr>
            <w:tcW w:w="5670" w:type="dxa"/>
            <w:tcBorders>
              <w:top w:val="single" w:sz="4" w:space="0" w:color="auto"/>
              <w:left w:val="single" w:sz="4" w:space="0" w:color="auto"/>
              <w:bottom w:val="single" w:sz="4" w:space="0" w:color="auto"/>
              <w:right w:val="single" w:sz="4" w:space="0" w:color="auto"/>
            </w:tcBorders>
          </w:tcPr>
          <w:p w14:paraId="1856D312" w14:textId="77777777" w:rsidR="00950AFA" w:rsidRDefault="00950AFA" w:rsidP="00950AFA">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14:paraId="55EC19D4" w14:textId="07483EDB" w:rsidR="00950AFA" w:rsidRDefault="00D51C44" w:rsidP="00950AFA">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5DA7AE02" w14:textId="6992D926" w:rsidR="00950AFA" w:rsidRDefault="005001F0" w:rsidP="00950AFA">
            <w:pPr>
              <w:widowControl w:val="0"/>
              <w:jc w:val="center"/>
              <w:rPr>
                <w:rFonts w:ascii="Calibri" w:hAnsi="Calibri" w:cs="Calibri"/>
                <w:color w:val="000000"/>
                <w:szCs w:val="22"/>
              </w:rPr>
            </w:pPr>
            <w:r>
              <w:rPr>
                <w:rFonts w:ascii="Calibri" w:hAnsi="Calibri" w:cs="Calibri"/>
                <w:color w:val="000000"/>
                <w:szCs w:val="22"/>
              </w:rPr>
              <w:t>1.7%</w:t>
            </w:r>
          </w:p>
        </w:tc>
      </w:tr>
      <w:tr w:rsidR="00950AFA" w14:paraId="0463E80D"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0C3A2F5B" w14:textId="77777777" w:rsidR="00950AFA" w:rsidRDefault="00950AFA" w:rsidP="00950AFA">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2F376710" w14:textId="5D5DFF68" w:rsidR="00950AFA" w:rsidRDefault="000E7FAF" w:rsidP="00950AFA">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7B79A2B5" w14:textId="7961B99C" w:rsidR="00950AFA" w:rsidRDefault="005001F0" w:rsidP="00950AFA">
            <w:pPr>
              <w:widowControl w:val="0"/>
              <w:jc w:val="center"/>
              <w:rPr>
                <w:rFonts w:ascii="Calibri" w:hAnsi="Calibri" w:cs="Calibri"/>
                <w:color w:val="000000"/>
                <w:szCs w:val="22"/>
              </w:rPr>
            </w:pPr>
            <w:r>
              <w:rPr>
                <w:rFonts w:ascii="Calibri" w:hAnsi="Calibri" w:cs="Calibri"/>
                <w:color w:val="000000"/>
                <w:szCs w:val="22"/>
              </w:rPr>
              <w:t>2.2%</w:t>
            </w:r>
          </w:p>
        </w:tc>
      </w:tr>
      <w:tr w:rsidR="00950AFA" w14:paraId="707BE19A"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07C9FC97"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14:paraId="6AEBD35E" w14:textId="1959E09A" w:rsidR="00950AFA" w:rsidRDefault="00671664" w:rsidP="00950AFA">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14:paraId="7418A4EC" w14:textId="0CFFDDD2" w:rsidR="00950AFA" w:rsidRDefault="005001F0" w:rsidP="00950AFA">
            <w:pPr>
              <w:widowControl w:val="0"/>
              <w:jc w:val="center"/>
              <w:rPr>
                <w:rFonts w:ascii="Calibri" w:hAnsi="Calibri" w:cs="Calibri"/>
                <w:color w:val="000000"/>
                <w:szCs w:val="22"/>
              </w:rPr>
            </w:pPr>
            <w:r>
              <w:rPr>
                <w:rFonts w:ascii="Calibri" w:hAnsi="Calibri" w:cs="Calibri"/>
                <w:color w:val="000000"/>
                <w:szCs w:val="22"/>
              </w:rPr>
              <w:t>3.4%</w:t>
            </w:r>
          </w:p>
        </w:tc>
      </w:tr>
      <w:tr w:rsidR="00950AFA" w14:paraId="5677B749"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5B8AB220"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14:paraId="72E06617" w14:textId="77CD775E" w:rsidR="00950AFA" w:rsidRDefault="000E7FAF" w:rsidP="00950AFA">
            <w:pPr>
              <w:widowControl w:val="0"/>
              <w:jc w:val="center"/>
              <w:rPr>
                <w:rFonts w:ascii="Calibri" w:hAnsi="Calibri" w:cs="Calibri"/>
                <w:color w:val="000000"/>
                <w:szCs w:val="22"/>
              </w:rPr>
            </w:pPr>
            <w:r>
              <w:rPr>
                <w:rFonts w:ascii="Calibri" w:hAnsi="Calibri" w:cs="Calibri"/>
                <w:color w:val="000000"/>
                <w:szCs w:val="22"/>
              </w:rPr>
              <w:t>76</w:t>
            </w:r>
          </w:p>
        </w:tc>
        <w:tc>
          <w:tcPr>
            <w:tcW w:w="1418" w:type="dxa"/>
            <w:tcBorders>
              <w:top w:val="single" w:sz="4" w:space="0" w:color="auto"/>
              <w:left w:val="single" w:sz="4" w:space="0" w:color="auto"/>
              <w:bottom w:val="single" w:sz="4" w:space="0" w:color="auto"/>
              <w:right w:val="single" w:sz="4" w:space="0" w:color="auto"/>
            </w:tcBorders>
            <w:vAlign w:val="center"/>
          </w:tcPr>
          <w:p w14:paraId="25B972D9" w14:textId="2B286914" w:rsidR="00950AFA" w:rsidRDefault="005001F0" w:rsidP="00950AFA">
            <w:pPr>
              <w:widowControl w:val="0"/>
              <w:jc w:val="center"/>
              <w:rPr>
                <w:rFonts w:ascii="Calibri" w:hAnsi="Calibri" w:cs="Calibri"/>
                <w:color w:val="000000"/>
                <w:szCs w:val="22"/>
              </w:rPr>
            </w:pPr>
            <w:r>
              <w:rPr>
                <w:rFonts w:ascii="Calibri" w:hAnsi="Calibri" w:cs="Calibri"/>
                <w:color w:val="000000"/>
                <w:szCs w:val="22"/>
              </w:rPr>
              <w:t>14.3%</w:t>
            </w:r>
          </w:p>
        </w:tc>
      </w:tr>
      <w:tr w:rsidR="00950AFA" w14:paraId="73992983" w14:textId="77777777" w:rsidTr="00950AFA">
        <w:tc>
          <w:tcPr>
            <w:tcW w:w="5670" w:type="dxa"/>
            <w:tcBorders>
              <w:top w:val="single" w:sz="4" w:space="0" w:color="auto"/>
              <w:left w:val="single" w:sz="4" w:space="0" w:color="auto"/>
              <w:bottom w:val="single" w:sz="4" w:space="0" w:color="auto"/>
              <w:right w:val="single" w:sz="4" w:space="0" w:color="auto"/>
            </w:tcBorders>
          </w:tcPr>
          <w:p w14:paraId="49BF5E29"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w:t>
            </w:r>
          </w:p>
        </w:tc>
        <w:tc>
          <w:tcPr>
            <w:tcW w:w="1701" w:type="dxa"/>
            <w:tcBorders>
              <w:top w:val="single" w:sz="4" w:space="0" w:color="auto"/>
              <w:left w:val="single" w:sz="4" w:space="0" w:color="auto"/>
              <w:bottom w:val="single" w:sz="4" w:space="0" w:color="auto"/>
              <w:right w:val="single" w:sz="4" w:space="0" w:color="auto"/>
            </w:tcBorders>
            <w:vAlign w:val="center"/>
          </w:tcPr>
          <w:p w14:paraId="4D8C2149" w14:textId="016637AB" w:rsidR="00950AFA" w:rsidRDefault="000E7FAF" w:rsidP="00950AFA">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13E5D7EC" w14:textId="2700B990" w:rsidR="00950AFA" w:rsidRDefault="005001F0" w:rsidP="00950AFA">
            <w:pPr>
              <w:widowControl w:val="0"/>
              <w:jc w:val="center"/>
              <w:rPr>
                <w:rFonts w:ascii="Calibri" w:hAnsi="Calibri" w:cs="Calibri"/>
                <w:color w:val="000000"/>
                <w:szCs w:val="22"/>
              </w:rPr>
            </w:pPr>
            <w:r>
              <w:rPr>
                <w:rFonts w:ascii="Calibri" w:hAnsi="Calibri" w:cs="Calibri"/>
                <w:color w:val="000000"/>
                <w:szCs w:val="22"/>
              </w:rPr>
              <w:t>1.1%</w:t>
            </w:r>
          </w:p>
        </w:tc>
      </w:tr>
      <w:tr w:rsidR="00950AFA" w14:paraId="40D9AB48" w14:textId="77777777" w:rsidTr="00950AFA">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A69F2" w14:textId="77777777" w:rsidR="00950AFA" w:rsidRDefault="00950AFA" w:rsidP="00950AFA">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F3D5C" w14:textId="41916B19" w:rsidR="00950AFA" w:rsidRDefault="008B5B14" w:rsidP="00950AFA">
            <w:pPr>
              <w:widowControl w:val="0"/>
              <w:jc w:val="center"/>
              <w:rPr>
                <w:rFonts w:ascii="Calibri" w:hAnsi="Calibri" w:cs="Calibri"/>
                <w:b/>
                <w:i/>
                <w:color w:val="000000"/>
                <w:szCs w:val="22"/>
              </w:rPr>
            </w:pPr>
            <w:r>
              <w:rPr>
                <w:rFonts w:ascii="Calibri" w:hAnsi="Calibri" w:cs="Calibri"/>
                <w:b/>
                <w:i/>
                <w:color w:val="000000"/>
                <w:szCs w:val="22"/>
              </w:rPr>
              <w:t>360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1C119" w14:textId="5652B251" w:rsidR="00950AFA" w:rsidRDefault="005001F0" w:rsidP="00950AFA">
            <w:pPr>
              <w:widowControl w:val="0"/>
              <w:jc w:val="center"/>
              <w:rPr>
                <w:rFonts w:ascii="Calibri" w:hAnsi="Calibri" w:cs="Calibri"/>
                <w:b/>
                <w:i/>
                <w:color w:val="000000"/>
                <w:szCs w:val="22"/>
              </w:rPr>
            </w:pPr>
            <w:r>
              <w:rPr>
                <w:rFonts w:ascii="Calibri" w:hAnsi="Calibri" w:cs="Calibri"/>
                <w:b/>
                <w:i/>
                <w:color w:val="000000"/>
                <w:szCs w:val="22"/>
              </w:rPr>
              <w:t>67.7%</w:t>
            </w:r>
          </w:p>
        </w:tc>
      </w:tr>
      <w:tr w:rsidR="00950AFA" w14:paraId="508F31D8"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798CC2C4" w14:textId="77777777" w:rsidR="00950AFA" w:rsidRDefault="00950AFA" w:rsidP="00950AFA">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14:paraId="2818E2B3" w14:textId="7F487395" w:rsidR="00950AFA" w:rsidRDefault="000E7FAF" w:rsidP="00950AFA">
            <w:pPr>
              <w:widowControl w:val="0"/>
              <w:jc w:val="center"/>
              <w:rPr>
                <w:rFonts w:ascii="Calibri" w:hAnsi="Calibri" w:cs="Calibri"/>
                <w:color w:val="000000"/>
                <w:szCs w:val="22"/>
              </w:rPr>
            </w:pPr>
            <w:r>
              <w:rPr>
                <w:rFonts w:ascii="Calibri" w:hAnsi="Calibri" w:cs="Calibri"/>
                <w:color w:val="000000"/>
                <w:szCs w:val="22"/>
              </w:rPr>
              <w:t>94</w:t>
            </w:r>
          </w:p>
        </w:tc>
        <w:tc>
          <w:tcPr>
            <w:tcW w:w="1418" w:type="dxa"/>
            <w:tcBorders>
              <w:top w:val="single" w:sz="4" w:space="0" w:color="auto"/>
              <w:left w:val="single" w:sz="4" w:space="0" w:color="auto"/>
              <w:bottom w:val="single" w:sz="4" w:space="0" w:color="auto"/>
              <w:right w:val="single" w:sz="4" w:space="0" w:color="auto"/>
            </w:tcBorders>
            <w:vAlign w:val="center"/>
          </w:tcPr>
          <w:p w14:paraId="5DBDAC7D" w14:textId="74F768FB" w:rsidR="00950AFA" w:rsidRDefault="005001F0" w:rsidP="00950AFA">
            <w:pPr>
              <w:widowControl w:val="0"/>
              <w:jc w:val="center"/>
              <w:rPr>
                <w:rFonts w:ascii="Calibri" w:hAnsi="Calibri" w:cs="Calibri"/>
                <w:color w:val="000000"/>
                <w:szCs w:val="22"/>
              </w:rPr>
            </w:pPr>
            <w:r>
              <w:rPr>
                <w:rFonts w:ascii="Calibri" w:hAnsi="Calibri" w:cs="Calibri"/>
                <w:color w:val="000000"/>
                <w:szCs w:val="22"/>
              </w:rPr>
              <w:t>17.7%</w:t>
            </w:r>
          </w:p>
        </w:tc>
      </w:tr>
      <w:tr w:rsidR="00950AFA" w14:paraId="00601977" w14:textId="77777777" w:rsidTr="00950AFA">
        <w:tc>
          <w:tcPr>
            <w:tcW w:w="5670" w:type="dxa"/>
            <w:tcBorders>
              <w:top w:val="single" w:sz="4" w:space="0" w:color="auto"/>
              <w:left w:val="single" w:sz="4" w:space="0" w:color="auto"/>
              <w:bottom w:val="single" w:sz="4" w:space="0" w:color="auto"/>
              <w:right w:val="single" w:sz="4" w:space="0" w:color="auto"/>
            </w:tcBorders>
          </w:tcPr>
          <w:p w14:paraId="2077FDAB"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14:paraId="364B4690" w14:textId="08CFD375" w:rsidR="00950AFA" w:rsidRDefault="000E7FAF" w:rsidP="00950AFA">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14:paraId="00DEDA0F" w14:textId="64485235" w:rsidR="00950AFA" w:rsidRDefault="005001F0" w:rsidP="00950AFA">
            <w:pPr>
              <w:widowControl w:val="0"/>
              <w:jc w:val="center"/>
              <w:rPr>
                <w:rFonts w:ascii="Calibri" w:hAnsi="Calibri" w:cs="Calibri"/>
                <w:color w:val="000000"/>
                <w:szCs w:val="22"/>
              </w:rPr>
            </w:pPr>
            <w:r>
              <w:rPr>
                <w:rFonts w:ascii="Calibri" w:hAnsi="Calibri" w:cs="Calibri"/>
                <w:color w:val="000000"/>
                <w:szCs w:val="22"/>
              </w:rPr>
              <w:t>2.4%</w:t>
            </w:r>
          </w:p>
        </w:tc>
      </w:tr>
      <w:tr w:rsidR="00950AFA" w14:paraId="0FE1C8AC" w14:textId="77777777" w:rsidTr="00950AFA">
        <w:tc>
          <w:tcPr>
            <w:tcW w:w="5670" w:type="dxa"/>
            <w:tcBorders>
              <w:top w:val="single" w:sz="4" w:space="0" w:color="auto"/>
              <w:left w:val="single" w:sz="4" w:space="0" w:color="auto"/>
              <w:bottom w:val="single" w:sz="4" w:space="0" w:color="auto"/>
              <w:right w:val="single" w:sz="4" w:space="0" w:color="auto"/>
            </w:tcBorders>
            <w:hideMark/>
          </w:tcPr>
          <w:p w14:paraId="01BD9D90" w14:textId="77777777"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14:paraId="6252462F" w14:textId="601BB966" w:rsidR="00950AFA" w:rsidRDefault="000E7FAF" w:rsidP="00950AFA">
            <w:pPr>
              <w:widowControl w:val="0"/>
              <w:jc w:val="center"/>
              <w:rPr>
                <w:rFonts w:ascii="Calibri" w:hAnsi="Calibri" w:cs="Calibri"/>
                <w:color w:val="000000"/>
                <w:szCs w:val="22"/>
              </w:rPr>
            </w:pPr>
            <w:r>
              <w:rPr>
                <w:rFonts w:ascii="Calibri" w:hAnsi="Calibri" w:cs="Calibri"/>
                <w:color w:val="000000"/>
                <w:szCs w:val="22"/>
              </w:rPr>
              <w:t>193</w:t>
            </w:r>
          </w:p>
        </w:tc>
        <w:tc>
          <w:tcPr>
            <w:tcW w:w="1418" w:type="dxa"/>
            <w:tcBorders>
              <w:top w:val="single" w:sz="4" w:space="0" w:color="auto"/>
              <w:left w:val="single" w:sz="4" w:space="0" w:color="auto"/>
              <w:bottom w:val="single" w:sz="4" w:space="0" w:color="auto"/>
              <w:right w:val="single" w:sz="4" w:space="0" w:color="auto"/>
            </w:tcBorders>
            <w:vAlign w:val="center"/>
          </w:tcPr>
          <w:p w14:paraId="095B553D" w14:textId="395BBBC2" w:rsidR="00950AFA" w:rsidRDefault="005001F0" w:rsidP="00950AFA">
            <w:pPr>
              <w:widowControl w:val="0"/>
              <w:jc w:val="center"/>
              <w:rPr>
                <w:rFonts w:ascii="Calibri" w:hAnsi="Calibri" w:cs="Calibri"/>
                <w:color w:val="000000"/>
                <w:szCs w:val="22"/>
              </w:rPr>
            </w:pPr>
            <w:r>
              <w:rPr>
                <w:rFonts w:ascii="Calibri" w:hAnsi="Calibri" w:cs="Calibri"/>
                <w:color w:val="000000"/>
                <w:szCs w:val="22"/>
              </w:rPr>
              <w:t>36.3%</w:t>
            </w:r>
          </w:p>
        </w:tc>
      </w:tr>
      <w:tr w:rsidR="00950AFA" w14:paraId="2139A9BD"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63DC3B36" w14:textId="4B0D758E" w:rsidR="00950AFA" w:rsidRDefault="00950AFA" w:rsidP="00950AFA">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r w:rsidR="00F21DAA">
              <w:rPr>
                <w:rFonts w:ascii="Calibri" w:hAnsi="Calibri"/>
                <w:szCs w:val="22"/>
              </w:rPr>
              <w:t>/</w:t>
            </w:r>
            <w:proofErr w:type="spellStart"/>
            <w:r w:rsidR="00F21DAA">
              <w:rPr>
                <w:rFonts w:ascii="Calibri" w:hAnsi="Calibri"/>
                <w:szCs w:val="22"/>
              </w:rPr>
              <w:t>whānau</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2D86076" w14:textId="33709A45" w:rsidR="00950AFA" w:rsidRDefault="000E7FAF" w:rsidP="00950AFA">
            <w:pPr>
              <w:widowControl w:val="0"/>
              <w:jc w:val="center"/>
              <w:rPr>
                <w:rFonts w:ascii="Calibri" w:hAnsi="Calibri" w:cs="Calibri"/>
                <w:color w:val="000000"/>
                <w:szCs w:val="22"/>
              </w:rPr>
            </w:pPr>
            <w:r>
              <w:rPr>
                <w:rFonts w:ascii="Calibri" w:hAnsi="Calibri" w:cs="Calibri"/>
                <w:color w:val="000000"/>
                <w:szCs w:val="22"/>
              </w:rPr>
              <w:t>113</w:t>
            </w:r>
          </w:p>
        </w:tc>
        <w:tc>
          <w:tcPr>
            <w:tcW w:w="1418" w:type="dxa"/>
            <w:tcBorders>
              <w:top w:val="single" w:sz="4" w:space="0" w:color="auto"/>
              <w:left w:val="single" w:sz="4" w:space="0" w:color="auto"/>
              <w:bottom w:val="single" w:sz="4" w:space="0" w:color="auto"/>
              <w:right w:val="single" w:sz="4" w:space="0" w:color="auto"/>
            </w:tcBorders>
            <w:vAlign w:val="center"/>
          </w:tcPr>
          <w:p w14:paraId="11F93A2E" w14:textId="1BAED6C7" w:rsidR="00950AFA" w:rsidRDefault="005001F0" w:rsidP="00950AFA">
            <w:pPr>
              <w:widowControl w:val="0"/>
              <w:jc w:val="center"/>
              <w:rPr>
                <w:rFonts w:ascii="Calibri" w:hAnsi="Calibri" w:cs="Calibri"/>
                <w:color w:val="000000"/>
                <w:szCs w:val="22"/>
              </w:rPr>
            </w:pPr>
            <w:r>
              <w:rPr>
                <w:rFonts w:ascii="Calibri" w:hAnsi="Calibri" w:cs="Calibri"/>
                <w:color w:val="000000"/>
                <w:szCs w:val="22"/>
              </w:rPr>
              <w:t>21.2%</w:t>
            </w:r>
          </w:p>
        </w:tc>
      </w:tr>
      <w:tr w:rsidR="00950AFA" w14:paraId="2A1C83AC"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185E3" w14:textId="77777777" w:rsidR="00950AFA" w:rsidRDefault="00950AFA" w:rsidP="00950AFA">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A2137" w14:textId="20576650" w:rsidR="00950AFA" w:rsidRDefault="001E5387" w:rsidP="00950AFA">
            <w:pPr>
              <w:widowControl w:val="0"/>
              <w:jc w:val="center"/>
              <w:rPr>
                <w:rFonts w:ascii="Calibri" w:hAnsi="Calibri" w:cs="Calibri"/>
                <w:b/>
                <w:i/>
                <w:color w:val="000000"/>
                <w:szCs w:val="22"/>
              </w:rPr>
            </w:pPr>
            <w:r>
              <w:rPr>
                <w:rFonts w:ascii="Calibri" w:hAnsi="Calibri" w:cs="Calibri"/>
                <w:b/>
                <w:i/>
                <w:color w:val="000000"/>
                <w:szCs w:val="22"/>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92D51" w14:textId="49E7168C" w:rsidR="00950AFA" w:rsidRDefault="005001F0" w:rsidP="00950AFA">
            <w:pPr>
              <w:widowControl w:val="0"/>
              <w:jc w:val="center"/>
              <w:rPr>
                <w:rFonts w:ascii="Calibri" w:hAnsi="Calibri" w:cs="Calibri"/>
                <w:b/>
                <w:i/>
                <w:color w:val="000000"/>
                <w:szCs w:val="22"/>
              </w:rPr>
            </w:pPr>
            <w:r>
              <w:rPr>
                <w:rFonts w:ascii="Calibri" w:hAnsi="Calibri" w:cs="Calibri"/>
                <w:b/>
                <w:i/>
                <w:color w:val="000000"/>
                <w:szCs w:val="22"/>
              </w:rPr>
              <w:t>17.9%</w:t>
            </w:r>
          </w:p>
        </w:tc>
      </w:tr>
      <w:tr w:rsidR="00950AFA" w:rsidRPr="00905A9C" w14:paraId="66B63A07"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22F43215" w14:textId="77777777" w:rsidR="00950AFA" w:rsidRDefault="00950AFA" w:rsidP="00950AFA">
            <w:pPr>
              <w:widowControl w:val="0"/>
              <w:tabs>
                <w:tab w:val="left" w:pos="176"/>
                <w:tab w:val="left" w:pos="1440"/>
                <w:tab w:val="decimal" w:pos="4320"/>
              </w:tabs>
              <w:jc w:val="left"/>
              <w:outlineLvl w:val="0"/>
              <w:rPr>
                <w:rFonts w:ascii="Calibri" w:hAnsi="Calibri"/>
                <w:b/>
                <w:i/>
                <w:szCs w:val="22"/>
              </w:rPr>
            </w:pPr>
            <w:r>
              <w:rPr>
                <w:rFonts w:ascii="Calibri" w:hAnsi="Calibri"/>
                <w:szCs w:val="22"/>
              </w:rPr>
              <w:t xml:space="preserve">  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205E1" w14:textId="68404D1A" w:rsidR="00950AFA" w:rsidRPr="00905A9C" w:rsidRDefault="000E7FAF" w:rsidP="00950AFA">
            <w:pPr>
              <w:widowControl w:val="0"/>
              <w:jc w:val="center"/>
              <w:rPr>
                <w:rFonts w:ascii="Calibri" w:hAnsi="Calibri" w:cs="Calibri"/>
                <w:color w:val="000000"/>
                <w:szCs w:val="22"/>
              </w:rPr>
            </w:pPr>
            <w:r>
              <w:rPr>
                <w:rFonts w:ascii="Calibri" w:hAnsi="Calibri" w:cs="Calibri"/>
                <w:color w:val="000000"/>
                <w:szCs w:val="22"/>
              </w:rPr>
              <w:t>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84FB2" w14:textId="1CB1A8E6" w:rsidR="00950AFA" w:rsidRPr="005001F0" w:rsidRDefault="005001F0" w:rsidP="00950AFA">
            <w:pPr>
              <w:widowControl w:val="0"/>
              <w:jc w:val="center"/>
              <w:rPr>
                <w:rFonts w:ascii="Calibri" w:hAnsi="Calibri" w:cs="Calibri"/>
                <w:color w:val="000000"/>
                <w:szCs w:val="22"/>
              </w:rPr>
            </w:pPr>
            <w:r w:rsidRPr="005001F0">
              <w:rPr>
                <w:rFonts w:ascii="Calibri" w:hAnsi="Calibri" w:cs="Calibri"/>
                <w:color w:val="000000"/>
                <w:szCs w:val="22"/>
              </w:rPr>
              <w:t>17.3%</w:t>
            </w:r>
          </w:p>
        </w:tc>
      </w:tr>
      <w:tr w:rsidR="00D51C44" w:rsidRPr="00905A9C" w14:paraId="593ACEDB"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685A2170" w14:textId="4ED97AED" w:rsidR="00D51C44" w:rsidRDefault="00D51C44" w:rsidP="00D51C44">
            <w:pPr>
              <w:widowControl w:val="0"/>
              <w:tabs>
                <w:tab w:val="left" w:pos="176"/>
                <w:tab w:val="left" w:pos="1440"/>
                <w:tab w:val="decimal" w:pos="4320"/>
              </w:tabs>
              <w:jc w:val="left"/>
              <w:outlineLvl w:val="0"/>
              <w:rPr>
                <w:rFonts w:ascii="Calibri" w:hAnsi="Calibri"/>
                <w:szCs w:val="22"/>
              </w:rPr>
            </w:pPr>
            <w:r>
              <w:rPr>
                <w:rFonts w:ascii="Calibri" w:hAnsi="Calibri"/>
                <w:szCs w:val="22"/>
              </w:rPr>
              <w:t xml:space="preserve">  Retaliation/discrimination as a result of a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C1C48A" w14:textId="6E8D5DF2" w:rsidR="00D51C44" w:rsidRDefault="00671664" w:rsidP="00D51C44">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9DCFD3" w14:textId="654A79D8" w:rsidR="00D51C44" w:rsidRPr="005001F0" w:rsidRDefault="005001F0" w:rsidP="00D51C44">
            <w:pPr>
              <w:widowControl w:val="0"/>
              <w:jc w:val="center"/>
              <w:rPr>
                <w:rFonts w:ascii="Calibri" w:hAnsi="Calibri" w:cs="Calibri"/>
                <w:color w:val="000000"/>
                <w:szCs w:val="22"/>
              </w:rPr>
            </w:pPr>
            <w:r w:rsidRPr="005001F0">
              <w:rPr>
                <w:rFonts w:ascii="Calibri" w:hAnsi="Calibri" w:cs="Calibri"/>
                <w:color w:val="000000"/>
                <w:szCs w:val="22"/>
              </w:rPr>
              <w:t>0.6%</w:t>
            </w:r>
          </w:p>
        </w:tc>
      </w:tr>
      <w:tr w:rsidR="00D51C44" w14:paraId="03420BAD"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CFAA0" w14:textId="77777777" w:rsidR="00D51C44" w:rsidRDefault="00D51C44" w:rsidP="00D51C4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7D564" w14:textId="02706604" w:rsidR="00D51C44" w:rsidRDefault="001E5387" w:rsidP="00D51C44">
            <w:pPr>
              <w:widowControl w:val="0"/>
              <w:jc w:val="center"/>
              <w:rPr>
                <w:rFonts w:ascii="Calibri" w:hAnsi="Calibri" w:cs="Calibri"/>
                <w:b/>
                <w:i/>
                <w:color w:val="000000"/>
                <w:szCs w:val="22"/>
              </w:rPr>
            </w:pPr>
            <w:r>
              <w:rPr>
                <w:rFonts w:ascii="Calibri" w:hAnsi="Calibri" w:cs="Calibri"/>
                <w:b/>
                <w:i/>
                <w:color w:val="000000"/>
                <w:szCs w:val="22"/>
              </w:rPr>
              <w:t>131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2548A" w14:textId="2BABEEBF" w:rsidR="00D51C44" w:rsidRDefault="005001F0" w:rsidP="00D51C44">
            <w:pPr>
              <w:widowControl w:val="0"/>
              <w:jc w:val="center"/>
              <w:rPr>
                <w:rFonts w:ascii="Calibri" w:hAnsi="Calibri" w:cs="Calibri"/>
                <w:b/>
                <w:i/>
                <w:color w:val="000000"/>
                <w:szCs w:val="22"/>
              </w:rPr>
            </w:pPr>
            <w:r>
              <w:rPr>
                <w:rFonts w:ascii="Calibri" w:hAnsi="Calibri" w:cs="Calibri"/>
                <w:b/>
                <w:i/>
                <w:color w:val="000000"/>
                <w:szCs w:val="22"/>
              </w:rPr>
              <w:t>24.6%</w:t>
            </w:r>
          </w:p>
        </w:tc>
      </w:tr>
      <w:tr w:rsidR="00D51C44" w14:paraId="18A05ECF"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17C6A1A6" w14:textId="77777777" w:rsidR="00D51C44" w:rsidRDefault="00D51C44" w:rsidP="00D51C4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14:paraId="3A3420D1" w14:textId="5DDB7211" w:rsidR="00D51C44" w:rsidRDefault="000E7FAF" w:rsidP="00D51C44">
            <w:pPr>
              <w:widowControl w:val="0"/>
              <w:jc w:val="center"/>
              <w:rPr>
                <w:rFonts w:ascii="Calibri" w:hAnsi="Calibri" w:cs="Calibri"/>
                <w:color w:val="000000"/>
                <w:szCs w:val="22"/>
              </w:rPr>
            </w:pPr>
            <w:r>
              <w:rPr>
                <w:rFonts w:ascii="Calibri" w:hAnsi="Calibri" w:cs="Calibri"/>
                <w:color w:val="000000"/>
                <w:szCs w:val="22"/>
              </w:rPr>
              <w:t>38</w:t>
            </w:r>
          </w:p>
        </w:tc>
        <w:tc>
          <w:tcPr>
            <w:tcW w:w="1418" w:type="dxa"/>
            <w:tcBorders>
              <w:top w:val="single" w:sz="4" w:space="0" w:color="auto"/>
              <w:left w:val="single" w:sz="4" w:space="0" w:color="auto"/>
              <w:bottom w:val="single" w:sz="4" w:space="0" w:color="auto"/>
              <w:right w:val="single" w:sz="4" w:space="0" w:color="auto"/>
            </w:tcBorders>
            <w:vAlign w:val="center"/>
          </w:tcPr>
          <w:p w14:paraId="7CDBD5A7" w14:textId="20117B8C" w:rsidR="00D51C44" w:rsidRDefault="005001F0" w:rsidP="00D51C44">
            <w:pPr>
              <w:widowControl w:val="0"/>
              <w:jc w:val="center"/>
              <w:rPr>
                <w:rFonts w:ascii="Calibri" w:hAnsi="Calibri" w:cs="Calibri"/>
                <w:color w:val="000000"/>
                <w:szCs w:val="22"/>
              </w:rPr>
            </w:pPr>
            <w:r>
              <w:rPr>
                <w:rFonts w:ascii="Calibri" w:hAnsi="Calibri" w:cs="Calibri"/>
                <w:color w:val="000000"/>
                <w:szCs w:val="22"/>
              </w:rPr>
              <w:t>7.1%</w:t>
            </w:r>
          </w:p>
        </w:tc>
      </w:tr>
      <w:tr w:rsidR="00D51C44" w14:paraId="7D06A983"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5B61D77B" w14:textId="77777777" w:rsidR="00D51C44" w:rsidRDefault="00D51C44" w:rsidP="00D51C4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assess capacity to consent</w:t>
            </w:r>
          </w:p>
        </w:tc>
        <w:tc>
          <w:tcPr>
            <w:tcW w:w="1701" w:type="dxa"/>
            <w:tcBorders>
              <w:top w:val="single" w:sz="4" w:space="0" w:color="auto"/>
              <w:left w:val="single" w:sz="4" w:space="0" w:color="auto"/>
              <w:bottom w:val="single" w:sz="4" w:space="0" w:color="auto"/>
              <w:right w:val="single" w:sz="4" w:space="0" w:color="auto"/>
            </w:tcBorders>
            <w:vAlign w:val="center"/>
          </w:tcPr>
          <w:p w14:paraId="539470EF" w14:textId="25572665" w:rsidR="00D51C44" w:rsidRDefault="00671664" w:rsidP="00D51C4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00BD6635" w14:textId="30E62946" w:rsidR="00D51C44" w:rsidRDefault="005001F0" w:rsidP="00D51C44">
            <w:pPr>
              <w:jc w:val="center"/>
            </w:pPr>
            <w:r>
              <w:t>0.4%</w:t>
            </w:r>
          </w:p>
        </w:tc>
      </w:tr>
      <w:tr w:rsidR="00D51C44" w14:paraId="36F01908"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03A1F185" w14:textId="77777777" w:rsidR="00D51C44" w:rsidRDefault="00D51C44" w:rsidP="00D51C4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14:paraId="76BB1BC2" w14:textId="311F2C79" w:rsidR="00D51C44" w:rsidRDefault="000E7FAF" w:rsidP="00D51C44">
            <w:pPr>
              <w:widowControl w:val="0"/>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tcPr>
          <w:p w14:paraId="0324D445" w14:textId="0C75BBF5" w:rsidR="00D51C44" w:rsidRDefault="005001F0" w:rsidP="00D51C44">
            <w:pPr>
              <w:jc w:val="center"/>
            </w:pPr>
            <w:r>
              <w:t>3.9%</w:t>
            </w:r>
          </w:p>
        </w:tc>
      </w:tr>
      <w:tr w:rsidR="00D51C44" w14:paraId="0D70DF46"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33FD2A11" w14:textId="77777777" w:rsidR="00D51C44" w:rsidRDefault="00D51C44" w:rsidP="00D51C4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14:paraId="124396B6" w14:textId="7D6A398D" w:rsidR="00D51C44" w:rsidRDefault="00B65A71" w:rsidP="00D51C44">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45F97100" w14:textId="3C2281AC" w:rsidR="00D51C44" w:rsidRDefault="005001F0" w:rsidP="00D51C44">
            <w:pPr>
              <w:jc w:val="center"/>
            </w:pPr>
            <w:r>
              <w:t>0.6%</w:t>
            </w:r>
          </w:p>
        </w:tc>
      </w:tr>
      <w:tr w:rsidR="00D51C44" w14:paraId="574C4CF5"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3E3244D7" w14:textId="77777777" w:rsidR="00D51C44" w:rsidRDefault="00D51C44" w:rsidP="00D51C4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14:paraId="2987BFBA" w14:textId="5FBF872F" w:rsidR="00D51C44" w:rsidRDefault="00671664" w:rsidP="00D51C4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57D31152" w14:textId="779A5BA1" w:rsidR="00D51C44" w:rsidRDefault="005001F0" w:rsidP="00D51C44">
            <w:pPr>
              <w:jc w:val="center"/>
            </w:pPr>
            <w:r>
              <w:t>0.4%</w:t>
            </w:r>
          </w:p>
        </w:tc>
      </w:tr>
      <w:tr w:rsidR="00B65A71" w14:paraId="51E9B00F"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25312880"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14:paraId="69EB73A4" w14:textId="020DD51F" w:rsidR="00B65A71" w:rsidRDefault="000E7FAF" w:rsidP="00B65A71">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tcPr>
          <w:p w14:paraId="08C03CD0" w14:textId="23776A64" w:rsidR="00B65A71" w:rsidRDefault="005001F0" w:rsidP="00B65A71">
            <w:pPr>
              <w:jc w:val="center"/>
            </w:pPr>
            <w:r>
              <w:t>3.6%</w:t>
            </w:r>
          </w:p>
        </w:tc>
      </w:tr>
      <w:tr w:rsidR="00B65A71" w14:paraId="16425596"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0D1407A5"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14:paraId="5475F066" w14:textId="5B30270C" w:rsidR="00B65A71" w:rsidRDefault="000E7FAF" w:rsidP="00B65A71">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14:paraId="4B946061" w14:textId="275DEE88" w:rsidR="00B65A71" w:rsidRDefault="005001F0" w:rsidP="00B65A71">
            <w:pPr>
              <w:jc w:val="center"/>
            </w:pPr>
            <w:r>
              <w:t>1.5%</w:t>
            </w:r>
          </w:p>
        </w:tc>
      </w:tr>
      <w:tr w:rsidR="00B65A71" w14:paraId="2719EA2B"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09DA27FF"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14:paraId="113D2693" w14:textId="53D9856A" w:rsidR="00B65A71" w:rsidRDefault="000E7FAF" w:rsidP="00B65A71">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14:paraId="71FD8D12" w14:textId="2BFE8BA8" w:rsidR="00B65A71" w:rsidRDefault="005001F0" w:rsidP="00B65A71">
            <w:pPr>
              <w:jc w:val="center"/>
            </w:pPr>
            <w:r>
              <w:t>0.9%</w:t>
            </w:r>
          </w:p>
        </w:tc>
      </w:tr>
      <w:tr w:rsidR="00B65A71" w14:paraId="1C7E2C79"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28394C90"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14:paraId="393AFB17" w14:textId="4C6A73CD" w:rsidR="00B65A71" w:rsidRDefault="000E7FAF" w:rsidP="00B65A71">
            <w:pPr>
              <w:widowControl w:val="0"/>
              <w:jc w:val="center"/>
              <w:rPr>
                <w:rFonts w:ascii="Calibri" w:hAnsi="Calibri" w:cs="Calibri"/>
                <w:color w:val="000000"/>
                <w:szCs w:val="22"/>
              </w:rPr>
            </w:pPr>
            <w:r>
              <w:rPr>
                <w:rFonts w:ascii="Calibri" w:hAnsi="Calibri" w:cs="Calibri"/>
                <w:color w:val="000000"/>
                <w:szCs w:val="22"/>
              </w:rPr>
              <w:t>40</w:t>
            </w:r>
          </w:p>
        </w:tc>
        <w:tc>
          <w:tcPr>
            <w:tcW w:w="1418" w:type="dxa"/>
            <w:tcBorders>
              <w:top w:val="single" w:sz="4" w:space="0" w:color="auto"/>
              <w:left w:val="single" w:sz="4" w:space="0" w:color="auto"/>
              <w:bottom w:val="single" w:sz="4" w:space="0" w:color="auto"/>
              <w:right w:val="single" w:sz="4" w:space="0" w:color="auto"/>
            </w:tcBorders>
          </w:tcPr>
          <w:p w14:paraId="26BF85D6" w14:textId="5C84B255" w:rsidR="00B65A71" w:rsidRDefault="005001F0" w:rsidP="00B65A71">
            <w:pPr>
              <w:jc w:val="center"/>
            </w:pPr>
            <w:r>
              <w:t>7.5%</w:t>
            </w:r>
          </w:p>
        </w:tc>
      </w:tr>
      <w:tr w:rsidR="00B65A71" w14:paraId="71CED701"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2F7CED9B" w14:textId="46785DC4"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14:paraId="66B4305E" w14:textId="2C738959" w:rsidR="00B65A71" w:rsidRDefault="000E7FAF" w:rsidP="00B65A71">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29B076EB" w14:textId="092C1672" w:rsidR="00B65A71" w:rsidRDefault="005001F0" w:rsidP="00B65A71">
            <w:pPr>
              <w:widowControl w:val="0"/>
              <w:jc w:val="center"/>
              <w:rPr>
                <w:rFonts w:ascii="Calibri" w:hAnsi="Calibri" w:cs="Calibri"/>
                <w:color w:val="000000"/>
                <w:szCs w:val="22"/>
              </w:rPr>
            </w:pPr>
            <w:r>
              <w:rPr>
                <w:rFonts w:ascii="Calibri" w:hAnsi="Calibri" w:cs="Calibri"/>
                <w:color w:val="000000"/>
                <w:szCs w:val="22"/>
              </w:rPr>
              <w:t>1.7%</w:t>
            </w:r>
          </w:p>
        </w:tc>
      </w:tr>
      <w:tr w:rsidR="00B65A71" w14:paraId="6F9B017C"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271B4610"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14:paraId="5C5BA1A9" w14:textId="5FB9EDC2" w:rsidR="00B65A71" w:rsidRDefault="00671664" w:rsidP="00B65A71">
            <w:pPr>
              <w:widowControl w:val="0"/>
              <w:jc w:val="center"/>
              <w:rPr>
                <w:rFonts w:ascii="Calibri" w:hAnsi="Calibri" w:cs="Calibri"/>
                <w:color w:val="000000"/>
                <w:szCs w:val="22"/>
              </w:rPr>
            </w:pPr>
            <w:r>
              <w:rPr>
                <w:rFonts w:ascii="Calibri" w:hAnsi="Calibri" w:cs="Calibri"/>
                <w:color w:val="000000"/>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4255C608" w14:textId="3A603EB9" w:rsidR="00B65A71" w:rsidRDefault="005001F0" w:rsidP="00B65A71">
            <w:pPr>
              <w:widowControl w:val="0"/>
              <w:jc w:val="center"/>
              <w:rPr>
                <w:rFonts w:ascii="Calibri" w:hAnsi="Calibri" w:cs="Calibri"/>
                <w:color w:val="000000"/>
                <w:szCs w:val="22"/>
              </w:rPr>
            </w:pPr>
            <w:r>
              <w:rPr>
                <w:rFonts w:ascii="Calibri" w:hAnsi="Calibri" w:cs="Calibri"/>
                <w:color w:val="000000"/>
                <w:szCs w:val="22"/>
              </w:rPr>
              <w:t>5.6%</w:t>
            </w:r>
          </w:p>
        </w:tc>
      </w:tr>
      <w:tr w:rsidR="00B65A71" w14:paraId="0CA994FF"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94F76C" w14:textId="77777777" w:rsidR="00B65A71" w:rsidRDefault="00B65A71" w:rsidP="00B65A71">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4A9FF" w14:textId="29513DA0" w:rsidR="00B65A71" w:rsidRDefault="001E5387" w:rsidP="00B65A71">
            <w:pPr>
              <w:widowControl w:val="0"/>
              <w:jc w:val="center"/>
              <w:rPr>
                <w:rFonts w:ascii="Calibri" w:hAnsi="Calibri" w:cs="Calibri"/>
                <w:b/>
                <w:i/>
                <w:color w:val="000000"/>
                <w:szCs w:val="22"/>
              </w:rPr>
            </w:pPr>
            <w:r>
              <w:rPr>
                <w:rFonts w:ascii="Calibri" w:hAnsi="Calibri" w:cs="Calibri"/>
                <w:b/>
                <w:i/>
                <w:color w:val="000000"/>
                <w:szCs w:val="22"/>
              </w:rPr>
              <w:t>34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A8B94" w14:textId="7387D500" w:rsidR="00B65A71" w:rsidRDefault="005001F0" w:rsidP="00B65A71">
            <w:pPr>
              <w:widowControl w:val="0"/>
              <w:jc w:val="center"/>
              <w:rPr>
                <w:rFonts w:ascii="Calibri" w:hAnsi="Calibri" w:cs="Calibri"/>
                <w:b/>
                <w:i/>
                <w:color w:val="000000"/>
                <w:szCs w:val="22"/>
              </w:rPr>
            </w:pPr>
            <w:r>
              <w:rPr>
                <w:rFonts w:ascii="Calibri" w:hAnsi="Calibri" w:cs="Calibri"/>
                <w:b/>
                <w:i/>
                <w:color w:val="000000"/>
                <w:szCs w:val="22"/>
              </w:rPr>
              <w:t>6.4%</w:t>
            </w:r>
          </w:p>
        </w:tc>
      </w:tr>
      <w:tr w:rsidR="00B65A71" w14:paraId="6D7F2C48"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1D8469F4" w14:textId="18CDA0CF"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7BE1855C" w14:textId="3247C036" w:rsidR="00B65A71" w:rsidRDefault="000E7FAF" w:rsidP="00B65A71">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5C624D1" w14:textId="149D16CB" w:rsidR="00B65A71" w:rsidRDefault="005001F0" w:rsidP="00B65A71">
            <w:pPr>
              <w:widowControl w:val="0"/>
              <w:jc w:val="center"/>
              <w:rPr>
                <w:rFonts w:ascii="Calibri" w:hAnsi="Calibri" w:cs="Calibri"/>
                <w:color w:val="000000"/>
                <w:szCs w:val="22"/>
              </w:rPr>
            </w:pPr>
            <w:r>
              <w:rPr>
                <w:rFonts w:ascii="Calibri" w:hAnsi="Calibri" w:cs="Calibri"/>
                <w:color w:val="000000"/>
                <w:szCs w:val="22"/>
              </w:rPr>
              <w:t>0.7%</w:t>
            </w:r>
          </w:p>
        </w:tc>
      </w:tr>
      <w:tr w:rsidR="00B65A71" w14:paraId="1391518F"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42D2B580" w14:textId="0378D334"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transfer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2889C658" w14:textId="333DE315" w:rsidR="00B65A71" w:rsidRDefault="00B65A71" w:rsidP="00B65A71">
            <w:pPr>
              <w:widowControl w:val="0"/>
              <w:jc w:val="center"/>
              <w:rPr>
                <w:rFonts w:ascii="Calibri" w:hAnsi="Calibri" w:cs="Calibri"/>
                <w:color w:val="000000"/>
                <w:szCs w:val="22"/>
              </w:rPr>
            </w:pPr>
            <w:r>
              <w:rPr>
                <w:rFonts w:ascii="Calibri" w:hAnsi="Calibri" w:cs="Calibri"/>
                <w:color w:val="000000"/>
                <w:szCs w:val="22"/>
              </w:rPr>
              <w:t>1</w:t>
            </w:r>
            <w:r w:rsidR="000E7FAF">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488AE573" w14:textId="2223B80D" w:rsidR="00B65A71" w:rsidRDefault="005001F0" w:rsidP="00B65A71">
            <w:pPr>
              <w:widowControl w:val="0"/>
              <w:jc w:val="center"/>
              <w:rPr>
                <w:rFonts w:ascii="Calibri" w:hAnsi="Calibri" w:cs="Calibri"/>
                <w:color w:val="000000"/>
                <w:szCs w:val="22"/>
              </w:rPr>
            </w:pPr>
            <w:r>
              <w:rPr>
                <w:rFonts w:ascii="Calibri" w:hAnsi="Calibri" w:cs="Calibri"/>
                <w:color w:val="000000"/>
                <w:szCs w:val="22"/>
              </w:rPr>
              <w:t>2.2%</w:t>
            </w:r>
          </w:p>
        </w:tc>
      </w:tr>
      <w:tr w:rsidR="00B65A71" w14:paraId="4D651716"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60C5A126"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14:paraId="18C41695" w14:textId="384BDF2D" w:rsidR="00B65A71" w:rsidRDefault="000E7FAF" w:rsidP="00B65A71">
            <w:pPr>
              <w:widowControl w:val="0"/>
              <w:jc w:val="center"/>
              <w:rPr>
                <w:rFonts w:ascii="Calibri" w:hAnsi="Calibri" w:cs="Calibri"/>
                <w:color w:val="000000"/>
                <w:szCs w:val="22"/>
              </w:rPr>
            </w:pPr>
            <w:r>
              <w:rPr>
                <w:rFonts w:ascii="Calibri" w:hAnsi="Calibri" w:cs="Calibri"/>
                <w:color w:val="000000"/>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5A31B8F" w14:textId="3E255973" w:rsidR="00B65A71" w:rsidRDefault="005001F0" w:rsidP="00B65A71">
            <w:pPr>
              <w:widowControl w:val="0"/>
              <w:jc w:val="center"/>
              <w:rPr>
                <w:rFonts w:ascii="Calibri" w:hAnsi="Calibri" w:cs="Calibri"/>
                <w:color w:val="000000"/>
                <w:szCs w:val="22"/>
              </w:rPr>
            </w:pPr>
            <w:r>
              <w:rPr>
                <w:rFonts w:ascii="Calibri" w:hAnsi="Calibri" w:cs="Calibri"/>
                <w:color w:val="000000"/>
                <w:szCs w:val="22"/>
              </w:rPr>
              <w:t>3.0%</w:t>
            </w:r>
          </w:p>
        </w:tc>
      </w:tr>
      <w:tr w:rsidR="00B65A71" w14:paraId="44CA8D17"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3A33948A"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14:paraId="67D63B09" w14:textId="77777777" w:rsidR="00B65A71" w:rsidRDefault="00B65A71" w:rsidP="00B65A71">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20A3BE5C" w14:textId="33A24E89" w:rsidR="00B65A71" w:rsidRDefault="005001F0" w:rsidP="00B65A71">
            <w:pPr>
              <w:widowControl w:val="0"/>
              <w:jc w:val="center"/>
              <w:rPr>
                <w:rFonts w:ascii="Calibri" w:hAnsi="Calibri" w:cs="Calibri"/>
                <w:color w:val="000000"/>
                <w:szCs w:val="22"/>
              </w:rPr>
            </w:pPr>
            <w:r>
              <w:rPr>
                <w:rFonts w:ascii="Calibri" w:hAnsi="Calibri" w:cs="Calibri"/>
                <w:color w:val="000000"/>
                <w:szCs w:val="22"/>
              </w:rPr>
              <w:t>0.4%</w:t>
            </w:r>
          </w:p>
        </w:tc>
      </w:tr>
      <w:tr w:rsidR="00B65A71" w14:paraId="298620A8"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371A4" w14:textId="77777777" w:rsidR="00B65A71" w:rsidRDefault="00B65A71" w:rsidP="00B65A71">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B6298" w14:textId="517DFF48" w:rsidR="00B65A71" w:rsidRDefault="001E5387" w:rsidP="00B65A71">
            <w:pPr>
              <w:widowControl w:val="0"/>
              <w:jc w:val="center"/>
              <w:rPr>
                <w:rFonts w:ascii="Calibri" w:hAnsi="Calibri" w:cs="Calibri"/>
                <w:b/>
                <w:i/>
                <w:color w:val="000000"/>
                <w:szCs w:val="22"/>
              </w:rPr>
            </w:pPr>
            <w:r>
              <w:rPr>
                <w:rFonts w:ascii="Calibri" w:hAnsi="Calibri" w:cs="Calibri"/>
                <w:b/>
                <w:i/>
                <w:color w:val="000000"/>
                <w:szCs w:val="22"/>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215AB" w14:textId="4B162880" w:rsidR="00B65A71" w:rsidRDefault="005001F0" w:rsidP="00B65A71">
            <w:pPr>
              <w:widowControl w:val="0"/>
              <w:jc w:val="center"/>
              <w:rPr>
                <w:rFonts w:ascii="Calibri" w:hAnsi="Calibri" w:cs="Calibri"/>
                <w:b/>
                <w:i/>
                <w:color w:val="000000"/>
                <w:szCs w:val="22"/>
              </w:rPr>
            </w:pPr>
            <w:r>
              <w:rPr>
                <w:rFonts w:ascii="Calibri" w:hAnsi="Calibri" w:cs="Calibri"/>
                <w:b/>
                <w:i/>
                <w:color w:val="000000"/>
                <w:szCs w:val="22"/>
              </w:rPr>
              <w:t>16.3%</w:t>
            </w:r>
          </w:p>
        </w:tc>
      </w:tr>
      <w:tr w:rsidR="00B65A71" w14:paraId="5D293B93"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199F9737"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tcPr>
          <w:p w14:paraId="1A78C5B7" w14:textId="6F2F3ACB" w:rsidR="00B65A71" w:rsidRDefault="000E7FAF" w:rsidP="00B65A71">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2645C1D1" w14:textId="44C03D7E" w:rsidR="00B65A71" w:rsidRDefault="005001F0" w:rsidP="00B65A71">
            <w:pPr>
              <w:jc w:val="center"/>
            </w:pPr>
            <w:r>
              <w:t>0.4%</w:t>
            </w:r>
          </w:p>
        </w:tc>
      </w:tr>
      <w:tr w:rsidR="00B65A71" w14:paraId="173B81C6"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11DF6FA4"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14:paraId="43CA9602" w14:textId="0043788D" w:rsidR="00B65A71" w:rsidRDefault="000E7FAF" w:rsidP="00B65A71">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14:paraId="4DE9A3BE" w14:textId="24FD238C" w:rsidR="00B65A71" w:rsidRDefault="005001F0" w:rsidP="00B65A71">
            <w:pPr>
              <w:jc w:val="center"/>
            </w:pPr>
            <w:r>
              <w:t>1.7%</w:t>
            </w:r>
          </w:p>
        </w:tc>
      </w:tr>
      <w:tr w:rsidR="00B65A71" w14:paraId="772DB330"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4F0A023F" w14:textId="31FB1DB1"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4E04FDAF" w14:textId="1ED2D1D1" w:rsidR="00B65A71" w:rsidRDefault="000E7FAF" w:rsidP="00B65A71">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14:paraId="3084F166" w14:textId="76696726" w:rsidR="00B65A71" w:rsidRDefault="005001F0" w:rsidP="00B65A71">
            <w:pPr>
              <w:jc w:val="center"/>
            </w:pPr>
            <w:r>
              <w:t>1.9%</w:t>
            </w:r>
          </w:p>
        </w:tc>
      </w:tr>
      <w:tr w:rsidR="00B65A71" w14:paraId="22ACEB46"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60EE42EC"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14:paraId="2F8A4834" w14:textId="552EEEF5" w:rsidR="00B65A71" w:rsidRDefault="000E7FAF" w:rsidP="00B65A71">
            <w:pPr>
              <w:widowControl w:val="0"/>
              <w:jc w:val="center"/>
              <w:rPr>
                <w:rFonts w:ascii="Calibri" w:hAnsi="Calibri" w:cs="Calibri"/>
                <w:color w:val="000000"/>
                <w:szCs w:val="22"/>
              </w:rPr>
            </w:pPr>
            <w:r>
              <w:rPr>
                <w:rFonts w:ascii="Calibri" w:hAnsi="Calibri" w:cs="Calibri"/>
                <w:color w:val="000000"/>
                <w:szCs w:val="22"/>
              </w:rPr>
              <w:t>34</w:t>
            </w:r>
          </w:p>
        </w:tc>
        <w:tc>
          <w:tcPr>
            <w:tcW w:w="1418" w:type="dxa"/>
            <w:tcBorders>
              <w:top w:val="single" w:sz="4" w:space="0" w:color="auto"/>
              <w:left w:val="single" w:sz="4" w:space="0" w:color="auto"/>
              <w:bottom w:val="single" w:sz="4" w:space="0" w:color="auto"/>
              <w:right w:val="single" w:sz="4" w:space="0" w:color="auto"/>
            </w:tcBorders>
          </w:tcPr>
          <w:p w14:paraId="6700BF04" w14:textId="57F7824B" w:rsidR="00B65A71" w:rsidRDefault="005001F0" w:rsidP="00B65A71">
            <w:pPr>
              <w:jc w:val="center"/>
            </w:pPr>
            <w:r>
              <w:t>6.4%</w:t>
            </w:r>
          </w:p>
        </w:tc>
      </w:tr>
      <w:tr w:rsidR="00B65A71" w14:paraId="3072FE40"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5ECAA8B5"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14:paraId="1FB6FE26" w14:textId="5CA6FCBD" w:rsidR="00B65A71" w:rsidRDefault="000E7FAF" w:rsidP="00B65A71">
            <w:pPr>
              <w:widowControl w:val="0"/>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tcPr>
          <w:p w14:paraId="4A40BBD7" w14:textId="4A775366" w:rsidR="00B65A71" w:rsidRDefault="00170D39" w:rsidP="00B65A71">
            <w:pPr>
              <w:jc w:val="center"/>
            </w:pPr>
            <w:r>
              <w:t>5.8%</w:t>
            </w:r>
          </w:p>
        </w:tc>
      </w:tr>
      <w:tr w:rsidR="00B65A71" w14:paraId="4C3B28FC"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46909A3E" w14:textId="77777777"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14:paraId="347A10D2" w14:textId="3EAC61BF" w:rsidR="00B65A71" w:rsidRDefault="000E7FAF" w:rsidP="00B65A71">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14:paraId="49E40907" w14:textId="7D210A82" w:rsidR="00B65A71" w:rsidRDefault="00170D39" w:rsidP="00B65A71">
            <w:pPr>
              <w:jc w:val="center"/>
            </w:pPr>
            <w:r>
              <w:t>0.9%</w:t>
            </w:r>
          </w:p>
        </w:tc>
      </w:tr>
      <w:tr w:rsidR="00C47184" w14:paraId="05159BC1"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7C8CD37B" w14:textId="7C0C55CC" w:rsidR="00C47184" w:rsidRDefault="00C47184"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14:paraId="419A07A6" w14:textId="4A3C8077" w:rsidR="00C47184" w:rsidRDefault="000E7FAF" w:rsidP="00B65A71">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4D244FC8" w14:textId="03A8559D" w:rsidR="00C47184" w:rsidRDefault="00170D39" w:rsidP="00B65A71">
            <w:pPr>
              <w:jc w:val="center"/>
            </w:pPr>
            <w:r>
              <w:t>0.6%</w:t>
            </w:r>
          </w:p>
        </w:tc>
      </w:tr>
      <w:tr w:rsidR="00B65A71" w14:paraId="3461BAE6"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3A6EDFC9" w14:textId="63B2BE80" w:rsidR="00B65A71" w:rsidRDefault="00B65A71"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14:paraId="4A8C07FF" w14:textId="1AA01540" w:rsidR="00B65A71" w:rsidRDefault="000E7FAF" w:rsidP="00B65A71">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14:paraId="791BA3A4" w14:textId="5FF377B3" w:rsidR="00B65A71" w:rsidRDefault="00170D39" w:rsidP="00B65A71">
            <w:pPr>
              <w:jc w:val="center"/>
            </w:pPr>
            <w:r>
              <w:t>0.9%</w:t>
            </w:r>
          </w:p>
        </w:tc>
      </w:tr>
      <w:tr w:rsidR="00C47184" w14:paraId="5306866B"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4FEBD6D6" w14:textId="44FDE74F" w:rsidR="00C47184" w:rsidRDefault="00C47184" w:rsidP="00B65A71">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259DBC64" w14:textId="2FF7E759" w:rsidR="00C47184" w:rsidRDefault="001E5387" w:rsidP="00B65A71">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14:paraId="2F510A57" w14:textId="5A6722BA" w:rsidR="00C47184" w:rsidRDefault="00170D39" w:rsidP="00B65A71">
            <w:pPr>
              <w:jc w:val="center"/>
            </w:pPr>
            <w:r>
              <w:t>0.4%</w:t>
            </w:r>
          </w:p>
        </w:tc>
      </w:tr>
      <w:tr w:rsidR="00B65A71" w14:paraId="369D53CE"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2B9CD" w14:textId="77777777" w:rsidR="00B65A71" w:rsidRDefault="00B65A71" w:rsidP="00B65A71">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EBFBE" w14:textId="4C59DDBA" w:rsidR="00B65A71" w:rsidRDefault="009201D3" w:rsidP="00B65A71">
            <w:pPr>
              <w:widowControl w:val="0"/>
              <w:jc w:val="center"/>
              <w:rPr>
                <w:rFonts w:ascii="Calibri" w:hAnsi="Calibri" w:cs="Calibri"/>
                <w:b/>
                <w:i/>
                <w:color w:val="000000"/>
                <w:szCs w:val="22"/>
              </w:rPr>
            </w:pPr>
            <w:r>
              <w:rPr>
                <w:rFonts w:ascii="Calibri" w:hAnsi="Calibri" w:cs="Calibri"/>
                <w:b/>
                <w:i/>
                <w:color w:val="000000"/>
                <w:szCs w:val="22"/>
              </w:rPr>
              <w:t>79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EC6CC" w14:textId="5940F856" w:rsidR="00B65A71" w:rsidRDefault="00170D39" w:rsidP="00B65A71">
            <w:pPr>
              <w:widowControl w:val="0"/>
              <w:jc w:val="center"/>
              <w:rPr>
                <w:rFonts w:ascii="Calibri" w:hAnsi="Calibri" w:cs="Calibri"/>
                <w:b/>
                <w:i/>
                <w:color w:val="000000"/>
                <w:szCs w:val="22"/>
              </w:rPr>
            </w:pPr>
            <w:r>
              <w:rPr>
                <w:rFonts w:ascii="Calibri" w:hAnsi="Calibri" w:cs="Calibri"/>
                <w:b/>
                <w:i/>
                <w:color w:val="000000"/>
                <w:szCs w:val="22"/>
              </w:rPr>
              <w:t>14.8%</w:t>
            </w:r>
          </w:p>
        </w:tc>
      </w:tr>
      <w:tr w:rsidR="00B65A71" w14:paraId="665686FA"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4CA4DB8E" w14:textId="77777777" w:rsidR="00B65A71" w:rsidRDefault="00B65A71" w:rsidP="00B65A7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14:paraId="6B87A8A1" w14:textId="7AC0035D" w:rsidR="00B65A71" w:rsidRDefault="000E7FAF" w:rsidP="00B65A71">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14:paraId="4E5D24B8" w14:textId="647D39A9" w:rsidR="00B65A71" w:rsidRDefault="00170D39" w:rsidP="00B65A71">
            <w:pPr>
              <w:jc w:val="center"/>
            </w:pPr>
            <w:r>
              <w:t>1.7%</w:t>
            </w:r>
          </w:p>
        </w:tc>
      </w:tr>
      <w:tr w:rsidR="00B65A71" w14:paraId="0FE49549"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49718F28" w14:textId="77777777" w:rsidR="00B65A71" w:rsidRDefault="00B65A71" w:rsidP="00B65A7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14:paraId="248DD676" w14:textId="5AE9FB0C" w:rsidR="00B65A71" w:rsidRDefault="000E7FAF" w:rsidP="00B65A71">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14:paraId="70693A0A" w14:textId="0F88F49F" w:rsidR="00B65A71" w:rsidRDefault="00170D39" w:rsidP="00B65A71">
            <w:pPr>
              <w:widowControl w:val="0"/>
              <w:jc w:val="center"/>
              <w:rPr>
                <w:rFonts w:ascii="Calibri" w:hAnsi="Calibri" w:cs="Calibri"/>
                <w:color w:val="000000"/>
                <w:szCs w:val="22"/>
              </w:rPr>
            </w:pPr>
            <w:r>
              <w:rPr>
                <w:rFonts w:ascii="Calibri" w:hAnsi="Calibri" w:cs="Calibri"/>
                <w:color w:val="000000"/>
                <w:szCs w:val="22"/>
              </w:rPr>
              <w:t>1.7%</w:t>
            </w:r>
          </w:p>
        </w:tc>
      </w:tr>
      <w:tr w:rsidR="00B65A71" w14:paraId="7A8F7B95"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4F3FCA8A" w14:textId="77777777" w:rsidR="00B65A71" w:rsidRDefault="00B65A71" w:rsidP="00B65A7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14:paraId="5D49F2BD" w14:textId="60230DAB" w:rsidR="00B65A71" w:rsidRDefault="000E7FAF" w:rsidP="00B65A71">
            <w:pPr>
              <w:widowControl w:val="0"/>
              <w:jc w:val="center"/>
              <w:rPr>
                <w:rFonts w:ascii="Calibri" w:hAnsi="Calibri" w:cs="Calibri"/>
                <w:color w:val="000000"/>
                <w:szCs w:val="22"/>
              </w:rPr>
            </w:pPr>
            <w:r>
              <w:rPr>
                <w:rFonts w:ascii="Calibri" w:hAnsi="Calibri" w:cs="Calibri"/>
                <w:color w:val="000000"/>
                <w:szCs w:val="22"/>
              </w:rPr>
              <w:t>49</w:t>
            </w:r>
          </w:p>
        </w:tc>
        <w:tc>
          <w:tcPr>
            <w:tcW w:w="1418" w:type="dxa"/>
            <w:tcBorders>
              <w:top w:val="single" w:sz="4" w:space="0" w:color="auto"/>
              <w:left w:val="single" w:sz="4" w:space="0" w:color="auto"/>
              <w:bottom w:val="single" w:sz="4" w:space="0" w:color="auto"/>
              <w:right w:val="single" w:sz="4" w:space="0" w:color="auto"/>
            </w:tcBorders>
            <w:vAlign w:val="center"/>
          </w:tcPr>
          <w:p w14:paraId="78F217FF" w14:textId="24C192FC" w:rsidR="00B65A71" w:rsidRDefault="00170D39" w:rsidP="00B65A71">
            <w:pPr>
              <w:widowControl w:val="0"/>
              <w:jc w:val="center"/>
              <w:rPr>
                <w:rFonts w:ascii="Calibri" w:hAnsi="Calibri" w:cs="Calibri"/>
                <w:color w:val="000000"/>
                <w:szCs w:val="22"/>
              </w:rPr>
            </w:pPr>
            <w:r>
              <w:rPr>
                <w:rFonts w:ascii="Calibri" w:hAnsi="Calibri" w:cs="Calibri"/>
                <w:color w:val="000000"/>
                <w:szCs w:val="22"/>
              </w:rPr>
              <w:t>9.2%</w:t>
            </w:r>
          </w:p>
        </w:tc>
      </w:tr>
      <w:tr w:rsidR="00B65A71" w14:paraId="05DFEDCE"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6D84FD56" w14:textId="77777777" w:rsidR="00B65A71" w:rsidRDefault="00B65A71" w:rsidP="00B65A7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14:paraId="21F7AFF9" w14:textId="7F2581C6" w:rsidR="00B65A71" w:rsidRDefault="00C47184" w:rsidP="00B65A71">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14:paraId="3626B44E" w14:textId="411A1404" w:rsidR="00B65A71" w:rsidRDefault="00170D39" w:rsidP="00B65A71">
            <w:pPr>
              <w:jc w:val="center"/>
            </w:pPr>
            <w:r>
              <w:t>0.6%</w:t>
            </w:r>
          </w:p>
        </w:tc>
      </w:tr>
      <w:tr w:rsidR="00B65A71" w14:paraId="77F5A797"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7AB2A6AA" w14:textId="77777777" w:rsidR="00B65A71" w:rsidRDefault="00B65A71" w:rsidP="00B65A7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14:paraId="32B0B5C1" w14:textId="08654961" w:rsidR="00B65A71" w:rsidRDefault="000E7FAF" w:rsidP="00B65A71">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tcPr>
          <w:p w14:paraId="40397977" w14:textId="07E450F2" w:rsidR="00B65A71" w:rsidRDefault="00170D39" w:rsidP="00B65A71">
            <w:pPr>
              <w:jc w:val="center"/>
            </w:pPr>
            <w:r>
              <w:t>2.2%</w:t>
            </w:r>
          </w:p>
        </w:tc>
      </w:tr>
      <w:tr w:rsidR="00B65A71" w14:paraId="45F073A0"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B3222" w14:textId="77777777" w:rsidR="00B65A71" w:rsidRDefault="00B65A71" w:rsidP="00B65A71">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F19F1" w14:textId="588ADD41" w:rsidR="00B65A71" w:rsidRDefault="009201D3" w:rsidP="00B65A71">
            <w:pPr>
              <w:widowControl w:val="0"/>
              <w:jc w:val="center"/>
              <w:rPr>
                <w:rFonts w:ascii="Calibri" w:hAnsi="Calibri" w:cs="Calibri"/>
                <w:b/>
                <w:i/>
                <w:color w:val="000000"/>
                <w:szCs w:val="22"/>
              </w:rPr>
            </w:pPr>
            <w:r>
              <w:rPr>
                <w:rFonts w:ascii="Calibri" w:hAnsi="Calibri" w:cs="Calibri"/>
                <w:b/>
                <w:i/>
                <w:color w:val="000000"/>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3195A" w14:textId="7A729231" w:rsidR="00B65A71" w:rsidRDefault="00170D39" w:rsidP="00B65A71">
            <w:pPr>
              <w:widowControl w:val="0"/>
              <w:jc w:val="center"/>
              <w:rPr>
                <w:rFonts w:ascii="Calibri" w:hAnsi="Calibri" w:cs="Calibri"/>
                <w:b/>
                <w:i/>
                <w:color w:val="000000"/>
                <w:szCs w:val="22"/>
              </w:rPr>
            </w:pPr>
            <w:r>
              <w:rPr>
                <w:rFonts w:ascii="Calibri" w:hAnsi="Calibri" w:cs="Calibri"/>
                <w:b/>
                <w:i/>
                <w:color w:val="000000"/>
                <w:szCs w:val="22"/>
              </w:rPr>
              <w:t>1.7%</w:t>
            </w:r>
          </w:p>
        </w:tc>
      </w:tr>
      <w:tr w:rsidR="00B65A71" w:rsidRPr="00F16F2F" w14:paraId="4E5B1465"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3490AA7A" w14:textId="77777777" w:rsidR="00B65A71" w:rsidRDefault="00B65A71" w:rsidP="00B65A71">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E8CCA2" w14:textId="30C07224" w:rsidR="00B65A71" w:rsidRPr="004D62A7" w:rsidRDefault="00B65A71" w:rsidP="00B65A71">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FF332C" w14:textId="0E853BC9" w:rsidR="00B65A71" w:rsidRPr="00F16F2F" w:rsidRDefault="00170D39" w:rsidP="00B65A71">
            <w:pPr>
              <w:widowControl w:val="0"/>
              <w:jc w:val="center"/>
              <w:rPr>
                <w:rFonts w:ascii="Calibri" w:hAnsi="Calibri" w:cs="Calibri"/>
                <w:color w:val="000000"/>
                <w:szCs w:val="22"/>
              </w:rPr>
            </w:pPr>
            <w:r>
              <w:rPr>
                <w:rFonts w:ascii="Calibri" w:hAnsi="Calibri" w:cs="Calibri"/>
                <w:color w:val="000000"/>
                <w:szCs w:val="22"/>
              </w:rPr>
              <w:t>1.7%</w:t>
            </w:r>
          </w:p>
        </w:tc>
      </w:tr>
      <w:tr w:rsidR="00C47184" w:rsidRPr="00F16F2F" w14:paraId="42081A88" w14:textId="77777777" w:rsidTr="00C47184">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D8B76" w14:textId="0D752BA2" w:rsidR="00C47184" w:rsidRDefault="00C47184" w:rsidP="00C47184">
            <w:pPr>
              <w:widowControl w:val="0"/>
              <w:tabs>
                <w:tab w:val="left" w:pos="176"/>
                <w:tab w:val="left" w:pos="1440"/>
                <w:tab w:val="decimal" w:pos="4320"/>
              </w:tabs>
              <w:jc w:val="left"/>
              <w:outlineLvl w:val="0"/>
              <w:rPr>
                <w:rFonts w:ascii="Calibri" w:hAnsi="Calibri"/>
                <w:szCs w:val="22"/>
              </w:rPr>
            </w:pPr>
            <w:r>
              <w:rPr>
                <w:rFonts w:ascii="Calibri" w:hAnsi="Calibri"/>
                <w:b/>
                <w:i/>
                <w:szCs w:val="22"/>
              </w:rPr>
              <w:t xml:space="preserve">Teamwork/supervision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BE1A5" w14:textId="57137965" w:rsidR="00C47184" w:rsidRPr="009201D3" w:rsidRDefault="009201D3" w:rsidP="00C47184">
            <w:pPr>
              <w:widowControl w:val="0"/>
              <w:jc w:val="center"/>
              <w:rPr>
                <w:rFonts w:ascii="Calibri" w:hAnsi="Calibri" w:cs="Calibri"/>
                <w:b/>
                <w:i/>
                <w:color w:val="000000"/>
                <w:szCs w:val="22"/>
              </w:rPr>
            </w:pPr>
            <w:r>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C3E1F" w14:textId="4A6A8809" w:rsidR="00C47184" w:rsidRPr="00F16F2F" w:rsidRDefault="00170D39" w:rsidP="00C47184">
            <w:pPr>
              <w:widowControl w:val="0"/>
              <w:jc w:val="center"/>
              <w:rPr>
                <w:rFonts w:ascii="Calibri" w:hAnsi="Calibri" w:cs="Calibri"/>
                <w:color w:val="000000"/>
                <w:szCs w:val="22"/>
              </w:rPr>
            </w:pPr>
            <w:r>
              <w:rPr>
                <w:rFonts w:ascii="Calibri" w:hAnsi="Calibri" w:cs="Calibri"/>
                <w:color w:val="000000"/>
                <w:szCs w:val="22"/>
              </w:rPr>
              <w:t>1.3%</w:t>
            </w:r>
          </w:p>
        </w:tc>
      </w:tr>
      <w:tr w:rsidR="00C47184" w:rsidRPr="00F16F2F" w14:paraId="4ADE8A75"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4BEEA321" w14:textId="24557846" w:rsidR="00C47184" w:rsidRDefault="00C47184" w:rsidP="00C4718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F50D05" w14:textId="4868C297" w:rsidR="00C47184" w:rsidRDefault="000E7FAF" w:rsidP="00C47184">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013F1A" w14:textId="0DC931C3" w:rsidR="00C47184" w:rsidRPr="00F16F2F" w:rsidRDefault="00170D39" w:rsidP="00C47184">
            <w:pPr>
              <w:widowControl w:val="0"/>
              <w:jc w:val="center"/>
              <w:rPr>
                <w:rFonts w:ascii="Calibri" w:hAnsi="Calibri" w:cs="Calibri"/>
                <w:color w:val="000000"/>
                <w:szCs w:val="22"/>
              </w:rPr>
            </w:pPr>
            <w:r>
              <w:rPr>
                <w:rFonts w:ascii="Calibri" w:hAnsi="Calibri" w:cs="Calibri"/>
                <w:color w:val="000000"/>
                <w:szCs w:val="22"/>
              </w:rPr>
              <w:t>1.3%</w:t>
            </w:r>
          </w:p>
        </w:tc>
      </w:tr>
      <w:tr w:rsidR="00C47184" w14:paraId="09183FF5"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A58CF" w14:textId="77777777" w:rsidR="00C47184" w:rsidRDefault="00C47184" w:rsidP="00C4718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DC92D" w14:textId="002D4668" w:rsidR="00C47184" w:rsidRDefault="009201D3" w:rsidP="00C47184">
            <w:pPr>
              <w:widowControl w:val="0"/>
              <w:jc w:val="center"/>
              <w:rPr>
                <w:rFonts w:ascii="Calibri" w:hAnsi="Calibri" w:cs="Calibri"/>
                <w:b/>
                <w:i/>
                <w:color w:val="000000"/>
                <w:szCs w:val="22"/>
              </w:rPr>
            </w:pPr>
            <w:r>
              <w:rPr>
                <w:rFonts w:ascii="Calibri" w:hAnsi="Calibri" w:cs="Calibri"/>
                <w:b/>
                <w:i/>
                <w:color w:val="000000"/>
                <w:szCs w:val="22"/>
              </w:rPr>
              <w:t>38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BA43C" w14:textId="387470DA" w:rsidR="00C47184" w:rsidRDefault="00170D39" w:rsidP="00C47184">
            <w:pPr>
              <w:widowControl w:val="0"/>
              <w:jc w:val="center"/>
              <w:rPr>
                <w:rFonts w:ascii="Calibri" w:hAnsi="Calibri" w:cs="Calibri"/>
                <w:b/>
                <w:i/>
                <w:color w:val="000000"/>
                <w:szCs w:val="22"/>
              </w:rPr>
            </w:pPr>
            <w:r>
              <w:rPr>
                <w:rFonts w:ascii="Calibri" w:hAnsi="Calibri" w:cs="Calibri"/>
                <w:b/>
                <w:i/>
                <w:color w:val="000000"/>
                <w:szCs w:val="22"/>
              </w:rPr>
              <w:t>7.1%</w:t>
            </w:r>
          </w:p>
        </w:tc>
      </w:tr>
      <w:tr w:rsidR="00C47184" w14:paraId="64824049"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665D68D2" w14:textId="77777777" w:rsidR="00C47184" w:rsidRDefault="00C47184" w:rsidP="00C4718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14:paraId="288B3D6C" w14:textId="3B635B22" w:rsidR="00C47184" w:rsidRDefault="000E7FAF" w:rsidP="00C47184">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00C018C0" w14:textId="460870DD" w:rsidR="00C47184" w:rsidRDefault="00170D39" w:rsidP="00C47184">
            <w:pPr>
              <w:widowControl w:val="0"/>
              <w:jc w:val="center"/>
              <w:rPr>
                <w:rFonts w:ascii="Calibri" w:hAnsi="Calibri" w:cs="Calibri"/>
                <w:color w:val="000000"/>
                <w:szCs w:val="22"/>
              </w:rPr>
            </w:pPr>
            <w:r>
              <w:rPr>
                <w:rFonts w:ascii="Calibri" w:hAnsi="Calibri" w:cs="Calibri"/>
                <w:color w:val="000000"/>
                <w:szCs w:val="22"/>
              </w:rPr>
              <w:t>2.1%</w:t>
            </w:r>
          </w:p>
        </w:tc>
      </w:tr>
      <w:tr w:rsidR="00C47184" w14:paraId="610E175C"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hideMark/>
          </w:tcPr>
          <w:p w14:paraId="73E915BF" w14:textId="77777777" w:rsidR="00C47184" w:rsidRDefault="00C47184" w:rsidP="00C4718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14:paraId="4FF434E6" w14:textId="1FA34A3F" w:rsidR="00C47184" w:rsidRDefault="000E7FAF" w:rsidP="00C47184">
            <w:pPr>
              <w:widowControl w:val="0"/>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tcPr>
          <w:p w14:paraId="669E46C6" w14:textId="59DEA78F" w:rsidR="00C47184" w:rsidRDefault="00170D39" w:rsidP="00C47184">
            <w:pPr>
              <w:jc w:val="center"/>
            </w:pPr>
            <w:r>
              <w:t>3.9%</w:t>
            </w:r>
          </w:p>
        </w:tc>
      </w:tr>
      <w:tr w:rsidR="00C47184" w14:paraId="000D6461"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tcPr>
          <w:p w14:paraId="4CDA065A" w14:textId="6D10CCB2" w:rsidR="00C47184" w:rsidRDefault="00C47184" w:rsidP="00C4718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14:paraId="63327D0A" w14:textId="38C84AAE" w:rsidR="00C47184" w:rsidRDefault="009201D3" w:rsidP="00C47184">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14:paraId="22F3DA60" w14:textId="050C944C" w:rsidR="00C47184" w:rsidRDefault="00170D39" w:rsidP="00C47184">
            <w:pPr>
              <w:jc w:val="center"/>
            </w:pPr>
            <w:r>
              <w:t>1.1%</w:t>
            </w:r>
          </w:p>
        </w:tc>
      </w:tr>
      <w:tr w:rsidR="00C47184" w:rsidRPr="00F509B5" w14:paraId="0C5AB8E8"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F72F2" w14:textId="77777777" w:rsidR="00C47184" w:rsidRDefault="00C47184" w:rsidP="00C47184">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96FD9" w14:textId="2519ED50" w:rsidR="00C47184" w:rsidRDefault="00671664" w:rsidP="00C47184">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4D20A" w14:textId="77777777" w:rsidR="00C47184" w:rsidRPr="00F509B5" w:rsidRDefault="00C47184" w:rsidP="00C47184">
            <w:pPr>
              <w:widowControl w:val="0"/>
              <w:jc w:val="center"/>
              <w:rPr>
                <w:rFonts w:ascii="Calibri" w:hAnsi="Calibri" w:cs="Calibri"/>
                <w:b/>
                <w:i/>
                <w:color w:val="000000"/>
                <w:szCs w:val="22"/>
              </w:rPr>
            </w:pPr>
          </w:p>
        </w:tc>
      </w:tr>
      <w:tr w:rsidR="00C47184" w:rsidRPr="00F509B5" w14:paraId="196A0F2B" w14:textId="77777777" w:rsidTr="00950AFA">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445A5" w14:textId="77777777" w:rsidR="00C47184" w:rsidRDefault="00C47184" w:rsidP="00C47184">
            <w:pPr>
              <w:widowControl w:val="0"/>
              <w:tabs>
                <w:tab w:val="left" w:pos="176"/>
                <w:tab w:val="left" w:pos="1440"/>
                <w:tab w:val="decimal" w:pos="4320"/>
              </w:tabs>
              <w:outlineLvl w:val="0"/>
              <w:rPr>
                <w:rFonts w:ascii="Calibri" w:hAnsi="Calibri"/>
                <w:b/>
                <w:i/>
                <w:szCs w:val="22"/>
              </w:rPr>
            </w:pPr>
            <w:r>
              <w:rPr>
                <w:rFonts w:ascii="Calibri" w:hAnsi="Calibri"/>
                <w:b/>
                <w: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0889B" w14:textId="5EAE8CE2" w:rsidR="00C47184" w:rsidRDefault="000E7FAF" w:rsidP="00C47184">
            <w:pPr>
              <w:widowControl w:val="0"/>
              <w:jc w:val="center"/>
              <w:rPr>
                <w:rFonts w:ascii="Calibri" w:hAnsi="Calibri" w:cs="Calibri"/>
                <w:b/>
                <w:i/>
                <w:color w:val="000000"/>
                <w:szCs w:val="22"/>
              </w:rPr>
            </w:pPr>
            <w:r>
              <w:rPr>
                <w:rFonts w:ascii="Calibri" w:hAnsi="Calibri" w:cs="Calibri"/>
                <w:b/>
                <w:i/>
                <w:color w:val="000000"/>
                <w:szCs w:val="22"/>
              </w:rPr>
              <w:t>21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58EF4" w14:textId="77777777" w:rsidR="00C47184" w:rsidRPr="00F509B5" w:rsidRDefault="00C47184" w:rsidP="00C47184">
            <w:pPr>
              <w:widowControl w:val="0"/>
              <w:jc w:val="center"/>
              <w:rPr>
                <w:rFonts w:ascii="Calibri" w:hAnsi="Calibri" w:cs="Calibri"/>
                <w:b/>
                <w:i/>
                <w:color w:val="000000"/>
                <w:szCs w:val="22"/>
              </w:rPr>
            </w:pPr>
          </w:p>
        </w:tc>
      </w:tr>
    </w:tbl>
    <w:p w14:paraId="34E27961" w14:textId="23D0F163" w:rsidR="0031532E" w:rsidRDefault="0031532E" w:rsidP="00EB4A22">
      <w:pPr>
        <w:spacing w:before="480" w:after="240"/>
      </w:pPr>
    </w:p>
    <w:p w14:paraId="21C930D1" w14:textId="091CF485" w:rsidR="001D4D95" w:rsidRDefault="001D4D95" w:rsidP="00EB4A22">
      <w:pPr>
        <w:spacing w:before="480" w:after="240"/>
      </w:pPr>
    </w:p>
    <w:p w14:paraId="36DD45DE" w14:textId="77777777" w:rsidR="001D4D95" w:rsidRDefault="001D4D95" w:rsidP="00EB4A22">
      <w:pPr>
        <w:spacing w:before="480" w:after="240"/>
      </w:pPr>
    </w:p>
    <w:p w14:paraId="28932BCF" w14:textId="77777777" w:rsidR="00EB4A22" w:rsidRPr="009E78BF" w:rsidRDefault="00EB4A22" w:rsidP="00A504BF">
      <w:pPr>
        <w:spacing w:before="480" w:after="240"/>
        <w:rPr>
          <w:b/>
          <w:szCs w:val="26"/>
        </w:rPr>
      </w:pPr>
      <w:r w:rsidRPr="00AF3542">
        <w:lastRenderedPageBreak/>
        <w:t xml:space="preserve">On analysis of all issues identified in complaints about DHBs, the most common complaint issue categories were: </w:t>
      </w:r>
    </w:p>
    <w:p w14:paraId="31047473" w14:textId="00A06A85" w:rsidR="00EB4A22" w:rsidRPr="00AF3542"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Care/treatment (present for </w:t>
      </w:r>
      <w:r w:rsidR="00170D39">
        <w:rPr>
          <w:rFonts w:ascii="Calibri" w:hAnsi="Calibri"/>
          <w:szCs w:val="22"/>
        </w:rPr>
        <w:t>79</w:t>
      </w:r>
      <w:r w:rsidRPr="00AF3542">
        <w:rPr>
          <w:rFonts w:ascii="Calibri" w:hAnsi="Calibri"/>
          <w:szCs w:val="22"/>
        </w:rPr>
        <w:t xml:space="preserve">% of all complaints) </w:t>
      </w:r>
    </w:p>
    <w:p w14:paraId="12F427DD" w14:textId="5805A9CD" w:rsidR="00EB4A22"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Communication (present for </w:t>
      </w:r>
      <w:r w:rsidR="00170D39">
        <w:rPr>
          <w:rFonts w:ascii="Calibri" w:hAnsi="Calibri"/>
          <w:szCs w:val="22"/>
        </w:rPr>
        <w:t>68</w:t>
      </w:r>
      <w:r w:rsidRPr="00AF3542">
        <w:rPr>
          <w:rFonts w:ascii="Calibri" w:hAnsi="Calibri"/>
          <w:szCs w:val="22"/>
        </w:rPr>
        <w:t>% of all complaints)</w:t>
      </w:r>
    </w:p>
    <w:p w14:paraId="3BA9F2B9" w14:textId="089BBD89" w:rsidR="00EB4A22" w:rsidRPr="00EE6433"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Consent/information (present for </w:t>
      </w:r>
      <w:r w:rsidR="00170D39">
        <w:rPr>
          <w:rFonts w:ascii="Calibri" w:hAnsi="Calibri"/>
          <w:szCs w:val="22"/>
        </w:rPr>
        <w:t>25</w:t>
      </w:r>
      <w:r>
        <w:rPr>
          <w:rFonts w:ascii="Calibri" w:hAnsi="Calibri"/>
          <w:szCs w:val="22"/>
        </w:rPr>
        <w:t>% of all complaints)</w:t>
      </w:r>
    </w:p>
    <w:p w14:paraId="01D167D8" w14:textId="07ACA338" w:rsidR="00EB4A22" w:rsidRPr="00AF3542" w:rsidRDefault="00EB4A22" w:rsidP="001E3CF1">
      <w:pPr>
        <w:pStyle w:val="ListParagraph"/>
        <w:numPr>
          <w:ilvl w:val="0"/>
          <w:numId w:val="5"/>
        </w:numPr>
        <w:ind w:left="284" w:hanging="284"/>
        <w:rPr>
          <w:rFonts w:ascii="Calibri" w:hAnsi="Calibri"/>
          <w:szCs w:val="22"/>
        </w:rPr>
      </w:pPr>
      <w:r w:rsidRPr="00AF3542">
        <w:rPr>
          <w:rFonts w:ascii="Calibri" w:hAnsi="Calibri"/>
          <w:szCs w:val="22"/>
        </w:rPr>
        <w:t xml:space="preserve">Access/funding (present for </w:t>
      </w:r>
      <w:r w:rsidR="00170D39">
        <w:rPr>
          <w:rFonts w:ascii="Calibri" w:hAnsi="Calibri"/>
          <w:szCs w:val="22"/>
        </w:rPr>
        <w:t>24</w:t>
      </w:r>
      <w:r w:rsidRPr="00AF3542">
        <w:rPr>
          <w:rFonts w:ascii="Calibri" w:hAnsi="Calibri"/>
          <w:szCs w:val="22"/>
        </w:rPr>
        <w:t xml:space="preserve">% of all complaints) </w:t>
      </w:r>
    </w:p>
    <w:p w14:paraId="59898BA1" w14:textId="77777777" w:rsidR="00EB4A22" w:rsidRDefault="00EB4A22" w:rsidP="00EB4A22">
      <w:pPr>
        <w:rPr>
          <w:rFonts w:ascii="Calibri" w:hAnsi="Calibri"/>
          <w:szCs w:val="22"/>
        </w:rPr>
      </w:pPr>
    </w:p>
    <w:p w14:paraId="0CBE883E" w14:textId="77777777" w:rsidR="00EB4A22" w:rsidRDefault="00EB4A22" w:rsidP="004D22EA">
      <w:pPr>
        <w:keepNext/>
        <w:spacing w:after="120"/>
        <w:rPr>
          <w:rFonts w:ascii="Calibri" w:hAnsi="Calibri"/>
          <w:szCs w:val="22"/>
        </w:rPr>
      </w:pPr>
      <w:r>
        <w:rPr>
          <w:rFonts w:ascii="Calibri" w:hAnsi="Calibri"/>
          <w:szCs w:val="22"/>
        </w:rPr>
        <w:t xml:space="preserve">The most common </w:t>
      </w:r>
      <w:r w:rsidRPr="00AF3542">
        <w:rPr>
          <w:rFonts w:ascii="Calibri" w:hAnsi="Calibri"/>
          <w:i/>
          <w:szCs w:val="22"/>
        </w:rPr>
        <w:t>specific</w:t>
      </w:r>
      <w:r>
        <w:rPr>
          <w:rFonts w:ascii="Calibri" w:hAnsi="Calibri"/>
          <w:szCs w:val="22"/>
        </w:rPr>
        <w:t xml:space="preserve"> issues were: </w:t>
      </w:r>
    </w:p>
    <w:p w14:paraId="047D7A75" w14:textId="72999B07" w:rsidR="00EB4A22" w:rsidRPr="00170D39" w:rsidRDefault="00EB4A22" w:rsidP="001E3CF1">
      <w:pPr>
        <w:pStyle w:val="ListParagraph"/>
        <w:keepNext/>
        <w:numPr>
          <w:ilvl w:val="0"/>
          <w:numId w:val="6"/>
        </w:numPr>
        <w:ind w:left="284" w:hanging="284"/>
        <w:rPr>
          <w:lang w:eastAsia="en-NZ" w:bidi="ar-SA"/>
        </w:rPr>
      </w:pPr>
      <w:r>
        <w:rPr>
          <w:rFonts w:ascii="Calibri" w:hAnsi="Calibri"/>
          <w:szCs w:val="22"/>
        </w:rPr>
        <w:t>F</w:t>
      </w:r>
      <w:r w:rsidRPr="00064B53">
        <w:rPr>
          <w:rFonts w:ascii="Calibri" w:hAnsi="Calibri"/>
          <w:szCs w:val="22"/>
        </w:rPr>
        <w:t>ailure to communicate effectively with consumer</w:t>
      </w:r>
      <w:r w:rsidR="00170D39">
        <w:rPr>
          <w:rFonts w:ascii="Calibri" w:hAnsi="Calibri"/>
          <w:szCs w:val="22"/>
        </w:rPr>
        <w:t xml:space="preserve"> (36</w:t>
      </w:r>
      <w:r>
        <w:rPr>
          <w:rFonts w:ascii="Calibri" w:hAnsi="Calibri"/>
          <w:szCs w:val="22"/>
        </w:rPr>
        <w:t>%)</w:t>
      </w:r>
    </w:p>
    <w:p w14:paraId="09DD6125" w14:textId="3D558721" w:rsidR="00170D39" w:rsidRPr="00170D39" w:rsidRDefault="00170D39" w:rsidP="00170D39">
      <w:pPr>
        <w:pStyle w:val="ListParagraph"/>
        <w:numPr>
          <w:ilvl w:val="0"/>
          <w:numId w:val="6"/>
        </w:numPr>
        <w:ind w:left="284" w:hanging="284"/>
        <w:rPr>
          <w:lang w:eastAsia="en-NZ" w:bidi="ar-SA"/>
        </w:rPr>
      </w:pPr>
      <w:r w:rsidRPr="00064B53">
        <w:rPr>
          <w:rFonts w:ascii="Calibri" w:hAnsi="Calibri"/>
          <w:szCs w:val="22"/>
        </w:rPr>
        <w:t>Inadequate/i</w:t>
      </w:r>
      <w:r>
        <w:rPr>
          <w:rFonts w:ascii="Calibri" w:hAnsi="Calibri"/>
          <w:szCs w:val="22"/>
        </w:rPr>
        <w:t>nappropriate clinical treatment (34%)</w:t>
      </w:r>
    </w:p>
    <w:p w14:paraId="152DD8DA" w14:textId="77301B0D" w:rsidR="00170D39" w:rsidRPr="00170D39" w:rsidRDefault="00170D39" w:rsidP="00170D39">
      <w:pPr>
        <w:pStyle w:val="ListParagraph"/>
        <w:numPr>
          <w:ilvl w:val="0"/>
          <w:numId w:val="6"/>
        </w:numPr>
        <w:ind w:left="284" w:hanging="284"/>
        <w:rPr>
          <w:lang w:eastAsia="en-NZ" w:bidi="ar-SA"/>
        </w:rPr>
      </w:pPr>
      <w:r>
        <w:rPr>
          <w:rFonts w:ascii="Calibri" w:hAnsi="Calibri"/>
          <w:szCs w:val="22"/>
        </w:rPr>
        <w:t>I</w:t>
      </w:r>
      <w:r w:rsidRPr="00064B53">
        <w:rPr>
          <w:rFonts w:ascii="Calibri" w:hAnsi="Calibri"/>
          <w:szCs w:val="22"/>
        </w:rPr>
        <w:t>nadequate/inappropriate examination/a</w:t>
      </w:r>
      <w:r>
        <w:rPr>
          <w:rFonts w:ascii="Calibri" w:hAnsi="Calibri"/>
          <w:szCs w:val="22"/>
        </w:rPr>
        <w:t>ssessment (28%)</w:t>
      </w:r>
    </w:p>
    <w:p w14:paraId="0B8AAA1A" w14:textId="40F5F744" w:rsidR="00170D39" w:rsidRPr="009E78BF" w:rsidRDefault="00170D39" w:rsidP="00170D39">
      <w:pPr>
        <w:pStyle w:val="ListParagraph"/>
        <w:keepNext/>
        <w:numPr>
          <w:ilvl w:val="0"/>
          <w:numId w:val="6"/>
        </w:numPr>
        <w:ind w:left="284" w:hanging="284"/>
        <w:rPr>
          <w:lang w:eastAsia="en-NZ" w:bidi="ar-SA"/>
        </w:rPr>
      </w:pPr>
      <w:r>
        <w:rPr>
          <w:rFonts w:ascii="Calibri" w:hAnsi="Calibri"/>
          <w:szCs w:val="22"/>
        </w:rPr>
        <w:t>Delay in treatment (22%)</w:t>
      </w:r>
    </w:p>
    <w:p w14:paraId="5CCF9C5D" w14:textId="4D6CB1E9" w:rsidR="00EB4A22" w:rsidRPr="00170D39" w:rsidRDefault="00EB4A22" w:rsidP="001E3CF1">
      <w:pPr>
        <w:pStyle w:val="ListParagraph"/>
        <w:numPr>
          <w:ilvl w:val="0"/>
          <w:numId w:val="6"/>
        </w:numPr>
        <w:ind w:left="284" w:hanging="284"/>
        <w:rPr>
          <w:lang w:eastAsia="en-NZ" w:bidi="ar-SA"/>
        </w:rPr>
      </w:pPr>
      <w:r>
        <w:rPr>
          <w:rFonts w:ascii="Calibri" w:hAnsi="Calibri"/>
          <w:szCs w:val="22"/>
        </w:rPr>
        <w:t>Failure to communicate effectively with fami</w:t>
      </w:r>
      <w:r w:rsidR="00170D39">
        <w:rPr>
          <w:rFonts w:ascii="Calibri" w:hAnsi="Calibri"/>
          <w:szCs w:val="22"/>
        </w:rPr>
        <w:t>ly</w:t>
      </w:r>
      <w:r w:rsidR="00F21DAA">
        <w:rPr>
          <w:rFonts w:ascii="Calibri" w:hAnsi="Calibri"/>
          <w:szCs w:val="22"/>
        </w:rPr>
        <w:t>/</w:t>
      </w:r>
      <w:proofErr w:type="spellStart"/>
      <w:r w:rsidR="00F21DAA">
        <w:rPr>
          <w:rFonts w:ascii="Calibri" w:hAnsi="Calibri"/>
          <w:szCs w:val="22"/>
        </w:rPr>
        <w:t>whānau</w:t>
      </w:r>
      <w:proofErr w:type="spellEnd"/>
      <w:r w:rsidR="00170D39">
        <w:rPr>
          <w:rFonts w:ascii="Calibri" w:hAnsi="Calibri"/>
          <w:szCs w:val="22"/>
        </w:rPr>
        <w:t xml:space="preserve"> (21</w:t>
      </w:r>
      <w:r>
        <w:rPr>
          <w:rFonts w:ascii="Calibri" w:hAnsi="Calibri"/>
          <w:szCs w:val="22"/>
        </w:rPr>
        <w:t>%)</w:t>
      </w:r>
    </w:p>
    <w:p w14:paraId="745C1778" w14:textId="420BFC99" w:rsidR="00170D39" w:rsidRPr="00170D39" w:rsidRDefault="00170D39" w:rsidP="00170D39">
      <w:pPr>
        <w:pStyle w:val="ListParagraph"/>
        <w:numPr>
          <w:ilvl w:val="0"/>
          <w:numId w:val="6"/>
        </w:numPr>
        <w:ind w:left="284" w:hanging="284"/>
        <w:rPr>
          <w:lang w:eastAsia="en-NZ" w:bidi="ar-SA"/>
        </w:rPr>
      </w:pPr>
      <w:r>
        <w:rPr>
          <w:rFonts w:ascii="Calibri" w:hAnsi="Calibri"/>
          <w:szCs w:val="22"/>
        </w:rPr>
        <w:t>I</w:t>
      </w:r>
      <w:r w:rsidRPr="00064B53">
        <w:rPr>
          <w:rFonts w:ascii="Calibri" w:hAnsi="Calibri"/>
          <w:szCs w:val="22"/>
        </w:rPr>
        <w:t>nadequate coordinatio</w:t>
      </w:r>
      <w:r>
        <w:rPr>
          <w:rFonts w:ascii="Calibri" w:hAnsi="Calibri"/>
          <w:szCs w:val="22"/>
        </w:rPr>
        <w:t>n of care/treatment</w:t>
      </w:r>
      <w:r w:rsidRPr="00064B53">
        <w:rPr>
          <w:rFonts w:ascii="Calibri" w:hAnsi="Calibri"/>
          <w:szCs w:val="22"/>
        </w:rPr>
        <w:t xml:space="preserve"> </w:t>
      </w:r>
      <w:r>
        <w:rPr>
          <w:rFonts w:ascii="Calibri" w:hAnsi="Calibri"/>
          <w:szCs w:val="22"/>
        </w:rPr>
        <w:t>(19%)</w:t>
      </w:r>
    </w:p>
    <w:p w14:paraId="694BA309" w14:textId="2BD0390A" w:rsidR="00170D39" w:rsidRPr="00A4472F" w:rsidRDefault="00170D39" w:rsidP="00170D39">
      <w:pPr>
        <w:pStyle w:val="ListParagraph"/>
        <w:numPr>
          <w:ilvl w:val="0"/>
          <w:numId w:val="6"/>
        </w:numPr>
        <w:ind w:left="284" w:hanging="284"/>
        <w:rPr>
          <w:lang w:eastAsia="en-NZ" w:bidi="ar-SA"/>
        </w:rPr>
      </w:pPr>
      <w:r>
        <w:rPr>
          <w:rFonts w:ascii="Calibri" w:hAnsi="Calibri"/>
          <w:szCs w:val="22"/>
        </w:rPr>
        <w:t>Disrespectful manner/attitude (18%)</w:t>
      </w:r>
    </w:p>
    <w:p w14:paraId="60E64748" w14:textId="03A78FAE" w:rsidR="00170D39" w:rsidRPr="00B32D14" w:rsidRDefault="00170D39" w:rsidP="00170D39">
      <w:pPr>
        <w:pStyle w:val="ListParagraph"/>
        <w:numPr>
          <w:ilvl w:val="0"/>
          <w:numId w:val="6"/>
        </w:numPr>
        <w:ind w:left="284" w:hanging="284"/>
        <w:rPr>
          <w:lang w:eastAsia="en-NZ" w:bidi="ar-SA"/>
        </w:rPr>
      </w:pPr>
      <w:r>
        <w:rPr>
          <w:rFonts w:ascii="Calibri" w:hAnsi="Calibri"/>
          <w:szCs w:val="22"/>
        </w:rPr>
        <w:t>Inadequate response to complaint (17%)</w:t>
      </w:r>
    </w:p>
    <w:p w14:paraId="2568BC77" w14:textId="5008CFA7" w:rsidR="00EB4A22" w:rsidRPr="00A4472F" w:rsidRDefault="00EB4A22" w:rsidP="001E3CF1">
      <w:pPr>
        <w:pStyle w:val="ListParagraph"/>
        <w:numPr>
          <w:ilvl w:val="0"/>
          <w:numId w:val="6"/>
        </w:numPr>
        <w:ind w:left="284" w:hanging="284"/>
        <w:rPr>
          <w:lang w:eastAsia="en-NZ" w:bidi="ar-SA"/>
        </w:rPr>
      </w:pPr>
      <w:r>
        <w:rPr>
          <w:rFonts w:ascii="Calibri" w:hAnsi="Calibri"/>
          <w:szCs w:val="22"/>
        </w:rPr>
        <w:t>M</w:t>
      </w:r>
      <w:r w:rsidRPr="00064B53">
        <w:rPr>
          <w:rFonts w:ascii="Calibri" w:hAnsi="Calibri"/>
          <w:szCs w:val="22"/>
        </w:rPr>
        <w:t>issed/incorrect/delay</w:t>
      </w:r>
      <w:r w:rsidR="00170D39">
        <w:rPr>
          <w:rFonts w:ascii="Calibri" w:hAnsi="Calibri"/>
          <w:szCs w:val="22"/>
        </w:rPr>
        <w:t>ed diagnosis (17</w:t>
      </w:r>
      <w:r>
        <w:rPr>
          <w:rFonts w:ascii="Calibri" w:hAnsi="Calibri"/>
          <w:szCs w:val="22"/>
        </w:rPr>
        <w:t>%)</w:t>
      </w:r>
    </w:p>
    <w:p w14:paraId="19A60B84" w14:textId="77777777" w:rsidR="00EB4A22" w:rsidRDefault="00EB4A22" w:rsidP="00EB4A22">
      <w:pPr>
        <w:rPr>
          <w:rFonts w:ascii="Calibri" w:hAnsi="Calibri"/>
          <w:szCs w:val="22"/>
        </w:rPr>
      </w:pPr>
    </w:p>
    <w:p w14:paraId="7C0A40F7" w14:textId="1C69D826" w:rsidR="0031532E" w:rsidRDefault="00EB4A22" w:rsidP="00EB4A22">
      <w:pPr>
        <w:spacing w:after="480"/>
        <w:rPr>
          <w:rFonts w:ascii="Calibri" w:hAnsi="Calibri"/>
          <w:szCs w:val="22"/>
        </w:rPr>
      </w:pPr>
      <w:r>
        <w:rPr>
          <w:rFonts w:ascii="Calibri" w:hAnsi="Calibri"/>
          <w:szCs w:val="22"/>
        </w:rPr>
        <w:t>This is broadly similar to wha</w:t>
      </w:r>
      <w:r w:rsidR="001D4D95">
        <w:rPr>
          <w:rFonts w:ascii="Calibri" w:hAnsi="Calibri"/>
          <w:szCs w:val="22"/>
        </w:rPr>
        <w:t xml:space="preserve">t was seen in the last period. </w:t>
      </w: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EB4A22" w14:paraId="7CE391EB" w14:textId="77777777" w:rsidTr="00B12430">
        <w:tc>
          <w:tcPr>
            <w:tcW w:w="9016" w:type="dxa"/>
          </w:tcPr>
          <w:p w14:paraId="3AE82EC0" w14:textId="77777777" w:rsidR="00EB4A22" w:rsidRPr="00EB4A22" w:rsidRDefault="00EB4A22" w:rsidP="00B12430">
            <w:pPr>
              <w:spacing w:before="240" w:after="120"/>
              <w:rPr>
                <w:rFonts w:asciiTheme="minorHAnsi" w:hAnsiTheme="minorHAnsi"/>
                <w:b/>
                <w:sz w:val="22"/>
                <w:szCs w:val="22"/>
              </w:rPr>
            </w:pPr>
            <w:r w:rsidRPr="00EB4A22">
              <w:rPr>
                <w:rFonts w:asciiTheme="minorHAnsi" w:hAnsiTheme="minorHAnsi"/>
                <w:b/>
                <w:sz w:val="22"/>
                <w:szCs w:val="22"/>
              </w:rPr>
              <w:t>Issues complained about in relation to COVID-19</w:t>
            </w:r>
          </w:p>
          <w:p w14:paraId="78563DE9" w14:textId="4AC067E7" w:rsidR="00EB4A22" w:rsidRPr="00EB4A22" w:rsidRDefault="00170D39" w:rsidP="00B12430">
            <w:pPr>
              <w:rPr>
                <w:rFonts w:asciiTheme="minorHAnsi" w:hAnsiTheme="minorHAnsi"/>
                <w:sz w:val="22"/>
                <w:szCs w:val="22"/>
              </w:rPr>
            </w:pPr>
            <w:r>
              <w:rPr>
                <w:rFonts w:asciiTheme="minorHAnsi" w:hAnsiTheme="minorHAnsi"/>
                <w:sz w:val="22"/>
                <w:szCs w:val="22"/>
              </w:rPr>
              <w:t>HDC received 29</w:t>
            </w:r>
            <w:r w:rsidR="00EB4A22" w:rsidRPr="00EB4A22">
              <w:rPr>
                <w:rFonts w:asciiTheme="minorHAnsi" w:hAnsiTheme="minorHAnsi"/>
                <w:sz w:val="22"/>
                <w:szCs w:val="22"/>
              </w:rPr>
              <w:t xml:space="preserve"> complaints about COVID-19</w:t>
            </w:r>
            <w:r w:rsidR="00817376">
              <w:rPr>
                <w:rFonts w:asciiTheme="minorHAnsi" w:hAnsiTheme="minorHAnsi"/>
                <w:sz w:val="22"/>
                <w:szCs w:val="22"/>
              </w:rPr>
              <w:t>-</w:t>
            </w:r>
            <w:r>
              <w:rPr>
                <w:rFonts w:asciiTheme="minorHAnsi" w:hAnsiTheme="minorHAnsi"/>
                <w:sz w:val="22"/>
                <w:szCs w:val="22"/>
              </w:rPr>
              <w:t>related issues at DHBs in Jan–Jun 2021</w:t>
            </w:r>
            <w:r w:rsidR="00131E13">
              <w:rPr>
                <w:rFonts w:asciiTheme="minorHAnsi" w:hAnsiTheme="minorHAnsi"/>
                <w:sz w:val="22"/>
                <w:szCs w:val="22"/>
              </w:rPr>
              <w:t>. This represents 36</w:t>
            </w:r>
            <w:r w:rsidR="00EB4A22" w:rsidRPr="00EB4A22">
              <w:rPr>
                <w:rFonts w:asciiTheme="minorHAnsi" w:hAnsiTheme="minorHAnsi"/>
                <w:sz w:val="22"/>
                <w:szCs w:val="22"/>
              </w:rPr>
              <w:t>% of all complaints about COVID-19 received by HDC during this time period, a</w:t>
            </w:r>
            <w:r w:rsidR="00131E13">
              <w:rPr>
                <w:rFonts w:asciiTheme="minorHAnsi" w:hAnsiTheme="minorHAnsi"/>
                <w:sz w:val="22"/>
                <w:szCs w:val="22"/>
              </w:rPr>
              <w:t xml:space="preserve">nd is </w:t>
            </w:r>
            <w:r w:rsidR="00C66855">
              <w:rPr>
                <w:rFonts w:asciiTheme="minorHAnsi" w:hAnsiTheme="minorHAnsi"/>
                <w:sz w:val="22"/>
                <w:szCs w:val="22"/>
              </w:rPr>
              <w:t>a decrease</w:t>
            </w:r>
            <w:r w:rsidR="00131E13">
              <w:rPr>
                <w:rFonts w:asciiTheme="minorHAnsi" w:hAnsiTheme="minorHAnsi"/>
                <w:sz w:val="22"/>
                <w:szCs w:val="22"/>
              </w:rPr>
              <w:t xml:space="preserve"> on the 44</w:t>
            </w:r>
            <w:r w:rsidR="00EB4A22" w:rsidRPr="00EB4A22">
              <w:rPr>
                <w:rFonts w:asciiTheme="minorHAnsi" w:hAnsiTheme="minorHAnsi"/>
                <w:sz w:val="22"/>
                <w:szCs w:val="22"/>
              </w:rPr>
              <w:t xml:space="preserve"> COVID-19</w:t>
            </w:r>
            <w:r w:rsidR="00817376">
              <w:rPr>
                <w:rFonts w:asciiTheme="minorHAnsi" w:hAnsiTheme="minorHAnsi"/>
                <w:sz w:val="22"/>
                <w:szCs w:val="22"/>
              </w:rPr>
              <w:t>-</w:t>
            </w:r>
            <w:r w:rsidR="00EB4A22" w:rsidRPr="00EB4A22">
              <w:rPr>
                <w:rFonts w:asciiTheme="minorHAnsi" w:hAnsiTheme="minorHAnsi"/>
                <w:sz w:val="22"/>
                <w:szCs w:val="22"/>
              </w:rPr>
              <w:t>re</w:t>
            </w:r>
            <w:r w:rsidR="00131E13">
              <w:rPr>
                <w:rFonts w:asciiTheme="minorHAnsi" w:hAnsiTheme="minorHAnsi"/>
                <w:sz w:val="22"/>
                <w:szCs w:val="22"/>
              </w:rPr>
              <w:t>lated complaints received in Jul–Dec</w:t>
            </w:r>
            <w:r w:rsidR="00EB4A22" w:rsidRPr="00EB4A22">
              <w:rPr>
                <w:rFonts w:asciiTheme="minorHAnsi" w:hAnsiTheme="minorHAnsi"/>
                <w:sz w:val="22"/>
                <w:szCs w:val="22"/>
              </w:rPr>
              <w:t xml:space="preserve"> 2020</w:t>
            </w:r>
            <w:r w:rsidR="00817376">
              <w:rPr>
                <w:rFonts w:asciiTheme="minorHAnsi" w:hAnsiTheme="minorHAnsi"/>
                <w:sz w:val="22"/>
                <w:szCs w:val="22"/>
              </w:rPr>
              <w:t>.</w:t>
            </w:r>
          </w:p>
          <w:p w14:paraId="1F91FC66" w14:textId="77777777" w:rsidR="00EB4A22" w:rsidRPr="00EB4A22" w:rsidRDefault="00EB4A22" w:rsidP="00B12430">
            <w:pPr>
              <w:rPr>
                <w:rFonts w:asciiTheme="minorHAnsi" w:hAnsiTheme="minorHAnsi"/>
                <w:sz w:val="22"/>
                <w:szCs w:val="22"/>
              </w:rPr>
            </w:pPr>
          </w:p>
          <w:p w14:paraId="3E8C8622" w14:textId="72171184" w:rsidR="00EB4A22" w:rsidRPr="00EB4A22" w:rsidRDefault="00131E13" w:rsidP="00B12430">
            <w:pPr>
              <w:spacing w:after="120"/>
              <w:rPr>
                <w:rFonts w:asciiTheme="minorHAnsi" w:hAnsiTheme="minorHAnsi"/>
                <w:sz w:val="22"/>
                <w:szCs w:val="22"/>
              </w:rPr>
            </w:pPr>
            <w:r>
              <w:rPr>
                <w:rFonts w:asciiTheme="minorHAnsi" w:hAnsiTheme="minorHAnsi"/>
                <w:sz w:val="22"/>
                <w:szCs w:val="22"/>
              </w:rPr>
              <w:t>T</w:t>
            </w:r>
            <w:r w:rsidR="00EB4A22" w:rsidRPr="00EB4A22">
              <w:rPr>
                <w:rFonts w:asciiTheme="minorHAnsi" w:hAnsiTheme="minorHAnsi"/>
                <w:sz w:val="22"/>
                <w:szCs w:val="22"/>
              </w:rPr>
              <w:t>he most common issues complained about for DH</w:t>
            </w:r>
            <w:r>
              <w:rPr>
                <w:rFonts w:asciiTheme="minorHAnsi" w:hAnsiTheme="minorHAnsi"/>
                <w:sz w:val="22"/>
                <w:szCs w:val="22"/>
              </w:rPr>
              <w:t>Bs in regard to COVID-19 in Jan</w:t>
            </w:r>
            <w:r w:rsidR="00EB4A22" w:rsidRPr="00EB4A22">
              <w:rPr>
                <w:rFonts w:asciiTheme="minorHAnsi" w:hAnsiTheme="minorHAnsi"/>
                <w:sz w:val="22"/>
                <w:szCs w:val="22"/>
              </w:rPr>
              <w:t>–</w:t>
            </w:r>
            <w:r>
              <w:rPr>
                <w:rFonts w:asciiTheme="minorHAnsi" w:hAnsiTheme="minorHAnsi"/>
                <w:sz w:val="22"/>
                <w:szCs w:val="22"/>
              </w:rPr>
              <w:t>Jun 2021</w:t>
            </w:r>
            <w:r w:rsidR="00EB4A22" w:rsidRPr="00EB4A22">
              <w:rPr>
                <w:rFonts w:asciiTheme="minorHAnsi" w:hAnsiTheme="minorHAnsi"/>
                <w:sz w:val="22"/>
                <w:szCs w:val="22"/>
              </w:rPr>
              <w:t xml:space="preserve"> were:</w:t>
            </w:r>
          </w:p>
          <w:p w14:paraId="30029F38" w14:textId="4FF366FA" w:rsidR="00EB4A22" w:rsidRPr="00EB4A22" w:rsidRDefault="00EB4A22" w:rsidP="00EB4A22">
            <w:pPr>
              <w:pStyle w:val="ListParagraph"/>
              <w:numPr>
                <w:ilvl w:val="0"/>
                <w:numId w:val="12"/>
              </w:numPr>
              <w:spacing w:after="120"/>
              <w:ind w:left="301" w:hanging="284"/>
              <w:rPr>
                <w:rFonts w:asciiTheme="minorHAnsi" w:hAnsiTheme="minorHAnsi"/>
                <w:sz w:val="22"/>
                <w:szCs w:val="22"/>
              </w:rPr>
            </w:pPr>
            <w:r w:rsidRPr="00EB4A22">
              <w:rPr>
                <w:rFonts w:asciiTheme="minorHAnsi" w:hAnsiTheme="minorHAnsi"/>
                <w:sz w:val="22"/>
                <w:szCs w:val="22"/>
              </w:rPr>
              <w:t>Lack of access t</w:t>
            </w:r>
            <w:r w:rsidR="00131E13">
              <w:rPr>
                <w:rFonts w:asciiTheme="minorHAnsi" w:hAnsiTheme="minorHAnsi"/>
                <w:sz w:val="22"/>
                <w:szCs w:val="22"/>
              </w:rPr>
              <w:t>o services/delayed treatment (24</w:t>
            </w:r>
            <w:r w:rsidRPr="00EB4A22">
              <w:rPr>
                <w:rFonts w:asciiTheme="minorHAnsi" w:hAnsiTheme="minorHAnsi"/>
                <w:sz w:val="22"/>
                <w:szCs w:val="22"/>
              </w:rPr>
              <w:t>%)</w:t>
            </w:r>
          </w:p>
          <w:p w14:paraId="6FA2EB27" w14:textId="1FCAFD75" w:rsidR="00EB4A22" w:rsidRPr="00EB4A22" w:rsidRDefault="00131E13" w:rsidP="00EB4A22">
            <w:pPr>
              <w:pStyle w:val="ListParagraph"/>
              <w:numPr>
                <w:ilvl w:val="0"/>
                <w:numId w:val="12"/>
              </w:numPr>
              <w:spacing w:after="120"/>
              <w:ind w:left="300" w:hanging="284"/>
              <w:rPr>
                <w:rFonts w:asciiTheme="minorHAnsi" w:hAnsiTheme="minorHAnsi"/>
                <w:sz w:val="22"/>
                <w:szCs w:val="22"/>
              </w:rPr>
            </w:pPr>
            <w:r>
              <w:rPr>
                <w:rFonts w:asciiTheme="minorHAnsi" w:hAnsiTheme="minorHAnsi"/>
                <w:sz w:val="22"/>
                <w:szCs w:val="22"/>
              </w:rPr>
              <w:t>Vaccine</w:t>
            </w:r>
            <w:r w:rsidR="0031532E">
              <w:rPr>
                <w:rFonts w:asciiTheme="minorHAnsi" w:hAnsiTheme="minorHAnsi"/>
                <w:sz w:val="22"/>
                <w:szCs w:val="22"/>
              </w:rPr>
              <w:t>-</w:t>
            </w:r>
            <w:r>
              <w:rPr>
                <w:rFonts w:asciiTheme="minorHAnsi" w:hAnsiTheme="minorHAnsi"/>
                <w:sz w:val="22"/>
                <w:szCs w:val="22"/>
              </w:rPr>
              <w:t>related issues (primarily issues regarding access to the vaccine and manner of staff at vaccine centres) (24</w:t>
            </w:r>
            <w:r w:rsidR="00EB4A22" w:rsidRPr="00EB4A22">
              <w:rPr>
                <w:rFonts w:asciiTheme="minorHAnsi" w:hAnsiTheme="minorHAnsi"/>
                <w:sz w:val="22"/>
                <w:szCs w:val="22"/>
              </w:rPr>
              <w:t>%)</w:t>
            </w:r>
          </w:p>
          <w:p w14:paraId="7A047F01" w14:textId="496A27E7" w:rsidR="00EB4A22" w:rsidRPr="00131E13" w:rsidRDefault="00131E13" w:rsidP="004D22EA">
            <w:pPr>
              <w:pStyle w:val="ListParagraph"/>
              <w:numPr>
                <w:ilvl w:val="0"/>
                <w:numId w:val="12"/>
              </w:numPr>
              <w:spacing w:after="360"/>
              <w:ind w:left="301" w:hanging="284"/>
              <w:rPr>
                <w:szCs w:val="22"/>
              </w:rPr>
            </w:pPr>
            <w:r>
              <w:rPr>
                <w:rFonts w:asciiTheme="minorHAnsi" w:hAnsiTheme="minorHAnsi"/>
                <w:sz w:val="22"/>
                <w:szCs w:val="22"/>
              </w:rPr>
              <w:t>Testing</w:t>
            </w:r>
            <w:r w:rsidR="0031532E">
              <w:rPr>
                <w:rFonts w:asciiTheme="minorHAnsi" w:hAnsiTheme="minorHAnsi"/>
                <w:sz w:val="22"/>
                <w:szCs w:val="22"/>
              </w:rPr>
              <w:t>-</w:t>
            </w:r>
            <w:r>
              <w:rPr>
                <w:rFonts w:asciiTheme="minorHAnsi" w:hAnsiTheme="minorHAnsi"/>
                <w:sz w:val="22"/>
                <w:szCs w:val="22"/>
              </w:rPr>
              <w:t>related issues (primarily delays in receiving results and manner of staff at testing centres) (17%)</w:t>
            </w:r>
          </w:p>
          <w:p w14:paraId="58241FC4" w14:textId="08899DD1" w:rsidR="00131E13" w:rsidRPr="00131E13" w:rsidRDefault="00131E13" w:rsidP="00131E13">
            <w:pPr>
              <w:spacing w:after="360"/>
              <w:ind w:left="17"/>
              <w:rPr>
                <w:rFonts w:asciiTheme="minorHAnsi" w:hAnsiTheme="minorHAnsi"/>
                <w:sz w:val="22"/>
                <w:szCs w:val="22"/>
              </w:rPr>
            </w:pPr>
            <w:r w:rsidRPr="00131E13">
              <w:rPr>
                <w:rFonts w:asciiTheme="minorHAnsi" w:hAnsiTheme="minorHAnsi"/>
                <w:sz w:val="22"/>
                <w:szCs w:val="22"/>
              </w:rPr>
              <w:t>COVID-19 vaccine</w:t>
            </w:r>
            <w:r w:rsidR="0031532E">
              <w:rPr>
                <w:rFonts w:asciiTheme="minorHAnsi" w:hAnsiTheme="minorHAnsi"/>
                <w:sz w:val="22"/>
                <w:szCs w:val="22"/>
              </w:rPr>
              <w:t>-</w:t>
            </w:r>
            <w:r w:rsidRPr="00131E13">
              <w:rPr>
                <w:rFonts w:asciiTheme="minorHAnsi" w:hAnsiTheme="minorHAnsi"/>
                <w:sz w:val="22"/>
                <w:szCs w:val="22"/>
              </w:rPr>
              <w:t>related issues app</w:t>
            </w:r>
            <w:r w:rsidR="00C66855">
              <w:rPr>
                <w:rFonts w:asciiTheme="minorHAnsi" w:hAnsiTheme="minorHAnsi"/>
                <w:sz w:val="22"/>
                <w:szCs w:val="22"/>
              </w:rPr>
              <w:t>eared for the first time in Jan–</w:t>
            </w:r>
            <w:r w:rsidRPr="00131E13">
              <w:rPr>
                <w:rFonts w:asciiTheme="minorHAnsi" w:hAnsiTheme="minorHAnsi"/>
                <w:sz w:val="22"/>
                <w:szCs w:val="22"/>
              </w:rPr>
              <w:t>Jun 2021</w:t>
            </w:r>
            <w:r w:rsidR="00BF7B25">
              <w:rPr>
                <w:rFonts w:asciiTheme="minorHAnsi" w:hAnsiTheme="minorHAnsi"/>
                <w:sz w:val="22"/>
                <w:szCs w:val="22"/>
              </w:rPr>
              <w:t>.</w:t>
            </w:r>
          </w:p>
        </w:tc>
      </w:tr>
    </w:tbl>
    <w:p w14:paraId="4161DDE8" w14:textId="77777777" w:rsidR="00EB4A22" w:rsidRDefault="00EB4A22" w:rsidP="00EB4A22">
      <w:pPr>
        <w:rPr>
          <w:lang w:eastAsia="en-NZ" w:bidi="ar-SA"/>
        </w:rPr>
      </w:pPr>
    </w:p>
    <w:p w14:paraId="628AD8BB" w14:textId="77777777" w:rsidR="00EB4A22" w:rsidRDefault="00EB4A22" w:rsidP="00EB4A22"/>
    <w:p w14:paraId="03A97AC5" w14:textId="77777777" w:rsidR="00EB4A22" w:rsidRPr="003D2C86" w:rsidRDefault="00EB4A22" w:rsidP="00932E72">
      <w:pPr>
        <w:pStyle w:val="Heading3"/>
      </w:pPr>
      <w:bookmarkStart w:id="65" w:name="_Toc71561659"/>
      <w:bookmarkStart w:id="66" w:name="_Toc90639025"/>
      <w:r>
        <w:lastRenderedPageBreak/>
        <w:t>4.3</w:t>
      </w:r>
      <w:r w:rsidRPr="00666BAC">
        <w:tab/>
      </w:r>
      <w:r>
        <w:t xml:space="preserve">Primary issues by </w:t>
      </w:r>
      <w:r w:rsidRPr="004D22EA">
        <w:t>service</w:t>
      </w:r>
      <w:r>
        <w:t xml:space="preserve"> type</w:t>
      </w:r>
      <w:bookmarkEnd w:id="65"/>
      <w:bookmarkEnd w:id="66"/>
      <w:r w:rsidRPr="00666BAC">
        <w:t xml:space="preserve"> </w:t>
      </w:r>
    </w:p>
    <w:p w14:paraId="17D77C36" w14:textId="77777777" w:rsidR="00EB4A22" w:rsidRDefault="00EB4A22" w:rsidP="00EB4A22">
      <w:pPr>
        <w:keepNext/>
        <w:keepLines/>
        <w:spacing w:after="240"/>
      </w:pPr>
      <w:r>
        <w:t xml:space="preserve">Table 11 shows the top three primary issues in complaints concerning the most commonly complained about service types. </w:t>
      </w:r>
    </w:p>
    <w:p w14:paraId="40C4D046" w14:textId="475E9E70" w:rsidR="00EB4A22" w:rsidRDefault="00EB4A22" w:rsidP="004D22EA">
      <w:pPr>
        <w:keepNext/>
        <w:keepLines/>
        <w:spacing w:after="240"/>
      </w:pPr>
      <w:r>
        <w:t>This is broadly similar to what was seen in previous periods.</w:t>
      </w:r>
      <w:r w:rsidR="00541205">
        <w:t xml:space="preserve"> </w:t>
      </w:r>
      <w:r w:rsidR="00C66855">
        <w:t>However, i</w:t>
      </w:r>
      <w:r w:rsidR="00541205">
        <w:t>nappropriate/delayed discharge/transfer appeared in the top issues for medicin</w:t>
      </w:r>
      <w:r w:rsidR="00C66855">
        <w:t>e services for the first time</w:t>
      </w:r>
      <w:r w:rsidR="001D4D95">
        <w:t>. T</w:t>
      </w:r>
      <w:r w:rsidR="00541205">
        <w:t xml:space="preserve">his issue often relates to complaints about inadequate discharge planning. </w:t>
      </w:r>
    </w:p>
    <w:p w14:paraId="5976F128" w14:textId="77777777" w:rsidR="00EB4A22" w:rsidRDefault="00EB4A22" w:rsidP="00EB4A22">
      <w:pPr>
        <w:keepNext/>
        <w:keepLines/>
      </w:pPr>
    </w:p>
    <w:p w14:paraId="430E82AB" w14:textId="77777777" w:rsidR="00EB4A22" w:rsidRPr="0069410F" w:rsidRDefault="00EB4A22" w:rsidP="00EB4A22">
      <w:pPr>
        <w:keepNext/>
        <w:keepLines/>
        <w:spacing w:after="120"/>
      </w:pPr>
      <w:r>
        <w:rPr>
          <w:b/>
          <w:szCs w:val="22"/>
        </w:rPr>
        <w:t xml:space="preserve">Table 11. </w:t>
      </w:r>
      <w:r>
        <w:rPr>
          <w:szCs w:val="22"/>
        </w:rPr>
        <w:t>Three most common primary issues in complaints by service type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562"/>
        <w:gridCol w:w="1617"/>
        <w:gridCol w:w="602"/>
        <w:gridCol w:w="1623"/>
        <w:gridCol w:w="562"/>
        <w:gridCol w:w="1667"/>
        <w:gridCol w:w="668"/>
      </w:tblGrid>
      <w:tr w:rsidR="00EB4A22" w14:paraId="53A238AF" w14:textId="77777777" w:rsidTr="00541205">
        <w:tc>
          <w:tcPr>
            <w:tcW w:w="1225"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0058920A" w14:textId="77777777" w:rsidR="00541205" w:rsidRPr="00E30917" w:rsidRDefault="00541205" w:rsidP="00541205">
            <w:pPr>
              <w:keepNext/>
              <w:keepLines/>
              <w:tabs>
                <w:tab w:val="left" w:pos="1440"/>
                <w:tab w:val="decimal" w:pos="4320"/>
              </w:tabs>
              <w:ind w:firstLine="152"/>
              <w:jc w:val="center"/>
              <w:outlineLvl w:val="0"/>
              <w:rPr>
                <w:rFonts w:ascii="Calibri" w:hAnsi="Calibri"/>
                <w:b/>
                <w:sz w:val="20"/>
                <w:szCs w:val="20"/>
              </w:rPr>
            </w:pPr>
            <w:r>
              <w:rPr>
                <w:rFonts w:ascii="Calibri" w:hAnsi="Calibri"/>
                <w:b/>
                <w:sz w:val="20"/>
                <w:szCs w:val="20"/>
              </w:rPr>
              <w:t>Surgery</w:t>
            </w:r>
          </w:p>
          <w:p w14:paraId="076602B7" w14:textId="4F12C197" w:rsidR="00EB4A22" w:rsidRPr="00E30917" w:rsidRDefault="00541205" w:rsidP="00541205">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Pr>
                <w:rFonts w:ascii="Calibri" w:hAnsi="Calibri"/>
                <w:b/>
                <w:sz w:val="20"/>
                <w:szCs w:val="20"/>
              </w:rPr>
              <w:t>145</w:t>
            </w:r>
          </w:p>
        </w:tc>
        <w:tc>
          <w:tcPr>
            <w:tcW w:w="1243"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0CE73B8A" w14:textId="205CBCC7" w:rsidR="00EB4A22" w:rsidRPr="00E30917" w:rsidRDefault="00541205" w:rsidP="00B1243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 xml:space="preserve">Mental health </w:t>
            </w:r>
            <w:r>
              <w:rPr>
                <w:rFonts w:ascii="Calibri" w:hAnsi="Calibri"/>
                <w:b/>
                <w:sz w:val="20"/>
                <w:szCs w:val="20"/>
              </w:rPr>
              <w:br/>
              <w:t>n=128</w:t>
            </w:r>
          </w:p>
        </w:tc>
        <w:tc>
          <w:tcPr>
            <w:tcW w:w="1224"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1DE3C286" w14:textId="71A54468" w:rsidR="00EB4A22" w:rsidRPr="00E30917" w:rsidRDefault="006B7C2A" w:rsidP="00B12430">
            <w:pPr>
              <w:keepNext/>
              <w:keepLines/>
              <w:tabs>
                <w:tab w:val="left" w:pos="1440"/>
                <w:tab w:val="decimal" w:pos="4320"/>
              </w:tabs>
              <w:ind w:firstLine="152"/>
              <w:jc w:val="center"/>
              <w:outlineLvl w:val="0"/>
              <w:rPr>
                <w:rFonts w:ascii="Calibri" w:hAnsi="Calibri"/>
                <w:b/>
                <w:sz w:val="20"/>
                <w:szCs w:val="20"/>
              </w:rPr>
            </w:pPr>
            <w:r>
              <w:rPr>
                <w:rFonts w:ascii="Calibri" w:hAnsi="Calibri"/>
                <w:b/>
                <w:sz w:val="20"/>
                <w:szCs w:val="20"/>
              </w:rPr>
              <w:t>M</w:t>
            </w:r>
            <w:r w:rsidR="00EB4A22" w:rsidRPr="00E30917">
              <w:rPr>
                <w:rFonts w:ascii="Calibri" w:hAnsi="Calibri"/>
                <w:b/>
                <w:sz w:val="20"/>
                <w:szCs w:val="20"/>
              </w:rPr>
              <w:t>edicine</w:t>
            </w:r>
          </w:p>
          <w:p w14:paraId="45AA5AA8" w14:textId="3DBE3EC5" w:rsidR="00EB4A22" w:rsidRPr="00E30917" w:rsidRDefault="00EB4A22" w:rsidP="00B12430">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sidR="00541205">
              <w:rPr>
                <w:rFonts w:ascii="Calibri" w:hAnsi="Calibri"/>
                <w:b/>
                <w:sz w:val="20"/>
                <w:szCs w:val="20"/>
              </w:rPr>
              <w:t>86</w:t>
            </w:r>
          </w:p>
        </w:tc>
        <w:tc>
          <w:tcPr>
            <w:tcW w:w="1308" w:type="pct"/>
            <w:gridSpan w:val="2"/>
            <w:tcBorders>
              <w:top w:val="single" w:sz="4" w:space="0" w:color="auto"/>
              <w:left w:val="single" w:sz="4" w:space="0" w:color="auto"/>
              <w:bottom w:val="single" w:sz="4" w:space="0" w:color="auto"/>
              <w:right w:val="single" w:sz="4" w:space="0" w:color="auto"/>
            </w:tcBorders>
            <w:shd w:val="clear" w:color="auto" w:fill="C00000"/>
            <w:hideMark/>
          </w:tcPr>
          <w:p w14:paraId="3364BFEA" w14:textId="77777777" w:rsidR="00EB4A22" w:rsidRPr="00E30917" w:rsidRDefault="00EB4A22" w:rsidP="00B12430">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Emergency department</w:t>
            </w:r>
          </w:p>
          <w:p w14:paraId="3B234887" w14:textId="489B820D" w:rsidR="00EB4A22" w:rsidRPr="00E30917" w:rsidRDefault="00EB4A22" w:rsidP="00541205">
            <w:pPr>
              <w:jc w:val="center"/>
              <w:rPr>
                <w:rFonts w:ascii="Calibri" w:hAnsi="Calibri"/>
                <w:b/>
                <w:sz w:val="20"/>
                <w:szCs w:val="20"/>
              </w:rPr>
            </w:pPr>
            <w:r>
              <w:rPr>
                <w:rFonts w:ascii="Calibri" w:hAnsi="Calibri"/>
                <w:b/>
                <w:sz w:val="20"/>
                <w:szCs w:val="20"/>
              </w:rPr>
              <w:t>n=</w:t>
            </w:r>
            <w:r w:rsidR="00541205">
              <w:rPr>
                <w:rFonts w:ascii="Calibri" w:hAnsi="Calibri"/>
                <w:b/>
                <w:sz w:val="20"/>
                <w:szCs w:val="20"/>
              </w:rPr>
              <w:t>65</w:t>
            </w:r>
          </w:p>
        </w:tc>
      </w:tr>
      <w:tr w:rsidR="00541205" w14:paraId="11F30DEB" w14:textId="77777777" w:rsidTr="00541205">
        <w:trPr>
          <w:trHeight w:val="450"/>
        </w:trPr>
        <w:tc>
          <w:tcPr>
            <w:tcW w:w="910" w:type="pct"/>
            <w:tcBorders>
              <w:top w:val="single" w:sz="4" w:space="0" w:color="auto"/>
              <w:left w:val="single" w:sz="4" w:space="0" w:color="auto"/>
              <w:bottom w:val="single" w:sz="4" w:space="0" w:color="auto"/>
              <w:right w:val="single" w:sz="4" w:space="0" w:color="auto"/>
            </w:tcBorders>
            <w:vAlign w:val="center"/>
            <w:hideMark/>
          </w:tcPr>
          <w:p w14:paraId="7E600A70" w14:textId="13DE3F33"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hideMark/>
          </w:tcPr>
          <w:p w14:paraId="457D70A9" w14:textId="43655DDB"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19%</w:t>
            </w:r>
          </w:p>
        </w:tc>
        <w:tc>
          <w:tcPr>
            <w:tcW w:w="906" w:type="pct"/>
            <w:tcBorders>
              <w:top w:val="single" w:sz="4" w:space="0" w:color="auto"/>
              <w:left w:val="single" w:sz="4" w:space="0" w:color="auto"/>
              <w:bottom w:val="single" w:sz="4" w:space="0" w:color="auto"/>
              <w:right w:val="single" w:sz="4" w:space="0" w:color="auto"/>
            </w:tcBorders>
            <w:vAlign w:val="center"/>
          </w:tcPr>
          <w:p w14:paraId="7B48A17B"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14:paraId="7857D48A" w14:textId="2C67DB0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37" w:type="pct"/>
            <w:tcBorders>
              <w:top w:val="single" w:sz="4" w:space="0" w:color="auto"/>
              <w:left w:val="single" w:sz="4" w:space="0" w:color="auto"/>
              <w:bottom w:val="single" w:sz="4" w:space="0" w:color="auto"/>
              <w:right w:val="single" w:sz="4" w:space="0" w:color="auto"/>
            </w:tcBorders>
            <w:vAlign w:val="center"/>
          </w:tcPr>
          <w:p w14:paraId="5C81A778" w14:textId="18D675E6"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19%</w:t>
            </w:r>
          </w:p>
        </w:tc>
        <w:tc>
          <w:tcPr>
            <w:tcW w:w="909" w:type="pct"/>
            <w:tcBorders>
              <w:top w:val="single" w:sz="4" w:space="0" w:color="auto"/>
              <w:left w:val="single" w:sz="4" w:space="0" w:color="auto"/>
              <w:bottom w:val="single" w:sz="4" w:space="0" w:color="auto"/>
              <w:right w:val="single" w:sz="4" w:space="0" w:color="auto"/>
            </w:tcBorders>
            <w:vAlign w:val="center"/>
          </w:tcPr>
          <w:p w14:paraId="750291D0"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7EA0D5FD"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7B3E4DCE"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15" w:type="pct"/>
            <w:tcBorders>
              <w:top w:val="single" w:sz="4" w:space="0" w:color="auto"/>
              <w:left w:val="single" w:sz="4" w:space="0" w:color="auto"/>
              <w:bottom w:val="single" w:sz="4" w:space="0" w:color="auto"/>
              <w:right w:val="single" w:sz="4" w:space="0" w:color="auto"/>
            </w:tcBorders>
            <w:vAlign w:val="center"/>
          </w:tcPr>
          <w:p w14:paraId="203BE4A1" w14:textId="7E01A7C2"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p>
        </w:tc>
        <w:tc>
          <w:tcPr>
            <w:tcW w:w="934" w:type="pct"/>
            <w:tcBorders>
              <w:top w:val="single" w:sz="4" w:space="0" w:color="auto"/>
              <w:left w:val="single" w:sz="4" w:space="0" w:color="auto"/>
              <w:bottom w:val="single" w:sz="4" w:space="0" w:color="auto"/>
              <w:right w:val="single" w:sz="4" w:space="0" w:color="auto"/>
            </w:tcBorders>
            <w:vAlign w:val="center"/>
          </w:tcPr>
          <w:p w14:paraId="34BEB3A7"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14:paraId="12FEEC3B"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14:paraId="58B94FC0"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74" w:type="pct"/>
            <w:tcBorders>
              <w:top w:val="single" w:sz="4" w:space="0" w:color="auto"/>
              <w:left w:val="single" w:sz="4" w:space="0" w:color="auto"/>
              <w:bottom w:val="single" w:sz="4" w:space="0" w:color="auto"/>
              <w:right w:val="single" w:sz="4" w:space="0" w:color="auto"/>
            </w:tcBorders>
            <w:vAlign w:val="center"/>
          </w:tcPr>
          <w:p w14:paraId="58355B0E" w14:textId="4381BE0C"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34%</w:t>
            </w:r>
          </w:p>
        </w:tc>
      </w:tr>
      <w:tr w:rsidR="00541205" w14:paraId="43EB373B" w14:textId="77777777" w:rsidTr="00541205">
        <w:trPr>
          <w:trHeight w:val="400"/>
        </w:trPr>
        <w:tc>
          <w:tcPr>
            <w:tcW w:w="910" w:type="pct"/>
            <w:tcBorders>
              <w:top w:val="single" w:sz="4" w:space="0" w:color="auto"/>
              <w:left w:val="single" w:sz="4" w:space="0" w:color="auto"/>
              <w:bottom w:val="single" w:sz="4" w:space="0" w:color="auto"/>
              <w:right w:val="single" w:sz="4" w:space="0" w:color="auto"/>
            </w:tcBorders>
            <w:vAlign w:val="center"/>
            <w:hideMark/>
          </w:tcPr>
          <w:p w14:paraId="34699E14"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15" w:type="pct"/>
            <w:tcBorders>
              <w:top w:val="single" w:sz="4" w:space="0" w:color="auto"/>
              <w:left w:val="single" w:sz="4" w:space="0" w:color="auto"/>
              <w:bottom w:val="single" w:sz="4" w:space="0" w:color="auto"/>
              <w:right w:val="single" w:sz="4" w:space="0" w:color="auto"/>
            </w:tcBorders>
            <w:vAlign w:val="center"/>
            <w:hideMark/>
          </w:tcPr>
          <w:p w14:paraId="52E23776" w14:textId="77777777"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tc>
        <w:tc>
          <w:tcPr>
            <w:tcW w:w="906" w:type="pct"/>
            <w:tcBorders>
              <w:top w:val="single" w:sz="4" w:space="0" w:color="auto"/>
              <w:left w:val="single" w:sz="4" w:space="0" w:color="auto"/>
              <w:bottom w:val="single" w:sz="4" w:space="0" w:color="auto"/>
              <w:right w:val="single" w:sz="4" w:space="0" w:color="auto"/>
            </w:tcBorders>
            <w:vAlign w:val="center"/>
          </w:tcPr>
          <w:p w14:paraId="4B768DAC" w14:textId="1170DC66"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General safety issue for consumer in facility</w:t>
            </w:r>
          </w:p>
        </w:tc>
        <w:tc>
          <w:tcPr>
            <w:tcW w:w="337" w:type="pct"/>
            <w:tcBorders>
              <w:top w:val="single" w:sz="4" w:space="0" w:color="auto"/>
              <w:left w:val="single" w:sz="4" w:space="0" w:color="auto"/>
              <w:bottom w:val="single" w:sz="4" w:space="0" w:color="auto"/>
              <w:right w:val="single" w:sz="4" w:space="0" w:color="auto"/>
            </w:tcBorders>
            <w:vAlign w:val="center"/>
          </w:tcPr>
          <w:p w14:paraId="2CBE9A72" w14:textId="34696E3C"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tc>
        <w:tc>
          <w:tcPr>
            <w:tcW w:w="909" w:type="pct"/>
            <w:tcBorders>
              <w:top w:val="single" w:sz="4" w:space="0" w:color="auto"/>
              <w:left w:val="single" w:sz="4" w:space="0" w:color="auto"/>
              <w:bottom w:val="single" w:sz="4" w:space="0" w:color="auto"/>
              <w:right w:val="single" w:sz="4" w:space="0" w:color="auto"/>
            </w:tcBorders>
            <w:vAlign w:val="center"/>
          </w:tcPr>
          <w:p w14:paraId="25C38C8C" w14:textId="6CA7B8CA"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15" w:type="pct"/>
            <w:tcBorders>
              <w:top w:val="single" w:sz="4" w:space="0" w:color="auto"/>
              <w:left w:val="single" w:sz="4" w:space="0" w:color="auto"/>
              <w:bottom w:val="single" w:sz="4" w:space="0" w:color="auto"/>
              <w:right w:val="single" w:sz="4" w:space="0" w:color="auto"/>
            </w:tcBorders>
            <w:vAlign w:val="center"/>
          </w:tcPr>
          <w:p w14:paraId="59F39220" w14:textId="48C2168A"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934" w:type="pct"/>
            <w:tcBorders>
              <w:top w:val="single" w:sz="4" w:space="0" w:color="auto"/>
              <w:left w:val="single" w:sz="4" w:space="0" w:color="auto"/>
              <w:bottom w:val="single" w:sz="4" w:space="0" w:color="auto"/>
              <w:right w:val="single" w:sz="4" w:space="0" w:color="auto"/>
            </w:tcBorders>
            <w:vAlign w:val="center"/>
          </w:tcPr>
          <w:p w14:paraId="73F2AD06" w14:textId="097C1F4A"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Disrespectful manner/</w:t>
            </w:r>
            <w:r>
              <w:rPr>
                <w:rFonts w:ascii="Calibri" w:hAnsi="Calibri"/>
                <w:sz w:val="20"/>
                <w:szCs w:val="20"/>
              </w:rPr>
              <w:br/>
              <w:t>attitude</w:t>
            </w:r>
          </w:p>
        </w:tc>
        <w:tc>
          <w:tcPr>
            <w:tcW w:w="374" w:type="pct"/>
            <w:tcBorders>
              <w:top w:val="single" w:sz="4" w:space="0" w:color="auto"/>
              <w:left w:val="single" w:sz="4" w:space="0" w:color="auto"/>
              <w:bottom w:val="single" w:sz="4" w:space="0" w:color="auto"/>
              <w:right w:val="single" w:sz="4" w:space="0" w:color="auto"/>
            </w:tcBorders>
            <w:vAlign w:val="center"/>
          </w:tcPr>
          <w:p w14:paraId="3FE4B471" w14:textId="4EB43510"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r>
      <w:tr w:rsidR="00541205" w14:paraId="1E409BDA" w14:textId="77777777" w:rsidTr="00541205">
        <w:tc>
          <w:tcPr>
            <w:tcW w:w="910" w:type="pct"/>
            <w:tcBorders>
              <w:top w:val="single" w:sz="4" w:space="0" w:color="auto"/>
              <w:left w:val="single" w:sz="4" w:space="0" w:color="auto"/>
              <w:bottom w:val="single" w:sz="4" w:space="0" w:color="auto"/>
              <w:right w:val="single" w:sz="4" w:space="0" w:color="auto"/>
            </w:tcBorders>
            <w:vAlign w:val="center"/>
            <w:hideMark/>
          </w:tcPr>
          <w:p w14:paraId="0DFAF47B" w14:textId="77777777"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14:paraId="31B2A6A7" w14:textId="6F81C662"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315" w:type="pct"/>
            <w:tcBorders>
              <w:top w:val="single" w:sz="4" w:space="0" w:color="auto"/>
              <w:left w:val="single" w:sz="4" w:space="0" w:color="auto"/>
              <w:bottom w:val="single" w:sz="4" w:space="0" w:color="auto"/>
              <w:right w:val="single" w:sz="4" w:space="0" w:color="auto"/>
            </w:tcBorders>
            <w:vAlign w:val="center"/>
            <w:hideMark/>
          </w:tcPr>
          <w:p w14:paraId="2DB034CD" w14:textId="43355D0D"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p>
        </w:tc>
        <w:tc>
          <w:tcPr>
            <w:tcW w:w="906" w:type="pct"/>
            <w:tcBorders>
              <w:top w:val="single" w:sz="4" w:space="0" w:color="auto"/>
              <w:left w:val="single" w:sz="4" w:space="0" w:color="auto"/>
              <w:bottom w:val="single" w:sz="4" w:space="0" w:color="auto"/>
              <w:right w:val="single" w:sz="4" w:space="0" w:color="auto"/>
            </w:tcBorders>
            <w:vAlign w:val="center"/>
          </w:tcPr>
          <w:p w14:paraId="5BE67809" w14:textId="0F3AF5DA"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37" w:type="pct"/>
            <w:tcBorders>
              <w:top w:val="single" w:sz="4" w:space="0" w:color="auto"/>
              <w:left w:val="single" w:sz="4" w:space="0" w:color="auto"/>
              <w:bottom w:val="single" w:sz="4" w:space="0" w:color="auto"/>
              <w:right w:val="single" w:sz="4" w:space="0" w:color="auto"/>
            </w:tcBorders>
            <w:vAlign w:val="center"/>
          </w:tcPr>
          <w:p w14:paraId="3397C9C3" w14:textId="18842A55"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909" w:type="pct"/>
            <w:tcBorders>
              <w:top w:val="single" w:sz="4" w:space="0" w:color="auto"/>
              <w:left w:val="single" w:sz="4" w:space="0" w:color="auto"/>
              <w:bottom w:val="single" w:sz="4" w:space="0" w:color="auto"/>
              <w:right w:val="single" w:sz="4" w:space="0" w:color="auto"/>
            </w:tcBorders>
            <w:vAlign w:val="center"/>
          </w:tcPr>
          <w:p w14:paraId="6124052B" w14:textId="662E1398"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r>
              <w:rPr>
                <w:rFonts w:ascii="Calibri" w:hAnsi="Calibri"/>
                <w:sz w:val="20"/>
                <w:szCs w:val="20"/>
              </w:rPr>
              <w:br/>
              <w:t>delayed discharge/</w:t>
            </w:r>
            <w:r>
              <w:rPr>
                <w:rFonts w:ascii="Calibri" w:hAnsi="Calibri"/>
                <w:sz w:val="20"/>
                <w:szCs w:val="20"/>
              </w:rPr>
              <w:br/>
              <w:t>transfer</w:t>
            </w:r>
          </w:p>
        </w:tc>
        <w:tc>
          <w:tcPr>
            <w:tcW w:w="315" w:type="pct"/>
            <w:tcBorders>
              <w:top w:val="single" w:sz="4" w:space="0" w:color="auto"/>
              <w:left w:val="single" w:sz="4" w:space="0" w:color="auto"/>
              <w:bottom w:val="single" w:sz="4" w:space="0" w:color="auto"/>
              <w:right w:val="single" w:sz="4" w:space="0" w:color="auto"/>
            </w:tcBorders>
            <w:vAlign w:val="center"/>
          </w:tcPr>
          <w:p w14:paraId="3DE73FD4" w14:textId="3E45B589"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8%</w:t>
            </w:r>
          </w:p>
          <w:p w14:paraId="6B886F7F" w14:textId="77777777" w:rsidR="00541205" w:rsidRDefault="00541205" w:rsidP="00541205">
            <w:pPr>
              <w:keepNext/>
              <w:keepLines/>
              <w:tabs>
                <w:tab w:val="left" w:pos="1440"/>
                <w:tab w:val="decimal" w:pos="4320"/>
              </w:tabs>
              <w:jc w:val="center"/>
              <w:outlineLvl w:val="0"/>
              <w:rPr>
                <w:rFonts w:ascii="Calibri" w:hAnsi="Calibri"/>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2BE2D9B0" w14:textId="19AB71AA" w:rsidR="00541205" w:rsidRDefault="00541205" w:rsidP="00541205">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 management/</w:t>
            </w:r>
            <w:r>
              <w:rPr>
                <w:rFonts w:ascii="Calibri" w:hAnsi="Calibri"/>
                <w:sz w:val="20"/>
                <w:szCs w:val="20"/>
              </w:rPr>
              <w:br/>
              <w:t>prioritisation</w:t>
            </w:r>
          </w:p>
        </w:tc>
        <w:tc>
          <w:tcPr>
            <w:tcW w:w="374" w:type="pct"/>
            <w:tcBorders>
              <w:top w:val="single" w:sz="4" w:space="0" w:color="auto"/>
              <w:left w:val="single" w:sz="4" w:space="0" w:color="auto"/>
              <w:bottom w:val="single" w:sz="4" w:space="0" w:color="auto"/>
              <w:right w:val="single" w:sz="4" w:space="0" w:color="auto"/>
            </w:tcBorders>
            <w:vAlign w:val="center"/>
          </w:tcPr>
          <w:p w14:paraId="38C5FB25" w14:textId="77777777" w:rsidR="00541205" w:rsidRDefault="00541205" w:rsidP="00541205">
            <w:pPr>
              <w:keepNext/>
              <w:keepLines/>
              <w:tabs>
                <w:tab w:val="left" w:pos="1440"/>
                <w:tab w:val="decimal" w:pos="4320"/>
              </w:tabs>
              <w:jc w:val="center"/>
              <w:outlineLvl w:val="0"/>
              <w:rPr>
                <w:rFonts w:ascii="Calibri" w:hAnsi="Calibri"/>
                <w:sz w:val="20"/>
                <w:szCs w:val="20"/>
              </w:rPr>
            </w:pPr>
            <w:r>
              <w:rPr>
                <w:rFonts w:ascii="Calibri" w:hAnsi="Calibri"/>
                <w:sz w:val="20"/>
                <w:szCs w:val="20"/>
              </w:rPr>
              <w:t>8%</w:t>
            </w:r>
          </w:p>
        </w:tc>
      </w:tr>
    </w:tbl>
    <w:p w14:paraId="2FA7B2C4" w14:textId="77777777" w:rsidR="00EB4A22" w:rsidRDefault="00EB4A22" w:rsidP="00EB4A22">
      <w:pPr>
        <w:keepNext/>
        <w:keepLines/>
        <w:spacing w:after="480"/>
        <w:rPr>
          <w:szCs w:val="22"/>
        </w:rPr>
      </w:pPr>
    </w:p>
    <w:p w14:paraId="4F81E85D" w14:textId="77777777" w:rsidR="00EB4A22" w:rsidRDefault="00EB4A22" w:rsidP="00EB4A22"/>
    <w:p w14:paraId="45BC057C" w14:textId="77777777" w:rsidR="00EB4A22" w:rsidRDefault="00EB4A22" w:rsidP="00EB4A22"/>
    <w:p w14:paraId="592B4DBF" w14:textId="77777777" w:rsidR="00EB4A22" w:rsidRDefault="00EB4A22" w:rsidP="00EB4A22">
      <w:pPr>
        <w:pStyle w:val="Heading2"/>
        <w:spacing w:before="360"/>
      </w:pPr>
      <w:r>
        <w:br w:type="page"/>
      </w:r>
    </w:p>
    <w:p w14:paraId="6D528135" w14:textId="77777777" w:rsidR="00EB4A22" w:rsidRDefault="00EB4A22" w:rsidP="00EB4A22">
      <w:pPr>
        <w:pStyle w:val="Heading2"/>
        <w:spacing w:after="240"/>
        <w:rPr>
          <w:sz w:val="36"/>
          <w:szCs w:val="36"/>
        </w:rPr>
      </w:pPr>
      <w:bookmarkStart w:id="67" w:name="_Toc398125965"/>
      <w:bookmarkStart w:id="68" w:name="_Toc404344435"/>
      <w:bookmarkStart w:id="69" w:name="_Toc506278074"/>
      <w:bookmarkStart w:id="70" w:name="_Toc71561660"/>
      <w:bookmarkStart w:id="71" w:name="_Toc90639026"/>
      <w:bookmarkStart w:id="72" w:name="_Toc426462637"/>
      <w:bookmarkStart w:id="73" w:name="_Toc443992232"/>
      <w:bookmarkStart w:id="74" w:name="_Toc493684133"/>
      <w:r>
        <w:rPr>
          <w:sz w:val="36"/>
          <w:szCs w:val="36"/>
        </w:rPr>
        <w:lastRenderedPageBreak/>
        <w:t>5</w:t>
      </w:r>
      <w:r w:rsidRPr="00666BAC">
        <w:rPr>
          <w:sz w:val="36"/>
          <w:szCs w:val="36"/>
        </w:rPr>
        <w:t>.</w:t>
      </w:r>
      <w:bookmarkEnd w:id="67"/>
      <w:bookmarkEnd w:id="68"/>
      <w:r w:rsidRPr="00666BAC">
        <w:rPr>
          <w:sz w:val="36"/>
          <w:szCs w:val="36"/>
        </w:rPr>
        <w:t xml:space="preserve"> What were the outcomes of the complaints closed?</w:t>
      </w:r>
      <w:bookmarkEnd w:id="69"/>
      <w:bookmarkEnd w:id="70"/>
      <w:bookmarkEnd w:id="71"/>
    </w:p>
    <w:p w14:paraId="1133D2E1" w14:textId="667AE11F" w:rsidR="00EB4A22" w:rsidRPr="00900CC1" w:rsidRDefault="00EB4A22" w:rsidP="00EB4A22">
      <w:pPr>
        <w:rPr>
          <w:szCs w:val="22"/>
          <w:lang w:val="en-AU" w:bidi="ar-SA"/>
        </w:rPr>
      </w:pPr>
      <w:r w:rsidRPr="00900CC1">
        <w:rPr>
          <w:szCs w:val="22"/>
        </w:rPr>
        <w:t>HDC is focused on fair and early resolution of complaints. Each complaint received by HDC is assessed carefully and resolved in the most appropriate manner, bearing in mind the issues raised and the evidence available. The as</w:t>
      </w:r>
      <w:r w:rsidR="00C66855">
        <w:rPr>
          <w:szCs w:val="22"/>
        </w:rPr>
        <w:t>sessment process</w:t>
      </w:r>
      <w:r w:rsidRPr="00900CC1">
        <w:rPr>
          <w:szCs w:val="22"/>
        </w:rPr>
        <w:t xml:space="preserve"> can involve a number of steps, including obtaining a response from the provider/s, seeking </w:t>
      </w:r>
      <w:r>
        <w:rPr>
          <w:szCs w:val="22"/>
        </w:rPr>
        <w:t>clinical</w:t>
      </w:r>
      <w:r w:rsidRPr="00900CC1">
        <w:rPr>
          <w:szCs w:val="22"/>
        </w:rPr>
        <w:t xml:space="preserve"> adv</w:t>
      </w:r>
      <w:r>
        <w:rPr>
          <w:szCs w:val="22"/>
        </w:rPr>
        <w:t xml:space="preserve">ice, and asking for </w:t>
      </w:r>
      <w:r w:rsidRPr="00900CC1">
        <w:rPr>
          <w:szCs w:val="22"/>
        </w:rPr>
        <w:t xml:space="preserve">information from the consumer or other </w:t>
      </w:r>
      <w:r>
        <w:rPr>
          <w:szCs w:val="22"/>
        </w:rPr>
        <w:t>people</w:t>
      </w:r>
      <w:r w:rsidRPr="00900CC1">
        <w:rPr>
          <w:szCs w:val="22"/>
        </w:rPr>
        <w:t>.</w:t>
      </w:r>
    </w:p>
    <w:p w14:paraId="0C2DC8B3" w14:textId="77777777" w:rsidR="00EB4A22" w:rsidRDefault="00EB4A22" w:rsidP="00EB4A22">
      <w:pPr>
        <w:rPr>
          <w:lang w:val="en-AU" w:bidi="ar-SA"/>
        </w:rPr>
      </w:pPr>
    </w:p>
    <w:p w14:paraId="53792F07" w14:textId="5D8001E3" w:rsidR="00EB4A22" w:rsidRPr="00666BAC" w:rsidRDefault="00EB4A22" w:rsidP="00EB4A22">
      <w:pPr>
        <w:rPr>
          <w:lang w:val="en-AU" w:bidi="ar-SA"/>
        </w:rPr>
      </w:pPr>
      <w:r>
        <w:rPr>
          <w:lang w:val="en-AU" w:bidi="ar-SA"/>
        </w:rPr>
        <w:t>A</w:t>
      </w:r>
      <w:r w:rsidRPr="00666BAC">
        <w:rPr>
          <w:lang w:val="en-AU" w:bidi="ar-SA"/>
        </w:rPr>
        <w:t xml:space="preserve"> number of options </w:t>
      </w:r>
      <w:r>
        <w:rPr>
          <w:lang w:val="en-AU" w:bidi="ar-SA"/>
        </w:rPr>
        <w:t xml:space="preserve">are </w:t>
      </w:r>
      <w:r w:rsidRPr="00666BAC">
        <w:rPr>
          <w:lang w:val="en-AU" w:bidi="ar-SA"/>
        </w:rPr>
        <w:t>available</w:t>
      </w:r>
      <w:r>
        <w:rPr>
          <w:lang w:val="en-AU" w:bidi="ar-SA"/>
        </w:rPr>
        <w:t xml:space="preserve"> to the Commissioner</w:t>
      </w:r>
      <w:r w:rsidRPr="00666BAC">
        <w:rPr>
          <w:lang w:val="en-AU" w:bidi="ar-SA"/>
        </w:rPr>
        <w:t xml:space="preserve"> for the resolution of complaints.</w:t>
      </w:r>
      <w:r w:rsidR="00B12430">
        <w:rPr>
          <w:lang w:val="en-AU" w:bidi="ar-SA"/>
        </w:rPr>
        <w:t xml:space="preserve"> </w:t>
      </w:r>
      <w:r w:rsidRPr="00666BAC">
        <w:rPr>
          <w:lang w:val="en-AU" w:bidi="ar-SA"/>
        </w:rPr>
        <w:t>These include referring the complaint to the Advocacy Service, to a professional body, or to another agency.</w:t>
      </w:r>
      <w:r>
        <w:rPr>
          <w:lang w:val="en-AU" w:bidi="ar-SA"/>
        </w:rPr>
        <w:t xml:space="preserve"> </w:t>
      </w:r>
      <w:r w:rsidRPr="00666BAC">
        <w:rPr>
          <w:lang w:val="en-AU" w:bidi="ar-SA"/>
        </w:rPr>
        <w:t>HDC may also refer a complaint back to the provider to resolve directly.</w:t>
      </w:r>
      <w:r w:rsidR="00B12430">
        <w:rPr>
          <w:lang w:val="en-AU" w:bidi="ar-SA"/>
        </w:rPr>
        <w:t xml:space="preserve"> </w:t>
      </w:r>
      <w:r w:rsidRPr="00666BAC">
        <w:rPr>
          <w:lang w:val="en-AU" w:bidi="ar-SA"/>
        </w:rPr>
        <w:t xml:space="preserve">In line with their responsibilities under the Code, DHBs have increasingly developed good systems to address complaints in a timely and appropriate way. </w:t>
      </w:r>
      <w:r>
        <w:rPr>
          <w:lang w:val="en-AU" w:bidi="ar-SA"/>
        </w:rPr>
        <w:t>Where complaints are assessed as suitable for resolution between the parties, i</w:t>
      </w:r>
      <w:r w:rsidRPr="00666BAC">
        <w:rPr>
          <w:lang w:val="en-AU" w:bidi="ar-SA"/>
        </w:rPr>
        <w:t>t is often appropriate for HDC to refer a complaint to the DHB to resolve, with a requirement that the DHB report back to HDC on the outcome of its handling of the complaint.</w:t>
      </w:r>
    </w:p>
    <w:p w14:paraId="6B0DFBA1" w14:textId="77777777" w:rsidR="00EB4A22" w:rsidRPr="00666BAC" w:rsidRDefault="00EB4A22" w:rsidP="00EB4A22">
      <w:pPr>
        <w:rPr>
          <w:lang w:val="en-AU" w:bidi="ar-SA"/>
        </w:rPr>
      </w:pPr>
    </w:p>
    <w:p w14:paraId="127B3266" w14:textId="77777777" w:rsidR="00EB4A22" w:rsidRPr="0073374F" w:rsidRDefault="00EB4A22" w:rsidP="00EB4A22">
      <w:pPr>
        <w:rPr>
          <w:lang w:val="en-US"/>
        </w:rPr>
      </w:pPr>
      <w:r w:rsidRPr="00666BAC">
        <w:rPr>
          <w:lang w:val="en-AU" w:bidi="ar-SA"/>
        </w:rPr>
        <w:t>The Commissioner also has a wide discretion to take no further actio</w:t>
      </w:r>
      <w:r>
        <w:rPr>
          <w:lang w:val="en-AU" w:bidi="ar-SA"/>
        </w:rPr>
        <w:t xml:space="preserve">n on a complaint. </w:t>
      </w:r>
      <w:r w:rsidRPr="00666BAC">
        <w:rPr>
          <w:lang w:val="en-US"/>
        </w:rPr>
        <w:t>For example, the Commissioner may take no further action because careful assessment indicates that a provider’s actions were reasonable in the circumstances</w:t>
      </w:r>
      <w:r>
        <w:rPr>
          <w:lang w:val="en-US"/>
        </w:rPr>
        <w:t>;</w:t>
      </w:r>
      <w:r w:rsidRPr="00666BAC">
        <w:rPr>
          <w:lang w:val="en-US"/>
        </w:rPr>
        <w:t xml:space="preserve"> a more appropriate outcome can be achieved in a more flexible and ti</w:t>
      </w:r>
      <w:r>
        <w:rPr>
          <w:lang w:val="en-US"/>
        </w:rPr>
        <w:t>mely way than by means of</w:t>
      </w:r>
      <w:r w:rsidRPr="00666BAC">
        <w:rPr>
          <w:lang w:val="en-US"/>
        </w:rPr>
        <w:t xml:space="preserve"> investigation</w:t>
      </w:r>
      <w:r>
        <w:rPr>
          <w:lang w:val="en-US"/>
        </w:rPr>
        <w:t>;</w:t>
      </w:r>
      <w:r w:rsidRPr="00666BAC">
        <w:rPr>
          <w:lang w:val="en-US"/>
        </w:rPr>
        <w:t xml:space="preserve"> or the matters that are the subject of the complaint have been, are being, or will be</w:t>
      </w:r>
      <w:r>
        <w:rPr>
          <w:lang w:val="en-US"/>
        </w:rPr>
        <w:t>,</w:t>
      </w:r>
      <w:r w:rsidRPr="00666BAC">
        <w:rPr>
          <w:lang w:val="en-US"/>
        </w:rPr>
        <w:t xml:space="preserve"> addressed appropriately by other means. </w:t>
      </w:r>
      <w:r w:rsidRPr="00666BAC">
        <w:rPr>
          <w:lang w:val="en-AU" w:bidi="ar-SA"/>
        </w:rPr>
        <w:t xml:space="preserve">Often a decision to take no further action will be accompanied by an educational comment or recommendations designed to assist the provider </w:t>
      </w:r>
      <w:r>
        <w:rPr>
          <w:lang w:val="en-AU" w:bidi="ar-SA"/>
        </w:rPr>
        <w:t>to improve services in future</w:t>
      </w:r>
      <w:r w:rsidRPr="00666BAC">
        <w:rPr>
          <w:lang w:val="en-AU" w:bidi="ar-SA"/>
        </w:rPr>
        <w:t>.</w:t>
      </w:r>
    </w:p>
    <w:p w14:paraId="1B491D8B" w14:textId="77777777" w:rsidR="00EB4A22" w:rsidRPr="00666BAC" w:rsidRDefault="00EB4A22" w:rsidP="00EB4A22">
      <w:pPr>
        <w:rPr>
          <w:lang w:val="en-AU" w:bidi="ar-SA"/>
        </w:rPr>
      </w:pPr>
    </w:p>
    <w:p w14:paraId="5EFF1098" w14:textId="77777777" w:rsidR="00EB4A22" w:rsidRDefault="00EB4A22" w:rsidP="004D22EA">
      <w:pPr>
        <w:spacing w:after="240"/>
        <w:rPr>
          <w:szCs w:val="22"/>
        </w:rPr>
      </w:pPr>
      <w:r w:rsidRPr="002E14D1">
        <w:rPr>
          <w:szCs w:val="22"/>
          <w:lang w:val="en-AU" w:bidi="ar-SA"/>
        </w:rPr>
        <w:t>Where appropriate, the Commissioner may investigate a complaint</w:t>
      </w:r>
      <w:r>
        <w:rPr>
          <w:szCs w:val="22"/>
          <w:lang w:val="en-AU" w:bidi="ar-SA"/>
        </w:rPr>
        <w:t>,</w:t>
      </w:r>
      <w:r w:rsidRPr="002E14D1">
        <w:rPr>
          <w:szCs w:val="22"/>
          <w:lang w:val="en-AU" w:bidi="ar-SA"/>
        </w:rPr>
        <w:t xml:space="preserve"> which may result in a DHB being found in breach of the Code. </w:t>
      </w:r>
      <w:r w:rsidRPr="002E14D1">
        <w:rPr>
          <w:szCs w:val="22"/>
        </w:rPr>
        <w:t>Notification of investigation generally indicates more serious issues.</w:t>
      </w:r>
    </w:p>
    <w:p w14:paraId="7A2C92C6" w14:textId="77777777" w:rsidR="00EB4A22" w:rsidRDefault="00EB4A22" w:rsidP="00EB4A22"/>
    <w:p w14:paraId="1B07A3ED" w14:textId="77777777" w:rsidR="00EB4A22" w:rsidRPr="00666BAC" w:rsidRDefault="00EB4A22" w:rsidP="00932E72">
      <w:pPr>
        <w:pStyle w:val="Heading3"/>
        <w:rPr>
          <w:lang w:val="en-AU" w:bidi="ar-SA"/>
        </w:rPr>
      </w:pPr>
      <w:bookmarkStart w:id="75" w:name="_Toc404344436"/>
      <w:bookmarkStart w:id="76" w:name="_Toc506278075"/>
      <w:bookmarkStart w:id="77" w:name="_Toc71561661"/>
      <w:bookmarkStart w:id="78" w:name="_Toc90639027"/>
      <w:r>
        <w:rPr>
          <w:lang w:val="en-AU" w:bidi="ar-SA"/>
        </w:rPr>
        <w:t>5</w:t>
      </w:r>
      <w:r w:rsidRPr="00666BAC">
        <w:rPr>
          <w:lang w:val="en-AU" w:bidi="ar-SA"/>
        </w:rPr>
        <w:t xml:space="preserve">.1 </w:t>
      </w:r>
      <w:r w:rsidRPr="00666BAC">
        <w:rPr>
          <w:lang w:val="en-AU" w:bidi="ar-SA"/>
        </w:rPr>
        <w:tab/>
      </w:r>
      <w:bookmarkEnd w:id="75"/>
      <w:bookmarkEnd w:id="76"/>
      <w:r>
        <w:rPr>
          <w:lang w:val="en-AU" w:bidi="ar-SA"/>
        </w:rPr>
        <w:t>Number of complaints closed</w:t>
      </w:r>
      <w:bookmarkEnd w:id="77"/>
      <w:bookmarkEnd w:id="78"/>
    </w:p>
    <w:bookmarkEnd w:id="72"/>
    <w:bookmarkEnd w:id="73"/>
    <w:bookmarkEnd w:id="74"/>
    <w:p w14:paraId="20E12424" w14:textId="360274F6" w:rsidR="00EB4A22" w:rsidRPr="00605F09" w:rsidRDefault="00EB4A22" w:rsidP="00EB4A22">
      <w:pPr>
        <w:spacing w:after="480"/>
      </w:pPr>
      <w:r>
        <w:t>In t</w:t>
      </w:r>
      <w:r w:rsidR="00C213E5">
        <w:t>he period Jan–Jun 2021</w:t>
      </w:r>
      <w:r>
        <w:t xml:space="preserve">, </w:t>
      </w:r>
      <w:r w:rsidRPr="00605F09">
        <w:t xml:space="preserve">HDC closed </w:t>
      </w:r>
      <w:r w:rsidR="00C213E5">
        <w:rPr>
          <w:b/>
        </w:rPr>
        <w:t>478</w:t>
      </w:r>
      <w:r w:rsidRPr="003E5338">
        <w:rPr>
          <w:rStyle w:val="FootnoteReference"/>
        </w:rPr>
        <w:footnoteReference w:id="4"/>
      </w:r>
      <w:r w:rsidRPr="00605F09">
        <w:rPr>
          <w:b/>
        </w:rPr>
        <w:t xml:space="preserve"> </w:t>
      </w:r>
      <w:r w:rsidRPr="00605F09">
        <w:t xml:space="preserve">complaints </w:t>
      </w:r>
      <w:r>
        <w:t>involving DHBs. Table 12</w:t>
      </w:r>
      <w:r w:rsidRPr="00605F09">
        <w:t xml:space="preserve"> shows the number of complaints closed in previous six-month periods.</w:t>
      </w:r>
    </w:p>
    <w:p w14:paraId="783438FD" w14:textId="77777777" w:rsidR="00EB4A22" w:rsidRDefault="00EB4A22" w:rsidP="00EB4A22">
      <w:pPr>
        <w:spacing w:after="120"/>
      </w:pPr>
      <w:r>
        <w:rPr>
          <w:b/>
        </w:rPr>
        <w:t>Table 12</w:t>
      </w:r>
      <w:r w:rsidRPr="00605F09">
        <w:rPr>
          <w:b/>
        </w:rPr>
        <w:t>.</w:t>
      </w:r>
      <w:r w:rsidRPr="00605F09">
        <w:t xml:space="preserve"> Number of complaints about DHBs closed in the last five years</w:t>
      </w:r>
    </w:p>
    <w:tbl>
      <w:tblPr>
        <w:tblStyle w:val="TableGrid"/>
        <w:tblpPr w:leftFromText="180" w:rightFromText="180" w:vertAnchor="text" w:horzAnchor="margin" w:tblpY="105"/>
        <w:tblW w:w="4899" w:type="pct"/>
        <w:tblLook w:val="04A0" w:firstRow="1" w:lastRow="0" w:firstColumn="1" w:lastColumn="0" w:noHBand="0" w:noVBand="1"/>
      </w:tblPr>
      <w:tblGrid>
        <w:gridCol w:w="1188"/>
        <w:gridCol w:w="679"/>
        <w:gridCol w:w="588"/>
        <w:gridCol w:w="675"/>
        <w:gridCol w:w="680"/>
        <w:gridCol w:w="680"/>
        <w:gridCol w:w="680"/>
        <w:gridCol w:w="680"/>
        <w:gridCol w:w="680"/>
        <w:gridCol w:w="680"/>
        <w:gridCol w:w="965"/>
        <w:gridCol w:w="659"/>
      </w:tblGrid>
      <w:tr w:rsidR="00C213E5" w14:paraId="588CAF4D" w14:textId="77777777" w:rsidTr="00B12430">
        <w:tc>
          <w:tcPr>
            <w:tcW w:w="672" w:type="pct"/>
            <w:tcBorders>
              <w:top w:val="single" w:sz="4" w:space="0" w:color="auto"/>
              <w:left w:val="single" w:sz="4" w:space="0" w:color="auto"/>
              <w:bottom w:val="single" w:sz="4" w:space="0" w:color="auto"/>
              <w:right w:val="single" w:sz="4" w:space="0" w:color="auto"/>
            </w:tcBorders>
            <w:vAlign w:val="center"/>
          </w:tcPr>
          <w:p w14:paraId="067B3FCB" w14:textId="77777777" w:rsidR="00C213E5" w:rsidRPr="00217EB1" w:rsidRDefault="00C213E5" w:rsidP="00C213E5">
            <w:pPr>
              <w:keepNext/>
              <w:keepLines/>
              <w:jc w:val="left"/>
              <w:rPr>
                <w:rFonts w:ascii="Calibri" w:hAnsi="Calibri"/>
                <w:b/>
                <w:szCs w:val="20"/>
              </w:rPr>
            </w:pPr>
          </w:p>
          <w:p w14:paraId="414B0837" w14:textId="77777777" w:rsidR="00C213E5" w:rsidRPr="00217EB1" w:rsidRDefault="00C213E5" w:rsidP="00C213E5">
            <w:pPr>
              <w:keepNext/>
              <w:keepLines/>
              <w:jc w:val="left"/>
              <w:rPr>
                <w:rFonts w:ascii="Calibri" w:hAnsi="Calibri"/>
                <w:b/>
                <w:szCs w:val="20"/>
              </w:rPr>
            </w:pPr>
          </w:p>
        </w:tc>
        <w:tc>
          <w:tcPr>
            <w:tcW w:w="384" w:type="pct"/>
            <w:tcBorders>
              <w:top w:val="single" w:sz="4" w:space="0" w:color="auto"/>
              <w:left w:val="single" w:sz="4" w:space="0" w:color="auto"/>
              <w:bottom w:val="single" w:sz="4" w:space="0" w:color="auto"/>
              <w:right w:val="single" w:sz="4" w:space="0" w:color="auto"/>
            </w:tcBorders>
            <w:vAlign w:val="center"/>
          </w:tcPr>
          <w:p w14:paraId="35E577E2" w14:textId="1A5BDA7A" w:rsidR="00C213E5" w:rsidRPr="00217EB1" w:rsidRDefault="00C213E5" w:rsidP="00A504BF">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16</w:t>
            </w:r>
          </w:p>
        </w:tc>
        <w:tc>
          <w:tcPr>
            <w:tcW w:w="333" w:type="pct"/>
            <w:tcBorders>
              <w:top w:val="single" w:sz="4" w:space="0" w:color="auto"/>
              <w:left w:val="single" w:sz="4" w:space="0" w:color="auto"/>
              <w:bottom w:val="single" w:sz="4" w:space="0" w:color="auto"/>
              <w:right w:val="single" w:sz="4" w:space="0" w:color="auto"/>
            </w:tcBorders>
            <w:vAlign w:val="center"/>
            <w:hideMark/>
          </w:tcPr>
          <w:p w14:paraId="3F34DF03" w14:textId="37AA722D"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Jan–Jun</w:t>
            </w:r>
            <w:r w:rsidRPr="00217EB1">
              <w:rPr>
                <w:rFonts w:ascii="Calibri" w:hAnsi="Calibri"/>
                <w:b/>
                <w:szCs w:val="20"/>
              </w:rPr>
              <w:br/>
              <w:t>17</w:t>
            </w:r>
          </w:p>
        </w:tc>
        <w:tc>
          <w:tcPr>
            <w:tcW w:w="382" w:type="pct"/>
            <w:tcBorders>
              <w:top w:val="single" w:sz="4" w:space="0" w:color="auto"/>
              <w:left w:val="single" w:sz="4" w:space="0" w:color="auto"/>
              <w:bottom w:val="single" w:sz="4" w:space="0" w:color="auto"/>
              <w:right w:val="single" w:sz="4" w:space="0" w:color="auto"/>
            </w:tcBorders>
            <w:vAlign w:val="center"/>
            <w:hideMark/>
          </w:tcPr>
          <w:p w14:paraId="6A5C3B9F" w14:textId="346E3790"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17</w:t>
            </w:r>
          </w:p>
        </w:tc>
        <w:tc>
          <w:tcPr>
            <w:tcW w:w="385" w:type="pct"/>
            <w:tcBorders>
              <w:top w:val="single" w:sz="4" w:space="0" w:color="auto"/>
              <w:left w:val="single" w:sz="4" w:space="0" w:color="auto"/>
              <w:bottom w:val="single" w:sz="4" w:space="0" w:color="auto"/>
              <w:right w:val="single" w:sz="4" w:space="0" w:color="auto"/>
            </w:tcBorders>
            <w:vAlign w:val="center"/>
            <w:hideMark/>
          </w:tcPr>
          <w:p w14:paraId="6F68322D" w14:textId="22BF895B"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Jan–Jun</w:t>
            </w:r>
            <w:r w:rsidRPr="00217EB1">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vAlign w:val="center"/>
            <w:hideMark/>
          </w:tcPr>
          <w:p w14:paraId="0B59EC60" w14:textId="595095A8"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18</w:t>
            </w:r>
          </w:p>
        </w:tc>
        <w:tc>
          <w:tcPr>
            <w:tcW w:w="385" w:type="pct"/>
            <w:tcBorders>
              <w:top w:val="single" w:sz="4" w:space="0" w:color="auto"/>
              <w:left w:val="single" w:sz="4" w:space="0" w:color="auto"/>
              <w:bottom w:val="single" w:sz="4" w:space="0" w:color="auto"/>
              <w:right w:val="single" w:sz="4" w:space="0" w:color="auto"/>
            </w:tcBorders>
            <w:vAlign w:val="center"/>
            <w:hideMark/>
          </w:tcPr>
          <w:p w14:paraId="13CDD474" w14:textId="69CEB4A7"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Jan–Jun</w:t>
            </w:r>
            <w:r w:rsidRPr="00217EB1">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vAlign w:val="center"/>
            <w:hideMark/>
          </w:tcPr>
          <w:p w14:paraId="5A5C14BF" w14:textId="3A5DB545"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Jul–Dec</w:t>
            </w:r>
            <w:r w:rsidRPr="00217EB1">
              <w:rPr>
                <w:rFonts w:ascii="Calibri" w:hAnsi="Calibri"/>
                <w:b/>
                <w:szCs w:val="20"/>
              </w:rPr>
              <w:br/>
              <w:t>19</w:t>
            </w:r>
          </w:p>
        </w:tc>
        <w:tc>
          <w:tcPr>
            <w:tcW w:w="385" w:type="pct"/>
            <w:tcBorders>
              <w:top w:val="single" w:sz="4" w:space="0" w:color="auto"/>
              <w:left w:val="single" w:sz="4" w:space="0" w:color="auto"/>
              <w:bottom w:val="single" w:sz="4" w:space="0" w:color="auto"/>
              <w:right w:val="single" w:sz="4" w:space="0" w:color="auto"/>
            </w:tcBorders>
            <w:vAlign w:val="center"/>
            <w:hideMark/>
          </w:tcPr>
          <w:p w14:paraId="1994BC7B" w14:textId="26EE2F8B" w:rsidR="00C213E5" w:rsidRPr="00217EB1" w:rsidRDefault="00C213E5" w:rsidP="00C213E5">
            <w:pPr>
              <w:keepNext/>
              <w:keepLines/>
              <w:spacing w:before="180"/>
              <w:jc w:val="center"/>
              <w:rPr>
                <w:rFonts w:ascii="Calibri" w:hAnsi="Calibri"/>
                <w:b/>
                <w:szCs w:val="20"/>
              </w:rPr>
            </w:pPr>
            <w:r w:rsidRPr="00217EB1">
              <w:rPr>
                <w:rFonts w:ascii="Calibri" w:hAnsi="Calibri"/>
                <w:b/>
                <w:szCs w:val="20"/>
              </w:rPr>
              <w:t>Jan–Ju</w:t>
            </w:r>
            <w:r>
              <w:rPr>
                <w:rFonts w:ascii="Calibri" w:hAnsi="Calibri"/>
                <w:b/>
                <w:szCs w:val="20"/>
              </w:rPr>
              <w:t>n</w:t>
            </w:r>
            <w:r>
              <w:rPr>
                <w:rFonts w:ascii="Calibri" w:hAnsi="Calibri"/>
                <w:b/>
                <w:szCs w:val="20"/>
              </w:rPr>
              <w:br/>
            </w:r>
            <w:r w:rsidRPr="00217EB1">
              <w:rPr>
                <w:rFonts w:ascii="Calibri" w:hAnsi="Calibri"/>
                <w:b/>
                <w:szCs w:val="20"/>
              </w:rPr>
              <w:t>20</w:t>
            </w:r>
          </w:p>
        </w:tc>
        <w:tc>
          <w:tcPr>
            <w:tcW w:w="385" w:type="pct"/>
            <w:tcBorders>
              <w:top w:val="single" w:sz="4" w:space="0" w:color="auto"/>
              <w:left w:val="single" w:sz="4" w:space="0" w:color="auto"/>
              <w:bottom w:val="single" w:sz="4" w:space="0" w:color="auto"/>
              <w:right w:val="single" w:sz="4" w:space="0" w:color="auto"/>
            </w:tcBorders>
            <w:vAlign w:val="center"/>
          </w:tcPr>
          <w:p w14:paraId="7A0F6D08" w14:textId="0B84B314" w:rsidR="00C213E5" w:rsidRPr="00217EB1" w:rsidRDefault="00C213E5" w:rsidP="00C213E5">
            <w:pPr>
              <w:keepNext/>
              <w:keepLines/>
              <w:spacing w:before="180"/>
              <w:jc w:val="center"/>
              <w:rPr>
                <w:rFonts w:ascii="Calibri" w:hAnsi="Calibri"/>
                <w:b/>
                <w:szCs w:val="20"/>
              </w:rPr>
            </w:pPr>
            <w:r>
              <w:rPr>
                <w:rFonts w:ascii="Calibri" w:hAnsi="Calibri"/>
                <w:b/>
                <w:szCs w:val="20"/>
              </w:rPr>
              <w:t>Jul–Dec</w:t>
            </w:r>
          </w:p>
          <w:p w14:paraId="3CD6CE82" w14:textId="77777777" w:rsidR="00C213E5" w:rsidRPr="00217EB1" w:rsidRDefault="00C213E5" w:rsidP="00C213E5">
            <w:pPr>
              <w:keepNext/>
              <w:keepLines/>
              <w:jc w:val="center"/>
              <w:rPr>
                <w:rFonts w:ascii="Calibri" w:hAnsi="Calibri"/>
                <w:b/>
                <w:szCs w:val="20"/>
              </w:rPr>
            </w:pPr>
            <w:r w:rsidRPr="00217EB1">
              <w:rPr>
                <w:rFonts w:ascii="Calibri" w:hAnsi="Calibri"/>
                <w:b/>
                <w:szCs w:val="20"/>
              </w:rPr>
              <w:t>20</w:t>
            </w:r>
          </w:p>
        </w:tc>
        <w:tc>
          <w:tcPr>
            <w:tcW w:w="546" w:type="pct"/>
            <w:tcBorders>
              <w:top w:val="single" w:sz="4" w:space="0" w:color="auto"/>
              <w:left w:val="single" w:sz="4" w:space="0" w:color="auto"/>
              <w:bottom w:val="single" w:sz="4" w:space="0" w:color="auto"/>
              <w:right w:val="single" w:sz="4" w:space="0" w:color="auto"/>
            </w:tcBorders>
            <w:vAlign w:val="center"/>
            <w:hideMark/>
          </w:tcPr>
          <w:p w14:paraId="17BD1BC8" w14:textId="77777777" w:rsidR="00C213E5" w:rsidRPr="00217EB1" w:rsidRDefault="00C213E5" w:rsidP="00C213E5">
            <w:pPr>
              <w:keepNext/>
              <w:keepLines/>
              <w:spacing w:before="120"/>
              <w:jc w:val="center"/>
              <w:rPr>
                <w:rFonts w:ascii="Calibri" w:hAnsi="Calibri"/>
                <w:b/>
                <w:szCs w:val="20"/>
              </w:rPr>
            </w:pPr>
            <w:r w:rsidRPr="00217EB1">
              <w:rPr>
                <w:rFonts w:ascii="Calibri" w:hAnsi="Calibri"/>
                <w:b/>
                <w:szCs w:val="20"/>
              </w:rPr>
              <w:t>Average of last 4</w:t>
            </w:r>
          </w:p>
          <w:p w14:paraId="4CDF973B" w14:textId="77777777" w:rsidR="00C213E5" w:rsidRPr="00217EB1" w:rsidRDefault="00C213E5" w:rsidP="00C213E5">
            <w:pPr>
              <w:keepNext/>
              <w:keepLines/>
              <w:jc w:val="center"/>
              <w:rPr>
                <w:rFonts w:ascii="Calibri" w:hAnsi="Calibri"/>
                <w:b/>
                <w:szCs w:val="20"/>
              </w:rPr>
            </w:pPr>
            <w:r w:rsidRPr="00217EB1">
              <w:rPr>
                <w:rFonts w:ascii="Calibri" w:hAnsi="Calibri"/>
                <w:b/>
                <w:szCs w:val="20"/>
              </w:rPr>
              <w:t>6-month periods</w:t>
            </w:r>
          </w:p>
        </w:tc>
        <w:tc>
          <w:tcPr>
            <w:tcW w:w="373" w:type="pct"/>
            <w:tcBorders>
              <w:top w:val="single" w:sz="4" w:space="0" w:color="auto"/>
              <w:left w:val="single" w:sz="4" w:space="0" w:color="auto"/>
              <w:bottom w:val="single" w:sz="4" w:space="0" w:color="auto"/>
              <w:right w:val="single" w:sz="4" w:space="0" w:color="auto"/>
            </w:tcBorders>
            <w:vAlign w:val="center"/>
            <w:hideMark/>
          </w:tcPr>
          <w:p w14:paraId="38B98887" w14:textId="09069F5E" w:rsidR="00C213E5" w:rsidRPr="00217EB1" w:rsidRDefault="00C213E5" w:rsidP="00C213E5">
            <w:pPr>
              <w:keepNext/>
              <w:keepLines/>
              <w:spacing w:before="180"/>
              <w:jc w:val="center"/>
              <w:rPr>
                <w:rFonts w:ascii="Calibri" w:hAnsi="Calibri"/>
                <w:b/>
                <w:szCs w:val="20"/>
              </w:rPr>
            </w:pPr>
            <w:r>
              <w:rPr>
                <w:rFonts w:ascii="Calibri" w:hAnsi="Calibri"/>
                <w:b/>
                <w:szCs w:val="20"/>
              </w:rPr>
              <w:t>Jan–Jun</w:t>
            </w:r>
          </w:p>
          <w:p w14:paraId="40B77191" w14:textId="24D4FD69" w:rsidR="00C213E5" w:rsidRPr="00217EB1" w:rsidRDefault="00C213E5" w:rsidP="00C213E5">
            <w:pPr>
              <w:keepNext/>
              <w:keepLines/>
              <w:jc w:val="center"/>
              <w:rPr>
                <w:rFonts w:ascii="Calibri" w:hAnsi="Calibri"/>
                <w:b/>
                <w:szCs w:val="20"/>
              </w:rPr>
            </w:pPr>
            <w:r>
              <w:rPr>
                <w:rFonts w:ascii="Calibri" w:hAnsi="Calibri"/>
                <w:b/>
                <w:szCs w:val="20"/>
              </w:rPr>
              <w:t>21</w:t>
            </w:r>
          </w:p>
        </w:tc>
      </w:tr>
      <w:tr w:rsidR="00C213E5" w14:paraId="15253E88" w14:textId="77777777" w:rsidTr="00B12430">
        <w:tc>
          <w:tcPr>
            <w:tcW w:w="672" w:type="pct"/>
            <w:tcBorders>
              <w:top w:val="single" w:sz="4" w:space="0" w:color="auto"/>
              <w:left w:val="single" w:sz="4" w:space="0" w:color="auto"/>
              <w:bottom w:val="single" w:sz="4" w:space="0" w:color="auto"/>
              <w:right w:val="single" w:sz="4" w:space="0" w:color="auto"/>
            </w:tcBorders>
            <w:vAlign w:val="center"/>
            <w:hideMark/>
          </w:tcPr>
          <w:p w14:paraId="282DFED5" w14:textId="77777777" w:rsidR="00C213E5" w:rsidRPr="00217EB1" w:rsidRDefault="00C213E5" w:rsidP="00C213E5">
            <w:pPr>
              <w:keepNext/>
              <w:keepLines/>
              <w:spacing w:after="40"/>
              <w:jc w:val="left"/>
              <w:rPr>
                <w:rFonts w:ascii="Calibri" w:hAnsi="Calibri"/>
                <w:b/>
                <w:szCs w:val="20"/>
              </w:rPr>
            </w:pPr>
            <w:r w:rsidRPr="00217EB1">
              <w:rPr>
                <w:rFonts w:ascii="Calibri" w:hAnsi="Calibri"/>
                <w:b/>
                <w:szCs w:val="20"/>
              </w:rPr>
              <w:t>Number of complaints closed</w:t>
            </w:r>
          </w:p>
        </w:tc>
        <w:tc>
          <w:tcPr>
            <w:tcW w:w="384" w:type="pct"/>
            <w:tcBorders>
              <w:top w:val="single" w:sz="4" w:space="0" w:color="auto"/>
              <w:left w:val="single" w:sz="4" w:space="0" w:color="auto"/>
              <w:bottom w:val="single" w:sz="4" w:space="0" w:color="auto"/>
              <w:right w:val="single" w:sz="4" w:space="0" w:color="auto"/>
            </w:tcBorders>
            <w:vAlign w:val="center"/>
          </w:tcPr>
          <w:p w14:paraId="0795ED66" w14:textId="7C65FC4D" w:rsidR="00C213E5" w:rsidRPr="00217EB1" w:rsidRDefault="00C213E5" w:rsidP="00C213E5">
            <w:pPr>
              <w:keepNext/>
              <w:keepLines/>
              <w:jc w:val="center"/>
              <w:rPr>
                <w:rFonts w:ascii="Calibri" w:hAnsi="Calibri"/>
                <w:szCs w:val="20"/>
              </w:rPr>
            </w:pPr>
            <w:r w:rsidRPr="00217EB1">
              <w:rPr>
                <w:rFonts w:ascii="Calibri" w:hAnsi="Calibri"/>
                <w:szCs w:val="20"/>
              </w:rPr>
              <w:t>316</w:t>
            </w:r>
          </w:p>
        </w:tc>
        <w:tc>
          <w:tcPr>
            <w:tcW w:w="333" w:type="pct"/>
            <w:tcBorders>
              <w:top w:val="single" w:sz="4" w:space="0" w:color="auto"/>
              <w:left w:val="single" w:sz="4" w:space="0" w:color="auto"/>
              <w:bottom w:val="single" w:sz="4" w:space="0" w:color="auto"/>
              <w:right w:val="single" w:sz="4" w:space="0" w:color="auto"/>
            </w:tcBorders>
            <w:vAlign w:val="center"/>
            <w:hideMark/>
          </w:tcPr>
          <w:p w14:paraId="1DC1287D" w14:textId="14647968" w:rsidR="00C213E5" w:rsidRPr="00217EB1" w:rsidRDefault="00C213E5" w:rsidP="00C213E5">
            <w:pPr>
              <w:keepNext/>
              <w:keepLines/>
              <w:jc w:val="center"/>
              <w:rPr>
                <w:rFonts w:ascii="Calibri" w:hAnsi="Calibri"/>
                <w:szCs w:val="20"/>
              </w:rPr>
            </w:pPr>
            <w:r w:rsidRPr="00217EB1">
              <w:rPr>
                <w:rFonts w:ascii="Calibri" w:hAnsi="Calibri"/>
                <w:szCs w:val="20"/>
              </w:rPr>
              <w:t>465</w:t>
            </w:r>
          </w:p>
        </w:tc>
        <w:tc>
          <w:tcPr>
            <w:tcW w:w="382" w:type="pct"/>
            <w:tcBorders>
              <w:top w:val="single" w:sz="4" w:space="0" w:color="auto"/>
              <w:left w:val="single" w:sz="4" w:space="0" w:color="auto"/>
              <w:bottom w:val="single" w:sz="4" w:space="0" w:color="auto"/>
              <w:right w:val="single" w:sz="4" w:space="0" w:color="auto"/>
            </w:tcBorders>
            <w:vAlign w:val="center"/>
            <w:hideMark/>
          </w:tcPr>
          <w:p w14:paraId="163B135D" w14:textId="325DE525" w:rsidR="00C213E5" w:rsidRPr="00217EB1" w:rsidRDefault="00C213E5" w:rsidP="00C213E5">
            <w:pPr>
              <w:keepNext/>
              <w:keepLines/>
              <w:jc w:val="center"/>
              <w:rPr>
                <w:rFonts w:ascii="Calibri" w:hAnsi="Calibri"/>
                <w:szCs w:val="20"/>
              </w:rPr>
            </w:pPr>
            <w:r w:rsidRPr="00217EB1">
              <w:rPr>
                <w:rFonts w:ascii="Calibri" w:hAnsi="Calibri"/>
                <w:szCs w:val="20"/>
              </w:rPr>
              <w:t>383</w:t>
            </w:r>
          </w:p>
        </w:tc>
        <w:tc>
          <w:tcPr>
            <w:tcW w:w="385" w:type="pct"/>
            <w:tcBorders>
              <w:top w:val="single" w:sz="4" w:space="0" w:color="auto"/>
              <w:left w:val="single" w:sz="4" w:space="0" w:color="auto"/>
              <w:bottom w:val="single" w:sz="4" w:space="0" w:color="auto"/>
              <w:right w:val="single" w:sz="4" w:space="0" w:color="auto"/>
            </w:tcBorders>
            <w:vAlign w:val="center"/>
            <w:hideMark/>
          </w:tcPr>
          <w:p w14:paraId="736282FD" w14:textId="61945C19" w:rsidR="00C213E5" w:rsidRPr="00217EB1" w:rsidRDefault="00C213E5" w:rsidP="00C213E5">
            <w:pPr>
              <w:keepNext/>
              <w:keepLines/>
              <w:jc w:val="center"/>
              <w:rPr>
                <w:rFonts w:ascii="Calibri" w:hAnsi="Calibri"/>
                <w:szCs w:val="20"/>
              </w:rPr>
            </w:pPr>
            <w:r w:rsidRPr="00217EB1">
              <w:rPr>
                <w:rFonts w:ascii="Calibri" w:hAnsi="Calibri"/>
                <w:szCs w:val="20"/>
              </w:rPr>
              <w:t>476</w:t>
            </w:r>
          </w:p>
        </w:tc>
        <w:tc>
          <w:tcPr>
            <w:tcW w:w="385" w:type="pct"/>
            <w:tcBorders>
              <w:top w:val="single" w:sz="4" w:space="0" w:color="auto"/>
              <w:left w:val="single" w:sz="4" w:space="0" w:color="auto"/>
              <w:bottom w:val="single" w:sz="4" w:space="0" w:color="auto"/>
              <w:right w:val="single" w:sz="4" w:space="0" w:color="auto"/>
            </w:tcBorders>
            <w:vAlign w:val="center"/>
            <w:hideMark/>
          </w:tcPr>
          <w:p w14:paraId="25482A8F" w14:textId="1F7E9077" w:rsidR="00C213E5" w:rsidRPr="00217EB1" w:rsidRDefault="00C213E5" w:rsidP="00C213E5">
            <w:pPr>
              <w:keepNext/>
              <w:keepLines/>
              <w:jc w:val="center"/>
              <w:rPr>
                <w:rFonts w:ascii="Calibri" w:hAnsi="Calibri"/>
                <w:szCs w:val="20"/>
              </w:rPr>
            </w:pPr>
            <w:r w:rsidRPr="00217EB1">
              <w:rPr>
                <w:rFonts w:ascii="Calibri" w:hAnsi="Calibri"/>
                <w:szCs w:val="20"/>
              </w:rPr>
              <w:t>449</w:t>
            </w:r>
          </w:p>
        </w:tc>
        <w:tc>
          <w:tcPr>
            <w:tcW w:w="385" w:type="pct"/>
            <w:tcBorders>
              <w:top w:val="single" w:sz="4" w:space="0" w:color="auto"/>
              <w:left w:val="single" w:sz="4" w:space="0" w:color="auto"/>
              <w:bottom w:val="single" w:sz="4" w:space="0" w:color="auto"/>
              <w:right w:val="single" w:sz="4" w:space="0" w:color="auto"/>
            </w:tcBorders>
            <w:vAlign w:val="center"/>
            <w:hideMark/>
          </w:tcPr>
          <w:p w14:paraId="5C957329" w14:textId="19BF36AD" w:rsidR="00C213E5" w:rsidRPr="00217EB1" w:rsidRDefault="00C213E5" w:rsidP="00C213E5">
            <w:pPr>
              <w:keepNext/>
              <w:keepLines/>
              <w:jc w:val="center"/>
              <w:rPr>
                <w:rFonts w:ascii="Calibri" w:hAnsi="Calibri"/>
                <w:szCs w:val="20"/>
              </w:rPr>
            </w:pPr>
            <w:r w:rsidRPr="00217EB1">
              <w:rPr>
                <w:rFonts w:ascii="Calibri" w:hAnsi="Calibri"/>
                <w:szCs w:val="20"/>
              </w:rPr>
              <w:t>444</w:t>
            </w:r>
          </w:p>
        </w:tc>
        <w:tc>
          <w:tcPr>
            <w:tcW w:w="385" w:type="pct"/>
            <w:tcBorders>
              <w:top w:val="single" w:sz="4" w:space="0" w:color="auto"/>
              <w:left w:val="single" w:sz="4" w:space="0" w:color="auto"/>
              <w:bottom w:val="single" w:sz="4" w:space="0" w:color="auto"/>
              <w:right w:val="single" w:sz="4" w:space="0" w:color="auto"/>
            </w:tcBorders>
            <w:vAlign w:val="center"/>
            <w:hideMark/>
          </w:tcPr>
          <w:p w14:paraId="6C6FC31C" w14:textId="2020F7B9" w:rsidR="00C213E5" w:rsidRPr="00217EB1" w:rsidRDefault="00C213E5" w:rsidP="00C213E5">
            <w:pPr>
              <w:keepNext/>
              <w:keepLines/>
              <w:jc w:val="center"/>
              <w:rPr>
                <w:rFonts w:ascii="Calibri" w:hAnsi="Calibri"/>
                <w:szCs w:val="20"/>
              </w:rPr>
            </w:pPr>
            <w:r w:rsidRPr="00217EB1">
              <w:rPr>
                <w:rFonts w:ascii="Calibri" w:hAnsi="Calibri"/>
                <w:szCs w:val="20"/>
              </w:rPr>
              <w:t>423</w:t>
            </w:r>
          </w:p>
        </w:tc>
        <w:tc>
          <w:tcPr>
            <w:tcW w:w="385" w:type="pct"/>
            <w:tcBorders>
              <w:top w:val="single" w:sz="4" w:space="0" w:color="auto"/>
              <w:left w:val="single" w:sz="4" w:space="0" w:color="auto"/>
              <w:bottom w:val="single" w:sz="4" w:space="0" w:color="auto"/>
              <w:right w:val="single" w:sz="4" w:space="0" w:color="auto"/>
            </w:tcBorders>
            <w:vAlign w:val="center"/>
            <w:hideMark/>
          </w:tcPr>
          <w:p w14:paraId="169CF37F" w14:textId="558DAE8B" w:rsidR="00C213E5" w:rsidRPr="00217EB1" w:rsidRDefault="00C213E5" w:rsidP="00C213E5">
            <w:pPr>
              <w:keepNext/>
              <w:keepLines/>
              <w:jc w:val="center"/>
              <w:rPr>
                <w:rFonts w:ascii="Calibri" w:hAnsi="Calibri"/>
                <w:szCs w:val="20"/>
              </w:rPr>
            </w:pPr>
            <w:r w:rsidRPr="00217EB1">
              <w:rPr>
                <w:rFonts w:ascii="Calibri" w:hAnsi="Calibri"/>
                <w:szCs w:val="20"/>
              </w:rPr>
              <w:t>428</w:t>
            </w:r>
          </w:p>
        </w:tc>
        <w:tc>
          <w:tcPr>
            <w:tcW w:w="385" w:type="pct"/>
            <w:tcBorders>
              <w:top w:val="single" w:sz="4" w:space="0" w:color="auto"/>
              <w:left w:val="single" w:sz="4" w:space="0" w:color="auto"/>
              <w:bottom w:val="single" w:sz="4" w:space="0" w:color="auto"/>
              <w:right w:val="single" w:sz="4" w:space="0" w:color="auto"/>
            </w:tcBorders>
            <w:vAlign w:val="center"/>
          </w:tcPr>
          <w:p w14:paraId="1E361F63" w14:textId="36F014AA" w:rsidR="00C213E5" w:rsidRPr="00217EB1" w:rsidRDefault="00C213E5" w:rsidP="00C213E5">
            <w:pPr>
              <w:keepNext/>
              <w:keepLines/>
              <w:jc w:val="center"/>
              <w:rPr>
                <w:rFonts w:ascii="Calibri" w:hAnsi="Calibri"/>
                <w:szCs w:val="20"/>
              </w:rPr>
            </w:pPr>
            <w:r>
              <w:rPr>
                <w:rFonts w:ascii="Calibri" w:hAnsi="Calibri"/>
                <w:szCs w:val="20"/>
              </w:rPr>
              <w:t>390</w:t>
            </w:r>
          </w:p>
        </w:tc>
        <w:tc>
          <w:tcPr>
            <w:tcW w:w="546" w:type="pct"/>
            <w:tcBorders>
              <w:top w:val="single" w:sz="4" w:space="0" w:color="auto"/>
              <w:left w:val="single" w:sz="4" w:space="0" w:color="auto"/>
              <w:bottom w:val="single" w:sz="4" w:space="0" w:color="auto"/>
              <w:right w:val="single" w:sz="4" w:space="0" w:color="auto"/>
            </w:tcBorders>
            <w:vAlign w:val="center"/>
            <w:hideMark/>
          </w:tcPr>
          <w:p w14:paraId="1D5EE10C" w14:textId="6A783DE6" w:rsidR="00C213E5" w:rsidRPr="00217EB1" w:rsidRDefault="00C213E5" w:rsidP="00C213E5">
            <w:pPr>
              <w:keepNext/>
              <w:keepLines/>
              <w:jc w:val="center"/>
              <w:rPr>
                <w:rFonts w:ascii="Calibri" w:hAnsi="Calibri"/>
                <w:b/>
                <w:szCs w:val="20"/>
              </w:rPr>
            </w:pPr>
            <w:r>
              <w:rPr>
                <w:rFonts w:ascii="Calibri" w:hAnsi="Calibri"/>
                <w:b/>
                <w:szCs w:val="20"/>
              </w:rPr>
              <w:t>421</w:t>
            </w:r>
          </w:p>
        </w:tc>
        <w:tc>
          <w:tcPr>
            <w:tcW w:w="373" w:type="pct"/>
            <w:tcBorders>
              <w:top w:val="single" w:sz="4" w:space="0" w:color="auto"/>
              <w:left w:val="single" w:sz="4" w:space="0" w:color="auto"/>
              <w:bottom w:val="single" w:sz="4" w:space="0" w:color="auto"/>
              <w:right w:val="single" w:sz="4" w:space="0" w:color="auto"/>
            </w:tcBorders>
            <w:vAlign w:val="center"/>
            <w:hideMark/>
          </w:tcPr>
          <w:p w14:paraId="5BEC5928" w14:textId="7E7E7BBD" w:rsidR="00C213E5" w:rsidRPr="00217EB1" w:rsidRDefault="00C213E5" w:rsidP="00C213E5">
            <w:pPr>
              <w:keepNext/>
              <w:keepLines/>
              <w:jc w:val="center"/>
              <w:rPr>
                <w:rFonts w:ascii="Calibri" w:hAnsi="Calibri"/>
                <w:b/>
                <w:szCs w:val="20"/>
              </w:rPr>
            </w:pPr>
            <w:r>
              <w:rPr>
                <w:rFonts w:ascii="Calibri" w:hAnsi="Calibri"/>
                <w:b/>
                <w:szCs w:val="20"/>
              </w:rPr>
              <w:t>478</w:t>
            </w:r>
          </w:p>
        </w:tc>
      </w:tr>
    </w:tbl>
    <w:p w14:paraId="50DCA991" w14:textId="77777777" w:rsidR="00EB4A22" w:rsidRDefault="00EB4A22" w:rsidP="00EB4A22">
      <w:bookmarkStart w:id="79" w:name="_Toc415221219"/>
      <w:bookmarkStart w:id="80" w:name="_Toc415153518"/>
      <w:bookmarkStart w:id="81" w:name="_Toc415147244"/>
      <w:bookmarkStart w:id="82" w:name="_Toc415135530"/>
      <w:bookmarkStart w:id="83" w:name="_Toc415046458"/>
      <w:bookmarkStart w:id="84" w:name="_Toc415039802"/>
      <w:bookmarkStart w:id="85" w:name="_Toc414952831"/>
      <w:bookmarkStart w:id="86" w:name="_Toc414886546"/>
      <w:bookmarkStart w:id="87" w:name="_Toc414875836"/>
      <w:bookmarkStart w:id="88" w:name="_Toc414461838"/>
      <w:bookmarkStart w:id="89" w:name="_Toc414442657"/>
    </w:p>
    <w:p w14:paraId="3C62086D" w14:textId="77777777" w:rsidR="00EB4A22" w:rsidRDefault="00EB4A22" w:rsidP="00EB4A22"/>
    <w:p w14:paraId="17EA14E4" w14:textId="77777777" w:rsidR="00EB4A22" w:rsidRDefault="00EB4A22" w:rsidP="00EB4A22"/>
    <w:p w14:paraId="0A3039C3" w14:textId="77777777" w:rsidR="00EB4A22" w:rsidRDefault="00EB4A22" w:rsidP="00EB4A22"/>
    <w:p w14:paraId="77249387" w14:textId="77777777" w:rsidR="00EB4A22" w:rsidRPr="00666BAC" w:rsidRDefault="00EB4A22" w:rsidP="004D22EA">
      <w:pPr>
        <w:pStyle w:val="Heading3"/>
        <w:rPr>
          <w:lang w:val="en-AU" w:bidi="ar-SA"/>
        </w:rPr>
      </w:pPr>
      <w:bookmarkStart w:id="90" w:name="_Toc71561662"/>
      <w:bookmarkStart w:id="91" w:name="_Toc90639028"/>
      <w:bookmarkEnd w:id="79"/>
      <w:bookmarkEnd w:id="80"/>
      <w:bookmarkEnd w:id="81"/>
      <w:bookmarkEnd w:id="82"/>
      <w:bookmarkEnd w:id="83"/>
      <w:bookmarkEnd w:id="84"/>
      <w:bookmarkEnd w:id="85"/>
      <w:bookmarkEnd w:id="86"/>
      <w:bookmarkEnd w:id="87"/>
      <w:bookmarkEnd w:id="88"/>
      <w:bookmarkEnd w:id="89"/>
      <w:r>
        <w:rPr>
          <w:lang w:val="en-AU" w:bidi="ar-SA"/>
        </w:rPr>
        <w:lastRenderedPageBreak/>
        <w:t>5.2</w:t>
      </w:r>
      <w:r w:rsidRPr="00666BAC">
        <w:rPr>
          <w:lang w:val="en-AU" w:bidi="ar-SA"/>
        </w:rPr>
        <w:t xml:space="preserve"> </w:t>
      </w:r>
      <w:r w:rsidRPr="00666BAC">
        <w:rPr>
          <w:lang w:val="en-AU" w:bidi="ar-SA"/>
        </w:rPr>
        <w:tab/>
      </w:r>
      <w:r>
        <w:rPr>
          <w:lang w:val="en-AU" w:bidi="ar-SA"/>
        </w:rPr>
        <w:t>Outcomes of complaints closed</w:t>
      </w:r>
      <w:bookmarkEnd w:id="90"/>
      <w:bookmarkEnd w:id="91"/>
    </w:p>
    <w:p w14:paraId="1A82E6BE" w14:textId="67DFF148" w:rsidR="00EB4A22" w:rsidRPr="008565E0" w:rsidRDefault="00EB4A22" w:rsidP="00EB4A22">
      <w:pPr>
        <w:rPr>
          <w:lang w:eastAsia="en-NZ"/>
        </w:rPr>
      </w:pPr>
      <w:r w:rsidRPr="0029389C">
        <w:rPr>
          <w:lang w:eastAsia="en-NZ"/>
        </w:rPr>
        <w:t xml:space="preserve">In the </w:t>
      </w:r>
      <w:r w:rsidR="00C213E5">
        <w:t>Jan–Jun 2021</w:t>
      </w:r>
      <w:r w:rsidRPr="0029389C">
        <w:t xml:space="preserve"> </w:t>
      </w:r>
      <w:r>
        <w:rPr>
          <w:lang w:eastAsia="en-NZ"/>
        </w:rPr>
        <w:t xml:space="preserve">period, </w:t>
      </w:r>
      <w:r w:rsidR="00C66855">
        <w:rPr>
          <w:lang w:eastAsia="en-NZ"/>
        </w:rPr>
        <w:t>5</w:t>
      </w:r>
      <w:r w:rsidRPr="0029389C">
        <w:rPr>
          <w:lang w:eastAsia="en-NZ"/>
        </w:rPr>
        <w:t xml:space="preserve"> DHBs</w:t>
      </w:r>
      <w:r>
        <w:rPr>
          <w:lang w:eastAsia="en-NZ"/>
        </w:rPr>
        <w:t xml:space="preserve"> ha</w:t>
      </w:r>
      <w:r w:rsidR="00C66855">
        <w:rPr>
          <w:lang w:eastAsia="en-NZ"/>
        </w:rPr>
        <w:t>d no investigations closed, 8</w:t>
      </w:r>
      <w:r w:rsidRPr="0029389C">
        <w:rPr>
          <w:lang w:eastAsia="en-NZ"/>
        </w:rPr>
        <w:t xml:space="preserve"> DHBs</w:t>
      </w:r>
      <w:r>
        <w:rPr>
          <w:lang w:eastAsia="en-NZ"/>
        </w:rPr>
        <w:t xml:space="preserve"> ha</w:t>
      </w:r>
      <w:r w:rsidR="00C66855">
        <w:rPr>
          <w:lang w:eastAsia="en-NZ"/>
        </w:rPr>
        <w:t>d one investigation closed, 5</w:t>
      </w:r>
      <w:r w:rsidRPr="0029389C">
        <w:rPr>
          <w:lang w:eastAsia="en-NZ"/>
        </w:rPr>
        <w:t xml:space="preserve"> DHBs </w:t>
      </w:r>
      <w:r>
        <w:rPr>
          <w:lang w:eastAsia="en-NZ"/>
        </w:rPr>
        <w:t>had two investigations closed</w:t>
      </w:r>
      <w:r w:rsidR="00932E72">
        <w:rPr>
          <w:lang w:eastAsia="en-NZ"/>
        </w:rPr>
        <w:t>,</w:t>
      </w:r>
      <w:r w:rsidR="00C66855">
        <w:rPr>
          <w:lang w:eastAsia="en-NZ"/>
        </w:rPr>
        <w:t xml:space="preserve"> 1</w:t>
      </w:r>
      <w:r w:rsidRPr="0029389C">
        <w:rPr>
          <w:lang w:eastAsia="en-NZ"/>
        </w:rPr>
        <w:t xml:space="preserve"> DHB ha</w:t>
      </w:r>
      <w:r w:rsidR="00C66855">
        <w:rPr>
          <w:lang w:eastAsia="en-NZ"/>
        </w:rPr>
        <w:t>d three investigations closed, and 1 DHB had four investigations closed</w:t>
      </w:r>
      <w:r w:rsidR="00007965">
        <w:rPr>
          <w:lang w:eastAsia="en-NZ"/>
        </w:rPr>
        <w:t>.</w:t>
      </w:r>
    </w:p>
    <w:p w14:paraId="2ADAC49E" w14:textId="6E6B6E3C" w:rsidR="00EB4A22" w:rsidRDefault="00EB4A22" w:rsidP="004D22EA">
      <w:pPr>
        <w:spacing w:after="360"/>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Pr>
          <w:rFonts w:ascii="Calibri" w:hAnsi="Calibri"/>
        </w:rPr>
        <w:t xml:space="preserve"> outcomes of all complaints about DHBs closed in </w:t>
      </w:r>
      <w:r w:rsidR="00C213E5">
        <w:t>Jan–Jun</w:t>
      </w:r>
      <w:r>
        <w:t xml:space="preserve"> 2</w:t>
      </w:r>
      <w:r w:rsidR="00C213E5">
        <w:t>021</w:t>
      </w:r>
      <w:r>
        <w:t xml:space="preserve"> </w:t>
      </w:r>
      <w:r>
        <w:rPr>
          <w:rFonts w:ascii="Calibri" w:hAnsi="Calibri"/>
        </w:rPr>
        <w:t xml:space="preserve">is shown in Table 13. </w:t>
      </w:r>
    </w:p>
    <w:p w14:paraId="25B5A0B7" w14:textId="77777777" w:rsidR="00EB4A22" w:rsidRDefault="00EB4A22" w:rsidP="00EB4A22">
      <w:pPr>
        <w:keepNext/>
        <w:keepLines/>
        <w:spacing w:after="120"/>
        <w:rPr>
          <w:lang w:eastAsia="en-NZ"/>
        </w:rPr>
      </w:pPr>
      <w:r>
        <w:rPr>
          <w:rFonts w:ascii="Calibri" w:hAnsi="Calibri"/>
          <w:b/>
          <w:szCs w:val="22"/>
        </w:rPr>
        <w:t xml:space="preserve">Table 13. </w:t>
      </w:r>
      <w:r>
        <w:rPr>
          <w:rFonts w:ascii="Calibri" w:hAnsi="Calibri"/>
          <w:szCs w:val="22"/>
        </w:rPr>
        <w:t>Outcome for DHBs of complaints closed by complaint type</w:t>
      </w:r>
      <w:r w:rsidRPr="003E5338">
        <w:rPr>
          <w:rStyle w:val="FootnoteReference"/>
        </w:rPr>
        <w:footnoteReference w:id="5"/>
      </w:r>
    </w:p>
    <w:tbl>
      <w:tblPr>
        <w:tblStyle w:val="TableGrid"/>
        <w:tblW w:w="9178" w:type="dxa"/>
        <w:tblLook w:val="04A0" w:firstRow="1" w:lastRow="0" w:firstColumn="1" w:lastColumn="0" w:noHBand="0" w:noVBand="1"/>
      </w:tblPr>
      <w:tblGrid>
        <w:gridCol w:w="7090"/>
        <w:gridCol w:w="2088"/>
      </w:tblGrid>
      <w:tr w:rsidR="00EB4A22" w14:paraId="2CC1A404" w14:textId="77777777" w:rsidTr="00B12430">
        <w:trPr>
          <w:trHeight w:val="386"/>
        </w:trPr>
        <w:tc>
          <w:tcPr>
            <w:tcW w:w="709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3E3529D" w14:textId="77777777" w:rsidR="00EB4A22" w:rsidRPr="00EB4A22" w:rsidRDefault="00EB4A22" w:rsidP="00B12430">
            <w:pPr>
              <w:keepNext/>
              <w:keepLines/>
              <w:tabs>
                <w:tab w:val="left" w:pos="1440"/>
                <w:tab w:val="decimal" w:pos="4320"/>
              </w:tabs>
              <w:jc w:val="left"/>
              <w:outlineLvl w:val="0"/>
              <w:rPr>
                <w:rFonts w:ascii="Calibri" w:hAnsi="Calibri"/>
                <w:b/>
                <w:sz w:val="22"/>
                <w:szCs w:val="22"/>
              </w:rPr>
            </w:pPr>
            <w:r w:rsidRPr="00EB4A22">
              <w:rPr>
                <w:rFonts w:ascii="Calibri" w:hAnsi="Calibri"/>
                <w:b/>
                <w:sz w:val="22"/>
                <w:szCs w:val="22"/>
              </w:rPr>
              <w:br w:type="page"/>
              <w:t>Outcome for DHBs</w:t>
            </w:r>
          </w:p>
        </w:tc>
        <w:tc>
          <w:tcPr>
            <w:tcW w:w="2088" w:type="dxa"/>
            <w:tcBorders>
              <w:top w:val="single" w:sz="4" w:space="0" w:color="auto"/>
              <w:left w:val="single" w:sz="4" w:space="0" w:color="auto"/>
              <w:bottom w:val="single" w:sz="4" w:space="0" w:color="auto"/>
              <w:right w:val="single" w:sz="4" w:space="0" w:color="auto"/>
            </w:tcBorders>
            <w:shd w:val="clear" w:color="auto" w:fill="C00000"/>
          </w:tcPr>
          <w:p w14:paraId="02E52B7A" w14:textId="77777777" w:rsidR="00EB4A22" w:rsidRPr="00EB4A22" w:rsidRDefault="00EB4A22" w:rsidP="00B12430">
            <w:pPr>
              <w:keepNext/>
              <w:keepLines/>
              <w:tabs>
                <w:tab w:val="left" w:pos="1440"/>
                <w:tab w:val="decimal" w:pos="4320"/>
              </w:tabs>
              <w:spacing w:before="60" w:after="60"/>
              <w:jc w:val="center"/>
              <w:outlineLvl w:val="0"/>
              <w:rPr>
                <w:rFonts w:ascii="Calibri" w:hAnsi="Calibri"/>
                <w:b/>
                <w:sz w:val="22"/>
                <w:szCs w:val="22"/>
              </w:rPr>
            </w:pPr>
            <w:r w:rsidRPr="00EB4A22">
              <w:rPr>
                <w:rFonts w:ascii="Calibri" w:hAnsi="Calibri"/>
                <w:b/>
                <w:sz w:val="22"/>
                <w:szCs w:val="22"/>
              </w:rPr>
              <w:t>Number of complaints closed</w:t>
            </w:r>
          </w:p>
        </w:tc>
      </w:tr>
      <w:tr w:rsidR="00EB4A22" w14:paraId="3625A2D3"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DE5E1" w14:textId="77777777" w:rsidR="00EB4A22" w:rsidRPr="00EB4A22" w:rsidRDefault="00EB4A22" w:rsidP="00B12430">
            <w:pPr>
              <w:keepNext/>
              <w:keepLines/>
              <w:tabs>
                <w:tab w:val="left" w:pos="1440"/>
                <w:tab w:val="decimal" w:pos="4320"/>
              </w:tabs>
              <w:jc w:val="left"/>
              <w:outlineLvl w:val="0"/>
              <w:rPr>
                <w:rFonts w:ascii="Calibri" w:hAnsi="Calibri"/>
                <w:b/>
                <w:i/>
                <w:sz w:val="22"/>
                <w:szCs w:val="22"/>
              </w:rPr>
            </w:pPr>
            <w:r w:rsidRPr="00EB4A22">
              <w:rPr>
                <w:rFonts w:ascii="Calibri" w:hAnsi="Calibri"/>
                <w:b/>
                <w:i/>
                <w:sz w:val="22"/>
                <w:szCs w:val="22"/>
              </w:rPr>
              <w:t>Investigation</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8AA99" w14:textId="38646FBB" w:rsidR="00EB4A22" w:rsidRPr="00EB4A22" w:rsidRDefault="00C213E5" w:rsidP="00B12430">
            <w:pPr>
              <w:keepNext/>
              <w:keepLines/>
              <w:tabs>
                <w:tab w:val="left" w:pos="1440"/>
                <w:tab w:val="decimal" w:pos="4320"/>
              </w:tabs>
              <w:jc w:val="center"/>
              <w:outlineLvl w:val="0"/>
              <w:rPr>
                <w:rFonts w:ascii="Calibri" w:hAnsi="Calibri"/>
                <w:b/>
                <w:i/>
                <w:sz w:val="22"/>
                <w:szCs w:val="22"/>
              </w:rPr>
            </w:pPr>
            <w:r>
              <w:rPr>
                <w:rFonts w:ascii="Calibri" w:hAnsi="Calibri"/>
                <w:b/>
                <w:i/>
                <w:sz w:val="22"/>
                <w:szCs w:val="22"/>
              </w:rPr>
              <w:t>23</w:t>
            </w:r>
          </w:p>
        </w:tc>
      </w:tr>
      <w:tr w:rsidR="00EB4A22" w14:paraId="6A577F72"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5CE43A10" w14:textId="1FA1C51F" w:rsidR="00EB4A22" w:rsidRPr="00EB4A22" w:rsidRDefault="00EB4A22">
            <w:pPr>
              <w:keepNext/>
              <w:keepLines/>
              <w:tabs>
                <w:tab w:val="left" w:pos="1440"/>
                <w:tab w:val="decimal" w:pos="4320"/>
              </w:tabs>
              <w:jc w:val="left"/>
              <w:outlineLvl w:val="0"/>
              <w:rPr>
                <w:rFonts w:ascii="Calibri" w:hAnsi="Calibri"/>
                <w:color w:val="000000"/>
                <w:sz w:val="22"/>
                <w:szCs w:val="22"/>
              </w:rPr>
            </w:pPr>
            <w:r w:rsidRPr="00EB4A22">
              <w:rPr>
                <w:rFonts w:ascii="Calibri" w:hAnsi="Calibri"/>
                <w:color w:val="000000"/>
                <w:sz w:val="22"/>
                <w:szCs w:val="22"/>
              </w:rPr>
              <w:t xml:space="preserve">Breach finding </w:t>
            </w:r>
            <w:r w:rsidR="00B72710">
              <w:rPr>
                <w:rFonts w:ascii="Calibri" w:hAnsi="Calibri"/>
                <w:color w:val="000000"/>
                <w:sz w:val="22"/>
                <w:szCs w:val="22"/>
              </w:rPr>
              <w:t>—</w:t>
            </w:r>
            <w:r w:rsidRPr="00EB4A22">
              <w:rPr>
                <w:rFonts w:ascii="Calibri" w:hAnsi="Calibri"/>
                <w:color w:val="000000"/>
                <w:sz w:val="22"/>
                <w:szCs w:val="22"/>
              </w:rPr>
              <w:t xml:space="preserve"> referred to Director of Proceedings</w:t>
            </w:r>
          </w:p>
        </w:tc>
        <w:tc>
          <w:tcPr>
            <w:tcW w:w="2088" w:type="dxa"/>
            <w:tcBorders>
              <w:top w:val="single" w:sz="4" w:space="0" w:color="auto"/>
              <w:left w:val="single" w:sz="4" w:space="0" w:color="auto"/>
              <w:bottom w:val="single" w:sz="4" w:space="0" w:color="auto"/>
              <w:right w:val="single" w:sz="4" w:space="0" w:color="auto"/>
            </w:tcBorders>
            <w:vAlign w:val="bottom"/>
          </w:tcPr>
          <w:p w14:paraId="3A94679B" w14:textId="7A0AB9DE"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3</w:t>
            </w:r>
          </w:p>
        </w:tc>
      </w:tr>
      <w:tr w:rsidR="00EB4A22" w14:paraId="66BBA827"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9C125F6" w14:textId="77777777" w:rsidR="00EB4A22" w:rsidRPr="00EB4A22" w:rsidRDefault="00EB4A22"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Breach finding</w:t>
            </w:r>
          </w:p>
        </w:tc>
        <w:tc>
          <w:tcPr>
            <w:tcW w:w="2088" w:type="dxa"/>
            <w:tcBorders>
              <w:top w:val="single" w:sz="4" w:space="0" w:color="auto"/>
              <w:left w:val="single" w:sz="4" w:space="0" w:color="auto"/>
              <w:bottom w:val="single" w:sz="4" w:space="0" w:color="auto"/>
              <w:right w:val="single" w:sz="4" w:space="0" w:color="auto"/>
            </w:tcBorders>
            <w:vAlign w:val="bottom"/>
          </w:tcPr>
          <w:p w14:paraId="41DA1746" w14:textId="5F6F5909"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11</w:t>
            </w:r>
          </w:p>
        </w:tc>
      </w:tr>
      <w:tr w:rsidR="00EB4A22" w14:paraId="68BE5392"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82EC432" w14:textId="5C5E6199" w:rsidR="00EB4A22" w:rsidRPr="00EB4A22" w:rsidRDefault="00894F0A" w:rsidP="00B12430">
            <w:pPr>
              <w:keepNext/>
              <w:keepLines/>
              <w:tabs>
                <w:tab w:val="left" w:pos="1440"/>
                <w:tab w:val="decimal" w:pos="4320"/>
              </w:tabs>
              <w:jc w:val="left"/>
              <w:outlineLvl w:val="0"/>
              <w:rPr>
                <w:rFonts w:ascii="Calibri" w:hAnsi="Calibri"/>
                <w:sz w:val="22"/>
                <w:szCs w:val="22"/>
              </w:rPr>
            </w:pPr>
            <w:r>
              <w:rPr>
                <w:rFonts w:ascii="Calibri" w:hAnsi="Calibri"/>
                <w:color w:val="000000"/>
                <w:sz w:val="22"/>
                <w:szCs w:val="22"/>
              </w:rPr>
              <w:t xml:space="preserve">No breach finding </w:t>
            </w:r>
            <w:r w:rsidR="00EB4A22" w:rsidRPr="00EB4A22">
              <w:rPr>
                <w:rFonts w:ascii="Calibri" w:hAnsi="Calibri"/>
                <w:color w:val="000000"/>
                <w:sz w:val="22"/>
                <w:szCs w:val="22"/>
              </w:rPr>
              <w:t>with adverse comment and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45299ECF" w14:textId="71BE21FF"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2</w:t>
            </w:r>
          </w:p>
        </w:tc>
      </w:tr>
      <w:tr w:rsidR="00EB4A22" w14:paraId="66E72C21"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68990937" w14:textId="77777777" w:rsidR="00EB4A22" w:rsidRPr="00EB4A22" w:rsidRDefault="00EB4A22" w:rsidP="00B12430">
            <w:pPr>
              <w:keepNext/>
              <w:keepLines/>
              <w:tabs>
                <w:tab w:val="left" w:pos="1440"/>
                <w:tab w:val="decimal" w:pos="4320"/>
              </w:tabs>
              <w:jc w:val="left"/>
              <w:outlineLvl w:val="0"/>
              <w:rPr>
                <w:rFonts w:ascii="Calibri" w:hAnsi="Calibri"/>
                <w:color w:val="000000"/>
                <w:sz w:val="22"/>
                <w:szCs w:val="22"/>
              </w:rPr>
            </w:pPr>
            <w:r w:rsidRPr="00EB4A22">
              <w:rPr>
                <w:rFonts w:ascii="Calibri" w:hAnsi="Calibri"/>
                <w:color w:val="000000"/>
                <w:sz w:val="22"/>
                <w:szCs w:val="22"/>
              </w:rPr>
              <w:t>No breach finding with recommendations</w:t>
            </w:r>
          </w:p>
        </w:tc>
        <w:tc>
          <w:tcPr>
            <w:tcW w:w="2088" w:type="dxa"/>
            <w:tcBorders>
              <w:top w:val="single" w:sz="4" w:space="0" w:color="auto"/>
              <w:left w:val="single" w:sz="4" w:space="0" w:color="auto"/>
              <w:bottom w:val="single" w:sz="4" w:space="0" w:color="auto"/>
              <w:right w:val="single" w:sz="4" w:space="0" w:color="auto"/>
            </w:tcBorders>
            <w:vAlign w:val="bottom"/>
          </w:tcPr>
          <w:p w14:paraId="52036283" w14:textId="500974AC"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6</w:t>
            </w:r>
          </w:p>
        </w:tc>
      </w:tr>
      <w:tr w:rsidR="00EB4A22" w14:paraId="1A6B8430"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D94E772" w14:textId="50F3914F" w:rsidR="00EB4A22" w:rsidRPr="00EB4A22" w:rsidRDefault="00C213E5"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No further action</w:t>
            </w:r>
          </w:p>
        </w:tc>
        <w:tc>
          <w:tcPr>
            <w:tcW w:w="2088" w:type="dxa"/>
            <w:tcBorders>
              <w:top w:val="single" w:sz="4" w:space="0" w:color="auto"/>
              <w:left w:val="single" w:sz="4" w:space="0" w:color="auto"/>
              <w:bottom w:val="single" w:sz="4" w:space="0" w:color="auto"/>
              <w:right w:val="single" w:sz="4" w:space="0" w:color="auto"/>
            </w:tcBorders>
            <w:vAlign w:val="bottom"/>
          </w:tcPr>
          <w:p w14:paraId="647FEB1C" w14:textId="22ED9982"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1</w:t>
            </w:r>
          </w:p>
        </w:tc>
      </w:tr>
      <w:tr w:rsidR="00EB4A22" w14:paraId="7182EEC9"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AF84F" w14:textId="77777777" w:rsidR="00EB4A22" w:rsidRPr="00EB4A22" w:rsidRDefault="00EB4A22" w:rsidP="00B12430">
            <w:pPr>
              <w:keepNext/>
              <w:keepLines/>
              <w:tabs>
                <w:tab w:val="left" w:pos="1440"/>
                <w:tab w:val="decimal" w:pos="4320"/>
              </w:tabs>
              <w:jc w:val="left"/>
              <w:outlineLvl w:val="0"/>
              <w:rPr>
                <w:rFonts w:ascii="Calibri" w:hAnsi="Calibri"/>
                <w:b/>
                <w:i/>
                <w:sz w:val="22"/>
                <w:szCs w:val="22"/>
              </w:rPr>
            </w:pPr>
            <w:r w:rsidRPr="00EB4A22">
              <w:rPr>
                <w:rFonts w:ascii="Calibri" w:hAnsi="Calibri"/>
                <w:b/>
                <w:i/>
                <w:sz w:val="22"/>
                <w:szCs w:val="22"/>
              </w:rPr>
              <w:t>Other resolution following assessment</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4C47F" w14:textId="3847DE65" w:rsidR="00EB4A22" w:rsidRPr="00EB4A22" w:rsidRDefault="00C213E5" w:rsidP="00B12430">
            <w:pPr>
              <w:keepNext/>
              <w:keepLines/>
              <w:tabs>
                <w:tab w:val="left" w:pos="1440"/>
                <w:tab w:val="decimal" w:pos="4320"/>
              </w:tabs>
              <w:jc w:val="center"/>
              <w:outlineLvl w:val="0"/>
              <w:rPr>
                <w:rFonts w:ascii="Calibri" w:hAnsi="Calibri"/>
                <w:b/>
                <w:i/>
                <w:sz w:val="22"/>
                <w:szCs w:val="22"/>
              </w:rPr>
            </w:pPr>
            <w:r>
              <w:rPr>
                <w:rFonts w:ascii="Calibri" w:hAnsi="Calibri"/>
                <w:b/>
                <w:i/>
                <w:sz w:val="22"/>
                <w:szCs w:val="22"/>
              </w:rPr>
              <w:t>455</w:t>
            </w:r>
          </w:p>
        </w:tc>
      </w:tr>
      <w:tr w:rsidR="00EB4A22" w14:paraId="0F10FF4F"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470F8D21" w14:textId="77777777" w:rsidR="00EB4A22" w:rsidRPr="00EB4A22" w:rsidRDefault="00EB4A22" w:rsidP="00B12430">
            <w:pPr>
              <w:keepNext/>
              <w:keepLines/>
              <w:tabs>
                <w:tab w:val="left" w:pos="1440"/>
                <w:tab w:val="decimal" w:pos="4320"/>
              </w:tabs>
              <w:jc w:val="left"/>
              <w:outlineLvl w:val="0"/>
              <w:rPr>
                <w:rFonts w:ascii="Calibri" w:hAnsi="Calibri" w:cs="Arial"/>
                <w:sz w:val="22"/>
                <w:szCs w:val="22"/>
                <w:lang w:bidi="ar-SA"/>
              </w:rPr>
            </w:pPr>
            <w:r w:rsidRPr="00EB4A22">
              <w:rPr>
                <w:rFonts w:ascii="Calibri" w:hAnsi="Calibri"/>
                <w:color w:val="000000"/>
                <w:sz w:val="22"/>
                <w:szCs w:val="22"/>
              </w:rPr>
              <w:t>No further action</w:t>
            </w:r>
            <w:r w:rsidRPr="00EB4A22">
              <w:rPr>
                <w:sz w:val="22"/>
                <w:szCs w:val="22"/>
              </w:rPr>
              <w:t xml:space="preserve"> </w:t>
            </w:r>
            <w:r w:rsidRPr="00EB4A22">
              <w:rPr>
                <w:rFonts w:ascii="Calibri" w:hAnsi="Calibri"/>
                <w:color w:val="000000"/>
                <w:sz w:val="22"/>
                <w:szCs w:val="22"/>
              </w:rPr>
              <w:t>with recommendations or educational comment</w:t>
            </w:r>
          </w:p>
        </w:tc>
        <w:tc>
          <w:tcPr>
            <w:tcW w:w="2088" w:type="dxa"/>
            <w:tcBorders>
              <w:top w:val="single" w:sz="4" w:space="0" w:color="auto"/>
              <w:left w:val="single" w:sz="4" w:space="0" w:color="auto"/>
              <w:bottom w:val="single" w:sz="4" w:space="0" w:color="auto"/>
              <w:right w:val="single" w:sz="4" w:space="0" w:color="auto"/>
            </w:tcBorders>
            <w:vAlign w:val="bottom"/>
          </w:tcPr>
          <w:p w14:paraId="3AA60B6C" w14:textId="2556A7E0" w:rsidR="00EB4A22" w:rsidRPr="00EB4A22" w:rsidDel="00B8523B" w:rsidRDefault="00F554D2" w:rsidP="00B12430">
            <w:pPr>
              <w:jc w:val="center"/>
              <w:rPr>
                <w:rFonts w:ascii="Calibri" w:hAnsi="Calibri" w:cs="Calibri"/>
                <w:color w:val="000000"/>
                <w:sz w:val="22"/>
                <w:szCs w:val="22"/>
              </w:rPr>
            </w:pPr>
            <w:r>
              <w:rPr>
                <w:rFonts w:ascii="Calibri" w:hAnsi="Calibri" w:cs="Calibri"/>
                <w:color w:val="000000"/>
                <w:sz w:val="22"/>
                <w:szCs w:val="22"/>
              </w:rPr>
              <w:t>61</w:t>
            </w:r>
          </w:p>
        </w:tc>
      </w:tr>
      <w:tr w:rsidR="00EB4A22" w14:paraId="10752FC6"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13D91D0A" w14:textId="77777777" w:rsidR="00EB4A22" w:rsidRPr="00EB4A22" w:rsidRDefault="00EB4A22" w:rsidP="00B12430">
            <w:pPr>
              <w:rPr>
                <w:rFonts w:ascii="Calibri" w:hAnsi="Calibri" w:cs="Calibri"/>
                <w:color w:val="000000"/>
                <w:sz w:val="22"/>
                <w:szCs w:val="22"/>
              </w:rPr>
            </w:pPr>
            <w:r w:rsidRPr="00EB4A22">
              <w:rPr>
                <w:rFonts w:ascii="Calibri" w:hAnsi="Calibri"/>
                <w:color w:val="000000"/>
                <w:sz w:val="22"/>
                <w:szCs w:val="22"/>
              </w:rPr>
              <w:t>Referred to District Inspector</w:t>
            </w:r>
          </w:p>
        </w:tc>
        <w:tc>
          <w:tcPr>
            <w:tcW w:w="2088" w:type="dxa"/>
            <w:tcBorders>
              <w:top w:val="single" w:sz="4" w:space="0" w:color="auto"/>
              <w:left w:val="single" w:sz="4" w:space="0" w:color="auto"/>
              <w:bottom w:val="single" w:sz="4" w:space="0" w:color="auto"/>
              <w:right w:val="single" w:sz="4" w:space="0" w:color="auto"/>
            </w:tcBorders>
            <w:vAlign w:val="bottom"/>
          </w:tcPr>
          <w:p w14:paraId="0B3BCEB2" w14:textId="75FF928F" w:rsidR="00EB4A22" w:rsidRPr="00EB4A22" w:rsidRDefault="00C213E5" w:rsidP="00B12430">
            <w:pPr>
              <w:jc w:val="center"/>
              <w:rPr>
                <w:rFonts w:ascii="Calibri" w:hAnsi="Calibri" w:cs="Calibri"/>
                <w:color w:val="000000"/>
                <w:sz w:val="22"/>
                <w:szCs w:val="22"/>
              </w:rPr>
            </w:pPr>
            <w:r>
              <w:rPr>
                <w:rFonts w:ascii="Calibri" w:hAnsi="Calibri" w:cs="Calibri"/>
                <w:color w:val="000000"/>
                <w:sz w:val="22"/>
                <w:szCs w:val="22"/>
              </w:rPr>
              <w:t>22</w:t>
            </w:r>
          </w:p>
        </w:tc>
      </w:tr>
      <w:tr w:rsidR="00EB4A22" w14:paraId="7218C911"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7AB67FBD" w14:textId="77777777" w:rsidR="00EB4A22" w:rsidRPr="00EB4A22" w:rsidRDefault="00EB4A22" w:rsidP="00B12430">
            <w:pPr>
              <w:rPr>
                <w:rFonts w:ascii="Calibri" w:hAnsi="Calibri" w:cs="Calibri"/>
                <w:color w:val="000000"/>
                <w:sz w:val="22"/>
                <w:szCs w:val="22"/>
              </w:rPr>
            </w:pPr>
            <w:r w:rsidRPr="00EB4A22">
              <w:rPr>
                <w:rFonts w:ascii="Calibri" w:hAnsi="Calibri"/>
                <w:color w:val="000000"/>
                <w:sz w:val="22"/>
                <w:szCs w:val="22"/>
              </w:rPr>
              <w:t xml:space="preserve">Referred to other agency </w:t>
            </w:r>
          </w:p>
        </w:tc>
        <w:tc>
          <w:tcPr>
            <w:tcW w:w="2088" w:type="dxa"/>
            <w:tcBorders>
              <w:top w:val="single" w:sz="4" w:space="0" w:color="auto"/>
              <w:left w:val="single" w:sz="4" w:space="0" w:color="auto"/>
              <w:bottom w:val="single" w:sz="4" w:space="0" w:color="auto"/>
              <w:right w:val="single" w:sz="4" w:space="0" w:color="auto"/>
            </w:tcBorders>
            <w:vAlign w:val="bottom"/>
          </w:tcPr>
          <w:p w14:paraId="464F7A6F" w14:textId="216A1966" w:rsidR="00EB4A22" w:rsidRPr="00EB4A22" w:rsidRDefault="00C213E5" w:rsidP="00B12430">
            <w:pPr>
              <w:jc w:val="center"/>
              <w:rPr>
                <w:rFonts w:ascii="Calibri" w:hAnsi="Calibri" w:cs="Calibri"/>
                <w:color w:val="000000"/>
                <w:sz w:val="22"/>
                <w:szCs w:val="22"/>
              </w:rPr>
            </w:pPr>
            <w:r>
              <w:rPr>
                <w:rFonts w:ascii="Calibri" w:hAnsi="Calibri" w:cs="Calibri"/>
                <w:color w:val="000000"/>
                <w:sz w:val="22"/>
                <w:szCs w:val="22"/>
              </w:rPr>
              <w:t>3</w:t>
            </w:r>
          </w:p>
        </w:tc>
      </w:tr>
      <w:tr w:rsidR="00EB4A22" w14:paraId="7618845F"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BE67BB9" w14:textId="77777777" w:rsidR="00EB4A22" w:rsidRPr="00EB4A22" w:rsidRDefault="00EB4A22" w:rsidP="00B12430">
            <w:pPr>
              <w:keepNext/>
              <w:keepLines/>
              <w:tabs>
                <w:tab w:val="left" w:pos="1440"/>
                <w:tab w:val="decimal" w:pos="4320"/>
              </w:tabs>
              <w:jc w:val="left"/>
              <w:outlineLvl w:val="0"/>
              <w:rPr>
                <w:rFonts w:ascii="Calibri" w:hAnsi="Calibri" w:cs="Arial"/>
                <w:sz w:val="22"/>
                <w:szCs w:val="22"/>
                <w:lang w:bidi="ar-SA"/>
              </w:rPr>
            </w:pPr>
            <w:r w:rsidRPr="00EB4A22">
              <w:rPr>
                <w:rFonts w:ascii="Calibri" w:hAnsi="Calibri"/>
                <w:color w:val="000000"/>
                <w:sz w:val="22"/>
                <w:szCs w:val="22"/>
              </w:rPr>
              <w:t>Referred to DHB</w:t>
            </w:r>
          </w:p>
        </w:tc>
        <w:tc>
          <w:tcPr>
            <w:tcW w:w="2088" w:type="dxa"/>
            <w:tcBorders>
              <w:top w:val="single" w:sz="4" w:space="0" w:color="auto"/>
              <w:left w:val="single" w:sz="4" w:space="0" w:color="auto"/>
              <w:bottom w:val="single" w:sz="4" w:space="0" w:color="auto"/>
              <w:right w:val="single" w:sz="4" w:space="0" w:color="auto"/>
            </w:tcBorders>
            <w:vAlign w:val="bottom"/>
          </w:tcPr>
          <w:p w14:paraId="14254D70" w14:textId="1723555A"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106</w:t>
            </w:r>
          </w:p>
        </w:tc>
      </w:tr>
      <w:tr w:rsidR="00EB4A22" w14:paraId="6754CE73"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259B23AE" w14:textId="77777777" w:rsidR="00EB4A22" w:rsidRPr="00EB4A22" w:rsidRDefault="00EB4A22" w:rsidP="00B12430">
            <w:pPr>
              <w:keepNext/>
              <w:keepLines/>
              <w:tabs>
                <w:tab w:val="left" w:pos="1440"/>
                <w:tab w:val="decimal" w:pos="4320"/>
              </w:tabs>
              <w:jc w:val="left"/>
              <w:outlineLvl w:val="0"/>
              <w:rPr>
                <w:rFonts w:ascii="Calibri" w:hAnsi="Calibri"/>
                <w:sz w:val="22"/>
                <w:szCs w:val="22"/>
              </w:rPr>
            </w:pPr>
            <w:r w:rsidRPr="00EB4A22">
              <w:rPr>
                <w:rFonts w:ascii="Calibri" w:hAnsi="Calibri"/>
                <w:color w:val="000000"/>
                <w:sz w:val="22"/>
                <w:szCs w:val="22"/>
              </w:rPr>
              <w:t>Referred to Advocacy</w:t>
            </w:r>
          </w:p>
        </w:tc>
        <w:tc>
          <w:tcPr>
            <w:tcW w:w="2088" w:type="dxa"/>
            <w:tcBorders>
              <w:top w:val="single" w:sz="4" w:space="0" w:color="auto"/>
              <w:left w:val="single" w:sz="4" w:space="0" w:color="auto"/>
              <w:bottom w:val="single" w:sz="4" w:space="0" w:color="auto"/>
              <w:right w:val="single" w:sz="4" w:space="0" w:color="auto"/>
            </w:tcBorders>
            <w:vAlign w:val="bottom"/>
          </w:tcPr>
          <w:p w14:paraId="4BB484BB" w14:textId="5A8A651A" w:rsidR="00EB4A22" w:rsidRPr="00EB4A22" w:rsidRDefault="00C213E5" w:rsidP="00B12430">
            <w:pPr>
              <w:keepNext/>
              <w:keepLines/>
              <w:tabs>
                <w:tab w:val="left" w:pos="1440"/>
                <w:tab w:val="decimal" w:pos="4320"/>
              </w:tabs>
              <w:jc w:val="center"/>
              <w:outlineLvl w:val="0"/>
              <w:rPr>
                <w:rFonts w:ascii="Calibri" w:hAnsi="Calibri"/>
                <w:sz w:val="22"/>
                <w:szCs w:val="22"/>
              </w:rPr>
            </w:pPr>
            <w:r>
              <w:rPr>
                <w:rFonts w:ascii="Calibri" w:hAnsi="Calibri"/>
                <w:sz w:val="22"/>
                <w:szCs w:val="22"/>
              </w:rPr>
              <w:t>93</w:t>
            </w:r>
          </w:p>
        </w:tc>
      </w:tr>
      <w:tr w:rsidR="00EB4A22" w14:paraId="0A4FD013"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B810DC9" w14:textId="77777777" w:rsidR="00EB4A22" w:rsidRPr="00EB4A22" w:rsidRDefault="00EB4A22" w:rsidP="00B12430">
            <w:pPr>
              <w:keepNext/>
              <w:keepLines/>
              <w:tabs>
                <w:tab w:val="left" w:pos="1440"/>
                <w:tab w:val="decimal" w:pos="4320"/>
              </w:tabs>
              <w:jc w:val="left"/>
              <w:outlineLvl w:val="0"/>
              <w:rPr>
                <w:rFonts w:ascii="Calibri" w:hAnsi="Calibri" w:cs="Arial"/>
                <w:sz w:val="22"/>
                <w:szCs w:val="22"/>
                <w:lang w:bidi="ar-SA"/>
              </w:rPr>
            </w:pPr>
            <w:r w:rsidRPr="00EB4A22">
              <w:rPr>
                <w:rFonts w:ascii="Calibri" w:hAnsi="Calibri"/>
                <w:color w:val="000000"/>
                <w:sz w:val="22"/>
                <w:szCs w:val="22"/>
              </w:rPr>
              <w:t>No further action</w:t>
            </w:r>
          </w:p>
        </w:tc>
        <w:tc>
          <w:tcPr>
            <w:tcW w:w="2088" w:type="dxa"/>
            <w:tcBorders>
              <w:top w:val="single" w:sz="4" w:space="0" w:color="auto"/>
              <w:left w:val="single" w:sz="4" w:space="0" w:color="auto"/>
              <w:bottom w:val="single" w:sz="4" w:space="0" w:color="auto"/>
              <w:right w:val="single" w:sz="4" w:space="0" w:color="auto"/>
            </w:tcBorders>
            <w:vAlign w:val="bottom"/>
          </w:tcPr>
          <w:p w14:paraId="60FAA319" w14:textId="66A3D1AD" w:rsidR="00EB4A22" w:rsidRPr="00EB4A22" w:rsidRDefault="00C213E5" w:rsidP="00B12430">
            <w:pPr>
              <w:jc w:val="center"/>
              <w:rPr>
                <w:rFonts w:ascii="Calibri" w:hAnsi="Calibri" w:cs="Calibri"/>
                <w:color w:val="000000"/>
                <w:sz w:val="22"/>
                <w:szCs w:val="22"/>
              </w:rPr>
            </w:pPr>
            <w:r>
              <w:rPr>
                <w:rFonts w:ascii="Calibri" w:hAnsi="Calibri" w:cs="Calibri"/>
                <w:color w:val="000000"/>
                <w:sz w:val="22"/>
                <w:szCs w:val="22"/>
              </w:rPr>
              <w:t>164</w:t>
            </w:r>
          </w:p>
        </w:tc>
      </w:tr>
      <w:tr w:rsidR="00EB4A22" w14:paraId="5A494B9D"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vAlign w:val="bottom"/>
          </w:tcPr>
          <w:p w14:paraId="32EE2226" w14:textId="77777777" w:rsidR="00EB4A22" w:rsidRPr="00EB4A22" w:rsidRDefault="00EB4A22" w:rsidP="00B12430">
            <w:pPr>
              <w:keepNext/>
              <w:keepLines/>
              <w:tabs>
                <w:tab w:val="left" w:pos="1440"/>
                <w:tab w:val="decimal" w:pos="4320"/>
              </w:tabs>
              <w:jc w:val="left"/>
              <w:outlineLvl w:val="0"/>
              <w:rPr>
                <w:rFonts w:ascii="Calibri" w:hAnsi="Calibri"/>
                <w:color w:val="000000"/>
                <w:sz w:val="22"/>
                <w:szCs w:val="22"/>
              </w:rPr>
            </w:pPr>
            <w:r w:rsidRPr="00EB4A22">
              <w:rPr>
                <w:rFonts w:ascii="Calibri" w:hAnsi="Calibri"/>
                <w:color w:val="000000"/>
                <w:sz w:val="22"/>
                <w:szCs w:val="22"/>
              </w:rPr>
              <w:t>Withdrawn</w:t>
            </w:r>
          </w:p>
        </w:tc>
        <w:tc>
          <w:tcPr>
            <w:tcW w:w="2088" w:type="dxa"/>
            <w:tcBorders>
              <w:top w:val="single" w:sz="4" w:space="0" w:color="auto"/>
              <w:left w:val="single" w:sz="4" w:space="0" w:color="auto"/>
              <w:bottom w:val="single" w:sz="4" w:space="0" w:color="auto"/>
              <w:right w:val="single" w:sz="4" w:space="0" w:color="auto"/>
            </w:tcBorders>
            <w:vAlign w:val="bottom"/>
          </w:tcPr>
          <w:p w14:paraId="74A0DCF3" w14:textId="1E4DE970" w:rsidR="00EB4A22" w:rsidRPr="00EB4A22" w:rsidRDefault="00C213E5" w:rsidP="00B12430">
            <w:pPr>
              <w:jc w:val="center"/>
              <w:rPr>
                <w:rFonts w:ascii="Calibri" w:hAnsi="Calibri"/>
                <w:color w:val="000000"/>
                <w:sz w:val="22"/>
                <w:szCs w:val="22"/>
              </w:rPr>
            </w:pPr>
            <w:r>
              <w:rPr>
                <w:rFonts w:ascii="Calibri" w:hAnsi="Calibri"/>
                <w:color w:val="000000"/>
                <w:sz w:val="22"/>
                <w:szCs w:val="22"/>
              </w:rPr>
              <w:t>6</w:t>
            </w:r>
          </w:p>
        </w:tc>
      </w:tr>
      <w:tr w:rsidR="00EB4A22" w14:paraId="5F3319AC" w14:textId="77777777" w:rsidTr="00B12430">
        <w:trPr>
          <w:trHeight w:val="272"/>
        </w:trPr>
        <w:tc>
          <w:tcPr>
            <w:tcW w:w="7090" w:type="dxa"/>
            <w:tcBorders>
              <w:top w:val="single" w:sz="4" w:space="0" w:color="auto"/>
              <w:left w:val="single" w:sz="4" w:space="0" w:color="auto"/>
              <w:bottom w:val="single" w:sz="4" w:space="0" w:color="auto"/>
              <w:right w:val="single" w:sz="4" w:space="0" w:color="auto"/>
            </w:tcBorders>
            <w:shd w:val="clear" w:color="auto" w:fill="C00000"/>
            <w:hideMark/>
          </w:tcPr>
          <w:p w14:paraId="325E0A05" w14:textId="77777777" w:rsidR="00EB4A22" w:rsidRPr="00EB4A22" w:rsidRDefault="00EB4A22" w:rsidP="00B12430">
            <w:pPr>
              <w:keepNext/>
              <w:keepLines/>
              <w:tabs>
                <w:tab w:val="left" w:pos="1440"/>
                <w:tab w:val="decimal" w:pos="4320"/>
              </w:tabs>
              <w:jc w:val="left"/>
              <w:outlineLvl w:val="0"/>
              <w:rPr>
                <w:rFonts w:ascii="Calibri" w:hAnsi="Calibri" w:cs="Arial"/>
                <w:b/>
                <w:sz w:val="22"/>
                <w:szCs w:val="22"/>
                <w:lang w:bidi="ar-SA"/>
              </w:rPr>
            </w:pPr>
            <w:r w:rsidRPr="00EB4A22">
              <w:rPr>
                <w:rFonts w:ascii="Calibri" w:hAnsi="Calibri" w:cs="Arial"/>
                <w:b/>
                <w:sz w:val="22"/>
                <w:szCs w:val="22"/>
                <w:lang w:bidi="ar-SA"/>
              </w:rPr>
              <w:t>TOTAL</w:t>
            </w:r>
          </w:p>
        </w:tc>
        <w:tc>
          <w:tcPr>
            <w:tcW w:w="2088" w:type="dxa"/>
            <w:tcBorders>
              <w:top w:val="single" w:sz="4" w:space="0" w:color="auto"/>
              <w:left w:val="single" w:sz="4" w:space="0" w:color="auto"/>
              <w:bottom w:val="single" w:sz="4" w:space="0" w:color="auto"/>
              <w:right w:val="single" w:sz="4" w:space="0" w:color="auto"/>
            </w:tcBorders>
            <w:shd w:val="clear" w:color="auto" w:fill="C00000"/>
          </w:tcPr>
          <w:p w14:paraId="5CB3222E" w14:textId="0E02687B" w:rsidR="00EB4A22" w:rsidRPr="00EB4A22" w:rsidRDefault="00F554D2" w:rsidP="00B12430">
            <w:pPr>
              <w:jc w:val="center"/>
              <w:rPr>
                <w:rFonts w:ascii="Calibri" w:hAnsi="Calibri" w:cs="Calibri"/>
                <w:b/>
                <w:color w:val="000000"/>
                <w:sz w:val="22"/>
                <w:szCs w:val="22"/>
              </w:rPr>
            </w:pPr>
            <w:r w:rsidRPr="00F554D2">
              <w:rPr>
                <w:rFonts w:ascii="Calibri" w:hAnsi="Calibri" w:cs="Calibri"/>
                <w:b/>
                <w:color w:val="FFFFFF" w:themeColor="background1"/>
                <w:sz w:val="22"/>
                <w:szCs w:val="22"/>
              </w:rPr>
              <w:t>478</w:t>
            </w:r>
          </w:p>
        </w:tc>
      </w:tr>
    </w:tbl>
    <w:p w14:paraId="1026E9DC" w14:textId="77777777" w:rsidR="00C535FA" w:rsidRDefault="00C535FA" w:rsidP="00EB4A22">
      <w:pPr>
        <w:rPr>
          <w:lang w:eastAsia="en-NZ"/>
        </w:rPr>
      </w:pPr>
      <w:bookmarkStart w:id="92" w:name="_Toc415221220"/>
      <w:bookmarkStart w:id="93" w:name="_Toc415153519"/>
      <w:bookmarkStart w:id="94" w:name="_Toc415147245"/>
      <w:bookmarkStart w:id="95" w:name="_Toc415135531"/>
      <w:bookmarkStart w:id="96" w:name="_Toc415046459"/>
      <w:bookmarkStart w:id="97" w:name="_Toc415039803"/>
      <w:bookmarkStart w:id="98" w:name="_Toc414952832"/>
      <w:bookmarkStart w:id="99" w:name="_Toc414886547"/>
      <w:bookmarkStart w:id="100" w:name="_Toc414875837"/>
      <w:bookmarkStart w:id="101" w:name="_Toc414461839"/>
      <w:bookmarkStart w:id="102" w:name="_Toc414442658"/>
    </w:p>
    <w:p w14:paraId="466CC8F4" w14:textId="6C3E4C01" w:rsidR="00EB4A22" w:rsidRPr="00555018" w:rsidRDefault="00EB4A22" w:rsidP="00EB4A22">
      <w:pPr>
        <w:rPr>
          <w:rFonts w:ascii="Calibri" w:hAnsi="Calibri"/>
        </w:rPr>
      </w:pPr>
    </w:p>
    <w:p w14:paraId="566620F1" w14:textId="77777777" w:rsidR="00EB4A22" w:rsidRPr="00666BAC" w:rsidRDefault="00EB4A22">
      <w:pPr>
        <w:pStyle w:val="Heading3"/>
        <w:rPr>
          <w:lang w:val="en-AU" w:bidi="ar-SA"/>
        </w:rPr>
      </w:pPr>
      <w:bookmarkStart w:id="103" w:name="_Toc71561663"/>
      <w:bookmarkStart w:id="104" w:name="_Toc90639029"/>
      <w:bookmarkEnd w:id="92"/>
      <w:bookmarkEnd w:id="93"/>
      <w:bookmarkEnd w:id="94"/>
      <w:bookmarkEnd w:id="95"/>
      <w:bookmarkEnd w:id="96"/>
      <w:bookmarkEnd w:id="97"/>
      <w:bookmarkEnd w:id="98"/>
      <w:bookmarkEnd w:id="99"/>
      <w:bookmarkEnd w:id="100"/>
      <w:bookmarkEnd w:id="101"/>
      <w:bookmarkEnd w:id="102"/>
      <w:r>
        <w:rPr>
          <w:lang w:val="en-AU" w:bidi="ar-SA"/>
        </w:rPr>
        <w:t>5.3</w:t>
      </w:r>
      <w:r w:rsidRPr="00666BAC">
        <w:rPr>
          <w:lang w:val="en-AU" w:bidi="ar-SA"/>
        </w:rPr>
        <w:t xml:space="preserve"> </w:t>
      </w:r>
      <w:r w:rsidRPr="00666BAC">
        <w:rPr>
          <w:lang w:val="en-AU" w:bidi="ar-SA"/>
        </w:rPr>
        <w:tab/>
      </w:r>
      <w:r>
        <w:rPr>
          <w:lang w:val="en-AU" w:bidi="ar-SA"/>
        </w:rPr>
        <w:t>Recommendations made to DHBs by HDC</w:t>
      </w:r>
      <w:bookmarkEnd w:id="103"/>
      <w:bookmarkEnd w:id="104"/>
    </w:p>
    <w:p w14:paraId="5B78B358" w14:textId="77777777" w:rsidR="00EB4A22" w:rsidRDefault="00EB4A22" w:rsidP="00A504BF">
      <w:pPr>
        <w:pStyle w:val="NoSpacing"/>
        <w:spacing w:after="240"/>
        <w:rPr>
          <w:lang w:val="en-NZ" w:eastAsia="en-NZ"/>
        </w:rPr>
      </w:pPr>
      <w:r>
        <w:rPr>
          <w:lang w:val="en-NZ" w:eastAsia="en-NZ"/>
        </w:rPr>
        <w:t>Regardless of whether or not a complaint has been investigated, the Commissioner may make recommendations to a DHB. HDC then follows up with the DHB to ensure that these recommendations have been acted upon.</w:t>
      </w:r>
    </w:p>
    <w:p w14:paraId="40852723" w14:textId="55B505D7" w:rsidR="00EB4A22" w:rsidRDefault="00EB4A22" w:rsidP="00EB4A22">
      <w:pPr>
        <w:pStyle w:val="NoSpacing"/>
        <w:spacing w:after="480"/>
        <w:rPr>
          <w:lang w:val="en-NZ" w:eastAsia="en-NZ"/>
        </w:rPr>
      </w:pPr>
      <w:r>
        <w:rPr>
          <w:lang w:val="en-NZ" w:eastAsia="en-NZ"/>
        </w:rPr>
        <w:t xml:space="preserve">Table 14 shows the recommendations made to DHBs for complaints closed in </w:t>
      </w:r>
      <w:r w:rsidR="00F554D2">
        <w:t>Jan–Jun 2021</w:t>
      </w:r>
      <w:r>
        <w:rPr>
          <w:lang w:val="en-NZ" w:eastAsia="en-NZ"/>
        </w:rPr>
        <w:t xml:space="preserve">. Please note that more than one recommendation may be made in relation to a single complaint. </w:t>
      </w:r>
    </w:p>
    <w:p w14:paraId="4F3B4055" w14:textId="77777777" w:rsidR="00EB4A22" w:rsidRDefault="00EB4A22" w:rsidP="00EB4A22">
      <w:pPr>
        <w:pStyle w:val="NoSpacing"/>
        <w:keepNext/>
        <w:keepLines/>
        <w:spacing w:after="120"/>
        <w:rPr>
          <w:b/>
          <w:lang w:val="en-NZ" w:eastAsia="en-NZ"/>
        </w:rPr>
      </w:pPr>
      <w:r>
        <w:rPr>
          <w:b/>
          <w:lang w:val="en-NZ" w:eastAsia="en-NZ"/>
        </w:rPr>
        <w:lastRenderedPageBreak/>
        <w:t xml:space="preserve">Table 14. </w:t>
      </w:r>
      <w:r>
        <w:rPr>
          <w:lang w:val="en-NZ" w:eastAsia="en-NZ"/>
        </w:rPr>
        <w:t>Recommendations made to DHBs following a complaint</w:t>
      </w:r>
    </w:p>
    <w:tbl>
      <w:tblPr>
        <w:tblStyle w:val="TableGrid"/>
        <w:tblW w:w="8926" w:type="dxa"/>
        <w:tblLayout w:type="fixed"/>
        <w:tblLook w:val="04A0" w:firstRow="1" w:lastRow="0" w:firstColumn="1" w:lastColumn="0" w:noHBand="0" w:noVBand="1"/>
      </w:tblPr>
      <w:tblGrid>
        <w:gridCol w:w="6069"/>
        <w:gridCol w:w="2857"/>
      </w:tblGrid>
      <w:tr w:rsidR="00EB4A22" w:rsidRPr="007B09E9" w14:paraId="775504A7" w14:textId="77777777" w:rsidTr="00A504BF">
        <w:trPr>
          <w:trHeight w:val="386"/>
        </w:trPr>
        <w:tc>
          <w:tcPr>
            <w:tcW w:w="606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F1FD5D2" w14:textId="77777777" w:rsidR="00EB4A22" w:rsidRPr="00EB4A22" w:rsidRDefault="00EB4A22" w:rsidP="00B12430">
            <w:pPr>
              <w:pStyle w:val="NoSpacing"/>
              <w:keepNext/>
              <w:keepLines/>
              <w:jc w:val="center"/>
              <w:rPr>
                <w:rFonts w:asciiTheme="minorHAnsi" w:hAnsiTheme="minorHAnsi"/>
                <w:b/>
                <w:sz w:val="22"/>
                <w:szCs w:val="22"/>
                <w:lang w:val="en-NZ"/>
              </w:rPr>
            </w:pPr>
            <w:r w:rsidRPr="00EB4A22">
              <w:rPr>
                <w:rFonts w:asciiTheme="minorHAnsi" w:hAnsiTheme="minorHAnsi"/>
                <w:b/>
                <w:sz w:val="22"/>
                <w:szCs w:val="22"/>
                <w:lang w:val="en-NZ"/>
              </w:rPr>
              <w:t>Recommendation</w:t>
            </w:r>
          </w:p>
        </w:tc>
        <w:tc>
          <w:tcPr>
            <w:tcW w:w="2857" w:type="dxa"/>
            <w:tcBorders>
              <w:top w:val="single" w:sz="4" w:space="0" w:color="auto"/>
              <w:left w:val="single" w:sz="4" w:space="0" w:color="auto"/>
              <w:bottom w:val="single" w:sz="4" w:space="0" w:color="auto"/>
              <w:right w:val="single" w:sz="4" w:space="0" w:color="auto"/>
            </w:tcBorders>
            <w:shd w:val="clear" w:color="auto" w:fill="C00000"/>
            <w:hideMark/>
          </w:tcPr>
          <w:p w14:paraId="735AA411" w14:textId="77777777" w:rsidR="00EB4A22" w:rsidRPr="00EB4A22" w:rsidRDefault="00EB4A22" w:rsidP="00B12430">
            <w:pPr>
              <w:pStyle w:val="NoSpacing"/>
              <w:keepNext/>
              <w:keepLines/>
              <w:jc w:val="center"/>
              <w:rPr>
                <w:rFonts w:asciiTheme="minorHAnsi" w:hAnsiTheme="minorHAnsi"/>
                <w:b/>
                <w:sz w:val="22"/>
                <w:szCs w:val="22"/>
                <w:lang w:val="en-NZ"/>
              </w:rPr>
            </w:pPr>
            <w:r w:rsidRPr="00EB4A22">
              <w:rPr>
                <w:rFonts w:asciiTheme="minorHAnsi" w:hAnsiTheme="minorHAnsi"/>
                <w:b/>
                <w:sz w:val="22"/>
                <w:szCs w:val="22"/>
                <w:lang w:val="en-NZ"/>
              </w:rPr>
              <w:t xml:space="preserve">Number of </w:t>
            </w:r>
            <w:r w:rsidRPr="00EB4A22">
              <w:rPr>
                <w:rFonts w:asciiTheme="minorHAnsi" w:hAnsiTheme="minorHAnsi"/>
                <w:b/>
                <w:sz w:val="22"/>
                <w:szCs w:val="22"/>
                <w:lang w:val="en-NZ"/>
              </w:rPr>
              <w:br/>
              <w:t>recommendations made</w:t>
            </w:r>
          </w:p>
        </w:tc>
      </w:tr>
      <w:tr w:rsidR="00EB4A22" w:rsidRPr="007B09E9" w14:paraId="1213043C"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hideMark/>
          </w:tcPr>
          <w:p w14:paraId="13A06AD7"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Apology</w:t>
            </w:r>
          </w:p>
        </w:tc>
        <w:tc>
          <w:tcPr>
            <w:tcW w:w="2857" w:type="dxa"/>
            <w:tcBorders>
              <w:top w:val="single" w:sz="4" w:space="0" w:color="auto"/>
              <w:left w:val="single" w:sz="4" w:space="0" w:color="auto"/>
              <w:bottom w:val="single" w:sz="4" w:space="0" w:color="auto"/>
              <w:right w:val="single" w:sz="4" w:space="0" w:color="auto"/>
            </w:tcBorders>
          </w:tcPr>
          <w:p w14:paraId="0C2F6A70" w14:textId="691AD2A0" w:rsidR="00EB4A22" w:rsidRPr="00EB4A22" w:rsidRDefault="00F554D2" w:rsidP="00B12430">
            <w:pPr>
              <w:pStyle w:val="NoSpacing"/>
              <w:keepNext/>
              <w:keepLines/>
              <w:jc w:val="center"/>
              <w:rPr>
                <w:rFonts w:asciiTheme="minorHAnsi" w:hAnsiTheme="minorHAnsi"/>
                <w:sz w:val="22"/>
                <w:szCs w:val="22"/>
                <w:lang w:val="en-NZ"/>
              </w:rPr>
            </w:pPr>
            <w:r>
              <w:rPr>
                <w:rFonts w:asciiTheme="minorHAnsi" w:hAnsiTheme="minorHAnsi"/>
                <w:sz w:val="22"/>
                <w:szCs w:val="22"/>
                <w:lang w:val="en-NZ"/>
              </w:rPr>
              <w:t>19</w:t>
            </w:r>
          </w:p>
        </w:tc>
      </w:tr>
      <w:tr w:rsidR="00EB4A22" w:rsidRPr="007B09E9" w14:paraId="06E06300"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hideMark/>
          </w:tcPr>
          <w:p w14:paraId="7E963873"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Audit</w:t>
            </w:r>
          </w:p>
        </w:tc>
        <w:tc>
          <w:tcPr>
            <w:tcW w:w="2857" w:type="dxa"/>
            <w:tcBorders>
              <w:top w:val="single" w:sz="4" w:space="0" w:color="auto"/>
              <w:left w:val="single" w:sz="4" w:space="0" w:color="auto"/>
              <w:bottom w:val="single" w:sz="4" w:space="0" w:color="auto"/>
              <w:right w:val="single" w:sz="4" w:space="0" w:color="auto"/>
            </w:tcBorders>
          </w:tcPr>
          <w:p w14:paraId="64009EFE" w14:textId="696EC47D" w:rsidR="00EB4A22" w:rsidRPr="00EB4A22" w:rsidRDefault="00F554D2" w:rsidP="00B12430">
            <w:pPr>
              <w:pStyle w:val="NoSpacing"/>
              <w:keepNext/>
              <w:keepLines/>
              <w:jc w:val="center"/>
              <w:rPr>
                <w:rFonts w:asciiTheme="minorHAnsi" w:hAnsiTheme="minorHAnsi"/>
                <w:sz w:val="22"/>
                <w:szCs w:val="22"/>
                <w:lang w:val="en-NZ"/>
              </w:rPr>
            </w:pPr>
            <w:r>
              <w:rPr>
                <w:rFonts w:asciiTheme="minorHAnsi" w:hAnsiTheme="minorHAnsi"/>
                <w:sz w:val="22"/>
                <w:szCs w:val="22"/>
                <w:lang w:val="en-NZ"/>
              </w:rPr>
              <w:t>15</w:t>
            </w:r>
          </w:p>
        </w:tc>
      </w:tr>
      <w:tr w:rsidR="00EB4A22" w:rsidRPr="007B09E9" w14:paraId="5A2B6743"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tcPr>
          <w:p w14:paraId="6942999D"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Evaluation of change</w:t>
            </w:r>
          </w:p>
        </w:tc>
        <w:tc>
          <w:tcPr>
            <w:tcW w:w="2857" w:type="dxa"/>
            <w:tcBorders>
              <w:top w:val="single" w:sz="4" w:space="0" w:color="auto"/>
              <w:left w:val="single" w:sz="4" w:space="0" w:color="auto"/>
              <w:bottom w:val="single" w:sz="4" w:space="0" w:color="auto"/>
              <w:right w:val="single" w:sz="4" w:space="0" w:color="auto"/>
            </w:tcBorders>
            <w:vAlign w:val="center"/>
          </w:tcPr>
          <w:p w14:paraId="3B0C1917" w14:textId="6C50C1E4" w:rsidR="00EB4A22" w:rsidRPr="00EB4A22" w:rsidRDefault="00F554D2" w:rsidP="00B12430">
            <w:pPr>
              <w:pStyle w:val="NoSpacing"/>
              <w:keepNext/>
              <w:keepLines/>
              <w:jc w:val="center"/>
              <w:rPr>
                <w:rFonts w:asciiTheme="minorHAnsi" w:hAnsiTheme="minorHAnsi"/>
                <w:sz w:val="22"/>
                <w:szCs w:val="22"/>
                <w:lang w:val="en-NZ"/>
              </w:rPr>
            </w:pPr>
            <w:r>
              <w:rPr>
                <w:rFonts w:asciiTheme="minorHAnsi" w:hAnsiTheme="minorHAnsi"/>
                <w:sz w:val="22"/>
                <w:szCs w:val="22"/>
                <w:lang w:val="en-NZ"/>
              </w:rPr>
              <w:t>12</w:t>
            </w:r>
          </w:p>
        </w:tc>
      </w:tr>
      <w:tr w:rsidR="00EB4A22" w:rsidRPr="007B09E9" w14:paraId="7C5091FF"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tcPr>
          <w:p w14:paraId="4E25625C"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Meeting with consumer/complainant</w:t>
            </w:r>
          </w:p>
        </w:tc>
        <w:tc>
          <w:tcPr>
            <w:tcW w:w="2857" w:type="dxa"/>
            <w:tcBorders>
              <w:top w:val="single" w:sz="4" w:space="0" w:color="auto"/>
              <w:left w:val="single" w:sz="4" w:space="0" w:color="auto"/>
              <w:bottom w:val="single" w:sz="4" w:space="0" w:color="auto"/>
              <w:right w:val="single" w:sz="4" w:space="0" w:color="auto"/>
            </w:tcBorders>
            <w:vAlign w:val="center"/>
          </w:tcPr>
          <w:p w14:paraId="0B3B4847" w14:textId="16CF91E9" w:rsidR="00EB4A22" w:rsidRPr="00EB4A22" w:rsidRDefault="00F554D2" w:rsidP="00B12430">
            <w:pPr>
              <w:pStyle w:val="NoSpacing"/>
              <w:keepNext/>
              <w:keepLines/>
              <w:jc w:val="center"/>
              <w:rPr>
                <w:rFonts w:asciiTheme="minorHAnsi" w:hAnsiTheme="minorHAnsi"/>
                <w:sz w:val="22"/>
                <w:szCs w:val="22"/>
                <w:lang w:val="en-NZ"/>
              </w:rPr>
            </w:pPr>
            <w:r>
              <w:rPr>
                <w:rFonts w:asciiTheme="minorHAnsi" w:hAnsiTheme="minorHAnsi"/>
                <w:sz w:val="22"/>
                <w:szCs w:val="22"/>
                <w:lang w:val="en-NZ"/>
              </w:rPr>
              <w:t>3</w:t>
            </w:r>
          </w:p>
        </w:tc>
      </w:tr>
      <w:tr w:rsidR="00EB4A22" w:rsidRPr="007B09E9" w14:paraId="0192F2A5"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hideMark/>
          </w:tcPr>
          <w:p w14:paraId="39FDEB68" w14:textId="56A5EEE9"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 xml:space="preserve">Presentation/discussion of complaint </w:t>
            </w:r>
            <w:r w:rsidR="00F554D2">
              <w:rPr>
                <w:rFonts w:asciiTheme="minorHAnsi" w:hAnsiTheme="minorHAnsi"/>
                <w:sz w:val="22"/>
                <w:szCs w:val="22"/>
                <w:lang w:val="en-NZ"/>
              </w:rPr>
              <w:t xml:space="preserve">and improvements </w:t>
            </w:r>
            <w:r w:rsidRPr="00EB4A22">
              <w:rPr>
                <w:rFonts w:asciiTheme="minorHAnsi" w:hAnsiTheme="minorHAnsi"/>
                <w:sz w:val="22"/>
                <w:szCs w:val="22"/>
                <w:lang w:val="en-NZ"/>
              </w:rPr>
              <w:t>with others</w:t>
            </w:r>
          </w:p>
        </w:tc>
        <w:tc>
          <w:tcPr>
            <w:tcW w:w="2857" w:type="dxa"/>
            <w:tcBorders>
              <w:top w:val="single" w:sz="4" w:space="0" w:color="auto"/>
              <w:left w:val="single" w:sz="4" w:space="0" w:color="auto"/>
              <w:bottom w:val="single" w:sz="4" w:space="0" w:color="auto"/>
              <w:right w:val="single" w:sz="4" w:space="0" w:color="auto"/>
            </w:tcBorders>
            <w:vAlign w:val="center"/>
          </w:tcPr>
          <w:p w14:paraId="5D3CD3B7" w14:textId="694A898A" w:rsidR="00EB4A22" w:rsidRPr="00EB4A22" w:rsidRDefault="00F554D2" w:rsidP="00B12430">
            <w:pPr>
              <w:pStyle w:val="NoSpacing"/>
              <w:keepNext/>
              <w:keepLines/>
              <w:jc w:val="center"/>
              <w:rPr>
                <w:rFonts w:asciiTheme="minorHAnsi" w:hAnsiTheme="minorHAnsi"/>
                <w:sz w:val="22"/>
                <w:szCs w:val="22"/>
                <w:lang w:val="en-NZ"/>
              </w:rPr>
            </w:pPr>
            <w:r>
              <w:rPr>
                <w:rFonts w:asciiTheme="minorHAnsi" w:hAnsiTheme="minorHAnsi"/>
                <w:sz w:val="22"/>
                <w:szCs w:val="22"/>
                <w:lang w:val="en-NZ"/>
              </w:rPr>
              <w:t>14</w:t>
            </w:r>
          </w:p>
        </w:tc>
      </w:tr>
      <w:tr w:rsidR="00EB4A22" w:rsidRPr="007B09E9" w14:paraId="04343824"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hideMark/>
          </w:tcPr>
          <w:p w14:paraId="7D734B46" w14:textId="77777777" w:rsidR="00EB4A22" w:rsidRPr="00EB4A22" w:rsidRDefault="00EB4A22" w:rsidP="00B12430">
            <w:pPr>
              <w:pStyle w:val="NoSpacing"/>
              <w:keepNext/>
              <w:keepLines/>
              <w:jc w:val="left"/>
              <w:rPr>
                <w:rFonts w:asciiTheme="minorHAnsi" w:hAnsiTheme="minorHAnsi"/>
                <w:sz w:val="22"/>
                <w:szCs w:val="22"/>
                <w:lang w:val="en-NZ"/>
              </w:rPr>
            </w:pPr>
            <w:r w:rsidRPr="00EB4A22">
              <w:rPr>
                <w:rFonts w:asciiTheme="minorHAnsi" w:hAnsiTheme="minorHAnsi"/>
                <w:sz w:val="22"/>
                <w:szCs w:val="22"/>
                <w:lang w:val="en-NZ"/>
              </w:rPr>
              <w:t>Provision of evidence of change to HDC</w:t>
            </w:r>
          </w:p>
        </w:tc>
        <w:tc>
          <w:tcPr>
            <w:tcW w:w="2857" w:type="dxa"/>
            <w:tcBorders>
              <w:top w:val="single" w:sz="4" w:space="0" w:color="auto"/>
              <w:left w:val="single" w:sz="4" w:space="0" w:color="auto"/>
              <w:bottom w:val="single" w:sz="4" w:space="0" w:color="auto"/>
              <w:right w:val="single" w:sz="4" w:space="0" w:color="auto"/>
            </w:tcBorders>
            <w:vAlign w:val="center"/>
          </w:tcPr>
          <w:p w14:paraId="4B1BCA7F" w14:textId="47FBF194" w:rsidR="00EB4A22" w:rsidRPr="00EB4A22" w:rsidRDefault="00F554D2" w:rsidP="00B12430">
            <w:pPr>
              <w:pStyle w:val="NoSpacing"/>
              <w:keepNext/>
              <w:keepLines/>
              <w:jc w:val="center"/>
              <w:rPr>
                <w:rFonts w:asciiTheme="minorHAnsi" w:hAnsiTheme="minorHAnsi"/>
                <w:sz w:val="22"/>
                <w:szCs w:val="22"/>
                <w:lang w:val="en-NZ"/>
              </w:rPr>
            </w:pPr>
            <w:r>
              <w:rPr>
                <w:rFonts w:asciiTheme="minorHAnsi" w:hAnsiTheme="minorHAnsi"/>
                <w:sz w:val="22"/>
                <w:szCs w:val="22"/>
                <w:lang w:val="en-NZ"/>
              </w:rPr>
              <w:t>28</w:t>
            </w:r>
          </w:p>
        </w:tc>
      </w:tr>
      <w:tr w:rsidR="00EB4A22" w:rsidRPr="007B09E9" w14:paraId="76425F71"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hideMark/>
          </w:tcPr>
          <w:p w14:paraId="625A73ED" w14:textId="77777777" w:rsidR="00EB4A22" w:rsidRPr="00EB4A22" w:rsidRDefault="00EB4A22" w:rsidP="00B12430">
            <w:pPr>
              <w:pStyle w:val="NoSpacing"/>
              <w:jc w:val="left"/>
              <w:rPr>
                <w:rFonts w:asciiTheme="minorHAnsi" w:hAnsiTheme="minorHAnsi"/>
                <w:sz w:val="22"/>
                <w:szCs w:val="22"/>
                <w:lang w:val="en-NZ"/>
              </w:rPr>
            </w:pPr>
            <w:r w:rsidRPr="00EB4A22">
              <w:rPr>
                <w:rFonts w:asciiTheme="minorHAnsi" w:hAnsiTheme="minorHAnsi"/>
                <w:sz w:val="22"/>
                <w:szCs w:val="22"/>
                <w:lang w:val="en-NZ"/>
              </w:rPr>
              <w:t>Review/implementation of policies/procedures</w:t>
            </w:r>
          </w:p>
        </w:tc>
        <w:tc>
          <w:tcPr>
            <w:tcW w:w="2857" w:type="dxa"/>
            <w:tcBorders>
              <w:top w:val="single" w:sz="4" w:space="0" w:color="auto"/>
              <w:left w:val="single" w:sz="4" w:space="0" w:color="auto"/>
              <w:bottom w:val="single" w:sz="4" w:space="0" w:color="auto"/>
              <w:right w:val="single" w:sz="4" w:space="0" w:color="auto"/>
            </w:tcBorders>
            <w:vAlign w:val="center"/>
          </w:tcPr>
          <w:p w14:paraId="431E2370" w14:textId="01ED161D" w:rsidR="00EB4A22" w:rsidRPr="00EB4A22" w:rsidRDefault="00F554D2" w:rsidP="00B12430">
            <w:pPr>
              <w:pStyle w:val="NoSpacing"/>
              <w:jc w:val="center"/>
              <w:rPr>
                <w:rFonts w:asciiTheme="minorHAnsi" w:hAnsiTheme="minorHAnsi"/>
                <w:sz w:val="22"/>
                <w:szCs w:val="22"/>
                <w:lang w:val="en-NZ"/>
              </w:rPr>
            </w:pPr>
            <w:r>
              <w:rPr>
                <w:rFonts w:asciiTheme="minorHAnsi" w:hAnsiTheme="minorHAnsi"/>
                <w:sz w:val="22"/>
                <w:szCs w:val="22"/>
                <w:lang w:val="en-NZ"/>
              </w:rPr>
              <w:t>32</w:t>
            </w:r>
          </w:p>
        </w:tc>
      </w:tr>
      <w:tr w:rsidR="00EB4A22" w:rsidRPr="007B09E9" w14:paraId="1E3F1334"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hideMark/>
          </w:tcPr>
          <w:p w14:paraId="6B54777F" w14:textId="77777777" w:rsidR="00EB4A22" w:rsidRPr="00EB4A22" w:rsidRDefault="00EB4A22" w:rsidP="00B12430">
            <w:pPr>
              <w:pStyle w:val="NoSpacing"/>
              <w:jc w:val="left"/>
              <w:rPr>
                <w:rFonts w:asciiTheme="minorHAnsi" w:hAnsiTheme="minorHAnsi"/>
                <w:sz w:val="22"/>
                <w:szCs w:val="22"/>
                <w:lang w:val="en-NZ"/>
              </w:rPr>
            </w:pPr>
            <w:r w:rsidRPr="00EB4A22">
              <w:rPr>
                <w:rFonts w:asciiTheme="minorHAnsi" w:hAnsiTheme="minorHAnsi"/>
                <w:sz w:val="22"/>
                <w:szCs w:val="22"/>
                <w:lang w:val="en-NZ"/>
              </w:rPr>
              <w:t>Training/professional development</w:t>
            </w:r>
          </w:p>
        </w:tc>
        <w:tc>
          <w:tcPr>
            <w:tcW w:w="2857" w:type="dxa"/>
            <w:tcBorders>
              <w:top w:val="single" w:sz="4" w:space="0" w:color="auto"/>
              <w:left w:val="single" w:sz="4" w:space="0" w:color="auto"/>
              <w:bottom w:val="single" w:sz="4" w:space="0" w:color="auto"/>
              <w:right w:val="single" w:sz="4" w:space="0" w:color="auto"/>
            </w:tcBorders>
          </w:tcPr>
          <w:p w14:paraId="2279304F" w14:textId="4743A7BE" w:rsidR="00EB4A22" w:rsidRPr="00EB4A22" w:rsidRDefault="00F554D2" w:rsidP="00B12430">
            <w:pPr>
              <w:pStyle w:val="NoSpacing"/>
              <w:jc w:val="center"/>
              <w:rPr>
                <w:rFonts w:asciiTheme="minorHAnsi" w:hAnsiTheme="minorHAnsi"/>
                <w:sz w:val="22"/>
                <w:szCs w:val="22"/>
                <w:lang w:val="en-NZ"/>
              </w:rPr>
            </w:pPr>
            <w:r>
              <w:rPr>
                <w:rFonts w:asciiTheme="minorHAnsi" w:hAnsiTheme="minorHAnsi"/>
                <w:sz w:val="22"/>
                <w:szCs w:val="22"/>
                <w:lang w:val="en-NZ"/>
              </w:rPr>
              <w:t>24</w:t>
            </w:r>
          </w:p>
        </w:tc>
      </w:tr>
      <w:tr w:rsidR="00EB4A22" w:rsidRPr="007B09E9" w14:paraId="3D82EA47" w14:textId="77777777" w:rsidTr="00A504BF">
        <w:trPr>
          <w:trHeight w:val="272"/>
        </w:trPr>
        <w:tc>
          <w:tcPr>
            <w:tcW w:w="6069" w:type="dxa"/>
            <w:tcBorders>
              <w:top w:val="single" w:sz="4" w:space="0" w:color="auto"/>
              <w:left w:val="single" w:sz="4" w:space="0" w:color="auto"/>
              <w:bottom w:val="single" w:sz="4" w:space="0" w:color="auto"/>
              <w:right w:val="single" w:sz="4" w:space="0" w:color="auto"/>
            </w:tcBorders>
            <w:shd w:val="clear" w:color="auto" w:fill="C00000"/>
            <w:hideMark/>
          </w:tcPr>
          <w:p w14:paraId="74D076D2" w14:textId="77777777" w:rsidR="00EB4A22" w:rsidRPr="00EB4A22" w:rsidRDefault="00EB4A22" w:rsidP="00B12430">
            <w:pPr>
              <w:pStyle w:val="NoSpacing"/>
              <w:rPr>
                <w:rFonts w:asciiTheme="minorHAnsi" w:hAnsiTheme="minorHAnsi"/>
                <w:b/>
                <w:sz w:val="22"/>
                <w:szCs w:val="22"/>
                <w:lang w:val="en-NZ"/>
              </w:rPr>
            </w:pPr>
            <w:r w:rsidRPr="00EB4A22">
              <w:rPr>
                <w:rFonts w:asciiTheme="minorHAnsi" w:hAnsiTheme="minorHAnsi"/>
                <w:b/>
                <w:sz w:val="22"/>
                <w:szCs w:val="22"/>
                <w:lang w:val="en-NZ"/>
              </w:rPr>
              <w:t>TOTAL</w:t>
            </w:r>
          </w:p>
        </w:tc>
        <w:tc>
          <w:tcPr>
            <w:tcW w:w="2857" w:type="dxa"/>
            <w:tcBorders>
              <w:top w:val="single" w:sz="4" w:space="0" w:color="auto"/>
              <w:left w:val="single" w:sz="4" w:space="0" w:color="auto"/>
              <w:bottom w:val="single" w:sz="4" w:space="0" w:color="auto"/>
              <w:right w:val="single" w:sz="4" w:space="0" w:color="auto"/>
            </w:tcBorders>
            <w:shd w:val="clear" w:color="auto" w:fill="C00000"/>
          </w:tcPr>
          <w:p w14:paraId="7C6B5AAF" w14:textId="60FC2DF0" w:rsidR="00EB4A22" w:rsidRPr="00EB4A22" w:rsidRDefault="004D4F00" w:rsidP="00B12430">
            <w:pPr>
              <w:pStyle w:val="NoSpacing"/>
              <w:jc w:val="center"/>
              <w:rPr>
                <w:rFonts w:asciiTheme="minorHAnsi" w:hAnsiTheme="minorHAnsi"/>
                <w:b/>
                <w:sz w:val="22"/>
                <w:szCs w:val="22"/>
                <w:lang w:val="en-NZ"/>
              </w:rPr>
            </w:pPr>
            <w:r>
              <w:rPr>
                <w:b/>
                <w:lang w:val="en-NZ"/>
              </w:rPr>
              <w:fldChar w:fldCharType="begin"/>
            </w:r>
            <w:r>
              <w:rPr>
                <w:rFonts w:asciiTheme="minorHAnsi" w:hAnsiTheme="minorHAnsi"/>
                <w:b/>
                <w:sz w:val="22"/>
                <w:szCs w:val="22"/>
                <w:lang w:val="en-NZ"/>
              </w:rPr>
              <w:instrText xml:space="preserve"> =SUM(ABOVE) </w:instrText>
            </w:r>
            <w:r>
              <w:rPr>
                <w:b/>
                <w:lang w:val="en-NZ"/>
              </w:rPr>
              <w:fldChar w:fldCharType="separate"/>
            </w:r>
            <w:r>
              <w:rPr>
                <w:rFonts w:asciiTheme="minorHAnsi" w:hAnsiTheme="minorHAnsi"/>
                <w:b/>
                <w:noProof/>
                <w:sz w:val="22"/>
                <w:szCs w:val="22"/>
                <w:lang w:val="en-NZ"/>
              </w:rPr>
              <w:t>147</w:t>
            </w:r>
            <w:r>
              <w:rPr>
                <w:b/>
                <w:lang w:val="en-NZ"/>
              </w:rPr>
              <w:fldChar w:fldCharType="end"/>
            </w:r>
          </w:p>
        </w:tc>
      </w:tr>
    </w:tbl>
    <w:p w14:paraId="626285A0" w14:textId="31D36B8E" w:rsidR="00EB4A22" w:rsidRPr="0078382D" w:rsidRDefault="00EB4A22" w:rsidP="00EB4A22">
      <w:pPr>
        <w:spacing w:before="480"/>
        <w:rPr>
          <w:b/>
          <w:spacing w:val="-2"/>
        </w:rPr>
      </w:pPr>
      <w:r w:rsidRPr="0078382D">
        <w:rPr>
          <w:spacing w:val="-2"/>
        </w:rPr>
        <w:t>T</w:t>
      </w:r>
      <w:r w:rsidRPr="0078382D">
        <w:rPr>
          <w:spacing w:val="-2"/>
          <w:lang w:eastAsia="en-NZ"/>
        </w:rPr>
        <w:t>he most common recommendations made to DHBs were that they</w:t>
      </w:r>
      <w:r w:rsidR="00C66855">
        <w:rPr>
          <w:spacing w:val="-2"/>
          <w:lang w:eastAsia="en-NZ"/>
        </w:rPr>
        <w:t>:</w:t>
      </w:r>
      <w:r w:rsidR="004D4F00">
        <w:rPr>
          <w:spacing w:val="-2"/>
          <w:lang w:eastAsia="en-NZ"/>
        </w:rPr>
        <w:t xml:space="preserve"> </w:t>
      </w:r>
      <w:r w:rsidR="004D4F00" w:rsidRPr="0078382D">
        <w:rPr>
          <w:spacing w:val="-2"/>
          <w:lang w:eastAsia="en-NZ"/>
        </w:rPr>
        <w:t>review or implement n</w:t>
      </w:r>
      <w:r w:rsidR="004D4F00">
        <w:rPr>
          <w:spacing w:val="-2"/>
          <w:lang w:eastAsia="en-NZ"/>
        </w:rPr>
        <w:t>ew policies and procedures (32</w:t>
      </w:r>
      <w:r w:rsidR="00C66855">
        <w:rPr>
          <w:spacing w:val="-2"/>
          <w:lang w:eastAsia="en-NZ"/>
        </w:rPr>
        <w:t xml:space="preserve"> recommendations);</w:t>
      </w:r>
      <w:r w:rsidR="004D4F00" w:rsidRPr="0078382D">
        <w:rPr>
          <w:spacing w:val="-2"/>
          <w:lang w:eastAsia="en-NZ"/>
        </w:rPr>
        <w:t xml:space="preserve"> </w:t>
      </w:r>
      <w:r w:rsidR="004D4F00">
        <w:rPr>
          <w:spacing w:val="-2"/>
          <w:lang w:eastAsia="en-NZ"/>
        </w:rPr>
        <w:t>provide</w:t>
      </w:r>
      <w:r>
        <w:rPr>
          <w:spacing w:val="-2"/>
          <w:lang w:eastAsia="en-NZ"/>
        </w:rPr>
        <w:t xml:space="preserve"> evidence of change made in response to the complai</w:t>
      </w:r>
      <w:r w:rsidR="004D4F00">
        <w:rPr>
          <w:spacing w:val="-2"/>
          <w:lang w:eastAsia="en-NZ"/>
        </w:rPr>
        <w:t>nt to HDC (28</w:t>
      </w:r>
      <w:r>
        <w:rPr>
          <w:spacing w:val="-2"/>
          <w:lang w:eastAsia="en-NZ"/>
        </w:rPr>
        <w:t xml:space="preserve"> recommendations)</w:t>
      </w:r>
      <w:r w:rsidR="00C66855">
        <w:rPr>
          <w:spacing w:val="-2"/>
          <w:lang w:eastAsia="en-NZ"/>
        </w:rPr>
        <w:t>;</w:t>
      </w:r>
      <w:r w:rsidR="004D4F00">
        <w:rPr>
          <w:spacing w:val="-2"/>
          <w:lang w:eastAsia="en-NZ"/>
        </w:rPr>
        <w:t xml:space="preserve"> conduct staff training (24 recommendations</w:t>
      </w:r>
      <w:r w:rsidR="00C66855">
        <w:rPr>
          <w:spacing w:val="-2"/>
          <w:lang w:eastAsia="en-NZ"/>
        </w:rPr>
        <w:t>);</w:t>
      </w:r>
      <w:r w:rsidR="004D4F00">
        <w:rPr>
          <w:spacing w:val="-2"/>
          <w:lang w:eastAsia="en-NZ"/>
        </w:rPr>
        <w:t xml:space="preserve"> and </w:t>
      </w:r>
      <w:r w:rsidRPr="0078382D">
        <w:rPr>
          <w:spacing w:val="-2"/>
          <w:lang w:eastAsia="en-NZ"/>
        </w:rPr>
        <w:t>apologise</w:t>
      </w:r>
      <w:r>
        <w:rPr>
          <w:spacing w:val="-2"/>
          <w:lang w:eastAsia="en-NZ"/>
        </w:rPr>
        <w:t xml:space="preserve"> to the consumer/complainant (19</w:t>
      </w:r>
      <w:r w:rsidR="004D4F00">
        <w:rPr>
          <w:spacing w:val="-2"/>
          <w:lang w:eastAsia="en-NZ"/>
        </w:rPr>
        <w:t xml:space="preserve"> recommendations). </w:t>
      </w:r>
      <w:r w:rsidRPr="0078382D">
        <w:rPr>
          <w:spacing w:val="-2"/>
          <w:lang w:eastAsia="en-NZ"/>
        </w:rPr>
        <w:t>Recommendations for staff training were most often in regard to clinical issues identified in the comp</w:t>
      </w:r>
      <w:r w:rsidR="004D4F00">
        <w:rPr>
          <w:spacing w:val="-2"/>
          <w:lang w:eastAsia="en-NZ"/>
        </w:rPr>
        <w:t>laint, followed by training on new policies/procedures</w:t>
      </w:r>
      <w:r>
        <w:rPr>
          <w:spacing w:val="-2"/>
          <w:lang w:eastAsia="en-NZ"/>
        </w:rPr>
        <w:t>. Often HDC will ask the DHB to use an anonymised version of the complaint as the basis for the training.</w:t>
      </w:r>
    </w:p>
    <w:p w14:paraId="78AD312D" w14:textId="77777777" w:rsidR="00EB4A22" w:rsidRDefault="00EB4A22" w:rsidP="00EB4A22"/>
    <w:p w14:paraId="27447453" w14:textId="77777777" w:rsidR="00EB4A22" w:rsidRDefault="00EB4A22" w:rsidP="00EB4A22"/>
    <w:p w14:paraId="082F5A10" w14:textId="77777777" w:rsidR="00EB4A22" w:rsidRDefault="00EB4A22" w:rsidP="00EB4A22">
      <w:pPr>
        <w:rPr>
          <w:lang w:bidi="ar-SA"/>
        </w:rPr>
      </w:pPr>
    </w:p>
    <w:p w14:paraId="1B9EDD59" w14:textId="77777777" w:rsidR="00EB4A22" w:rsidRDefault="00EB4A22" w:rsidP="00EB4A22">
      <w:pPr>
        <w:rPr>
          <w:lang w:bidi="ar-SA"/>
        </w:rPr>
      </w:pPr>
    </w:p>
    <w:p w14:paraId="389E6863" w14:textId="77777777" w:rsidR="00EB4A22" w:rsidRDefault="00EB4A22" w:rsidP="00EB4A22">
      <w:pPr>
        <w:rPr>
          <w:lang w:bidi="ar-SA"/>
        </w:rPr>
      </w:pPr>
    </w:p>
    <w:p w14:paraId="30177BA0" w14:textId="77777777" w:rsidR="00EB4A22" w:rsidRDefault="00EB4A22" w:rsidP="00EB4A22">
      <w:pPr>
        <w:rPr>
          <w:lang w:bidi="ar-SA"/>
        </w:rPr>
      </w:pPr>
    </w:p>
    <w:p w14:paraId="0FEE84EA" w14:textId="77777777" w:rsidR="00EB4A22" w:rsidRDefault="00EB4A22" w:rsidP="00EB4A22">
      <w:pPr>
        <w:rPr>
          <w:lang w:bidi="ar-SA"/>
        </w:rPr>
      </w:pPr>
    </w:p>
    <w:p w14:paraId="4C6DCC0A" w14:textId="77777777" w:rsidR="00EB4A22" w:rsidRDefault="00EB4A22" w:rsidP="00EB4A22">
      <w:pPr>
        <w:rPr>
          <w:lang w:bidi="ar-SA"/>
        </w:rPr>
      </w:pPr>
      <w:r>
        <w:rPr>
          <w:lang w:bidi="ar-SA"/>
        </w:rPr>
        <w:br w:type="page"/>
      </w:r>
    </w:p>
    <w:p w14:paraId="2B397CF7" w14:textId="77777777" w:rsidR="00EB4A22" w:rsidRDefault="00EB4A22" w:rsidP="00EB4A22">
      <w:pPr>
        <w:pStyle w:val="Heading2"/>
        <w:spacing w:after="240"/>
        <w:rPr>
          <w:sz w:val="36"/>
          <w:szCs w:val="36"/>
        </w:rPr>
      </w:pPr>
      <w:bookmarkStart w:id="105" w:name="_Toc71561664"/>
      <w:bookmarkStart w:id="106" w:name="_Toc90639030"/>
      <w:r>
        <w:rPr>
          <w:sz w:val="36"/>
          <w:szCs w:val="36"/>
        </w:rPr>
        <w:lastRenderedPageBreak/>
        <w:t>6</w:t>
      </w:r>
      <w:r w:rsidRPr="00666BAC">
        <w:rPr>
          <w:sz w:val="36"/>
          <w:szCs w:val="36"/>
        </w:rPr>
        <w:t xml:space="preserve">. </w:t>
      </w:r>
      <w:r>
        <w:rPr>
          <w:sz w:val="36"/>
          <w:szCs w:val="36"/>
        </w:rPr>
        <w:t>Learning from complaints</w:t>
      </w:r>
      <w:bookmarkEnd w:id="105"/>
      <w:bookmarkEnd w:id="106"/>
    </w:p>
    <w:p w14:paraId="577BE7B2" w14:textId="61EB4D83" w:rsidR="00EB4A22" w:rsidRPr="00666BAC" w:rsidRDefault="00EB4A22" w:rsidP="00932E72">
      <w:pPr>
        <w:pStyle w:val="Heading3"/>
        <w:rPr>
          <w:lang w:val="en-AU" w:bidi="ar-SA"/>
        </w:rPr>
      </w:pPr>
      <w:bookmarkStart w:id="107" w:name="_Toc71561665"/>
      <w:bookmarkStart w:id="108" w:name="_Toc90639031"/>
      <w:r>
        <w:rPr>
          <w:lang w:val="en-AU" w:bidi="ar-SA"/>
        </w:rPr>
        <w:t>6</w:t>
      </w:r>
      <w:r w:rsidRPr="00666BAC">
        <w:rPr>
          <w:lang w:val="en-AU" w:bidi="ar-SA"/>
        </w:rPr>
        <w:t xml:space="preserve">.1 </w:t>
      </w:r>
      <w:r w:rsidRPr="00666BAC">
        <w:rPr>
          <w:lang w:val="en-AU" w:bidi="ar-SA"/>
        </w:rPr>
        <w:tab/>
      </w:r>
      <w:r w:rsidR="00FE59F7">
        <w:rPr>
          <w:lang w:val="en-AU" w:bidi="ar-SA"/>
        </w:rPr>
        <w:t xml:space="preserve">Emergency department care of girl </w:t>
      </w:r>
      <w:r w:rsidR="00007965">
        <w:rPr>
          <w:lang w:val="en-AU" w:bidi="ar-SA"/>
        </w:rPr>
        <w:t>with</w:t>
      </w:r>
      <w:r w:rsidR="00FE59F7">
        <w:rPr>
          <w:lang w:val="en-AU" w:bidi="ar-SA"/>
        </w:rPr>
        <w:t xml:space="preserve"> septic arthritis</w:t>
      </w:r>
      <w:r w:rsidRPr="00A504BF">
        <w:rPr>
          <w:rStyle w:val="FootnoteReference"/>
          <w:b w:val="0"/>
          <w:lang w:val="en-AU" w:bidi="ar-SA"/>
        </w:rPr>
        <w:footnoteReference w:id="6"/>
      </w:r>
      <w:bookmarkEnd w:id="107"/>
      <w:bookmarkEnd w:id="108"/>
    </w:p>
    <w:p w14:paraId="47747AF2" w14:textId="74D352D9" w:rsidR="00EB4A22" w:rsidRPr="00DB65DD" w:rsidRDefault="00EB4A22" w:rsidP="004D22EA">
      <w:pPr>
        <w:spacing w:after="240"/>
        <w:rPr>
          <w:b/>
          <w:szCs w:val="22"/>
        </w:rPr>
      </w:pPr>
      <w:r>
        <w:rPr>
          <w:b/>
          <w:szCs w:val="22"/>
        </w:rPr>
        <w:t xml:space="preserve">This case reflects a number of themes seen in HDC complaints </w:t>
      </w:r>
      <w:r w:rsidR="00E77BF6">
        <w:rPr>
          <w:b/>
          <w:szCs w:val="22"/>
        </w:rPr>
        <w:t xml:space="preserve">around the management of recurrent presentations </w:t>
      </w:r>
      <w:r w:rsidR="00007965">
        <w:rPr>
          <w:b/>
          <w:szCs w:val="22"/>
        </w:rPr>
        <w:t>to</w:t>
      </w:r>
      <w:r w:rsidR="00E77BF6">
        <w:rPr>
          <w:b/>
          <w:szCs w:val="22"/>
        </w:rPr>
        <w:t xml:space="preserve"> ED, including the need to think critically with regard to the wider clinical picture, the importance of robust triage process</w:t>
      </w:r>
      <w:r w:rsidR="00007965">
        <w:rPr>
          <w:b/>
          <w:szCs w:val="22"/>
        </w:rPr>
        <w:t>es</w:t>
      </w:r>
      <w:r w:rsidR="00E77BF6">
        <w:rPr>
          <w:b/>
          <w:szCs w:val="22"/>
        </w:rPr>
        <w:t>, and the importance of SMO review in t</w:t>
      </w:r>
      <w:r w:rsidR="00C66855">
        <w:rPr>
          <w:b/>
          <w:szCs w:val="22"/>
        </w:rPr>
        <w:t>he context of multiple</w:t>
      </w:r>
      <w:r w:rsidR="00E77BF6">
        <w:rPr>
          <w:b/>
          <w:szCs w:val="22"/>
        </w:rPr>
        <w:t xml:space="preserve"> presentations with worsening symptoms. </w:t>
      </w:r>
      <w:r>
        <w:rPr>
          <w:b/>
          <w:szCs w:val="22"/>
        </w:rPr>
        <w:t xml:space="preserve"> </w:t>
      </w:r>
    </w:p>
    <w:p w14:paraId="5A9D633D" w14:textId="77777777" w:rsidR="00EB4A22" w:rsidRPr="00CF015B" w:rsidRDefault="00EB4A22" w:rsidP="004D22EA">
      <w:pPr>
        <w:rPr>
          <w:rFonts w:cs="Arial"/>
          <w:i/>
        </w:rPr>
      </w:pPr>
      <w:r w:rsidRPr="00CF015B">
        <w:rPr>
          <w:rFonts w:cs="Arial"/>
          <w:i/>
        </w:rPr>
        <w:t>Background</w:t>
      </w:r>
    </w:p>
    <w:p w14:paraId="0F04D7E9" w14:textId="27265D2F" w:rsidR="00EB4A22" w:rsidRDefault="00FE59F7" w:rsidP="00EB4A22">
      <w:pPr>
        <w:rPr>
          <w:rFonts w:cs="Arial"/>
        </w:rPr>
      </w:pPr>
      <w:r>
        <w:rPr>
          <w:rFonts w:cs="Arial"/>
        </w:rPr>
        <w:t>A girl aged in her teens</w:t>
      </w:r>
      <w:r w:rsidR="00C66855">
        <w:rPr>
          <w:rFonts w:cs="Arial"/>
        </w:rPr>
        <w:t xml:space="preserve"> </w:t>
      </w:r>
      <w:r>
        <w:rPr>
          <w:rFonts w:cs="Arial"/>
        </w:rPr>
        <w:t>presented to the ED of a public hospital complaining of intense pain in her right knee and leg. Sh</w:t>
      </w:r>
      <w:r w:rsidR="00420E52">
        <w:rPr>
          <w:rFonts w:cs="Arial"/>
        </w:rPr>
        <w:t>e was unable to sleep or weight-</w:t>
      </w:r>
      <w:r>
        <w:rPr>
          <w:rFonts w:cs="Arial"/>
        </w:rPr>
        <w:t>bear on her right knee, and was experiencing chills and vomiting. She had not experienced an injury prior to developing this pain. She was seen by a triage nurse</w:t>
      </w:r>
      <w:r w:rsidR="00E94DE0">
        <w:rPr>
          <w:rFonts w:cs="Arial"/>
        </w:rPr>
        <w:t>,</w:t>
      </w:r>
      <w:r>
        <w:rPr>
          <w:rFonts w:cs="Arial"/>
        </w:rPr>
        <w:t xml:space="preserve"> who did not document the nausea and chills or record any vital signs. The girl was then seen by a clinical nurse specialist</w:t>
      </w:r>
      <w:r w:rsidR="00E94DE0">
        <w:rPr>
          <w:rFonts w:cs="Arial"/>
        </w:rPr>
        <w:t>,</w:t>
      </w:r>
      <w:r>
        <w:rPr>
          <w:rFonts w:cs="Arial"/>
        </w:rPr>
        <w:t xml:space="preserve"> who diagnosed her with a knee sprain/strain and </w:t>
      </w:r>
      <w:r w:rsidR="007F406E">
        <w:rPr>
          <w:rFonts w:cs="Arial"/>
        </w:rPr>
        <w:t>gave soft tissue injury advice. The girl was discharged home, and although she was told to follow</w:t>
      </w:r>
      <w:r w:rsidR="00E94DE0">
        <w:rPr>
          <w:rFonts w:cs="Arial"/>
        </w:rPr>
        <w:t xml:space="preserve"> </w:t>
      </w:r>
      <w:r w:rsidR="007F406E">
        <w:rPr>
          <w:rFonts w:cs="Arial"/>
        </w:rPr>
        <w:t>up w</w:t>
      </w:r>
      <w:r w:rsidR="00420E52">
        <w:rPr>
          <w:rFonts w:cs="Arial"/>
        </w:rPr>
        <w:t>ith her GP, she was not given</w:t>
      </w:r>
      <w:r w:rsidR="00C66855">
        <w:rPr>
          <w:rFonts w:cs="Arial"/>
        </w:rPr>
        <w:t xml:space="preserve"> specific</w:t>
      </w:r>
      <w:r w:rsidR="007F406E">
        <w:rPr>
          <w:rFonts w:cs="Arial"/>
        </w:rPr>
        <w:t xml:space="preserve"> advice about return</w:t>
      </w:r>
      <w:r w:rsidR="00D611A1">
        <w:rPr>
          <w:rFonts w:cs="Arial"/>
        </w:rPr>
        <w:t>ing</w:t>
      </w:r>
      <w:r w:rsidR="007F406E">
        <w:rPr>
          <w:rFonts w:cs="Arial"/>
        </w:rPr>
        <w:t xml:space="preserve"> to ED.</w:t>
      </w:r>
    </w:p>
    <w:p w14:paraId="71EC9DD0" w14:textId="191B12FF" w:rsidR="007F406E" w:rsidRDefault="007F406E" w:rsidP="00EB4A22">
      <w:pPr>
        <w:rPr>
          <w:rFonts w:cs="Arial"/>
        </w:rPr>
      </w:pPr>
    </w:p>
    <w:p w14:paraId="3EB48FB0" w14:textId="616F2177" w:rsidR="007F406E" w:rsidRDefault="007F406E" w:rsidP="00EB4A22">
      <w:pPr>
        <w:rPr>
          <w:rFonts w:cs="Arial"/>
        </w:rPr>
      </w:pPr>
      <w:r>
        <w:rPr>
          <w:rFonts w:cs="Arial"/>
        </w:rPr>
        <w:t>The pain in the girl’s knee increased that evening</w:t>
      </w:r>
      <w:r w:rsidR="00C66855">
        <w:rPr>
          <w:rFonts w:cs="Arial"/>
        </w:rPr>
        <w:t>,</w:t>
      </w:r>
      <w:r w:rsidR="000B7C58">
        <w:rPr>
          <w:rFonts w:cs="Arial"/>
        </w:rPr>
        <w:t xml:space="preserve"> despite pain relief</w:t>
      </w:r>
      <w:r w:rsidR="00C66855">
        <w:rPr>
          <w:rFonts w:cs="Arial"/>
        </w:rPr>
        <w:t>,</w:t>
      </w:r>
      <w:r>
        <w:rPr>
          <w:rFonts w:cs="Arial"/>
        </w:rPr>
        <w:t xml:space="preserve"> and spread to her shin</w:t>
      </w:r>
      <w:r w:rsidR="00F73285">
        <w:rPr>
          <w:rFonts w:cs="Arial"/>
        </w:rPr>
        <w:t>.</w:t>
      </w:r>
      <w:r>
        <w:rPr>
          <w:rFonts w:cs="Arial"/>
        </w:rPr>
        <w:t xml:space="preserve"> She decided to return to ED. </w:t>
      </w:r>
      <w:r w:rsidR="00D611A1">
        <w:rPr>
          <w:rFonts w:cs="Arial"/>
        </w:rPr>
        <w:t>T</w:t>
      </w:r>
      <w:r>
        <w:rPr>
          <w:rFonts w:cs="Arial"/>
        </w:rPr>
        <w:t xml:space="preserve">he triage nurse documented </w:t>
      </w:r>
      <w:r w:rsidR="00D611A1">
        <w:rPr>
          <w:rFonts w:cs="Arial"/>
        </w:rPr>
        <w:t xml:space="preserve">the girl’s </w:t>
      </w:r>
      <w:r>
        <w:rPr>
          <w:rFonts w:cs="Arial"/>
        </w:rPr>
        <w:t xml:space="preserve">pain, but did not record </w:t>
      </w:r>
      <w:r w:rsidR="00D611A1">
        <w:rPr>
          <w:rFonts w:cs="Arial"/>
        </w:rPr>
        <w:t xml:space="preserve">her </w:t>
      </w:r>
      <w:r>
        <w:rPr>
          <w:rFonts w:cs="Arial"/>
        </w:rPr>
        <w:t xml:space="preserve">vital signs. While waiting to be seen by the ED registrar, the girl </w:t>
      </w:r>
      <w:r w:rsidR="00F73285">
        <w:rPr>
          <w:rFonts w:cs="Arial"/>
        </w:rPr>
        <w:t xml:space="preserve">was given morphine for her pain. The registrar reviewed the girl’s notes but did not see that she had been given morphine, </w:t>
      </w:r>
      <w:r w:rsidR="00C66855">
        <w:rPr>
          <w:rFonts w:cs="Arial"/>
        </w:rPr>
        <w:t xml:space="preserve">and </w:t>
      </w:r>
      <w:r w:rsidR="00F73285">
        <w:rPr>
          <w:rFonts w:cs="Arial"/>
        </w:rPr>
        <w:t>he assumed in error that she had been given codeine.</w:t>
      </w:r>
      <w:r>
        <w:rPr>
          <w:rFonts w:cs="Arial"/>
        </w:rPr>
        <w:t xml:space="preserve"> Following his assessment, the registrar diagnosed her with a m</w:t>
      </w:r>
      <w:r w:rsidR="00C66855">
        <w:rPr>
          <w:rFonts w:cs="Arial"/>
        </w:rPr>
        <w:t>eniscal injury and sent her</w:t>
      </w:r>
      <w:r>
        <w:rPr>
          <w:rFonts w:cs="Arial"/>
        </w:rPr>
        <w:t xml:space="preserve"> home with written advice to see a physiotherapist if her pain did not </w:t>
      </w:r>
      <w:r w:rsidR="00C622AE">
        <w:rPr>
          <w:rFonts w:cs="Arial"/>
        </w:rPr>
        <w:t xml:space="preserve">settle. </w:t>
      </w:r>
    </w:p>
    <w:p w14:paraId="5B638655" w14:textId="6E0F3BA3" w:rsidR="007F406E" w:rsidRDefault="007F406E" w:rsidP="00EB4A22">
      <w:pPr>
        <w:rPr>
          <w:rFonts w:cs="Arial"/>
        </w:rPr>
      </w:pPr>
    </w:p>
    <w:p w14:paraId="596FC689" w14:textId="0A3A4839" w:rsidR="00A6363C" w:rsidRDefault="00A6363C" w:rsidP="00EB4A22">
      <w:pPr>
        <w:rPr>
          <w:rFonts w:cs="Arial"/>
        </w:rPr>
      </w:pPr>
      <w:r>
        <w:rPr>
          <w:rFonts w:cs="Arial"/>
        </w:rPr>
        <w:t>A couple of days later</w:t>
      </w:r>
      <w:r w:rsidR="00D611A1">
        <w:rPr>
          <w:rFonts w:cs="Arial"/>
        </w:rPr>
        <w:t>,</w:t>
      </w:r>
      <w:r>
        <w:rPr>
          <w:rFonts w:cs="Arial"/>
        </w:rPr>
        <w:t xml:space="preserve"> the girl’s mother called the ED as </w:t>
      </w:r>
      <w:r w:rsidR="00D611A1">
        <w:rPr>
          <w:rFonts w:cs="Arial"/>
        </w:rPr>
        <w:t>her daughter</w:t>
      </w:r>
      <w:r>
        <w:rPr>
          <w:rFonts w:cs="Arial"/>
        </w:rPr>
        <w:t xml:space="preserve"> was in “terrible pain”. However, </w:t>
      </w:r>
      <w:r w:rsidR="00D611A1">
        <w:rPr>
          <w:rFonts w:cs="Arial"/>
        </w:rPr>
        <w:t>the girl’s mother found</w:t>
      </w:r>
      <w:r>
        <w:rPr>
          <w:rFonts w:cs="Arial"/>
        </w:rPr>
        <w:t xml:space="preserve"> </w:t>
      </w:r>
      <w:r w:rsidR="00D611A1">
        <w:rPr>
          <w:rFonts w:cs="Arial"/>
        </w:rPr>
        <w:t xml:space="preserve">the ED staff </w:t>
      </w:r>
      <w:r>
        <w:rPr>
          <w:rFonts w:cs="Arial"/>
        </w:rPr>
        <w:t>unhelpful</w:t>
      </w:r>
      <w:r w:rsidR="00D611A1">
        <w:rPr>
          <w:rFonts w:cs="Arial"/>
        </w:rPr>
        <w:t>,</w:t>
      </w:r>
      <w:r>
        <w:rPr>
          <w:rFonts w:cs="Arial"/>
        </w:rPr>
        <w:t xml:space="preserve"> </w:t>
      </w:r>
      <w:r w:rsidR="00D611A1">
        <w:rPr>
          <w:rFonts w:cs="Arial"/>
        </w:rPr>
        <w:t>and</w:t>
      </w:r>
      <w:r>
        <w:rPr>
          <w:rFonts w:cs="Arial"/>
        </w:rPr>
        <w:t xml:space="preserve"> decid</w:t>
      </w:r>
      <w:r w:rsidR="000B7C58">
        <w:rPr>
          <w:rFonts w:cs="Arial"/>
        </w:rPr>
        <w:t xml:space="preserve">ed to take </w:t>
      </w:r>
      <w:r w:rsidR="00D611A1">
        <w:rPr>
          <w:rFonts w:cs="Arial"/>
        </w:rPr>
        <w:t>her daughter</w:t>
      </w:r>
      <w:r w:rsidR="000B7C58">
        <w:rPr>
          <w:rFonts w:cs="Arial"/>
        </w:rPr>
        <w:t xml:space="preserve"> to an after-</w:t>
      </w:r>
      <w:r>
        <w:rPr>
          <w:rFonts w:cs="Arial"/>
        </w:rPr>
        <w:t>hours medical centre. The GP</w:t>
      </w:r>
      <w:r w:rsidR="000B7C58">
        <w:rPr>
          <w:rFonts w:cs="Arial"/>
        </w:rPr>
        <w:t xml:space="preserve"> at the centre</w:t>
      </w:r>
      <w:r>
        <w:rPr>
          <w:rFonts w:cs="Arial"/>
        </w:rPr>
        <w:t xml:space="preserve"> discussed the girl’s case with the orthopaedic registrar at the public hospital</w:t>
      </w:r>
      <w:r w:rsidR="00D611A1">
        <w:rPr>
          <w:rFonts w:cs="Arial"/>
        </w:rPr>
        <w:t>,</w:t>
      </w:r>
      <w:r>
        <w:rPr>
          <w:rFonts w:cs="Arial"/>
        </w:rPr>
        <w:t xml:space="preserve"> who advised that she return to ED for X-rays. The following morning</w:t>
      </w:r>
      <w:r w:rsidR="00D611A1">
        <w:rPr>
          <w:rFonts w:cs="Arial"/>
        </w:rPr>
        <w:t>,</w:t>
      </w:r>
      <w:r>
        <w:rPr>
          <w:rFonts w:cs="Arial"/>
        </w:rPr>
        <w:t xml:space="preserve"> the girl returned to the ED. Her observations were </w:t>
      </w:r>
      <w:r w:rsidR="00C622AE">
        <w:rPr>
          <w:rFonts w:cs="Arial"/>
        </w:rPr>
        <w:t>recorded</w:t>
      </w:r>
      <w:r>
        <w:rPr>
          <w:rFonts w:cs="Arial"/>
        </w:rPr>
        <w:t xml:space="preserve"> by the triage nurse and they were all </w:t>
      </w:r>
      <w:r w:rsidR="00C622AE">
        <w:rPr>
          <w:rFonts w:cs="Arial"/>
        </w:rPr>
        <w:t xml:space="preserve">in </w:t>
      </w:r>
      <w:r w:rsidR="00D611A1">
        <w:rPr>
          <w:rFonts w:cs="Arial"/>
        </w:rPr>
        <w:t xml:space="preserve">the </w:t>
      </w:r>
      <w:r w:rsidR="00C622AE">
        <w:rPr>
          <w:rFonts w:cs="Arial"/>
        </w:rPr>
        <w:t>normal</w:t>
      </w:r>
      <w:r>
        <w:rPr>
          <w:rFonts w:cs="Arial"/>
        </w:rPr>
        <w:t xml:space="preserve"> range. </w:t>
      </w:r>
      <w:r w:rsidR="00D611A1">
        <w:rPr>
          <w:rFonts w:cs="Arial"/>
        </w:rPr>
        <w:t xml:space="preserve">The girl </w:t>
      </w:r>
      <w:r>
        <w:rPr>
          <w:rFonts w:cs="Arial"/>
        </w:rPr>
        <w:t>was reviewed by an ED registrar</w:t>
      </w:r>
      <w:r w:rsidR="00D611A1">
        <w:rPr>
          <w:rFonts w:cs="Arial"/>
        </w:rPr>
        <w:t>,</w:t>
      </w:r>
      <w:r>
        <w:rPr>
          <w:rFonts w:cs="Arial"/>
        </w:rPr>
        <w:t xml:space="preserve"> who diagnosed Osgood-</w:t>
      </w:r>
      <w:proofErr w:type="spellStart"/>
      <w:r>
        <w:rPr>
          <w:rFonts w:cs="Arial"/>
        </w:rPr>
        <w:t>Schlatter</w:t>
      </w:r>
      <w:proofErr w:type="spellEnd"/>
      <w:r>
        <w:rPr>
          <w:rFonts w:cs="Arial"/>
        </w:rPr>
        <w:t xml:space="preserve"> </w:t>
      </w:r>
      <w:r w:rsidR="00C622AE">
        <w:rPr>
          <w:rFonts w:cs="Arial"/>
        </w:rPr>
        <w:t>disease</w:t>
      </w:r>
      <w:r w:rsidR="000B7C58">
        <w:rPr>
          <w:rFonts w:cs="Arial"/>
        </w:rPr>
        <w:t>, despite this diagnosis not being supported by the X-ray. The registrar discussed the girl’s care with the SMO, but he did not tell the SMO that the girl was unable to sleep because of the pain and could not we</w:t>
      </w:r>
      <w:r w:rsidR="00420E52">
        <w:rPr>
          <w:rFonts w:cs="Arial"/>
        </w:rPr>
        <w:t>ight-</w:t>
      </w:r>
      <w:r w:rsidR="000B7C58">
        <w:rPr>
          <w:rFonts w:cs="Arial"/>
        </w:rPr>
        <w:t>bear. The girl was discharged</w:t>
      </w:r>
      <w:r>
        <w:rPr>
          <w:rFonts w:cs="Arial"/>
        </w:rPr>
        <w:t xml:space="preserve"> with a </w:t>
      </w:r>
      <w:r w:rsidR="00C622AE">
        <w:rPr>
          <w:rFonts w:cs="Arial"/>
        </w:rPr>
        <w:t>sports</w:t>
      </w:r>
      <w:r>
        <w:rPr>
          <w:rFonts w:cs="Arial"/>
        </w:rPr>
        <w:t xml:space="preserve"> medicine referral.</w:t>
      </w:r>
    </w:p>
    <w:p w14:paraId="22FC9F6D" w14:textId="6CE1AE15" w:rsidR="00FE59F7" w:rsidRDefault="00FE59F7" w:rsidP="00EB4A22">
      <w:pPr>
        <w:rPr>
          <w:rFonts w:cs="Arial"/>
        </w:rPr>
      </w:pPr>
    </w:p>
    <w:p w14:paraId="28E03EB0" w14:textId="66515C67" w:rsidR="00FE59F7" w:rsidRDefault="00D611A1" w:rsidP="00EB4A22">
      <w:pPr>
        <w:rPr>
          <w:rFonts w:cs="Arial"/>
        </w:rPr>
      </w:pPr>
      <w:r>
        <w:rPr>
          <w:rFonts w:cs="Arial"/>
        </w:rPr>
        <w:t xml:space="preserve">Over the next couple of days, the </w:t>
      </w:r>
      <w:r w:rsidR="00C622AE">
        <w:rPr>
          <w:rFonts w:cs="Arial"/>
        </w:rPr>
        <w:t>girl’s mother made several call</w:t>
      </w:r>
      <w:r w:rsidR="00420E52">
        <w:rPr>
          <w:rFonts w:cs="Arial"/>
        </w:rPr>
        <w:t>s</w:t>
      </w:r>
      <w:r w:rsidR="00C622AE">
        <w:rPr>
          <w:rFonts w:cs="Arial"/>
        </w:rPr>
        <w:t xml:space="preserve"> to</w:t>
      </w:r>
      <w:r w:rsidR="007F406E">
        <w:rPr>
          <w:rFonts w:cs="Arial"/>
        </w:rPr>
        <w:t xml:space="preserve"> a telehealth service</w:t>
      </w:r>
      <w:r w:rsidR="00C622AE">
        <w:rPr>
          <w:rFonts w:cs="Arial"/>
        </w:rPr>
        <w:t xml:space="preserve"> in regard to swelling</w:t>
      </w:r>
      <w:r w:rsidR="007F406E">
        <w:rPr>
          <w:rFonts w:cs="Arial"/>
        </w:rPr>
        <w:t xml:space="preserve"> </w:t>
      </w:r>
      <w:r w:rsidR="00C622AE">
        <w:rPr>
          <w:rFonts w:cs="Arial"/>
        </w:rPr>
        <w:t>in</w:t>
      </w:r>
      <w:r w:rsidR="007F406E">
        <w:rPr>
          <w:rFonts w:cs="Arial"/>
        </w:rPr>
        <w:t xml:space="preserve"> </w:t>
      </w:r>
      <w:r>
        <w:rPr>
          <w:rFonts w:cs="Arial"/>
        </w:rPr>
        <w:t>her daughter’s</w:t>
      </w:r>
      <w:r w:rsidR="007F406E">
        <w:rPr>
          <w:rFonts w:cs="Arial"/>
        </w:rPr>
        <w:t xml:space="preserve"> knee</w:t>
      </w:r>
      <w:r>
        <w:rPr>
          <w:rFonts w:cs="Arial"/>
        </w:rPr>
        <w:t>,</w:t>
      </w:r>
      <w:r w:rsidR="007F406E">
        <w:rPr>
          <w:rFonts w:cs="Arial"/>
        </w:rPr>
        <w:t xml:space="preserve"> </w:t>
      </w:r>
      <w:r>
        <w:rPr>
          <w:rFonts w:cs="Arial"/>
        </w:rPr>
        <w:t xml:space="preserve">and </w:t>
      </w:r>
      <w:r w:rsidR="007F406E">
        <w:rPr>
          <w:rFonts w:cs="Arial"/>
        </w:rPr>
        <w:t xml:space="preserve">was advised to take </w:t>
      </w:r>
      <w:r>
        <w:rPr>
          <w:rFonts w:cs="Arial"/>
        </w:rPr>
        <w:t>her</w:t>
      </w:r>
      <w:r w:rsidR="007F406E">
        <w:rPr>
          <w:rFonts w:cs="Arial"/>
        </w:rPr>
        <w:t xml:space="preserve"> back to ED. </w:t>
      </w:r>
      <w:r w:rsidR="00A6363C">
        <w:rPr>
          <w:rFonts w:cs="Arial"/>
        </w:rPr>
        <w:t>Later that day</w:t>
      </w:r>
      <w:r>
        <w:rPr>
          <w:rFonts w:cs="Arial"/>
        </w:rPr>
        <w:t>,</w:t>
      </w:r>
      <w:r w:rsidR="00A6363C">
        <w:rPr>
          <w:rFonts w:cs="Arial"/>
        </w:rPr>
        <w:t xml:space="preserve"> the girl </w:t>
      </w:r>
      <w:r>
        <w:rPr>
          <w:rFonts w:cs="Arial"/>
        </w:rPr>
        <w:t>returned to</w:t>
      </w:r>
      <w:r w:rsidR="00A6363C">
        <w:rPr>
          <w:rFonts w:cs="Arial"/>
        </w:rPr>
        <w:t xml:space="preserve"> ED via ambulance. She had red swollen knees, chest p</w:t>
      </w:r>
      <w:r w:rsidR="00EA18B2">
        <w:rPr>
          <w:rFonts w:cs="Arial"/>
        </w:rPr>
        <w:t xml:space="preserve">ain, an </w:t>
      </w:r>
      <w:r w:rsidR="000B7C58">
        <w:rPr>
          <w:rFonts w:cs="Arial"/>
        </w:rPr>
        <w:t>abnormally rapid heart</w:t>
      </w:r>
      <w:r w:rsidR="00A6363C">
        <w:rPr>
          <w:rFonts w:cs="Arial"/>
        </w:rPr>
        <w:t>beat</w:t>
      </w:r>
      <w:r>
        <w:rPr>
          <w:rFonts w:cs="Arial"/>
        </w:rPr>
        <w:t>,</w:t>
      </w:r>
      <w:r w:rsidR="00A6363C">
        <w:rPr>
          <w:rFonts w:cs="Arial"/>
        </w:rPr>
        <w:t xml:space="preserve"> and decreased oxygen saturations. He</w:t>
      </w:r>
      <w:r w:rsidR="00214127">
        <w:rPr>
          <w:rFonts w:cs="Arial"/>
        </w:rPr>
        <w:t>r</w:t>
      </w:r>
      <w:r w:rsidR="00A6363C">
        <w:rPr>
          <w:rFonts w:cs="Arial"/>
        </w:rPr>
        <w:t xml:space="preserve"> care was escalated rapidly because of concerns that she had a severe bacterial infection and sepsis. </w:t>
      </w:r>
      <w:r w:rsidR="00EA18B2">
        <w:rPr>
          <w:rFonts w:cs="Arial"/>
        </w:rPr>
        <w:t>Following surgery to drain her knees, s</w:t>
      </w:r>
      <w:r w:rsidR="00A6363C">
        <w:rPr>
          <w:rFonts w:cs="Arial"/>
        </w:rPr>
        <w:t>he was transferre</w:t>
      </w:r>
      <w:r w:rsidR="00EA18B2">
        <w:rPr>
          <w:rFonts w:cs="Arial"/>
        </w:rPr>
        <w:t xml:space="preserve">d to the Intensive Care Unit </w:t>
      </w:r>
      <w:r w:rsidR="00420E52">
        <w:rPr>
          <w:rFonts w:cs="Arial"/>
        </w:rPr>
        <w:t>and diagnosed</w:t>
      </w:r>
      <w:r w:rsidR="00A6363C">
        <w:rPr>
          <w:rFonts w:cs="Arial"/>
        </w:rPr>
        <w:t xml:space="preserve"> with </w:t>
      </w:r>
      <w:r w:rsidR="00C622AE">
        <w:rPr>
          <w:rFonts w:cs="Arial"/>
        </w:rPr>
        <w:t>septic arthritis in both knees</w:t>
      </w:r>
      <w:r w:rsidR="000B7C58">
        <w:rPr>
          <w:rFonts w:cs="Arial"/>
        </w:rPr>
        <w:t>.</w:t>
      </w:r>
      <w:r w:rsidR="00C622AE">
        <w:rPr>
          <w:rFonts w:cs="Arial"/>
        </w:rPr>
        <w:t xml:space="preserve"> The girl remained in hospital for several months and </w:t>
      </w:r>
      <w:r w:rsidR="00214127">
        <w:rPr>
          <w:rFonts w:cs="Arial"/>
        </w:rPr>
        <w:t xml:space="preserve">requires </w:t>
      </w:r>
      <w:r w:rsidR="00C622AE">
        <w:rPr>
          <w:rFonts w:cs="Arial"/>
        </w:rPr>
        <w:t>on-going rehabilitation.</w:t>
      </w:r>
    </w:p>
    <w:p w14:paraId="5ACCC33E" w14:textId="77777777" w:rsidR="00FE59F7" w:rsidRPr="00CF015B" w:rsidRDefault="00FE59F7" w:rsidP="00EB4A22">
      <w:pPr>
        <w:rPr>
          <w:rFonts w:cs="Arial"/>
        </w:rPr>
      </w:pPr>
    </w:p>
    <w:p w14:paraId="47DBBE97" w14:textId="77777777" w:rsidR="00EB4A22" w:rsidRPr="00CF015B" w:rsidRDefault="00EB4A22" w:rsidP="004D22EA">
      <w:pPr>
        <w:rPr>
          <w:rFonts w:cs="Arial"/>
          <w:i/>
        </w:rPr>
      </w:pPr>
      <w:r w:rsidRPr="00CF015B">
        <w:rPr>
          <w:rFonts w:cs="Arial"/>
          <w:i/>
        </w:rPr>
        <w:t>Findings</w:t>
      </w:r>
    </w:p>
    <w:p w14:paraId="7A388BC7" w14:textId="3553505E" w:rsidR="00C622AE" w:rsidRDefault="00C622AE" w:rsidP="00A504BF">
      <w:pPr>
        <w:spacing w:after="240"/>
        <w:rPr>
          <w:rFonts w:cs="Arial"/>
        </w:rPr>
      </w:pPr>
      <w:r>
        <w:rPr>
          <w:rFonts w:cs="Arial"/>
        </w:rPr>
        <w:t xml:space="preserve">Before the extent and nature of the girl’s disease was identified, she presented to ED three times and, each time, she was sent home with a different incorrect diagnosis. The Commissioner accepted that the illness the girl </w:t>
      </w:r>
      <w:r w:rsidR="00F024D3">
        <w:rPr>
          <w:rFonts w:cs="Arial"/>
        </w:rPr>
        <w:t xml:space="preserve">had </w:t>
      </w:r>
      <w:r>
        <w:rPr>
          <w:rFonts w:cs="Arial"/>
        </w:rPr>
        <w:t xml:space="preserve">developed was rare and that the signs and symptoms may have been subtle, </w:t>
      </w:r>
      <w:r w:rsidR="00F024D3">
        <w:rPr>
          <w:rFonts w:cs="Arial"/>
        </w:rPr>
        <w:t xml:space="preserve">but </w:t>
      </w:r>
      <w:r>
        <w:rPr>
          <w:rFonts w:cs="Arial"/>
        </w:rPr>
        <w:t>considered that there were a number of short-comings in the care the girl received across the three ED presentations, specifically:</w:t>
      </w:r>
    </w:p>
    <w:p w14:paraId="16F42EE0" w14:textId="5998FE62" w:rsidR="00EB4A22" w:rsidRDefault="00C622AE" w:rsidP="00C173EF">
      <w:pPr>
        <w:pStyle w:val="ListParagraph"/>
        <w:numPr>
          <w:ilvl w:val="0"/>
          <w:numId w:val="22"/>
        </w:numPr>
        <w:ind w:left="284" w:hanging="284"/>
        <w:rPr>
          <w:rFonts w:cs="Arial"/>
        </w:rPr>
      </w:pPr>
      <w:r>
        <w:rPr>
          <w:rFonts w:cs="Arial"/>
        </w:rPr>
        <w:lastRenderedPageBreak/>
        <w:t>At the first ED presentation:</w:t>
      </w:r>
    </w:p>
    <w:p w14:paraId="5D63E5FE" w14:textId="2AB1FB2E" w:rsidR="00C622AE" w:rsidRDefault="00C622AE" w:rsidP="00C173EF">
      <w:pPr>
        <w:pStyle w:val="ListParagraph"/>
        <w:numPr>
          <w:ilvl w:val="0"/>
          <w:numId w:val="23"/>
        </w:numPr>
        <w:ind w:left="567" w:hanging="283"/>
        <w:rPr>
          <w:rFonts w:cs="Arial"/>
        </w:rPr>
      </w:pPr>
      <w:r>
        <w:rPr>
          <w:rFonts w:cs="Arial"/>
        </w:rPr>
        <w:t>The girl’s nausea and chills were not documented by the triage nurse</w:t>
      </w:r>
    </w:p>
    <w:p w14:paraId="08FDCD7C" w14:textId="131CA0CE" w:rsidR="00F73285" w:rsidRDefault="00F73285" w:rsidP="00C173EF">
      <w:pPr>
        <w:pStyle w:val="ListParagraph"/>
        <w:numPr>
          <w:ilvl w:val="0"/>
          <w:numId w:val="23"/>
        </w:numPr>
        <w:ind w:left="567" w:hanging="283"/>
        <w:rPr>
          <w:rFonts w:cs="Arial"/>
        </w:rPr>
      </w:pPr>
      <w:r>
        <w:rPr>
          <w:rFonts w:cs="Arial"/>
        </w:rPr>
        <w:t>Vital signs were not taken by the triage nurse</w:t>
      </w:r>
    </w:p>
    <w:p w14:paraId="4CDD9399" w14:textId="2DF58032" w:rsidR="00C622AE" w:rsidRDefault="00C622AE" w:rsidP="00A504BF">
      <w:pPr>
        <w:pStyle w:val="ListParagraph"/>
        <w:numPr>
          <w:ilvl w:val="0"/>
          <w:numId w:val="23"/>
        </w:numPr>
        <w:spacing w:after="120"/>
        <w:ind w:left="567" w:hanging="283"/>
        <w:rPr>
          <w:rFonts w:cs="Arial"/>
        </w:rPr>
      </w:pPr>
      <w:r>
        <w:rPr>
          <w:rFonts w:cs="Arial"/>
        </w:rPr>
        <w:t>No safety-netting advice about when to return to ED was given</w:t>
      </w:r>
    </w:p>
    <w:p w14:paraId="3EB20FC7" w14:textId="107FEE45" w:rsidR="00C622AE" w:rsidRDefault="00C622AE" w:rsidP="00A504BF">
      <w:pPr>
        <w:pStyle w:val="ListParagraph"/>
        <w:numPr>
          <w:ilvl w:val="0"/>
          <w:numId w:val="22"/>
        </w:numPr>
        <w:ind w:left="284" w:hanging="284"/>
        <w:rPr>
          <w:rFonts w:cs="Arial"/>
        </w:rPr>
      </w:pPr>
      <w:r>
        <w:rPr>
          <w:rFonts w:cs="Arial"/>
        </w:rPr>
        <w:t>At the second ED presentation:</w:t>
      </w:r>
    </w:p>
    <w:p w14:paraId="26AF1D67" w14:textId="1FB74F81" w:rsidR="00F73285" w:rsidRDefault="00F73285" w:rsidP="00A504BF">
      <w:pPr>
        <w:pStyle w:val="ListParagraph"/>
        <w:numPr>
          <w:ilvl w:val="0"/>
          <w:numId w:val="23"/>
        </w:numPr>
        <w:ind w:left="567" w:hanging="283"/>
        <w:rPr>
          <w:rFonts w:cs="Arial"/>
        </w:rPr>
      </w:pPr>
      <w:r>
        <w:rPr>
          <w:rFonts w:cs="Arial"/>
        </w:rPr>
        <w:t>Vital signs were not taken by the triage nurse</w:t>
      </w:r>
    </w:p>
    <w:p w14:paraId="233CC3A0" w14:textId="583F0754" w:rsidR="00F73285" w:rsidRDefault="00C622AE" w:rsidP="00A504BF">
      <w:pPr>
        <w:pStyle w:val="ListParagraph"/>
        <w:numPr>
          <w:ilvl w:val="0"/>
          <w:numId w:val="23"/>
        </w:numPr>
        <w:ind w:left="567" w:hanging="283"/>
        <w:rPr>
          <w:rFonts w:cs="Arial"/>
        </w:rPr>
      </w:pPr>
      <w:r>
        <w:rPr>
          <w:rFonts w:cs="Arial"/>
        </w:rPr>
        <w:t xml:space="preserve">It was assumed that the girl had been </w:t>
      </w:r>
      <w:r w:rsidR="00F73285">
        <w:rPr>
          <w:rFonts w:cs="Arial"/>
        </w:rPr>
        <w:t xml:space="preserve">given codeine in the ED, when </w:t>
      </w:r>
      <w:r w:rsidR="00E802D3">
        <w:rPr>
          <w:rFonts w:cs="Arial"/>
        </w:rPr>
        <w:t xml:space="preserve">actually </w:t>
      </w:r>
      <w:r w:rsidR="00F73285">
        <w:rPr>
          <w:rFonts w:cs="Arial"/>
        </w:rPr>
        <w:t>she had been given morphine (despite the administration of morphine being recorded in the medication chart and notes)</w:t>
      </w:r>
    </w:p>
    <w:p w14:paraId="4288C759" w14:textId="050911E9" w:rsidR="00C622AE" w:rsidRDefault="00F73285" w:rsidP="00A504BF">
      <w:pPr>
        <w:pStyle w:val="ListParagraph"/>
        <w:numPr>
          <w:ilvl w:val="0"/>
          <w:numId w:val="23"/>
        </w:numPr>
        <w:spacing w:after="120"/>
        <w:ind w:left="568" w:hanging="284"/>
        <w:rPr>
          <w:rFonts w:cs="Arial"/>
        </w:rPr>
      </w:pPr>
      <w:r>
        <w:rPr>
          <w:rFonts w:cs="Arial"/>
        </w:rPr>
        <w:t>There was a lack of recognition of the possibility of more serious pathology, and in particular there was a failure to question for infective symptoms in the presence of red flags (repeat presentation and increased pain severity)</w:t>
      </w:r>
    </w:p>
    <w:p w14:paraId="61EBF2E1" w14:textId="4529CCC5" w:rsidR="00F73285" w:rsidRPr="00F73285" w:rsidRDefault="00F73285" w:rsidP="00A504BF">
      <w:pPr>
        <w:pStyle w:val="ListParagraph"/>
        <w:numPr>
          <w:ilvl w:val="0"/>
          <w:numId w:val="22"/>
        </w:numPr>
        <w:ind w:left="284" w:hanging="284"/>
        <w:rPr>
          <w:rFonts w:cs="Arial"/>
        </w:rPr>
      </w:pPr>
      <w:r>
        <w:rPr>
          <w:rFonts w:cs="Arial"/>
        </w:rPr>
        <w:t>At the third</w:t>
      </w:r>
      <w:r w:rsidRPr="00F73285">
        <w:rPr>
          <w:rFonts w:cs="Arial"/>
        </w:rPr>
        <w:t xml:space="preserve"> ED presentation:</w:t>
      </w:r>
    </w:p>
    <w:p w14:paraId="33D1865E" w14:textId="4800DCCE" w:rsidR="00F73285" w:rsidRDefault="00F73285" w:rsidP="00A504BF">
      <w:pPr>
        <w:pStyle w:val="ListParagraph"/>
        <w:numPr>
          <w:ilvl w:val="0"/>
          <w:numId w:val="23"/>
        </w:numPr>
        <w:ind w:left="567" w:hanging="283"/>
        <w:rPr>
          <w:rFonts w:cs="Arial"/>
        </w:rPr>
      </w:pPr>
      <w:r>
        <w:rPr>
          <w:rFonts w:cs="Arial"/>
        </w:rPr>
        <w:t xml:space="preserve">There was no documentation of </w:t>
      </w:r>
      <w:r w:rsidR="00E802D3">
        <w:rPr>
          <w:rFonts w:cs="Arial"/>
        </w:rPr>
        <w:t xml:space="preserve">infective </w:t>
      </w:r>
      <w:r>
        <w:rPr>
          <w:rFonts w:cs="Arial"/>
        </w:rPr>
        <w:t>symptoms</w:t>
      </w:r>
    </w:p>
    <w:p w14:paraId="109AEB06" w14:textId="325A2717" w:rsidR="00F73285" w:rsidRDefault="00F73285" w:rsidP="00A504BF">
      <w:pPr>
        <w:pStyle w:val="ListParagraph"/>
        <w:numPr>
          <w:ilvl w:val="0"/>
          <w:numId w:val="23"/>
        </w:numPr>
        <w:ind w:left="567" w:hanging="283"/>
        <w:rPr>
          <w:rFonts w:cs="Arial"/>
        </w:rPr>
      </w:pPr>
      <w:r>
        <w:rPr>
          <w:rFonts w:cs="Arial"/>
        </w:rPr>
        <w:t>There was a lack of critical thinking regard</w:t>
      </w:r>
      <w:r w:rsidR="00E802D3">
        <w:rPr>
          <w:rFonts w:cs="Arial"/>
        </w:rPr>
        <w:t>ing</w:t>
      </w:r>
      <w:r>
        <w:rPr>
          <w:rFonts w:cs="Arial"/>
        </w:rPr>
        <w:t xml:space="preserve"> the wider clinical picture</w:t>
      </w:r>
      <w:r w:rsidR="000B7C58">
        <w:rPr>
          <w:rFonts w:cs="Arial"/>
        </w:rPr>
        <w:t xml:space="preserve"> </w:t>
      </w:r>
      <w:r w:rsidR="00E802D3">
        <w:rPr>
          <w:rFonts w:cs="Arial"/>
        </w:rPr>
        <w:t xml:space="preserve">— </w:t>
      </w:r>
      <w:r w:rsidR="000B7C58">
        <w:rPr>
          <w:rFonts w:cs="Arial"/>
        </w:rPr>
        <w:t>a previously health</w:t>
      </w:r>
      <w:r w:rsidR="00EA18B2">
        <w:rPr>
          <w:rFonts w:cs="Arial"/>
        </w:rPr>
        <w:t>y</w:t>
      </w:r>
      <w:r w:rsidR="000B7C58">
        <w:rPr>
          <w:rFonts w:cs="Arial"/>
        </w:rPr>
        <w:t xml:space="preserve"> teenager with</w:t>
      </w:r>
      <w:r w:rsidR="00EA18B2">
        <w:rPr>
          <w:rFonts w:cs="Arial"/>
        </w:rPr>
        <w:t xml:space="preserve"> an atraumatic presentation,</w:t>
      </w:r>
      <w:r w:rsidR="000B7C58">
        <w:rPr>
          <w:rFonts w:cs="Arial"/>
        </w:rPr>
        <w:t xml:space="preserve"> increasing pain spreading to both knees</w:t>
      </w:r>
      <w:r w:rsidR="00DD7455">
        <w:rPr>
          <w:rFonts w:cs="Arial"/>
        </w:rPr>
        <w:t>,</w:t>
      </w:r>
      <w:r w:rsidR="000B7C58">
        <w:rPr>
          <w:rFonts w:cs="Arial"/>
        </w:rPr>
        <w:t xml:space="preserve"> and an inability to weight bear. She was receiving strong analgesia, this was her third presentation in three days</w:t>
      </w:r>
      <w:r w:rsidR="00EA18B2">
        <w:rPr>
          <w:rFonts w:cs="Arial"/>
        </w:rPr>
        <w:t>,</w:t>
      </w:r>
      <w:r w:rsidR="000B7C58">
        <w:rPr>
          <w:rFonts w:cs="Arial"/>
        </w:rPr>
        <w:t xml:space="preserve"> and the X-ray and level of pain did not support the presumed diagnosis of Osgood-</w:t>
      </w:r>
      <w:proofErr w:type="spellStart"/>
      <w:r w:rsidR="000B7C58">
        <w:rPr>
          <w:rFonts w:cs="Arial"/>
        </w:rPr>
        <w:t>Schlatter</w:t>
      </w:r>
      <w:proofErr w:type="spellEnd"/>
      <w:r w:rsidR="000B7C58">
        <w:rPr>
          <w:rFonts w:cs="Arial"/>
        </w:rPr>
        <w:t xml:space="preserve"> disease</w:t>
      </w:r>
    </w:p>
    <w:p w14:paraId="54DA697E" w14:textId="65DAAE93" w:rsidR="00F73285" w:rsidRDefault="00F73285" w:rsidP="00A504BF">
      <w:pPr>
        <w:pStyle w:val="ListParagraph"/>
        <w:numPr>
          <w:ilvl w:val="0"/>
          <w:numId w:val="23"/>
        </w:numPr>
        <w:spacing w:after="240"/>
        <w:ind w:left="568" w:hanging="284"/>
        <w:rPr>
          <w:rFonts w:cs="Arial"/>
        </w:rPr>
      </w:pPr>
      <w:r>
        <w:rPr>
          <w:rFonts w:cs="Arial"/>
        </w:rPr>
        <w:t>The SMO was not advised that the girl was unable to sleep with pain despite taking analgesics</w:t>
      </w:r>
      <w:r w:rsidR="00DD7455">
        <w:rPr>
          <w:rFonts w:cs="Arial"/>
        </w:rPr>
        <w:t>,</w:t>
      </w:r>
      <w:r>
        <w:rPr>
          <w:rFonts w:cs="Arial"/>
        </w:rPr>
        <w:t xml:space="preserve"> and could not weight bear (red flag symptoms)</w:t>
      </w:r>
      <w:r w:rsidR="00DD7455">
        <w:rPr>
          <w:rFonts w:cs="Arial"/>
        </w:rPr>
        <w:t>.</w:t>
      </w:r>
    </w:p>
    <w:p w14:paraId="25E411B5" w14:textId="479A72A0" w:rsidR="000B7C58" w:rsidRDefault="000B7C58" w:rsidP="000B7C58">
      <w:pPr>
        <w:rPr>
          <w:rFonts w:cs="Arial"/>
        </w:rPr>
      </w:pPr>
      <w:r>
        <w:rPr>
          <w:rFonts w:cs="Arial"/>
        </w:rPr>
        <w:t>The Commissioner considered that the DHB was responsible for the inadequacies in the service provided, and therefore failed to provide services to the girl with reasonable care and skill</w:t>
      </w:r>
      <w:r w:rsidR="00DD7455">
        <w:rPr>
          <w:rFonts w:cs="Arial"/>
        </w:rPr>
        <w:t>,</w:t>
      </w:r>
      <w:r>
        <w:rPr>
          <w:rFonts w:cs="Arial"/>
        </w:rPr>
        <w:t xml:space="preserve"> in breach of Right 4(1).</w:t>
      </w:r>
    </w:p>
    <w:p w14:paraId="502278C6" w14:textId="5A346534" w:rsidR="000B7C58" w:rsidRDefault="000B7C58" w:rsidP="000B7C58">
      <w:pPr>
        <w:rPr>
          <w:rFonts w:cs="Arial"/>
        </w:rPr>
      </w:pPr>
    </w:p>
    <w:p w14:paraId="271B5642" w14:textId="39A2D1CD" w:rsidR="000B7C58" w:rsidRPr="000B7C58" w:rsidRDefault="000B7C58" w:rsidP="000B7C58">
      <w:pPr>
        <w:rPr>
          <w:rFonts w:cs="Arial"/>
        </w:rPr>
      </w:pPr>
      <w:r>
        <w:rPr>
          <w:rFonts w:cs="Arial"/>
        </w:rPr>
        <w:t>The Commissioner noted that the pressure on staff, in light of high patient acuity and staffing levels</w:t>
      </w:r>
      <w:r w:rsidR="00EA18B2">
        <w:rPr>
          <w:rFonts w:cs="Arial"/>
        </w:rPr>
        <w:t xml:space="preserve"> at the time</w:t>
      </w:r>
      <w:r>
        <w:rPr>
          <w:rFonts w:cs="Arial"/>
        </w:rPr>
        <w:t xml:space="preserve">, likely </w:t>
      </w:r>
      <w:r w:rsidR="00DD7455">
        <w:rPr>
          <w:rFonts w:cs="Arial"/>
        </w:rPr>
        <w:t>affected</w:t>
      </w:r>
      <w:r>
        <w:rPr>
          <w:rFonts w:cs="Arial"/>
        </w:rPr>
        <w:t xml:space="preserve"> the quality of services the girl received.</w:t>
      </w:r>
    </w:p>
    <w:p w14:paraId="301A038D" w14:textId="6032FCF7" w:rsidR="00C622AE" w:rsidRPr="000B7C58" w:rsidRDefault="00C622AE" w:rsidP="000B7C58">
      <w:pPr>
        <w:rPr>
          <w:rFonts w:cs="Arial"/>
        </w:rPr>
      </w:pPr>
    </w:p>
    <w:p w14:paraId="7B0F3D55" w14:textId="77777777" w:rsidR="00EB4A22" w:rsidRPr="00612AB2" w:rsidRDefault="00EB4A22" w:rsidP="004D22EA">
      <w:pPr>
        <w:rPr>
          <w:rFonts w:cs="Arial"/>
          <w:i/>
        </w:rPr>
      </w:pPr>
      <w:r w:rsidRPr="00612AB2">
        <w:rPr>
          <w:rFonts w:cs="Arial"/>
          <w:i/>
        </w:rPr>
        <w:t>Recommendations</w:t>
      </w:r>
    </w:p>
    <w:p w14:paraId="0881FAFD" w14:textId="1BC982B6" w:rsidR="00EA18B2" w:rsidRDefault="000B7C58" w:rsidP="00EB4A22">
      <w:pPr>
        <w:spacing w:after="240"/>
        <w:rPr>
          <w:rFonts w:cs="Arial"/>
        </w:rPr>
      </w:pPr>
      <w:r>
        <w:rPr>
          <w:rFonts w:cs="Arial"/>
        </w:rPr>
        <w:t>The DHB advised that at the time of these events</w:t>
      </w:r>
      <w:r w:rsidR="00E77BF6">
        <w:rPr>
          <w:rFonts w:cs="Arial"/>
        </w:rPr>
        <w:t xml:space="preserve"> t</w:t>
      </w:r>
      <w:r>
        <w:rPr>
          <w:rFonts w:cs="Arial"/>
        </w:rPr>
        <w:t>here was no system for automatic SMO review for patients with multiple re</w:t>
      </w:r>
      <w:r w:rsidR="00BB68C4">
        <w:rPr>
          <w:rFonts w:cs="Arial"/>
        </w:rPr>
        <w:t>-</w:t>
      </w:r>
      <w:r>
        <w:rPr>
          <w:rFonts w:cs="Arial"/>
        </w:rPr>
        <w:t>presentations</w:t>
      </w:r>
      <w:r w:rsidR="00BB68C4">
        <w:rPr>
          <w:rFonts w:cs="Arial"/>
        </w:rPr>
        <w:t>,</w:t>
      </w:r>
      <w:r>
        <w:rPr>
          <w:rFonts w:cs="Arial"/>
        </w:rPr>
        <w:t xml:space="preserve"> </w:t>
      </w:r>
      <w:r w:rsidR="00EA18B2">
        <w:rPr>
          <w:rFonts w:cs="Arial"/>
        </w:rPr>
        <w:t xml:space="preserve">and that </w:t>
      </w:r>
      <w:r w:rsidR="00BB68C4">
        <w:rPr>
          <w:rFonts w:cs="Arial"/>
        </w:rPr>
        <w:t xml:space="preserve">its </w:t>
      </w:r>
      <w:r w:rsidR="00E77BF6">
        <w:rPr>
          <w:rFonts w:cs="Arial"/>
        </w:rPr>
        <w:t xml:space="preserve">triage processes were not as robust as they could </w:t>
      </w:r>
      <w:r w:rsidR="00EA18B2">
        <w:rPr>
          <w:rFonts w:cs="Arial"/>
        </w:rPr>
        <w:t xml:space="preserve">have </w:t>
      </w:r>
      <w:r w:rsidR="00E77BF6">
        <w:rPr>
          <w:rFonts w:cs="Arial"/>
        </w:rPr>
        <w:t xml:space="preserve">been. The DHB made a number of changes to address these issues. </w:t>
      </w:r>
    </w:p>
    <w:p w14:paraId="12CB7510" w14:textId="1CA82E33" w:rsidR="000B7C58" w:rsidRDefault="00E77BF6" w:rsidP="00EB4A22">
      <w:pPr>
        <w:spacing w:after="240"/>
        <w:rPr>
          <w:rFonts w:cs="Arial"/>
        </w:rPr>
      </w:pPr>
      <w:r>
        <w:rPr>
          <w:rFonts w:cs="Arial"/>
        </w:rPr>
        <w:t xml:space="preserve">Bearing </w:t>
      </w:r>
      <w:r w:rsidR="00215948">
        <w:rPr>
          <w:rFonts w:cs="Arial"/>
        </w:rPr>
        <w:t xml:space="preserve">in mind </w:t>
      </w:r>
      <w:r>
        <w:rPr>
          <w:rFonts w:cs="Arial"/>
        </w:rPr>
        <w:t>these changes, the Commissioner made the following recommendations to the DHB:</w:t>
      </w:r>
    </w:p>
    <w:p w14:paraId="26946F85" w14:textId="542EE32B" w:rsidR="00EB4A22" w:rsidRDefault="006B7C2A" w:rsidP="00EB4A22">
      <w:pPr>
        <w:pStyle w:val="ListParagraph"/>
        <w:numPr>
          <w:ilvl w:val="0"/>
          <w:numId w:val="9"/>
        </w:numPr>
        <w:spacing w:after="120"/>
        <w:ind w:left="284" w:hanging="284"/>
        <w:rPr>
          <w:rFonts w:cs="Arial"/>
        </w:rPr>
      </w:pPr>
      <w:r>
        <w:rPr>
          <w:rFonts w:cs="Arial"/>
        </w:rPr>
        <w:t>Using an anonymised version of this case, p</w:t>
      </w:r>
      <w:r w:rsidR="00EB4A22">
        <w:rPr>
          <w:rFonts w:cs="Arial"/>
        </w:rPr>
        <w:t xml:space="preserve">rovide </w:t>
      </w:r>
      <w:r w:rsidR="00E77BF6">
        <w:rPr>
          <w:rFonts w:cs="Arial"/>
        </w:rPr>
        <w:t xml:space="preserve">training to clinical staff on the importance of carrying out vital signs routinely on ED presentations unless it is clearly not clinically indicated, and of considering possible serious pathologies, particularly in the context of atraumatic pain </w:t>
      </w:r>
    </w:p>
    <w:p w14:paraId="05670AE4" w14:textId="25CDD139" w:rsidR="00E77BF6" w:rsidRPr="0061030B" w:rsidRDefault="00E77BF6" w:rsidP="00EB4A22">
      <w:pPr>
        <w:pStyle w:val="ListParagraph"/>
        <w:numPr>
          <w:ilvl w:val="0"/>
          <w:numId w:val="9"/>
        </w:numPr>
        <w:spacing w:after="120"/>
        <w:ind w:left="284" w:hanging="284"/>
        <w:rPr>
          <w:rFonts w:cs="Arial"/>
        </w:rPr>
      </w:pPr>
      <w:r>
        <w:rPr>
          <w:rFonts w:cs="Arial"/>
        </w:rPr>
        <w:t>Perform a random audit of ED presentations to confirm whether vital signs were performed where clinically indicated; discharge instructions included ED return criteria; and any recurrent presentations within 48 hours were reviewed in person by the SMO</w:t>
      </w:r>
      <w:r w:rsidR="00EA18B2">
        <w:rPr>
          <w:rFonts w:cs="Arial"/>
        </w:rPr>
        <w:t>.</w:t>
      </w:r>
    </w:p>
    <w:p w14:paraId="48D022B1" w14:textId="2D2CD5FC" w:rsidR="00EB4A22" w:rsidRDefault="006B7C2A" w:rsidP="00EB4A22">
      <w:pPr>
        <w:pStyle w:val="ListParagraph"/>
        <w:numPr>
          <w:ilvl w:val="0"/>
          <w:numId w:val="9"/>
        </w:numPr>
        <w:spacing w:after="120"/>
        <w:ind w:left="284" w:hanging="284"/>
        <w:rPr>
          <w:rFonts w:cs="Arial"/>
        </w:rPr>
      </w:pPr>
      <w:r>
        <w:rPr>
          <w:rFonts w:cs="Arial"/>
        </w:rPr>
        <w:t>C</w:t>
      </w:r>
      <w:r w:rsidR="00F152F2">
        <w:rPr>
          <w:rFonts w:cs="Arial"/>
        </w:rPr>
        <w:t xml:space="preserve">onsider </w:t>
      </w:r>
      <w:r w:rsidR="00E77BF6">
        <w:rPr>
          <w:rFonts w:cs="Arial"/>
        </w:rPr>
        <w:t>whether a review of its ED staffing levels is warranted</w:t>
      </w:r>
      <w:r w:rsidR="00EA18B2">
        <w:rPr>
          <w:rFonts w:cs="Arial"/>
        </w:rPr>
        <w:t>.</w:t>
      </w:r>
    </w:p>
    <w:p w14:paraId="18C82C93" w14:textId="253FE3BB" w:rsidR="00E77BF6" w:rsidRDefault="006B7C2A" w:rsidP="00EB4A22">
      <w:pPr>
        <w:pStyle w:val="ListParagraph"/>
        <w:numPr>
          <w:ilvl w:val="0"/>
          <w:numId w:val="9"/>
        </w:numPr>
        <w:spacing w:after="120"/>
        <w:ind w:left="284" w:hanging="284"/>
        <w:rPr>
          <w:rFonts w:cs="Arial"/>
        </w:rPr>
      </w:pPr>
      <w:r>
        <w:rPr>
          <w:rFonts w:cs="Arial"/>
        </w:rPr>
        <w:t xml:space="preserve">Provide </w:t>
      </w:r>
      <w:r w:rsidR="00E77BF6">
        <w:rPr>
          <w:rFonts w:cs="Arial"/>
        </w:rPr>
        <w:t>a written apology to the girl and her family for the issues identified</w:t>
      </w:r>
      <w:r w:rsidR="00EA18B2">
        <w:rPr>
          <w:rFonts w:cs="Arial"/>
        </w:rPr>
        <w:t>.</w:t>
      </w:r>
    </w:p>
    <w:p w14:paraId="3A8FA393" w14:textId="77777777" w:rsidR="00EB4A22" w:rsidRDefault="00EB4A22" w:rsidP="00EB4A22">
      <w:pPr>
        <w:pStyle w:val="ListParagraph"/>
        <w:spacing w:after="240"/>
        <w:ind w:left="284"/>
        <w:contextualSpacing/>
        <w:rPr>
          <w:rFonts w:cs="Arial"/>
        </w:rPr>
      </w:pPr>
    </w:p>
    <w:p w14:paraId="338321E8" w14:textId="08C44786" w:rsidR="00EB4A22" w:rsidRPr="00F666F0" w:rsidRDefault="00EB4A22" w:rsidP="00932E72">
      <w:pPr>
        <w:pStyle w:val="Heading3"/>
        <w:rPr>
          <w:rStyle w:val="Heading2Char"/>
          <w:i/>
          <w:iCs w:val="0"/>
          <w:sz w:val="28"/>
          <w:szCs w:val="28"/>
          <w:lang w:bidi="ar-SA"/>
        </w:rPr>
      </w:pPr>
      <w:bookmarkStart w:id="109" w:name="_Toc71561666"/>
      <w:bookmarkStart w:id="110" w:name="_Toc90639032"/>
      <w:r>
        <w:rPr>
          <w:lang w:val="en-AU" w:bidi="ar-SA"/>
        </w:rPr>
        <w:lastRenderedPageBreak/>
        <w:t>6.2</w:t>
      </w:r>
      <w:r w:rsidRPr="00666BAC">
        <w:rPr>
          <w:lang w:val="en-AU" w:bidi="ar-SA"/>
        </w:rPr>
        <w:t xml:space="preserve"> </w:t>
      </w:r>
      <w:r w:rsidRPr="00666BAC">
        <w:rPr>
          <w:lang w:val="en-AU" w:bidi="ar-SA"/>
        </w:rPr>
        <w:tab/>
      </w:r>
      <w:r w:rsidR="00E77BF6" w:rsidRPr="00A504BF">
        <w:rPr>
          <w:lang w:val="en-AU" w:bidi="ar-SA"/>
        </w:rPr>
        <w:t>Failure</w:t>
      </w:r>
      <w:r w:rsidR="00E77BF6">
        <w:rPr>
          <w:lang w:val="en-AU" w:bidi="ar-SA"/>
        </w:rPr>
        <w:t xml:space="preserve"> of two DHBs caring for a premature baby</w:t>
      </w:r>
      <w:r>
        <w:rPr>
          <w:rStyle w:val="FootnoteReference"/>
          <w:b w:val="0"/>
          <w:i/>
          <w:lang w:val="en-AU" w:bidi="ar-SA"/>
        </w:rPr>
        <w:footnoteReference w:id="7"/>
      </w:r>
      <w:bookmarkEnd w:id="109"/>
      <w:bookmarkEnd w:id="110"/>
    </w:p>
    <w:p w14:paraId="48B8A383" w14:textId="257EE586" w:rsidR="00EB4A22" w:rsidRPr="00DB65DD" w:rsidRDefault="00EB4A22" w:rsidP="00EB4A22">
      <w:pPr>
        <w:spacing w:after="240"/>
        <w:rPr>
          <w:b/>
        </w:rPr>
      </w:pPr>
      <w:r w:rsidRPr="00DB65DD">
        <w:rPr>
          <w:b/>
        </w:rPr>
        <w:t xml:space="preserve">This case highlights the </w:t>
      </w:r>
      <w:r w:rsidR="0065103A">
        <w:rPr>
          <w:b/>
        </w:rPr>
        <w:t>critical importance of clear and effective communication systems between clinicians and DHBs, including process</w:t>
      </w:r>
      <w:r w:rsidR="00EA18B2">
        <w:rPr>
          <w:b/>
        </w:rPr>
        <w:t>es</w:t>
      </w:r>
      <w:r w:rsidR="0065103A">
        <w:rPr>
          <w:b/>
        </w:rPr>
        <w:t xml:space="preserve"> that support robust discharge planning and transfer of information.</w:t>
      </w:r>
      <w:r>
        <w:rPr>
          <w:b/>
        </w:rPr>
        <w:t xml:space="preserve"> </w:t>
      </w:r>
    </w:p>
    <w:p w14:paraId="6E65B772" w14:textId="77777777" w:rsidR="00EB4A22" w:rsidRDefault="00EB4A22" w:rsidP="00EB4A22">
      <w:pPr>
        <w:spacing w:before="120"/>
        <w:rPr>
          <w:i/>
          <w:szCs w:val="22"/>
        </w:rPr>
      </w:pPr>
      <w:r w:rsidRPr="005A62C7">
        <w:rPr>
          <w:i/>
          <w:szCs w:val="22"/>
        </w:rPr>
        <w:t>Background</w:t>
      </w:r>
    </w:p>
    <w:p w14:paraId="733BD671" w14:textId="540AA66C" w:rsidR="00EA18B2" w:rsidRDefault="00EB4A22" w:rsidP="004D22EA">
      <w:pPr>
        <w:spacing w:after="240"/>
        <w:rPr>
          <w:szCs w:val="22"/>
        </w:rPr>
      </w:pPr>
      <w:r>
        <w:rPr>
          <w:szCs w:val="22"/>
        </w:rPr>
        <w:t xml:space="preserve">A </w:t>
      </w:r>
      <w:r w:rsidR="00E77BF6">
        <w:rPr>
          <w:szCs w:val="22"/>
        </w:rPr>
        <w:t>baby was born at DHB1 at 24 weeks</w:t>
      </w:r>
      <w:r w:rsidR="00BA006B">
        <w:rPr>
          <w:szCs w:val="22"/>
        </w:rPr>
        <w:t>’</w:t>
      </w:r>
      <w:r w:rsidR="00E77BF6">
        <w:rPr>
          <w:szCs w:val="22"/>
        </w:rPr>
        <w:t xml:space="preserve"> gestation. He was the second of twins and weighed 675g. The baby had a number of complications and was transferred to DHB2 owing to his extreme prematurity. Given his low birthweight, his prematurity</w:t>
      </w:r>
      <w:r w:rsidR="00BF6C02">
        <w:rPr>
          <w:szCs w:val="22"/>
        </w:rPr>
        <w:t>,</w:t>
      </w:r>
      <w:r w:rsidR="00E77BF6">
        <w:rPr>
          <w:szCs w:val="22"/>
        </w:rPr>
        <w:t xml:space="preserve"> and the complications he experienced, the baby was at an increased risk of developing retinopathy of prematurity</w:t>
      </w:r>
      <w:r w:rsidR="009C227D">
        <w:rPr>
          <w:szCs w:val="22"/>
        </w:rPr>
        <w:t xml:space="preserve"> (R</w:t>
      </w:r>
      <w:r w:rsidR="00543DCF">
        <w:rPr>
          <w:szCs w:val="22"/>
        </w:rPr>
        <w:t xml:space="preserve">OP) </w:t>
      </w:r>
      <w:r w:rsidR="00BF6C02">
        <w:rPr>
          <w:szCs w:val="22"/>
        </w:rPr>
        <w:t xml:space="preserve">— </w:t>
      </w:r>
      <w:r w:rsidR="00543DCF">
        <w:rPr>
          <w:szCs w:val="22"/>
        </w:rPr>
        <w:t xml:space="preserve">an </w:t>
      </w:r>
      <w:r w:rsidR="009C227D">
        <w:rPr>
          <w:szCs w:val="22"/>
        </w:rPr>
        <w:t>abnormality in the growth of blood vessels in the eye</w:t>
      </w:r>
      <w:r w:rsidR="00BF6C02">
        <w:rPr>
          <w:szCs w:val="22"/>
        </w:rPr>
        <w:t>,</w:t>
      </w:r>
      <w:r w:rsidR="009C227D">
        <w:rPr>
          <w:szCs w:val="22"/>
        </w:rPr>
        <w:t xml:space="preserve"> which if untreated can lead to retinal detachme</w:t>
      </w:r>
      <w:r w:rsidR="00FF7632">
        <w:rPr>
          <w:szCs w:val="22"/>
        </w:rPr>
        <w:t>nt and loss of vision</w:t>
      </w:r>
      <w:r w:rsidR="009C227D">
        <w:rPr>
          <w:szCs w:val="22"/>
        </w:rPr>
        <w:t>.</w:t>
      </w:r>
      <w:r w:rsidR="00EA18B2">
        <w:rPr>
          <w:szCs w:val="22"/>
        </w:rPr>
        <w:t xml:space="preserve"> In order to be successful, treatment should occur when the baby is between 34 and 38 weeks</w:t>
      </w:r>
      <w:r w:rsidR="00BF6C02">
        <w:rPr>
          <w:szCs w:val="22"/>
        </w:rPr>
        <w:t xml:space="preserve"> old</w:t>
      </w:r>
      <w:r w:rsidR="00EA18B2">
        <w:rPr>
          <w:szCs w:val="22"/>
        </w:rPr>
        <w:t>.</w:t>
      </w:r>
    </w:p>
    <w:p w14:paraId="19829202" w14:textId="5325F991" w:rsidR="00260D94" w:rsidRDefault="009C227D" w:rsidP="00A504BF">
      <w:pPr>
        <w:spacing w:after="240"/>
        <w:rPr>
          <w:szCs w:val="22"/>
        </w:rPr>
      </w:pPr>
      <w:r>
        <w:rPr>
          <w:szCs w:val="22"/>
        </w:rPr>
        <w:t xml:space="preserve">The baby was screened for ROP at DHB2 at </w:t>
      </w:r>
      <w:r w:rsidR="00943904">
        <w:rPr>
          <w:szCs w:val="22"/>
        </w:rPr>
        <w:t xml:space="preserve">30 and 32 weeks. At </w:t>
      </w:r>
      <w:r w:rsidR="00260D94">
        <w:rPr>
          <w:szCs w:val="22"/>
        </w:rPr>
        <w:t>32 weeks</w:t>
      </w:r>
      <w:r w:rsidR="00BF6C02">
        <w:rPr>
          <w:szCs w:val="22"/>
        </w:rPr>
        <w:t>,</w:t>
      </w:r>
      <w:r w:rsidR="00260D94">
        <w:rPr>
          <w:szCs w:val="22"/>
        </w:rPr>
        <w:t xml:space="preserve"> Stage 1 ROP was detected, and this finding was recorded in the Eye Book that was held at NICU, but was not reco</w:t>
      </w:r>
      <w:r w:rsidR="00214127">
        <w:rPr>
          <w:szCs w:val="22"/>
        </w:rPr>
        <w:t>r</w:t>
      </w:r>
      <w:r w:rsidR="00260D94">
        <w:rPr>
          <w:szCs w:val="22"/>
        </w:rPr>
        <w:t>ded in the clinical notes. A plan was made for further ophthalmology review at 34 weeks. However</w:t>
      </w:r>
      <w:r w:rsidR="00BF6C02">
        <w:rPr>
          <w:szCs w:val="22"/>
        </w:rPr>
        <w:t>,</w:t>
      </w:r>
      <w:r w:rsidR="00260D94">
        <w:rPr>
          <w:szCs w:val="22"/>
        </w:rPr>
        <w:t xml:space="preserve"> when the baby was 33 weeks </w:t>
      </w:r>
      <w:r w:rsidR="00BF6C02">
        <w:rPr>
          <w:szCs w:val="22"/>
        </w:rPr>
        <w:t xml:space="preserve">old </w:t>
      </w:r>
      <w:r w:rsidR="00260D94">
        <w:rPr>
          <w:szCs w:val="22"/>
        </w:rPr>
        <w:t>he was transferred back to DHB1. During transfer</w:t>
      </w:r>
      <w:r w:rsidR="00BF6C02">
        <w:rPr>
          <w:szCs w:val="22"/>
        </w:rPr>
        <w:t>,</w:t>
      </w:r>
      <w:r w:rsidR="00260D94">
        <w:rPr>
          <w:szCs w:val="22"/>
        </w:rPr>
        <w:t xml:space="preserve"> a discharge letter was generated to assist with the handover of the baby’s care from DHB2 to DHB1. Because the baby’s ROP status was not documented in the clinical notes, it was not automatically included in the discharge letter. </w:t>
      </w:r>
    </w:p>
    <w:p w14:paraId="5F0E4227" w14:textId="77D574F2" w:rsidR="00260D94" w:rsidRDefault="00260D94" w:rsidP="00A504BF">
      <w:pPr>
        <w:spacing w:after="240"/>
        <w:rPr>
          <w:szCs w:val="22"/>
        </w:rPr>
      </w:pPr>
      <w:r>
        <w:rPr>
          <w:szCs w:val="22"/>
        </w:rPr>
        <w:t xml:space="preserve">The neonatal paediatrician at DHB2 called a paediatrician at DHB1 to discuss the baby’s transfer. The neonatal paediatrician did not discuss the baby’s ROP status or the timing for follow-up of the ROP examination. The neonatal paediatrician advised that the </w:t>
      </w:r>
      <w:r w:rsidR="00EA18B2">
        <w:rPr>
          <w:szCs w:val="22"/>
        </w:rPr>
        <w:t xml:space="preserve">main focus during transfer was </w:t>
      </w:r>
      <w:r>
        <w:rPr>
          <w:szCs w:val="22"/>
        </w:rPr>
        <w:t>o</w:t>
      </w:r>
      <w:r w:rsidR="00EA18B2">
        <w:rPr>
          <w:szCs w:val="22"/>
        </w:rPr>
        <w:t>n</w:t>
      </w:r>
      <w:r>
        <w:rPr>
          <w:szCs w:val="22"/>
        </w:rPr>
        <w:t xml:space="preserve"> maintaining a stable respiratory status and ensuring growth. </w:t>
      </w:r>
    </w:p>
    <w:p w14:paraId="6707B864" w14:textId="2A619381" w:rsidR="00B84D15" w:rsidRDefault="00B84D15" w:rsidP="00A504BF">
      <w:pPr>
        <w:spacing w:after="240"/>
        <w:rPr>
          <w:szCs w:val="22"/>
        </w:rPr>
      </w:pPr>
      <w:r>
        <w:rPr>
          <w:szCs w:val="22"/>
        </w:rPr>
        <w:t xml:space="preserve">The baby was then admitted to DHB1. The receiving paediatrician wrote a management plan for the baby. The paediatrician noted that </w:t>
      </w:r>
      <w:r w:rsidR="00BF6C02">
        <w:rPr>
          <w:szCs w:val="22"/>
        </w:rPr>
        <w:t>the documentation showed</w:t>
      </w:r>
      <w:r>
        <w:rPr>
          <w:szCs w:val="22"/>
        </w:rPr>
        <w:t xml:space="preserve"> </w:t>
      </w:r>
      <w:r w:rsidR="00C20DCB">
        <w:rPr>
          <w:szCs w:val="22"/>
        </w:rPr>
        <w:t xml:space="preserve">no indication that an ROP assessment was required urgently, </w:t>
      </w:r>
      <w:r w:rsidR="00BF6C02">
        <w:rPr>
          <w:szCs w:val="22"/>
        </w:rPr>
        <w:t xml:space="preserve">but </w:t>
      </w:r>
      <w:r w:rsidR="00C20DCB">
        <w:rPr>
          <w:szCs w:val="22"/>
        </w:rPr>
        <w:t>he was aware of the guidelines f</w:t>
      </w:r>
      <w:r w:rsidR="00FF7632">
        <w:rPr>
          <w:szCs w:val="22"/>
        </w:rPr>
        <w:t>or the management of ROP, and</w:t>
      </w:r>
      <w:r w:rsidR="00C20DCB">
        <w:rPr>
          <w:szCs w:val="22"/>
        </w:rPr>
        <w:t xml:space="preserve"> he documented ROP follow-up as part of the management plan. </w:t>
      </w:r>
      <w:r w:rsidR="00543DCF">
        <w:rPr>
          <w:szCs w:val="22"/>
        </w:rPr>
        <w:t>However, t</w:t>
      </w:r>
      <w:r w:rsidR="00C20DCB">
        <w:rPr>
          <w:szCs w:val="22"/>
        </w:rPr>
        <w:t>he paediatrician did not arrange an ROP assessment</w:t>
      </w:r>
      <w:r w:rsidR="00543DCF">
        <w:rPr>
          <w:szCs w:val="22"/>
        </w:rPr>
        <w:t>.</w:t>
      </w:r>
    </w:p>
    <w:p w14:paraId="3150FE5B" w14:textId="24D5EC80" w:rsidR="00C20DCB" w:rsidRDefault="00C20DCB" w:rsidP="00A504BF">
      <w:pPr>
        <w:spacing w:after="240"/>
        <w:rPr>
          <w:szCs w:val="22"/>
        </w:rPr>
      </w:pPr>
      <w:r>
        <w:rPr>
          <w:szCs w:val="22"/>
        </w:rPr>
        <w:t>The baby’s father reported that a nurse at DHB2 had told him to “make sure they test his eyes”, and that as a result he mentioned it numerous times to doctors and nurses at DHB1.</w:t>
      </w:r>
      <w:r w:rsidR="00B766FA">
        <w:rPr>
          <w:szCs w:val="22"/>
        </w:rPr>
        <w:t xml:space="preserve"> One of these queries was documented.</w:t>
      </w:r>
      <w:r>
        <w:rPr>
          <w:szCs w:val="22"/>
        </w:rPr>
        <w:t xml:space="preserve"> However</w:t>
      </w:r>
      <w:r w:rsidR="00BF6C02">
        <w:rPr>
          <w:szCs w:val="22"/>
        </w:rPr>
        <w:t>,</w:t>
      </w:r>
      <w:r>
        <w:rPr>
          <w:szCs w:val="22"/>
        </w:rPr>
        <w:t xml:space="preserve"> an ROP assessment</w:t>
      </w:r>
      <w:r w:rsidR="00FF7632">
        <w:rPr>
          <w:szCs w:val="22"/>
        </w:rPr>
        <w:t xml:space="preserve"> was not arranged or undertaken</w:t>
      </w:r>
      <w:r>
        <w:rPr>
          <w:szCs w:val="22"/>
        </w:rPr>
        <w:t xml:space="preserve">. </w:t>
      </w:r>
    </w:p>
    <w:p w14:paraId="144934A5" w14:textId="32CA7578" w:rsidR="00EA18B2" w:rsidRDefault="00C20DCB" w:rsidP="00A504BF">
      <w:pPr>
        <w:spacing w:after="240"/>
        <w:rPr>
          <w:szCs w:val="22"/>
        </w:rPr>
      </w:pPr>
      <w:r>
        <w:rPr>
          <w:szCs w:val="22"/>
        </w:rPr>
        <w:t xml:space="preserve">When </w:t>
      </w:r>
      <w:r w:rsidR="00BF6C02">
        <w:rPr>
          <w:szCs w:val="22"/>
        </w:rPr>
        <w:t xml:space="preserve">the baby </w:t>
      </w:r>
      <w:r>
        <w:rPr>
          <w:szCs w:val="22"/>
        </w:rPr>
        <w:t>was 39 weeks</w:t>
      </w:r>
      <w:r w:rsidR="00BF6C02">
        <w:rPr>
          <w:szCs w:val="22"/>
        </w:rPr>
        <w:t xml:space="preserve"> old</w:t>
      </w:r>
      <w:r>
        <w:rPr>
          <w:szCs w:val="22"/>
        </w:rPr>
        <w:t xml:space="preserve">, DHB1 considered that </w:t>
      </w:r>
      <w:r w:rsidR="00BF6C02">
        <w:rPr>
          <w:szCs w:val="22"/>
        </w:rPr>
        <w:t>he</w:t>
      </w:r>
      <w:r>
        <w:rPr>
          <w:szCs w:val="22"/>
        </w:rPr>
        <w:t xml:space="preserve"> was fit for discharge. Prior to discharge he was reviewed by a paediatrician</w:t>
      </w:r>
      <w:r w:rsidR="00BF6C02">
        <w:rPr>
          <w:szCs w:val="22"/>
        </w:rPr>
        <w:t>,</w:t>
      </w:r>
      <w:r>
        <w:rPr>
          <w:szCs w:val="22"/>
        </w:rPr>
        <w:t xml:space="preserve"> who recognised that ROP screening had not been undertaken</w:t>
      </w:r>
      <w:r w:rsidR="00BF6C02">
        <w:rPr>
          <w:szCs w:val="22"/>
        </w:rPr>
        <w:t>.</w:t>
      </w:r>
      <w:r>
        <w:rPr>
          <w:szCs w:val="22"/>
        </w:rPr>
        <w:t xml:space="preserve"> </w:t>
      </w:r>
      <w:r w:rsidR="00BF6C02">
        <w:rPr>
          <w:szCs w:val="22"/>
        </w:rPr>
        <w:t>A</w:t>
      </w:r>
      <w:r>
        <w:rPr>
          <w:szCs w:val="22"/>
        </w:rPr>
        <w:t xml:space="preserve"> referral asking for the baby to receive an assessment in 1</w:t>
      </w:r>
      <w:r w:rsidR="00BF6C02">
        <w:rPr>
          <w:szCs w:val="22"/>
        </w:rPr>
        <w:t>–</w:t>
      </w:r>
      <w:r>
        <w:rPr>
          <w:szCs w:val="22"/>
        </w:rPr>
        <w:t>2 weeks</w:t>
      </w:r>
      <w:r w:rsidR="00BF6C02">
        <w:rPr>
          <w:szCs w:val="22"/>
        </w:rPr>
        <w:t>’ time</w:t>
      </w:r>
      <w:r>
        <w:rPr>
          <w:szCs w:val="22"/>
        </w:rPr>
        <w:t xml:space="preserve"> was faxed to the ref</w:t>
      </w:r>
      <w:r w:rsidR="00EA18B2">
        <w:rPr>
          <w:szCs w:val="22"/>
        </w:rPr>
        <w:t>erral centre. T</w:t>
      </w:r>
      <w:r>
        <w:rPr>
          <w:szCs w:val="22"/>
        </w:rPr>
        <w:t>he baby was discharged home.</w:t>
      </w:r>
    </w:p>
    <w:p w14:paraId="1809BCD1" w14:textId="2CBBB835" w:rsidR="00C20DCB" w:rsidRDefault="00C20DCB" w:rsidP="00A504BF">
      <w:pPr>
        <w:spacing w:after="240"/>
        <w:rPr>
          <w:szCs w:val="22"/>
        </w:rPr>
      </w:pPr>
      <w:r>
        <w:rPr>
          <w:szCs w:val="22"/>
        </w:rPr>
        <w:t>The</w:t>
      </w:r>
      <w:r w:rsidR="00FF7632">
        <w:rPr>
          <w:szCs w:val="22"/>
        </w:rPr>
        <w:t xml:space="preserve"> triaging ophthalmologist marked the referral</w:t>
      </w:r>
      <w:r>
        <w:rPr>
          <w:szCs w:val="22"/>
        </w:rPr>
        <w:t xml:space="preserve"> as having insufficient information</w:t>
      </w:r>
      <w:r w:rsidR="00BF6C02">
        <w:rPr>
          <w:szCs w:val="22"/>
        </w:rPr>
        <w:t>,</w:t>
      </w:r>
      <w:r>
        <w:rPr>
          <w:szCs w:val="22"/>
        </w:rPr>
        <w:t xml:space="preserve"> and asked for it to be sent back to the paediatric department</w:t>
      </w:r>
      <w:r w:rsidR="00BF6C02">
        <w:rPr>
          <w:szCs w:val="22"/>
        </w:rPr>
        <w:t>;</w:t>
      </w:r>
      <w:r>
        <w:rPr>
          <w:szCs w:val="22"/>
        </w:rPr>
        <w:t xml:space="preserve"> however</w:t>
      </w:r>
      <w:r w:rsidR="00BF6C02">
        <w:rPr>
          <w:szCs w:val="22"/>
        </w:rPr>
        <w:t>,</w:t>
      </w:r>
      <w:r>
        <w:rPr>
          <w:szCs w:val="22"/>
        </w:rPr>
        <w:t xml:space="preserve"> accidentally </w:t>
      </w:r>
      <w:r w:rsidR="00BF6C02">
        <w:rPr>
          <w:szCs w:val="22"/>
        </w:rPr>
        <w:t xml:space="preserve">it was </w:t>
      </w:r>
      <w:r>
        <w:rPr>
          <w:szCs w:val="22"/>
        </w:rPr>
        <w:t xml:space="preserve">sent to the baby’s GP. The GP realised the error and sent </w:t>
      </w:r>
      <w:r w:rsidR="009726F4">
        <w:rPr>
          <w:szCs w:val="22"/>
        </w:rPr>
        <w:t>it back to the DHB. The referral was returned to the paediatric department, but an ophthalmology appointment was not secured until ten days later. The baby was then aged 44 weeks and was outside the parameters for effective treatmen</w:t>
      </w:r>
      <w:r w:rsidR="00EA18B2">
        <w:rPr>
          <w:szCs w:val="22"/>
        </w:rPr>
        <w:t>t of ROP. He was found to have</w:t>
      </w:r>
      <w:r w:rsidR="009726F4">
        <w:rPr>
          <w:szCs w:val="22"/>
        </w:rPr>
        <w:t xml:space="preserve"> suffered total retinal detachment in the right eye and partial detachment in the left eye.</w:t>
      </w:r>
    </w:p>
    <w:p w14:paraId="0CD84743" w14:textId="77777777" w:rsidR="00EB4A22" w:rsidRDefault="00EB4A22" w:rsidP="00A504BF">
      <w:pPr>
        <w:spacing w:before="120"/>
        <w:rPr>
          <w:rFonts w:cs="Calibri,Bold"/>
          <w:bCs/>
          <w:i/>
          <w:szCs w:val="22"/>
          <w:lang w:eastAsia="en-NZ" w:bidi="ar-SA"/>
        </w:rPr>
      </w:pPr>
      <w:r w:rsidRPr="005A62C7">
        <w:rPr>
          <w:rFonts w:cs="Calibri,Bold"/>
          <w:bCs/>
          <w:i/>
          <w:szCs w:val="22"/>
          <w:lang w:eastAsia="en-NZ" w:bidi="ar-SA"/>
        </w:rPr>
        <w:t>Findings</w:t>
      </w:r>
    </w:p>
    <w:p w14:paraId="60329015" w14:textId="01109A0A" w:rsidR="00EB4A22" w:rsidRDefault="009726F4" w:rsidP="00A504BF">
      <w:pPr>
        <w:pStyle w:val="ListParagraph"/>
        <w:spacing w:after="240"/>
        <w:ind w:left="0"/>
        <w:rPr>
          <w:rStyle w:val="ListParagraphChar"/>
        </w:rPr>
      </w:pPr>
      <w:r>
        <w:rPr>
          <w:rStyle w:val="ListParagraphChar"/>
        </w:rPr>
        <w:t>The development of ROP was a known risk for the baby. Despite this</w:t>
      </w:r>
      <w:r w:rsidR="00BF6C02">
        <w:rPr>
          <w:rStyle w:val="ListParagraphChar"/>
        </w:rPr>
        <w:t>,</w:t>
      </w:r>
      <w:r>
        <w:rPr>
          <w:rStyle w:val="ListParagraphChar"/>
        </w:rPr>
        <w:t xml:space="preserve"> a number of administrative and communication failures meant that the baby was not screened and treated in the critical period </w:t>
      </w:r>
      <w:r>
        <w:rPr>
          <w:rStyle w:val="ListParagraphChar"/>
        </w:rPr>
        <w:lastRenderedPageBreak/>
        <w:t>between 34 and 39 weeks. The systems at the two DHBs did not ensure that appropriate and timely ROP screening was undertaken. There were a number of occasions during the baby’s admission at DHB1 and DHB2 when the failure to arrange follow-up ROP screenin</w:t>
      </w:r>
      <w:r w:rsidR="00FF7632">
        <w:rPr>
          <w:rStyle w:val="ListParagraphChar"/>
        </w:rPr>
        <w:t>g could have been rectified. T</w:t>
      </w:r>
      <w:r>
        <w:rPr>
          <w:rStyle w:val="ListParagraphChar"/>
        </w:rPr>
        <w:t xml:space="preserve">he baby now has a lifelong disability </w:t>
      </w:r>
      <w:r w:rsidR="00BF6C02">
        <w:rPr>
          <w:rStyle w:val="ListParagraphChar"/>
        </w:rPr>
        <w:t xml:space="preserve">that </w:t>
      </w:r>
      <w:r>
        <w:rPr>
          <w:rStyle w:val="ListParagraphChar"/>
        </w:rPr>
        <w:t>could have been prevented. This case highlights the devastating consequences of poor communication between clinicians and organisations, and the importance of implementing robust and effective scree</w:t>
      </w:r>
      <w:r w:rsidR="00543DCF">
        <w:rPr>
          <w:rStyle w:val="ListParagraphChar"/>
        </w:rPr>
        <w:t>ning systems for ROP, particularly</w:t>
      </w:r>
      <w:r>
        <w:rPr>
          <w:rStyle w:val="ListParagraphChar"/>
        </w:rPr>
        <w:t xml:space="preserve"> at hospitals that may be less familiar with the condition and its management. </w:t>
      </w:r>
    </w:p>
    <w:p w14:paraId="29769749" w14:textId="44986D16" w:rsidR="00502B26" w:rsidRDefault="00873EC9" w:rsidP="00A504BF">
      <w:pPr>
        <w:pStyle w:val="ListParagraph"/>
        <w:spacing w:after="240"/>
        <w:ind w:left="0"/>
        <w:rPr>
          <w:rStyle w:val="ListParagraphChar"/>
        </w:rPr>
      </w:pPr>
      <w:r>
        <w:rPr>
          <w:rStyle w:val="ListParagraphChar"/>
        </w:rPr>
        <w:t>The Commissioner commented that w</w:t>
      </w:r>
      <w:r w:rsidR="00502B26">
        <w:rPr>
          <w:rStyle w:val="ListParagraphChar"/>
        </w:rPr>
        <w:t xml:space="preserve">hen a baby is at risk of developing ROP, and care is to be transferred to another </w:t>
      </w:r>
      <w:r w:rsidR="00FF7632">
        <w:rPr>
          <w:rStyle w:val="ListParagraphChar"/>
        </w:rPr>
        <w:t>provider</w:t>
      </w:r>
      <w:r w:rsidR="00502B26">
        <w:rPr>
          <w:rStyle w:val="ListParagraphChar"/>
        </w:rPr>
        <w:t>, it is especially important th</w:t>
      </w:r>
      <w:r w:rsidR="00505EB8">
        <w:rPr>
          <w:rStyle w:val="ListParagraphChar"/>
        </w:rPr>
        <w:t>at</w:t>
      </w:r>
      <w:r w:rsidR="00502B26">
        <w:rPr>
          <w:rStyle w:val="ListParagraphChar"/>
        </w:rPr>
        <w:t xml:space="preserve"> systems are in place to ensure that all relevant information is captured by the discharging hospital and shared with the receiving hospital.</w:t>
      </w:r>
      <w:r>
        <w:rPr>
          <w:rStyle w:val="ListParagraphChar"/>
        </w:rPr>
        <w:t xml:space="preserve"> She found that t</w:t>
      </w:r>
      <w:r w:rsidR="00502B26">
        <w:rPr>
          <w:rStyle w:val="ListParagraphChar"/>
        </w:rPr>
        <w:t>he system at DHB2 was not robust, and as a result the need for ongoing ROP screening was not communicated to DHB1. Acc</w:t>
      </w:r>
      <w:r>
        <w:rPr>
          <w:rStyle w:val="ListParagraphChar"/>
        </w:rPr>
        <w:t>ordingly, the Commissioner considered</w:t>
      </w:r>
      <w:r w:rsidR="00502B26">
        <w:rPr>
          <w:rStyle w:val="ListParagraphChar"/>
        </w:rPr>
        <w:t xml:space="preserve"> that DHB2</w:t>
      </w:r>
      <w:r w:rsidR="00FF7632">
        <w:rPr>
          <w:rStyle w:val="ListParagraphChar"/>
        </w:rPr>
        <w:t xml:space="preserve"> </w:t>
      </w:r>
      <w:r w:rsidR="00502B26">
        <w:rPr>
          <w:rStyle w:val="ListParagraphChar"/>
        </w:rPr>
        <w:t>failed to ensure quality and continuity of services to the baby, in breach of Right 4(5) of the Code.</w:t>
      </w:r>
    </w:p>
    <w:p w14:paraId="776F9BB4" w14:textId="46BDAD36" w:rsidR="009726F4" w:rsidRDefault="009726F4" w:rsidP="00A504BF">
      <w:pPr>
        <w:pStyle w:val="ListParagraph"/>
        <w:keepNext/>
        <w:spacing w:after="240"/>
        <w:ind w:left="0"/>
        <w:rPr>
          <w:rStyle w:val="ListParagraphChar"/>
        </w:rPr>
      </w:pPr>
      <w:r>
        <w:rPr>
          <w:rStyle w:val="ListParagraphChar"/>
        </w:rPr>
        <w:t>DHB1 recognised the need for ROP screening at admission and documented the family’s query</w:t>
      </w:r>
      <w:r w:rsidR="00B766FA">
        <w:rPr>
          <w:rStyle w:val="ListParagraphChar"/>
        </w:rPr>
        <w:t xml:space="preserve"> about eye tests</w:t>
      </w:r>
      <w:r>
        <w:rPr>
          <w:rStyle w:val="ListParagraphChar"/>
        </w:rPr>
        <w:t xml:space="preserve"> </w:t>
      </w:r>
      <w:r w:rsidR="00B766FA">
        <w:rPr>
          <w:rStyle w:val="ListParagraphChar"/>
        </w:rPr>
        <w:t>for the baby. However, thr</w:t>
      </w:r>
      <w:r w:rsidR="00502B26">
        <w:rPr>
          <w:rStyle w:val="ListParagraphChar"/>
        </w:rPr>
        <w:t>ough a series of medical and administrative errors by multiple staff, DHB1 failed to screen the baby for ROP at the critical 34</w:t>
      </w:r>
      <w:r w:rsidR="00A8283C">
        <w:rPr>
          <w:rStyle w:val="ListParagraphChar"/>
        </w:rPr>
        <w:t>-</w:t>
      </w:r>
      <w:r w:rsidR="00502B26">
        <w:rPr>
          <w:rStyle w:val="ListParagraphChar"/>
        </w:rPr>
        <w:t xml:space="preserve">week mark, or at any other time </w:t>
      </w:r>
      <w:r w:rsidR="00FF7632">
        <w:rPr>
          <w:rStyle w:val="ListParagraphChar"/>
        </w:rPr>
        <w:t>throughout</w:t>
      </w:r>
      <w:r w:rsidR="00502B26">
        <w:rPr>
          <w:rStyle w:val="ListParagraphChar"/>
        </w:rPr>
        <w:t xml:space="preserve"> his five</w:t>
      </w:r>
      <w:r w:rsidR="00A8283C">
        <w:rPr>
          <w:rStyle w:val="ListParagraphChar"/>
        </w:rPr>
        <w:t>-</w:t>
      </w:r>
      <w:r w:rsidR="00502B26">
        <w:rPr>
          <w:rStyle w:val="ListParagraphChar"/>
        </w:rPr>
        <w:t xml:space="preserve">week admission. The DHB did not refer the baby for screening until the point of discharge from </w:t>
      </w:r>
      <w:r w:rsidR="00FF7632">
        <w:rPr>
          <w:rStyle w:val="ListParagraphChar"/>
        </w:rPr>
        <w:t>hospital</w:t>
      </w:r>
      <w:r w:rsidR="00A8283C">
        <w:rPr>
          <w:rStyle w:val="ListParagraphChar"/>
        </w:rPr>
        <w:t>,</w:t>
      </w:r>
      <w:r w:rsidR="00502B26">
        <w:rPr>
          <w:rStyle w:val="ListParagraphChar"/>
        </w:rPr>
        <w:t xml:space="preserve"> and even then there was no sense of urgency. Once the referral was eventually arranged, it was inappropriately rejected and </w:t>
      </w:r>
      <w:r w:rsidR="00FF7632">
        <w:rPr>
          <w:rStyle w:val="ListParagraphChar"/>
        </w:rPr>
        <w:t>misdirected</w:t>
      </w:r>
      <w:r w:rsidR="00502B26">
        <w:rPr>
          <w:rStyle w:val="ListParagraphChar"/>
        </w:rPr>
        <w:t>. As a result</w:t>
      </w:r>
      <w:r w:rsidR="00A8283C">
        <w:rPr>
          <w:rStyle w:val="ListParagraphChar"/>
        </w:rPr>
        <w:t>,</w:t>
      </w:r>
      <w:r w:rsidR="00502B26">
        <w:rPr>
          <w:rStyle w:val="ListParagraphChar"/>
        </w:rPr>
        <w:t xml:space="preserve"> the baby was not screened for ROP until he was 44 </w:t>
      </w:r>
      <w:r w:rsidR="00543DCF">
        <w:rPr>
          <w:rStyle w:val="ListParagraphChar"/>
        </w:rPr>
        <w:t>weeks</w:t>
      </w:r>
      <w:r w:rsidR="00A8283C">
        <w:rPr>
          <w:rStyle w:val="ListParagraphChar"/>
        </w:rPr>
        <w:t xml:space="preserve"> old</w:t>
      </w:r>
      <w:r w:rsidR="00543DCF">
        <w:rPr>
          <w:rStyle w:val="ListParagraphChar"/>
        </w:rPr>
        <w:t xml:space="preserve"> </w:t>
      </w:r>
      <w:r w:rsidR="00A8283C">
        <w:rPr>
          <w:rStyle w:val="ListParagraphChar"/>
        </w:rPr>
        <w:t xml:space="preserve">— </w:t>
      </w:r>
      <w:r w:rsidR="00543DCF">
        <w:rPr>
          <w:rStyle w:val="ListParagraphChar"/>
        </w:rPr>
        <w:t>ten</w:t>
      </w:r>
      <w:r w:rsidR="00502B26">
        <w:rPr>
          <w:rStyle w:val="ListParagraphChar"/>
        </w:rPr>
        <w:t xml:space="preserve"> weeks after he was transferred to DHB1’s care. Tragically</w:t>
      </w:r>
      <w:r w:rsidR="00A8283C">
        <w:rPr>
          <w:rStyle w:val="ListParagraphChar"/>
        </w:rPr>
        <w:t>,</w:t>
      </w:r>
      <w:r w:rsidR="00502B26">
        <w:rPr>
          <w:rStyle w:val="ListParagraphChar"/>
        </w:rPr>
        <w:t xml:space="preserve"> by that time it was too late for successful treatment. </w:t>
      </w:r>
    </w:p>
    <w:p w14:paraId="0C0BED1E" w14:textId="186206FC" w:rsidR="00502B26" w:rsidRDefault="00502B26" w:rsidP="00A504BF">
      <w:pPr>
        <w:pStyle w:val="ListParagraph"/>
        <w:keepNext/>
        <w:spacing w:after="240"/>
        <w:ind w:left="0"/>
        <w:rPr>
          <w:rStyle w:val="ListParagraphChar"/>
        </w:rPr>
      </w:pPr>
      <w:r>
        <w:rPr>
          <w:rStyle w:val="ListParagraphChar"/>
        </w:rPr>
        <w:t xml:space="preserve">In the </w:t>
      </w:r>
      <w:r w:rsidR="00FF7632">
        <w:rPr>
          <w:rStyle w:val="ListParagraphChar"/>
        </w:rPr>
        <w:t>Commissioner’s</w:t>
      </w:r>
      <w:r>
        <w:rPr>
          <w:rStyle w:val="ListParagraphChar"/>
        </w:rPr>
        <w:t xml:space="preserve"> view, this outcome could have been prevented if adequate </w:t>
      </w:r>
      <w:r w:rsidR="00FF7632">
        <w:rPr>
          <w:rStyle w:val="ListParagraphChar"/>
        </w:rPr>
        <w:t>mechanisms</w:t>
      </w:r>
      <w:r>
        <w:rPr>
          <w:rStyle w:val="ListParagraphChar"/>
        </w:rPr>
        <w:t xml:space="preserve"> had been in place</w:t>
      </w:r>
      <w:r w:rsidR="00FF7632">
        <w:rPr>
          <w:rStyle w:val="ListParagraphChar"/>
        </w:rPr>
        <w:t xml:space="preserve"> for ROP screening at </w:t>
      </w:r>
      <w:r>
        <w:rPr>
          <w:rStyle w:val="ListParagraphChar"/>
        </w:rPr>
        <w:t>DHB</w:t>
      </w:r>
      <w:r w:rsidR="00FF7632">
        <w:rPr>
          <w:rStyle w:val="ListParagraphChar"/>
        </w:rPr>
        <w:t>1</w:t>
      </w:r>
      <w:r>
        <w:rPr>
          <w:rStyle w:val="ListParagraphChar"/>
        </w:rPr>
        <w:t>. The series of errors indicate a system that lacked adequate safety-netting or clear protocols to ensure that babies did not fall through the cra</w:t>
      </w:r>
      <w:r w:rsidR="00873EC9">
        <w:rPr>
          <w:rStyle w:val="ListParagraphChar"/>
        </w:rPr>
        <w:t xml:space="preserve">cks. The Commissioner found </w:t>
      </w:r>
      <w:r>
        <w:rPr>
          <w:rStyle w:val="ListParagraphChar"/>
        </w:rPr>
        <w:t>that DHB1 failed to provide the baby with services with reasonable care and</w:t>
      </w:r>
      <w:r w:rsidR="0065103A">
        <w:rPr>
          <w:rStyle w:val="ListParagraphChar"/>
        </w:rPr>
        <w:t xml:space="preserve"> </w:t>
      </w:r>
      <w:r>
        <w:rPr>
          <w:rStyle w:val="ListParagraphChar"/>
        </w:rPr>
        <w:t>skill</w:t>
      </w:r>
      <w:r w:rsidR="00B5217C">
        <w:rPr>
          <w:rStyle w:val="ListParagraphChar"/>
        </w:rPr>
        <w:t xml:space="preserve">, </w:t>
      </w:r>
      <w:r>
        <w:rPr>
          <w:rStyle w:val="ListParagraphChar"/>
        </w:rPr>
        <w:t>in breach of Right 4(1).</w:t>
      </w:r>
      <w:r w:rsidR="002F6076">
        <w:rPr>
          <w:rStyle w:val="ListParagraphChar"/>
        </w:rPr>
        <w:t xml:space="preserve"> The Commissioner referred DHB1 to the Director of Proceedings to consider whether any proceedings should be taken</w:t>
      </w:r>
      <w:r w:rsidR="0014504F">
        <w:rPr>
          <w:rStyle w:val="ListParagraphChar"/>
        </w:rPr>
        <w:t>.</w:t>
      </w:r>
    </w:p>
    <w:p w14:paraId="3D0C0E10" w14:textId="77777777" w:rsidR="0014504F" w:rsidRDefault="0014504F" w:rsidP="0014504F">
      <w:pPr>
        <w:pStyle w:val="ListParagraph"/>
        <w:keepNext/>
        <w:ind w:left="0"/>
        <w:rPr>
          <w:i/>
          <w:szCs w:val="22"/>
        </w:rPr>
      </w:pPr>
      <w:r w:rsidRPr="005A62C7">
        <w:rPr>
          <w:i/>
          <w:szCs w:val="22"/>
        </w:rPr>
        <w:t>Recommendations</w:t>
      </w:r>
    </w:p>
    <w:p w14:paraId="12844013" w14:textId="078ED9C5" w:rsidR="0014504F" w:rsidRDefault="0014504F" w:rsidP="0014504F">
      <w:pPr>
        <w:keepNext/>
        <w:keepLines/>
        <w:spacing w:after="240"/>
      </w:pPr>
      <w:r>
        <w:t>Following this e</w:t>
      </w:r>
      <w:r w:rsidR="00873EC9">
        <w:t>vent, DHB2 developed</w:t>
      </w:r>
      <w:r>
        <w:t xml:space="preserve"> NICU discharge letter guidelines for generating electronic discharge letters </w:t>
      </w:r>
      <w:r w:rsidR="00CA4A40">
        <w:t xml:space="preserve">that specifically </w:t>
      </w:r>
      <w:r>
        <w:t>refer to an R</w:t>
      </w:r>
      <w:r w:rsidR="00873EC9">
        <w:t xml:space="preserve">OP check for at-risk babies. </w:t>
      </w:r>
      <w:r w:rsidR="00CA4A40">
        <w:t xml:space="preserve">DHB2 </w:t>
      </w:r>
      <w:r w:rsidR="00873EC9">
        <w:t>also</w:t>
      </w:r>
      <w:r>
        <w:t xml:space="preserve"> implemented a process whereby all babies admitted to NICU are admitted under a named SMO</w:t>
      </w:r>
      <w:r w:rsidR="00CA4A40">
        <w:t>,</w:t>
      </w:r>
      <w:r>
        <w:t xml:space="preserve"> who is responsible for checking all results, letters</w:t>
      </w:r>
      <w:r w:rsidR="00CA4A40">
        <w:t>,</w:t>
      </w:r>
      <w:r>
        <w:t xml:space="preserve"> and documentation.</w:t>
      </w:r>
    </w:p>
    <w:p w14:paraId="6702C3D2" w14:textId="77777777" w:rsidR="00873EC9" w:rsidRDefault="0014504F" w:rsidP="00A504BF">
      <w:pPr>
        <w:pStyle w:val="ListParagraph"/>
        <w:keepNext/>
        <w:spacing w:after="240"/>
        <w:ind w:left="0"/>
        <w:rPr>
          <w:rStyle w:val="ListParagraphChar"/>
        </w:rPr>
      </w:pPr>
      <w:r>
        <w:rPr>
          <w:rStyle w:val="ListParagraphChar"/>
        </w:rPr>
        <w:t xml:space="preserve">The Commissioner recommended that DHB2: </w:t>
      </w:r>
    </w:p>
    <w:p w14:paraId="339DCEAA" w14:textId="15667BED" w:rsidR="00873EC9" w:rsidRDefault="0014504F" w:rsidP="00A504BF">
      <w:pPr>
        <w:pStyle w:val="ListParagraph"/>
        <w:keepNext/>
        <w:numPr>
          <w:ilvl w:val="0"/>
          <w:numId w:val="33"/>
        </w:numPr>
        <w:spacing w:after="120"/>
        <w:ind w:left="284" w:hanging="284"/>
      </w:pPr>
      <w:r>
        <w:rPr>
          <w:rStyle w:val="ListParagraphChar"/>
        </w:rPr>
        <w:t xml:space="preserve">Conduct an audit of its </w:t>
      </w:r>
      <w:r>
        <w:t>discharge letters for premature babies on transfer to another hospital</w:t>
      </w:r>
      <w:r w:rsidR="00CA4A40">
        <w:t>,</w:t>
      </w:r>
      <w:r>
        <w:t xml:space="preserve"> to ensure </w:t>
      </w:r>
      <w:r w:rsidR="00873EC9">
        <w:t>that ROP details were included</w:t>
      </w:r>
      <w:r w:rsidR="00CA4A40">
        <w:t>.</w:t>
      </w:r>
    </w:p>
    <w:p w14:paraId="253EFDC1" w14:textId="096996FC" w:rsidR="00873EC9" w:rsidRDefault="00CA4A40" w:rsidP="00A504BF">
      <w:pPr>
        <w:pStyle w:val="ListParagraph"/>
        <w:keepNext/>
        <w:numPr>
          <w:ilvl w:val="0"/>
          <w:numId w:val="33"/>
        </w:numPr>
        <w:spacing w:after="120"/>
        <w:ind w:left="284" w:hanging="284"/>
        <w:rPr>
          <w:rStyle w:val="ListParagraphChar"/>
        </w:rPr>
      </w:pPr>
      <w:r>
        <w:rPr>
          <w:rStyle w:val="ListParagraphChar"/>
        </w:rPr>
        <w:t>Institute</w:t>
      </w:r>
      <w:r w:rsidR="0014504F">
        <w:rPr>
          <w:rStyle w:val="ListParagraphChar"/>
        </w:rPr>
        <w:t xml:space="preserve"> a system to ensure that the staff member responsible for collating and printing a patient’s discharge summary is r</w:t>
      </w:r>
      <w:r w:rsidR="00873EC9">
        <w:rPr>
          <w:rStyle w:val="ListParagraphChar"/>
        </w:rPr>
        <w:t>eliably and easily identified</w:t>
      </w:r>
      <w:r>
        <w:rPr>
          <w:rStyle w:val="ListParagraphChar"/>
        </w:rPr>
        <w:t>.</w:t>
      </w:r>
      <w:r w:rsidR="00873EC9">
        <w:rPr>
          <w:rStyle w:val="ListParagraphChar"/>
        </w:rPr>
        <w:t xml:space="preserve"> </w:t>
      </w:r>
    </w:p>
    <w:p w14:paraId="78D78DE2" w14:textId="0EEA28FB" w:rsidR="00873EC9" w:rsidRDefault="00873EC9" w:rsidP="00A504BF">
      <w:pPr>
        <w:pStyle w:val="ListParagraph"/>
        <w:keepNext/>
        <w:numPr>
          <w:ilvl w:val="0"/>
          <w:numId w:val="33"/>
        </w:numPr>
        <w:spacing w:after="120"/>
        <w:ind w:left="284" w:hanging="284"/>
        <w:rPr>
          <w:rStyle w:val="ListParagraphChar"/>
        </w:rPr>
      </w:pPr>
      <w:r>
        <w:rPr>
          <w:rStyle w:val="ListParagraphChar"/>
        </w:rPr>
        <w:t>E</w:t>
      </w:r>
      <w:r w:rsidR="0014504F">
        <w:rPr>
          <w:rStyle w:val="ListParagraphChar"/>
        </w:rPr>
        <w:t>nsure that the results of ROP screening are</w:t>
      </w:r>
      <w:r>
        <w:rPr>
          <w:rStyle w:val="ListParagraphChar"/>
        </w:rPr>
        <w:t xml:space="preserve"> included in the clinical notes</w:t>
      </w:r>
      <w:r w:rsidR="00CA4A40">
        <w:rPr>
          <w:rStyle w:val="ListParagraphChar"/>
        </w:rPr>
        <w:t>.</w:t>
      </w:r>
      <w:r w:rsidR="0014504F">
        <w:rPr>
          <w:rStyle w:val="ListParagraphChar"/>
        </w:rPr>
        <w:t xml:space="preserve"> </w:t>
      </w:r>
    </w:p>
    <w:p w14:paraId="2F88D8D6" w14:textId="16D74763" w:rsidR="00873EC9" w:rsidRDefault="00873EC9" w:rsidP="00A504BF">
      <w:pPr>
        <w:pStyle w:val="ListParagraph"/>
        <w:keepNext/>
        <w:numPr>
          <w:ilvl w:val="0"/>
          <w:numId w:val="33"/>
        </w:numPr>
        <w:spacing w:after="120"/>
        <w:ind w:left="284" w:hanging="284"/>
        <w:rPr>
          <w:rStyle w:val="ListParagraphChar"/>
        </w:rPr>
      </w:pPr>
      <w:r>
        <w:rPr>
          <w:rStyle w:val="ListParagraphChar"/>
        </w:rPr>
        <w:t>C</w:t>
      </w:r>
      <w:r w:rsidR="0014504F">
        <w:rPr>
          <w:rStyle w:val="ListParagraphChar"/>
        </w:rPr>
        <w:t xml:space="preserve">onsider whether it is appropriate to have a specific person responsible for </w:t>
      </w:r>
      <w:r>
        <w:rPr>
          <w:rStyle w:val="ListParagraphChar"/>
        </w:rPr>
        <w:t>ROP screening within NICU</w:t>
      </w:r>
      <w:r w:rsidR="00CA4A40">
        <w:rPr>
          <w:rStyle w:val="ListParagraphChar"/>
        </w:rPr>
        <w:t>.</w:t>
      </w:r>
    </w:p>
    <w:p w14:paraId="30F34EEF" w14:textId="77777777" w:rsidR="00CA4A40" w:rsidRDefault="00873EC9" w:rsidP="00A504BF">
      <w:pPr>
        <w:pStyle w:val="ListParagraph"/>
        <w:keepNext/>
        <w:numPr>
          <w:ilvl w:val="0"/>
          <w:numId w:val="33"/>
        </w:numPr>
        <w:spacing w:after="240"/>
        <w:ind w:left="284" w:hanging="284"/>
        <w:jc w:val="left"/>
        <w:rPr>
          <w:rStyle w:val="ListParagraphChar"/>
        </w:rPr>
      </w:pPr>
      <w:r>
        <w:rPr>
          <w:rStyle w:val="ListParagraphChar"/>
        </w:rPr>
        <w:t>P</w:t>
      </w:r>
      <w:r w:rsidR="0014504F">
        <w:rPr>
          <w:rStyle w:val="ListParagraphChar"/>
        </w:rPr>
        <w:t xml:space="preserve">rovide a written apology to the baby and his family. </w:t>
      </w:r>
    </w:p>
    <w:p w14:paraId="34B3935B" w14:textId="00FEA01D" w:rsidR="00873EC9" w:rsidRDefault="0014504F" w:rsidP="00A504BF">
      <w:pPr>
        <w:spacing w:after="240"/>
      </w:pPr>
      <w:r>
        <w:t>DHB1 told HDC that it h</w:t>
      </w:r>
      <w:r w:rsidR="00873EC9">
        <w:t xml:space="preserve">ad made a number of changes following the events in this complaint, including: reviewing the ROP procedure; ensuring </w:t>
      </w:r>
      <w:r w:rsidR="002E79F9">
        <w:t xml:space="preserve">that </w:t>
      </w:r>
      <w:r w:rsidR="00873EC9">
        <w:t xml:space="preserve">the clinical nurse manager co-ordinates ROP screening; implementing a process whereby a medical referral checklist is created for each baby on admission; </w:t>
      </w:r>
      <w:r w:rsidR="00873EC9">
        <w:lastRenderedPageBreak/>
        <w:t>requiring a written referral and a specialist</w:t>
      </w:r>
      <w:r w:rsidR="002E79F9">
        <w:t>-</w:t>
      </w:r>
      <w:r w:rsidR="00873EC9">
        <w:t>to</w:t>
      </w:r>
      <w:r w:rsidR="002E79F9">
        <w:t>-</w:t>
      </w:r>
      <w:r w:rsidR="00873EC9">
        <w:t xml:space="preserve">specialist conversation for all ROP screening referrals; and launching </w:t>
      </w:r>
      <w:proofErr w:type="spellStart"/>
      <w:r w:rsidR="00873EC9" w:rsidRPr="00CA4A40">
        <w:rPr>
          <w:lang w:val="en-AU" w:bidi="ar-SA"/>
        </w:rPr>
        <w:t>Kōrero</w:t>
      </w:r>
      <w:proofErr w:type="spellEnd"/>
      <w:r w:rsidR="00873EC9" w:rsidRPr="00CA4A40">
        <w:rPr>
          <w:lang w:val="en-AU" w:bidi="ar-SA"/>
        </w:rPr>
        <w:t xml:space="preserve"> Mai (a process to support patient and </w:t>
      </w:r>
      <w:proofErr w:type="spellStart"/>
      <w:r w:rsidR="00873EC9" w:rsidRPr="00CA4A40">
        <w:rPr>
          <w:lang w:val="en-AU" w:bidi="ar-SA"/>
        </w:rPr>
        <w:t>whānau</w:t>
      </w:r>
      <w:proofErr w:type="spellEnd"/>
      <w:r w:rsidR="00873EC9" w:rsidRPr="00CA4A40">
        <w:rPr>
          <w:lang w:val="en-AU" w:bidi="ar-SA"/>
        </w:rPr>
        <w:t xml:space="preserve"> escalation of concerns) in the paediatric department.</w:t>
      </w:r>
    </w:p>
    <w:p w14:paraId="32C9C13D" w14:textId="5DCF10B3" w:rsidR="0014504F" w:rsidRDefault="0014504F" w:rsidP="00A504BF">
      <w:pPr>
        <w:keepNext/>
        <w:keepLines/>
        <w:spacing w:after="360"/>
      </w:pPr>
      <w:r>
        <w:t xml:space="preserve">In response to </w:t>
      </w:r>
      <w:r w:rsidR="002E79F9">
        <w:t xml:space="preserve">the Commissioner’s </w:t>
      </w:r>
      <w:r>
        <w:t>recommendation</w:t>
      </w:r>
      <w:r w:rsidR="002E79F9">
        <w:t>s,</w:t>
      </w:r>
      <w:r>
        <w:t xml:space="preserve"> </w:t>
      </w:r>
      <w:r w:rsidR="00873EC9">
        <w:t>DHB 1 u</w:t>
      </w:r>
      <w:r>
        <w:t>ndertook audits of</w:t>
      </w:r>
      <w:r w:rsidR="002E4910">
        <w:t>:</w:t>
      </w:r>
      <w:r>
        <w:t xml:space="preserve"> ROP screening for all at</w:t>
      </w:r>
      <w:r w:rsidR="002E79F9">
        <w:t>-</w:t>
      </w:r>
      <w:r>
        <w:t>risk babies</w:t>
      </w:r>
      <w:r w:rsidR="002E79F9">
        <w:t>;</w:t>
      </w:r>
      <w:r>
        <w:t xml:space="preserve"> the effectiveness and timeliness of ROP referral processing</w:t>
      </w:r>
      <w:r w:rsidR="002E79F9">
        <w:t>;</w:t>
      </w:r>
      <w:r>
        <w:t xml:space="preserve"> and the adequacy of triaging for ROP</w:t>
      </w:r>
      <w:r w:rsidR="00873EC9">
        <w:t xml:space="preserve">. </w:t>
      </w:r>
      <w:r w:rsidR="002E79F9">
        <w:t xml:space="preserve">DHB1 </w:t>
      </w:r>
      <w:r w:rsidR="00873EC9">
        <w:t>also provided the baby and his family with an apology</w:t>
      </w:r>
      <w:r w:rsidR="00543DCF">
        <w:t>.</w:t>
      </w:r>
    </w:p>
    <w:p w14:paraId="276D1A15" w14:textId="7A3140E2" w:rsidR="0014504F" w:rsidRPr="00F666F0" w:rsidRDefault="0014504F" w:rsidP="0014504F">
      <w:pPr>
        <w:pStyle w:val="Heading3"/>
        <w:rPr>
          <w:rStyle w:val="Heading2Char"/>
          <w:i/>
          <w:iCs w:val="0"/>
          <w:sz w:val="28"/>
          <w:szCs w:val="28"/>
          <w:lang w:bidi="ar-SA"/>
        </w:rPr>
      </w:pPr>
      <w:bookmarkStart w:id="111" w:name="_Toc90639033"/>
      <w:r>
        <w:rPr>
          <w:lang w:val="en-AU" w:bidi="ar-SA"/>
        </w:rPr>
        <w:t>6.3</w:t>
      </w:r>
      <w:r w:rsidRPr="00666BAC">
        <w:rPr>
          <w:lang w:val="en-AU" w:bidi="ar-SA"/>
        </w:rPr>
        <w:t xml:space="preserve"> </w:t>
      </w:r>
      <w:r w:rsidRPr="00666BAC">
        <w:rPr>
          <w:lang w:val="en-AU" w:bidi="ar-SA"/>
        </w:rPr>
        <w:tab/>
      </w:r>
      <w:r>
        <w:rPr>
          <w:lang w:val="en-AU" w:bidi="ar-SA"/>
        </w:rPr>
        <w:t xml:space="preserve">DHB </w:t>
      </w:r>
      <w:r w:rsidRPr="00A504BF">
        <w:rPr>
          <w:lang w:val="en-AU" w:bidi="ar-SA"/>
        </w:rPr>
        <w:t>failures</w:t>
      </w:r>
      <w:r w:rsidRPr="002E4910">
        <w:rPr>
          <w:lang w:val="en-AU" w:bidi="ar-SA"/>
        </w:rPr>
        <w:t xml:space="preserve"> lead</w:t>
      </w:r>
      <w:r>
        <w:rPr>
          <w:lang w:val="en-AU" w:bidi="ar-SA"/>
        </w:rPr>
        <w:t xml:space="preserve"> to woman’s hepatitis relapse</w:t>
      </w:r>
      <w:r>
        <w:rPr>
          <w:rStyle w:val="FootnoteReference"/>
          <w:b w:val="0"/>
          <w:i/>
          <w:lang w:val="en-AU" w:bidi="ar-SA"/>
        </w:rPr>
        <w:footnoteReference w:id="8"/>
      </w:r>
      <w:bookmarkEnd w:id="111"/>
    </w:p>
    <w:p w14:paraId="67FE682B" w14:textId="77BF1DA4" w:rsidR="0014504F" w:rsidRPr="0014504F" w:rsidRDefault="0014504F" w:rsidP="0014504F">
      <w:pPr>
        <w:spacing w:after="240"/>
        <w:rPr>
          <w:b/>
        </w:rPr>
      </w:pPr>
      <w:r w:rsidRPr="00DB65DD">
        <w:rPr>
          <w:b/>
        </w:rPr>
        <w:t xml:space="preserve">This case highlights </w:t>
      </w:r>
      <w:r w:rsidR="006B516A">
        <w:rPr>
          <w:b/>
        </w:rPr>
        <w:t>the importance of clarifying roles and responsibilities to enable continuity of care for a complex clinical picture</w:t>
      </w:r>
      <w:r w:rsidR="00B8616A">
        <w:rPr>
          <w:b/>
        </w:rPr>
        <w:t>,</w:t>
      </w:r>
      <w:r w:rsidR="006B516A">
        <w:rPr>
          <w:b/>
        </w:rPr>
        <w:t xml:space="preserve"> and of ensuring that patients are communicated with in a way that supports their understanding of the information given and allows them to be a partner in their care.</w:t>
      </w:r>
      <w:r>
        <w:rPr>
          <w:b/>
        </w:rPr>
        <w:t xml:space="preserve"> </w:t>
      </w:r>
    </w:p>
    <w:p w14:paraId="6363F41B" w14:textId="0838616E" w:rsidR="00EB4A22" w:rsidRDefault="00EB4A22" w:rsidP="004D22EA">
      <w:pPr>
        <w:rPr>
          <w:i/>
          <w:szCs w:val="22"/>
        </w:rPr>
      </w:pPr>
      <w:r w:rsidRPr="007F3D48">
        <w:rPr>
          <w:i/>
          <w:szCs w:val="22"/>
        </w:rPr>
        <w:t>Background</w:t>
      </w:r>
    </w:p>
    <w:p w14:paraId="75FE786C" w14:textId="6069EEB9" w:rsidR="0014504F" w:rsidRDefault="0014504F" w:rsidP="004D22EA">
      <w:pPr>
        <w:rPr>
          <w:szCs w:val="22"/>
        </w:rPr>
      </w:pPr>
      <w:r>
        <w:rPr>
          <w:szCs w:val="22"/>
        </w:rPr>
        <w:t xml:space="preserve">A woman </w:t>
      </w:r>
      <w:r w:rsidR="00DE11C7">
        <w:rPr>
          <w:szCs w:val="22"/>
        </w:rPr>
        <w:t xml:space="preserve">with </w:t>
      </w:r>
      <w:r>
        <w:rPr>
          <w:szCs w:val="22"/>
        </w:rPr>
        <w:t xml:space="preserve">lymphoma was under the care of </w:t>
      </w:r>
      <w:r w:rsidR="00DE11C7">
        <w:rPr>
          <w:szCs w:val="22"/>
        </w:rPr>
        <w:t xml:space="preserve">a </w:t>
      </w:r>
      <w:r>
        <w:rPr>
          <w:szCs w:val="22"/>
        </w:rPr>
        <w:t xml:space="preserve">DHB’s </w:t>
      </w:r>
      <w:r w:rsidR="00DE11C7">
        <w:rPr>
          <w:szCs w:val="22"/>
        </w:rPr>
        <w:t xml:space="preserve">medical oncology </w:t>
      </w:r>
      <w:r>
        <w:rPr>
          <w:szCs w:val="22"/>
        </w:rPr>
        <w:t>service. She had a history of hepatitis B infection, which was monitored with six-monthly blood tests. Before commencing chemotherapy, the</w:t>
      </w:r>
      <w:r w:rsidR="0044692E">
        <w:rPr>
          <w:szCs w:val="22"/>
        </w:rPr>
        <w:t xml:space="preserve"> oncologist started the woman on</w:t>
      </w:r>
      <w:r>
        <w:rPr>
          <w:szCs w:val="22"/>
        </w:rPr>
        <w:t xml:space="preserve"> </w:t>
      </w:r>
      <w:r w:rsidR="00DE11C7">
        <w:rPr>
          <w:szCs w:val="22"/>
        </w:rPr>
        <w:t xml:space="preserve">the </w:t>
      </w:r>
      <w:r>
        <w:rPr>
          <w:szCs w:val="22"/>
        </w:rPr>
        <w:t>medicati</w:t>
      </w:r>
      <w:r w:rsidR="005A33A3">
        <w:rPr>
          <w:szCs w:val="22"/>
        </w:rPr>
        <w:t xml:space="preserve">on lamivudine to prevent </w:t>
      </w:r>
      <w:r w:rsidR="007844E0">
        <w:rPr>
          <w:szCs w:val="22"/>
        </w:rPr>
        <w:t xml:space="preserve">her </w:t>
      </w:r>
      <w:r>
        <w:rPr>
          <w:szCs w:val="22"/>
        </w:rPr>
        <w:t xml:space="preserve">hepatitis from reactivating. The intention was </w:t>
      </w:r>
      <w:r w:rsidR="007844E0">
        <w:rPr>
          <w:szCs w:val="22"/>
        </w:rPr>
        <w:t>for the woman to</w:t>
      </w:r>
      <w:r>
        <w:rPr>
          <w:szCs w:val="22"/>
        </w:rPr>
        <w:t xml:space="preserve"> take lamivudine during chemotherapy and for one year following chemotherapy.</w:t>
      </w:r>
    </w:p>
    <w:p w14:paraId="1F32A24A" w14:textId="23675CA3" w:rsidR="0044692E" w:rsidRDefault="0044692E" w:rsidP="004D22EA">
      <w:pPr>
        <w:rPr>
          <w:szCs w:val="22"/>
        </w:rPr>
      </w:pPr>
    </w:p>
    <w:p w14:paraId="2E0B340A" w14:textId="3CDD917B" w:rsidR="0044692E" w:rsidRDefault="0044692E" w:rsidP="004D22EA">
      <w:pPr>
        <w:rPr>
          <w:szCs w:val="22"/>
        </w:rPr>
      </w:pPr>
      <w:r>
        <w:rPr>
          <w:szCs w:val="22"/>
        </w:rPr>
        <w:t xml:space="preserve">The woman recalls being told at her last chemotherapy oncology clinic that she did not need to take any more pills, and she was not given a prescription at the clinic. </w:t>
      </w:r>
    </w:p>
    <w:p w14:paraId="5FD5C56D" w14:textId="7416B6AD" w:rsidR="007D4193" w:rsidRDefault="007D4193" w:rsidP="004D22EA">
      <w:pPr>
        <w:rPr>
          <w:szCs w:val="22"/>
        </w:rPr>
      </w:pPr>
    </w:p>
    <w:p w14:paraId="266B0608" w14:textId="5AF81F73" w:rsidR="007D4193" w:rsidRDefault="007D4193" w:rsidP="004D22EA">
      <w:pPr>
        <w:rPr>
          <w:szCs w:val="22"/>
        </w:rPr>
      </w:pPr>
      <w:r>
        <w:rPr>
          <w:szCs w:val="22"/>
        </w:rPr>
        <w:t>At the completion of chemotherapy</w:t>
      </w:r>
      <w:r w:rsidR="007844E0">
        <w:rPr>
          <w:szCs w:val="22"/>
        </w:rPr>
        <w:t>,</w:t>
      </w:r>
      <w:r>
        <w:rPr>
          <w:szCs w:val="22"/>
        </w:rPr>
        <w:t xml:space="preserve"> the woman moved on to the radiation therapy component of her care. The problem list in her clinic letter stated</w:t>
      </w:r>
      <w:r w:rsidR="00B04A16">
        <w:rPr>
          <w:szCs w:val="22"/>
        </w:rPr>
        <w:t>:</w:t>
      </w:r>
      <w:r>
        <w:rPr>
          <w:szCs w:val="22"/>
        </w:rPr>
        <w:t xml:space="preserve"> “</w:t>
      </w:r>
      <w:r w:rsidR="005A33A3">
        <w:rPr>
          <w:szCs w:val="22"/>
        </w:rPr>
        <w:t>Hepatitis</w:t>
      </w:r>
      <w:r>
        <w:rPr>
          <w:szCs w:val="22"/>
        </w:rPr>
        <w:t xml:space="preserve"> B carrier, on lamivudine</w:t>
      </w:r>
      <w:r w:rsidR="00B04A16">
        <w:rPr>
          <w:szCs w:val="22"/>
        </w:rPr>
        <w:t>.</w:t>
      </w:r>
      <w:r>
        <w:rPr>
          <w:szCs w:val="22"/>
        </w:rPr>
        <w:t xml:space="preserve">” However, there was no reference to lamivudine needing to be continued for one year after chemotherapy. </w:t>
      </w:r>
    </w:p>
    <w:p w14:paraId="21895118" w14:textId="367DF9CD" w:rsidR="007D4193" w:rsidRDefault="007D4193" w:rsidP="004D22EA">
      <w:pPr>
        <w:rPr>
          <w:szCs w:val="22"/>
        </w:rPr>
      </w:pPr>
    </w:p>
    <w:p w14:paraId="19E4F854" w14:textId="7BDB5C5C" w:rsidR="0047792B" w:rsidRDefault="0047792B" w:rsidP="004D22EA">
      <w:pPr>
        <w:rPr>
          <w:szCs w:val="22"/>
        </w:rPr>
      </w:pPr>
      <w:r>
        <w:rPr>
          <w:szCs w:val="22"/>
        </w:rPr>
        <w:t xml:space="preserve">A toxicity review was planned with medical oncology, </w:t>
      </w:r>
      <w:r w:rsidR="00B04A16">
        <w:rPr>
          <w:szCs w:val="22"/>
        </w:rPr>
        <w:t xml:space="preserve">but </w:t>
      </w:r>
      <w:r>
        <w:rPr>
          <w:szCs w:val="22"/>
        </w:rPr>
        <w:t xml:space="preserve">the woman requested </w:t>
      </w:r>
      <w:r w:rsidR="004E1C41">
        <w:rPr>
          <w:szCs w:val="22"/>
        </w:rPr>
        <w:t xml:space="preserve">that </w:t>
      </w:r>
      <w:r>
        <w:rPr>
          <w:szCs w:val="22"/>
        </w:rPr>
        <w:t xml:space="preserve">this follow-up appointment be cancelled as she was undergoing radiotherapy and wanted to avoid duplication. The appointment was deferred for three months. </w:t>
      </w:r>
    </w:p>
    <w:p w14:paraId="3F6B4270" w14:textId="77777777" w:rsidR="0047792B" w:rsidRDefault="0047792B" w:rsidP="004D22EA">
      <w:pPr>
        <w:rPr>
          <w:szCs w:val="22"/>
        </w:rPr>
      </w:pPr>
    </w:p>
    <w:p w14:paraId="62A353E7" w14:textId="3A0ECB75" w:rsidR="007D4193" w:rsidRDefault="007D4193" w:rsidP="004D22EA">
      <w:pPr>
        <w:rPr>
          <w:szCs w:val="22"/>
        </w:rPr>
      </w:pPr>
      <w:r>
        <w:rPr>
          <w:szCs w:val="22"/>
        </w:rPr>
        <w:t xml:space="preserve">The woman came to the end of her latest prescription for lamivudine while under radiotherapy treatment. No further prescription was given, and it was the woman’s understanding that she was on lamivudine only while undertaking chemotherapy. Accordingly, the planned one-year course after chemotherapy was not completed. </w:t>
      </w:r>
    </w:p>
    <w:p w14:paraId="64A02430" w14:textId="644E0525" w:rsidR="007D4193" w:rsidRDefault="007D4193" w:rsidP="004D22EA">
      <w:pPr>
        <w:rPr>
          <w:szCs w:val="22"/>
        </w:rPr>
      </w:pPr>
    </w:p>
    <w:p w14:paraId="326C6D07" w14:textId="2973309B" w:rsidR="0044692E" w:rsidRDefault="007D4193" w:rsidP="004D22EA">
      <w:pPr>
        <w:rPr>
          <w:szCs w:val="22"/>
        </w:rPr>
      </w:pPr>
      <w:r>
        <w:rPr>
          <w:szCs w:val="22"/>
        </w:rPr>
        <w:t>The woman was later admitted to hospital with deteriorati</w:t>
      </w:r>
      <w:r w:rsidR="005A33A3">
        <w:rPr>
          <w:szCs w:val="22"/>
        </w:rPr>
        <w:t>ng liver function secondary to h</w:t>
      </w:r>
      <w:r>
        <w:rPr>
          <w:szCs w:val="22"/>
        </w:rPr>
        <w:t>epatitis B reactivation. S</w:t>
      </w:r>
      <w:r w:rsidR="00B3077B">
        <w:rPr>
          <w:szCs w:val="22"/>
        </w:rPr>
        <w:t>ubsequently, s</w:t>
      </w:r>
      <w:r>
        <w:rPr>
          <w:szCs w:val="22"/>
        </w:rPr>
        <w:t>he underwent a liver transplant.</w:t>
      </w:r>
    </w:p>
    <w:p w14:paraId="7BDC3F16" w14:textId="77777777" w:rsidR="0014504F" w:rsidRPr="0014504F" w:rsidRDefault="0014504F" w:rsidP="004D22EA">
      <w:pPr>
        <w:rPr>
          <w:szCs w:val="22"/>
        </w:rPr>
      </w:pPr>
    </w:p>
    <w:p w14:paraId="10BF8245" w14:textId="77777777" w:rsidR="00EB4A22" w:rsidRPr="006D6DF3" w:rsidRDefault="00EB4A22" w:rsidP="004D22EA">
      <w:pPr>
        <w:rPr>
          <w:szCs w:val="22"/>
        </w:rPr>
      </w:pPr>
      <w:r>
        <w:rPr>
          <w:i/>
          <w:szCs w:val="22"/>
        </w:rPr>
        <w:t>Findings</w:t>
      </w:r>
    </w:p>
    <w:p w14:paraId="5AA01A6A" w14:textId="15D99713" w:rsidR="00DA19B1" w:rsidRDefault="00DA19B1" w:rsidP="00A504BF">
      <w:pPr>
        <w:spacing w:after="240"/>
        <w:rPr>
          <w:szCs w:val="22"/>
        </w:rPr>
      </w:pPr>
      <w:r>
        <w:rPr>
          <w:szCs w:val="22"/>
        </w:rPr>
        <w:t>The system at the DHB did not support the co</w:t>
      </w:r>
      <w:r w:rsidR="00B3077B">
        <w:rPr>
          <w:szCs w:val="22"/>
        </w:rPr>
        <w:t>-</w:t>
      </w:r>
      <w:r>
        <w:rPr>
          <w:szCs w:val="22"/>
        </w:rPr>
        <w:t>ordination of care the woman required across a number of different teams. Issues identified included:</w:t>
      </w:r>
    </w:p>
    <w:p w14:paraId="32105990" w14:textId="40ADD992" w:rsidR="00DA19B1" w:rsidRDefault="00DA19B1" w:rsidP="00A504BF">
      <w:pPr>
        <w:pStyle w:val="ListParagraph"/>
        <w:numPr>
          <w:ilvl w:val="0"/>
          <w:numId w:val="30"/>
        </w:numPr>
        <w:spacing w:after="120"/>
        <w:ind w:left="284" w:hanging="284"/>
        <w:rPr>
          <w:szCs w:val="22"/>
        </w:rPr>
      </w:pPr>
      <w:r>
        <w:rPr>
          <w:szCs w:val="22"/>
        </w:rPr>
        <w:t>A lack of clarity around roles and responsibilities, with no clinician seeing it as their primary responsibility to manage the prevention</w:t>
      </w:r>
      <w:r w:rsidR="005A33A3">
        <w:rPr>
          <w:szCs w:val="22"/>
        </w:rPr>
        <w:t xml:space="preserve"> of h</w:t>
      </w:r>
      <w:r>
        <w:rPr>
          <w:szCs w:val="22"/>
        </w:rPr>
        <w:t xml:space="preserve">epatitis B reactivation once the woman had finished </w:t>
      </w:r>
      <w:r w:rsidR="0047792B">
        <w:rPr>
          <w:szCs w:val="22"/>
        </w:rPr>
        <w:t>chemotherapy</w:t>
      </w:r>
      <w:r w:rsidR="0098571F">
        <w:rPr>
          <w:szCs w:val="22"/>
        </w:rPr>
        <w:t>.</w:t>
      </w:r>
    </w:p>
    <w:p w14:paraId="0FD2468B" w14:textId="431C7576" w:rsidR="00DA19B1" w:rsidRDefault="0098571F" w:rsidP="00A504BF">
      <w:pPr>
        <w:pStyle w:val="ListParagraph"/>
        <w:numPr>
          <w:ilvl w:val="0"/>
          <w:numId w:val="30"/>
        </w:numPr>
        <w:spacing w:after="120"/>
        <w:ind w:left="284" w:hanging="284"/>
        <w:rPr>
          <w:szCs w:val="22"/>
        </w:rPr>
      </w:pPr>
      <w:r>
        <w:rPr>
          <w:szCs w:val="22"/>
        </w:rPr>
        <w:lastRenderedPageBreak/>
        <w:t>The lack of a</w:t>
      </w:r>
      <w:r w:rsidR="00DA19B1">
        <w:rPr>
          <w:szCs w:val="22"/>
        </w:rPr>
        <w:t xml:space="preserve"> formal </w:t>
      </w:r>
      <w:r w:rsidR="005A33A3">
        <w:rPr>
          <w:szCs w:val="22"/>
        </w:rPr>
        <w:t>protocol for the prevention of h</w:t>
      </w:r>
      <w:r w:rsidR="00DA19B1">
        <w:rPr>
          <w:szCs w:val="22"/>
        </w:rPr>
        <w:t>epatitis B reactivation in patients undergoing immunosuppressive therapy. A draft document was being followed informally, but this did not specify responsibilities for managing viral hepatitis prophylaxis</w:t>
      </w:r>
      <w:r>
        <w:rPr>
          <w:szCs w:val="22"/>
        </w:rPr>
        <w:t>.</w:t>
      </w:r>
    </w:p>
    <w:p w14:paraId="74BE02EB" w14:textId="19DE189A" w:rsidR="00DA19B1" w:rsidRDefault="00DA19B1" w:rsidP="00A504BF">
      <w:pPr>
        <w:pStyle w:val="ListParagraph"/>
        <w:numPr>
          <w:ilvl w:val="0"/>
          <w:numId w:val="30"/>
        </w:numPr>
        <w:spacing w:after="120"/>
        <w:ind w:left="284" w:hanging="284"/>
        <w:rPr>
          <w:szCs w:val="22"/>
        </w:rPr>
      </w:pPr>
      <w:r>
        <w:rPr>
          <w:szCs w:val="22"/>
        </w:rPr>
        <w:t xml:space="preserve">Medication prescribing in </w:t>
      </w:r>
      <w:r w:rsidR="0098571F">
        <w:rPr>
          <w:szCs w:val="22"/>
        </w:rPr>
        <w:t xml:space="preserve">medical oncology </w:t>
      </w:r>
      <w:r>
        <w:rPr>
          <w:szCs w:val="22"/>
        </w:rPr>
        <w:t>was paper-based</w:t>
      </w:r>
      <w:r w:rsidR="0098571F">
        <w:rPr>
          <w:szCs w:val="22"/>
        </w:rPr>
        <w:t>,</w:t>
      </w:r>
      <w:r>
        <w:rPr>
          <w:szCs w:val="22"/>
        </w:rPr>
        <w:t xml:space="preserve"> which limited the accessibility and visibility of prescribing. </w:t>
      </w:r>
      <w:r w:rsidR="005A33A3">
        <w:rPr>
          <w:szCs w:val="22"/>
        </w:rPr>
        <w:t>The paper-based system also did</w:t>
      </w:r>
      <w:r>
        <w:rPr>
          <w:szCs w:val="22"/>
        </w:rPr>
        <w:t xml:space="preserve"> not include prompts for when a patient </w:t>
      </w:r>
      <w:r w:rsidR="0098571F">
        <w:rPr>
          <w:szCs w:val="22"/>
        </w:rPr>
        <w:t xml:space="preserve">required </w:t>
      </w:r>
      <w:r>
        <w:rPr>
          <w:szCs w:val="22"/>
        </w:rPr>
        <w:t>a new prescription</w:t>
      </w:r>
      <w:r w:rsidR="0098571F">
        <w:rPr>
          <w:szCs w:val="22"/>
        </w:rPr>
        <w:t>.</w:t>
      </w:r>
    </w:p>
    <w:p w14:paraId="66DC3477" w14:textId="52A904A2" w:rsidR="00DA19B1" w:rsidRDefault="00DA19B1" w:rsidP="00A504BF">
      <w:pPr>
        <w:pStyle w:val="ListParagraph"/>
        <w:numPr>
          <w:ilvl w:val="0"/>
          <w:numId w:val="30"/>
        </w:numPr>
        <w:spacing w:after="120"/>
        <w:ind w:left="284" w:hanging="284"/>
        <w:rPr>
          <w:szCs w:val="22"/>
        </w:rPr>
      </w:pPr>
      <w:r>
        <w:rPr>
          <w:szCs w:val="22"/>
        </w:rPr>
        <w:t xml:space="preserve">There was no clear plan to ensure that the woman stayed on lamivudine following </w:t>
      </w:r>
      <w:r w:rsidR="0047792B">
        <w:rPr>
          <w:szCs w:val="22"/>
        </w:rPr>
        <w:t>chemotherapy</w:t>
      </w:r>
      <w:r w:rsidR="0098571F">
        <w:rPr>
          <w:szCs w:val="22"/>
        </w:rPr>
        <w:t>.</w:t>
      </w:r>
    </w:p>
    <w:p w14:paraId="3D4864A7" w14:textId="59141969" w:rsidR="00DA19B1" w:rsidRDefault="0047792B" w:rsidP="00A504BF">
      <w:pPr>
        <w:pStyle w:val="ListParagraph"/>
        <w:numPr>
          <w:ilvl w:val="0"/>
          <w:numId w:val="30"/>
        </w:numPr>
        <w:spacing w:after="120"/>
        <w:ind w:left="284" w:hanging="284"/>
        <w:rPr>
          <w:szCs w:val="22"/>
        </w:rPr>
      </w:pPr>
      <w:r>
        <w:rPr>
          <w:szCs w:val="22"/>
        </w:rPr>
        <w:t>Insufficient</w:t>
      </w:r>
      <w:r w:rsidR="00DA19B1">
        <w:rPr>
          <w:szCs w:val="22"/>
        </w:rPr>
        <w:t xml:space="preserve"> information was provided to the woman regarding the risk of hepatitis B reactivation. The information provided was verbal only. She</w:t>
      </w:r>
      <w:r w:rsidR="0098571F">
        <w:rPr>
          <w:szCs w:val="22"/>
        </w:rPr>
        <w:t xml:space="preserve"> </w:t>
      </w:r>
      <w:r w:rsidR="00DA19B1">
        <w:rPr>
          <w:szCs w:val="22"/>
        </w:rPr>
        <w:t>was not provided with appropriate information in a form that supported and reinforced her understanding, and she was not able to advocate for herself when the medication was stopped</w:t>
      </w:r>
      <w:r w:rsidR="00505EB8">
        <w:rPr>
          <w:szCs w:val="22"/>
        </w:rPr>
        <w:t>,</w:t>
      </w:r>
      <w:r w:rsidR="00DA19B1">
        <w:rPr>
          <w:szCs w:val="22"/>
        </w:rPr>
        <w:t xml:space="preserve"> and </w:t>
      </w:r>
      <w:r w:rsidR="00505EB8">
        <w:rPr>
          <w:szCs w:val="22"/>
        </w:rPr>
        <w:t xml:space="preserve">therefore </w:t>
      </w:r>
      <w:r w:rsidR="00DA19B1">
        <w:rPr>
          <w:szCs w:val="22"/>
        </w:rPr>
        <w:t xml:space="preserve">was not empowered to be an active participant in her health and well-being. </w:t>
      </w:r>
    </w:p>
    <w:p w14:paraId="7D95379F" w14:textId="2239E859" w:rsidR="0047792B" w:rsidRDefault="0047792B" w:rsidP="00A504BF">
      <w:pPr>
        <w:pStyle w:val="ListParagraph"/>
        <w:numPr>
          <w:ilvl w:val="0"/>
          <w:numId w:val="30"/>
        </w:numPr>
        <w:spacing w:after="240"/>
        <w:ind w:left="284" w:hanging="284"/>
        <w:rPr>
          <w:szCs w:val="22"/>
        </w:rPr>
      </w:pPr>
      <w:r>
        <w:rPr>
          <w:szCs w:val="22"/>
        </w:rPr>
        <w:t xml:space="preserve">Her toxicity review was deferred, and no </w:t>
      </w:r>
      <w:r w:rsidR="00673F50">
        <w:rPr>
          <w:szCs w:val="22"/>
        </w:rPr>
        <w:t>“</w:t>
      </w:r>
      <w:r>
        <w:rPr>
          <w:szCs w:val="22"/>
        </w:rPr>
        <w:t>end of treatment</w:t>
      </w:r>
      <w:r w:rsidR="00673F50">
        <w:rPr>
          <w:szCs w:val="22"/>
        </w:rPr>
        <w:t>”</w:t>
      </w:r>
      <w:r>
        <w:rPr>
          <w:szCs w:val="22"/>
        </w:rPr>
        <w:t xml:space="preserve"> summary was provided to the woman or her GP</w:t>
      </w:r>
      <w:r w:rsidR="00505EB8">
        <w:rPr>
          <w:szCs w:val="22"/>
        </w:rPr>
        <w:t>.</w:t>
      </w:r>
    </w:p>
    <w:p w14:paraId="0A6911D3" w14:textId="503DEF12" w:rsidR="0047792B" w:rsidRPr="0047792B" w:rsidRDefault="0047792B" w:rsidP="0047792B">
      <w:pPr>
        <w:rPr>
          <w:szCs w:val="22"/>
        </w:rPr>
      </w:pPr>
      <w:r>
        <w:rPr>
          <w:szCs w:val="22"/>
        </w:rPr>
        <w:t>These systems issues mea</w:t>
      </w:r>
      <w:r w:rsidR="005A33A3">
        <w:rPr>
          <w:szCs w:val="22"/>
        </w:rPr>
        <w:t>n</w:t>
      </w:r>
      <w:r>
        <w:rPr>
          <w:szCs w:val="22"/>
        </w:rPr>
        <w:t>t that the stopping of lamivudine went unnoticed</w:t>
      </w:r>
      <w:r w:rsidR="00D32F4D">
        <w:rPr>
          <w:szCs w:val="22"/>
        </w:rPr>
        <w:t>,</w:t>
      </w:r>
      <w:r>
        <w:rPr>
          <w:szCs w:val="22"/>
        </w:rPr>
        <w:t xml:space="preserve"> and the woman’s hepatitis B reactivated. Accordingly</w:t>
      </w:r>
      <w:r w:rsidR="005A33A3">
        <w:rPr>
          <w:szCs w:val="22"/>
        </w:rPr>
        <w:t>,</w:t>
      </w:r>
      <w:r>
        <w:rPr>
          <w:szCs w:val="22"/>
        </w:rPr>
        <w:t xml:space="preserve"> the Commissioner found that the DHB failed to </w:t>
      </w:r>
      <w:r w:rsidR="00FA3252">
        <w:rPr>
          <w:szCs w:val="22"/>
        </w:rPr>
        <w:t>provide the woman with services with reasonable</w:t>
      </w:r>
      <w:r>
        <w:rPr>
          <w:szCs w:val="22"/>
        </w:rPr>
        <w:t xml:space="preserve"> care and skill</w:t>
      </w:r>
      <w:r w:rsidR="00FA3252">
        <w:rPr>
          <w:szCs w:val="22"/>
        </w:rPr>
        <w:t>,</w:t>
      </w:r>
      <w:r>
        <w:rPr>
          <w:szCs w:val="22"/>
        </w:rPr>
        <w:t xml:space="preserve"> in breach of Right 4(1) of the Code. The Commissioner also considered that the DHB failed to ensure quality and </w:t>
      </w:r>
      <w:r w:rsidR="005A33A3">
        <w:rPr>
          <w:szCs w:val="22"/>
        </w:rPr>
        <w:t>continuity</w:t>
      </w:r>
      <w:r>
        <w:rPr>
          <w:szCs w:val="22"/>
        </w:rPr>
        <w:t xml:space="preserve"> of services for the woman, in breach of Right 4(5) of the Code. </w:t>
      </w:r>
    </w:p>
    <w:p w14:paraId="023DF8C7" w14:textId="77777777" w:rsidR="00DA19B1" w:rsidRDefault="00DA19B1" w:rsidP="004D22EA">
      <w:pPr>
        <w:rPr>
          <w:szCs w:val="22"/>
        </w:rPr>
      </w:pPr>
    </w:p>
    <w:p w14:paraId="32D14F2B" w14:textId="0C5F59B7" w:rsidR="00DA19B1" w:rsidRPr="008E3AE0" w:rsidRDefault="0047792B" w:rsidP="00DA19B1">
      <w:pPr>
        <w:rPr>
          <w:szCs w:val="22"/>
          <w:lang w:val="mi-NZ"/>
        </w:rPr>
      </w:pPr>
      <w:r>
        <w:rPr>
          <w:szCs w:val="22"/>
        </w:rPr>
        <w:t>The woman in this case identified as Cook Island Māori, and t</w:t>
      </w:r>
      <w:r w:rsidR="00DA19B1">
        <w:rPr>
          <w:szCs w:val="22"/>
        </w:rPr>
        <w:t xml:space="preserve">he complainant </w:t>
      </w:r>
      <w:r>
        <w:rPr>
          <w:szCs w:val="22"/>
        </w:rPr>
        <w:t xml:space="preserve">raised issues regarding </w:t>
      </w:r>
      <w:r w:rsidR="00283ADA">
        <w:rPr>
          <w:szCs w:val="22"/>
        </w:rPr>
        <w:t>institutional</w:t>
      </w:r>
      <w:r>
        <w:rPr>
          <w:szCs w:val="22"/>
        </w:rPr>
        <w:t xml:space="preserve"> racism</w:t>
      </w:r>
      <w:r w:rsidR="00D32F4D">
        <w:rPr>
          <w:szCs w:val="22"/>
        </w:rPr>
        <w:t>,</w:t>
      </w:r>
      <w:r>
        <w:rPr>
          <w:szCs w:val="22"/>
        </w:rPr>
        <w:t xml:space="preserve"> and that the experience of the woman aligned with the poorer outcomes experienced by Pacific peoples in New Zealand’s health system. </w:t>
      </w:r>
      <w:r w:rsidR="008E3AE0">
        <w:rPr>
          <w:szCs w:val="22"/>
        </w:rPr>
        <w:t xml:space="preserve">The DHB acknowledged that </w:t>
      </w:r>
      <w:r w:rsidR="00D32F4D">
        <w:rPr>
          <w:szCs w:val="22"/>
        </w:rPr>
        <w:t xml:space="preserve">it </w:t>
      </w:r>
      <w:r w:rsidR="008E3AE0">
        <w:rPr>
          <w:szCs w:val="22"/>
        </w:rPr>
        <w:t>had an obligation to do better for M</w:t>
      </w:r>
      <w:r w:rsidR="008E3AE0">
        <w:rPr>
          <w:szCs w:val="22"/>
          <w:lang w:val="mi-NZ"/>
        </w:rPr>
        <w:t>āori and Pacific patients</w:t>
      </w:r>
      <w:r w:rsidR="00D32F4D">
        <w:rPr>
          <w:szCs w:val="22"/>
          <w:lang w:val="mi-NZ"/>
        </w:rPr>
        <w:t>,</w:t>
      </w:r>
      <w:r w:rsidR="008E3AE0">
        <w:rPr>
          <w:szCs w:val="22"/>
          <w:lang w:val="mi-NZ"/>
        </w:rPr>
        <w:t xml:space="preserve"> who unquestionably experience </w:t>
      </w:r>
      <w:r w:rsidR="00D32F4D">
        <w:rPr>
          <w:szCs w:val="22"/>
          <w:lang w:val="mi-NZ"/>
        </w:rPr>
        <w:t xml:space="preserve">inequitable </w:t>
      </w:r>
      <w:r w:rsidR="008E3AE0">
        <w:rPr>
          <w:szCs w:val="22"/>
          <w:lang w:val="mi-NZ"/>
        </w:rPr>
        <w:t>health outcomes. The Commissioner agreed</w:t>
      </w:r>
      <w:r w:rsidR="005A33A3">
        <w:rPr>
          <w:szCs w:val="22"/>
          <w:lang w:val="mi-NZ"/>
        </w:rPr>
        <w:t>,</w:t>
      </w:r>
      <w:r w:rsidR="008E3AE0">
        <w:rPr>
          <w:szCs w:val="22"/>
          <w:lang w:val="mi-NZ"/>
        </w:rPr>
        <w:t xml:space="preserve"> and noted that the way in which the woman was communicated </w:t>
      </w:r>
      <w:r w:rsidR="00AA48DD">
        <w:rPr>
          <w:szCs w:val="22"/>
          <w:lang w:val="mi-NZ"/>
        </w:rPr>
        <w:t xml:space="preserve">with </w:t>
      </w:r>
      <w:r w:rsidR="008E3AE0">
        <w:rPr>
          <w:szCs w:val="22"/>
          <w:lang w:val="mi-NZ"/>
        </w:rPr>
        <w:t>failed to support her understanding of the care she was rece</w:t>
      </w:r>
      <w:r w:rsidR="00AA48DD">
        <w:rPr>
          <w:szCs w:val="22"/>
          <w:lang w:val="mi-NZ"/>
        </w:rPr>
        <w:t>i</w:t>
      </w:r>
      <w:r w:rsidR="008E3AE0">
        <w:rPr>
          <w:szCs w:val="22"/>
          <w:lang w:val="mi-NZ"/>
        </w:rPr>
        <w:t>ving</w:t>
      </w:r>
      <w:r w:rsidR="00D32F4D">
        <w:rPr>
          <w:szCs w:val="22"/>
          <w:lang w:val="mi-NZ"/>
        </w:rPr>
        <w:t>,</w:t>
      </w:r>
      <w:r w:rsidR="008E3AE0">
        <w:rPr>
          <w:szCs w:val="22"/>
          <w:lang w:val="mi-NZ"/>
        </w:rPr>
        <w:t xml:space="preserve"> and did not allow her to be a partner in her own care.</w:t>
      </w:r>
    </w:p>
    <w:p w14:paraId="074592B8" w14:textId="77777777" w:rsidR="00DA19B1" w:rsidRDefault="00DA19B1" w:rsidP="004D22EA">
      <w:pPr>
        <w:rPr>
          <w:szCs w:val="22"/>
        </w:rPr>
      </w:pPr>
    </w:p>
    <w:p w14:paraId="0E0AA6D5" w14:textId="1F868914" w:rsidR="00EB4A22" w:rsidRDefault="00EB4A22" w:rsidP="004D22EA">
      <w:pPr>
        <w:rPr>
          <w:i/>
          <w:szCs w:val="22"/>
        </w:rPr>
      </w:pPr>
      <w:r>
        <w:rPr>
          <w:i/>
          <w:szCs w:val="22"/>
        </w:rPr>
        <w:t>Recommendations</w:t>
      </w:r>
    </w:p>
    <w:p w14:paraId="722F8A7E" w14:textId="628BEC08" w:rsidR="00EB4A22" w:rsidRDefault="005A33A3" w:rsidP="008E3AE0">
      <w:pPr>
        <w:spacing w:after="240"/>
        <w:rPr>
          <w:szCs w:val="22"/>
        </w:rPr>
      </w:pPr>
      <w:r>
        <w:rPr>
          <w:szCs w:val="22"/>
        </w:rPr>
        <w:t xml:space="preserve">Following this event, </w:t>
      </w:r>
      <w:r w:rsidR="008E3AE0">
        <w:rPr>
          <w:szCs w:val="22"/>
        </w:rPr>
        <w:t>the DHB made a number of changes, including:</w:t>
      </w:r>
    </w:p>
    <w:p w14:paraId="746B364C" w14:textId="5CEF2D0B" w:rsidR="006B516A" w:rsidRDefault="005A33A3" w:rsidP="00A504BF">
      <w:pPr>
        <w:pStyle w:val="ListParagraph"/>
        <w:numPr>
          <w:ilvl w:val="0"/>
          <w:numId w:val="31"/>
        </w:numPr>
        <w:spacing w:after="120"/>
        <w:ind w:left="284" w:hanging="284"/>
        <w:rPr>
          <w:szCs w:val="22"/>
        </w:rPr>
      </w:pPr>
      <w:r>
        <w:rPr>
          <w:szCs w:val="22"/>
        </w:rPr>
        <w:t>Developing</w:t>
      </w:r>
      <w:r w:rsidR="008E3AE0">
        <w:rPr>
          <w:szCs w:val="22"/>
        </w:rPr>
        <w:t xml:space="preserve"> a new protocol on hepatitis B i</w:t>
      </w:r>
      <w:r w:rsidR="006B516A">
        <w:rPr>
          <w:szCs w:val="22"/>
        </w:rPr>
        <w:t>n patients with cancer</w:t>
      </w:r>
      <w:r w:rsidR="00203A92">
        <w:rPr>
          <w:szCs w:val="22"/>
        </w:rPr>
        <w:t>,</w:t>
      </w:r>
      <w:r w:rsidR="006B516A">
        <w:rPr>
          <w:szCs w:val="22"/>
        </w:rPr>
        <w:t xml:space="preserve"> which </w:t>
      </w:r>
      <w:r>
        <w:rPr>
          <w:szCs w:val="22"/>
        </w:rPr>
        <w:t>clearly</w:t>
      </w:r>
      <w:r w:rsidR="006B516A">
        <w:rPr>
          <w:szCs w:val="22"/>
        </w:rPr>
        <w:t xml:space="preserve"> defines roles and responsibilities</w:t>
      </w:r>
      <w:r w:rsidR="00203A92">
        <w:rPr>
          <w:szCs w:val="22"/>
        </w:rPr>
        <w:t>.</w:t>
      </w:r>
    </w:p>
    <w:p w14:paraId="4A943E99" w14:textId="1AB6A3FD" w:rsidR="006B516A" w:rsidRDefault="006B516A" w:rsidP="00A504BF">
      <w:pPr>
        <w:pStyle w:val="ListParagraph"/>
        <w:numPr>
          <w:ilvl w:val="0"/>
          <w:numId w:val="31"/>
        </w:numPr>
        <w:spacing w:after="120"/>
        <w:ind w:left="284" w:hanging="284"/>
        <w:rPr>
          <w:szCs w:val="22"/>
        </w:rPr>
      </w:pPr>
      <w:r>
        <w:rPr>
          <w:szCs w:val="22"/>
        </w:rPr>
        <w:t xml:space="preserve">Implementing an electronic care management system for </w:t>
      </w:r>
      <w:r w:rsidR="00203A92">
        <w:rPr>
          <w:szCs w:val="22"/>
        </w:rPr>
        <w:t xml:space="preserve">medical oncology </w:t>
      </w:r>
      <w:r>
        <w:rPr>
          <w:szCs w:val="22"/>
        </w:rPr>
        <w:t xml:space="preserve">and </w:t>
      </w:r>
      <w:r w:rsidR="00203A92">
        <w:rPr>
          <w:szCs w:val="22"/>
        </w:rPr>
        <w:t>haematology</w:t>
      </w:r>
      <w:r>
        <w:rPr>
          <w:szCs w:val="22"/>
        </w:rPr>
        <w:t>, which includes prompts for medication to be continued</w:t>
      </w:r>
      <w:r w:rsidR="00203A92">
        <w:rPr>
          <w:szCs w:val="22"/>
        </w:rPr>
        <w:t>.</w:t>
      </w:r>
    </w:p>
    <w:p w14:paraId="53CD9733" w14:textId="356697F2" w:rsidR="006B516A" w:rsidRDefault="005A33A3" w:rsidP="00A504BF">
      <w:pPr>
        <w:pStyle w:val="ListParagraph"/>
        <w:numPr>
          <w:ilvl w:val="0"/>
          <w:numId w:val="31"/>
        </w:numPr>
        <w:spacing w:after="120"/>
        <w:ind w:left="284" w:hanging="284"/>
        <w:rPr>
          <w:szCs w:val="22"/>
        </w:rPr>
      </w:pPr>
      <w:r>
        <w:rPr>
          <w:szCs w:val="22"/>
        </w:rPr>
        <w:t>Appointing</w:t>
      </w:r>
      <w:r w:rsidR="006B516A">
        <w:rPr>
          <w:szCs w:val="22"/>
        </w:rPr>
        <w:t xml:space="preserve"> a Māori health cancer nurse coordinator</w:t>
      </w:r>
      <w:r w:rsidR="00203A92">
        <w:rPr>
          <w:szCs w:val="22"/>
        </w:rPr>
        <w:t>.</w:t>
      </w:r>
      <w:r w:rsidR="006B516A">
        <w:rPr>
          <w:szCs w:val="22"/>
        </w:rPr>
        <w:t xml:space="preserve"> </w:t>
      </w:r>
    </w:p>
    <w:p w14:paraId="1E6A8465" w14:textId="688A2E92" w:rsidR="006B516A" w:rsidRDefault="005A33A3" w:rsidP="00A504BF">
      <w:pPr>
        <w:pStyle w:val="ListParagraph"/>
        <w:numPr>
          <w:ilvl w:val="0"/>
          <w:numId w:val="31"/>
        </w:numPr>
        <w:spacing w:after="120"/>
        <w:ind w:left="284" w:hanging="284"/>
        <w:rPr>
          <w:szCs w:val="22"/>
        </w:rPr>
      </w:pPr>
      <w:r>
        <w:rPr>
          <w:szCs w:val="22"/>
        </w:rPr>
        <w:t>Developing a w</w:t>
      </w:r>
      <w:r w:rsidR="00FA3252">
        <w:rPr>
          <w:szCs w:val="22"/>
        </w:rPr>
        <w:t>ritten</w:t>
      </w:r>
      <w:r w:rsidR="006B516A">
        <w:rPr>
          <w:szCs w:val="22"/>
        </w:rPr>
        <w:t xml:space="preserve"> patient information sheet about the duration of prophylaxis treatment for hepatitis B</w:t>
      </w:r>
      <w:r w:rsidR="00203A92">
        <w:rPr>
          <w:szCs w:val="22"/>
        </w:rPr>
        <w:t>.</w:t>
      </w:r>
    </w:p>
    <w:p w14:paraId="17FA5286" w14:textId="6BBDE937" w:rsidR="006B516A" w:rsidRDefault="005A33A3" w:rsidP="00A504BF">
      <w:pPr>
        <w:pStyle w:val="ListParagraph"/>
        <w:numPr>
          <w:ilvl w:val="0"/>
          <w:numId w:val="31"/>
        </w:numPr>
        <w:spacing w:after="240"/>
        <w:ind w:left="284" w:hanging="284"/>
        <w:rPr>
          <w:szCs w:val="22"/>
        </w:rPr>
      </w:pPr>
      <w:r>
        <w:rPr>
          <w:szCs w:val="22"/>
        </w:rPr>
        <w:t>Ensuring that treatment summaries</w:t>
      </w:r>
      <w:r w:rsidR="006B516A">
        <w:rPr>
          <w:szCs w:val="22"/>
        </w:rPr>
        <w:t xml:space="preserve"> to GPs and patients include a clear delineation of the handover for high-risk patients to ensure </w:t>
      </w:r>
      <w:r w:rsidR="00203A92">
        <w:rPr>
          <w:szCs w:val="22"/>
        </w:rPr>
        <w:t xml:space="preserve">that </w:t>
      </w:r>
      <w:r w:rsidR="006B516A">
        <w:rPr>
          <w:szCs w:val="22"/>
        </w:rPr>
        <w:t>the patient knows who to contact if they have a problem, and the threshold for contacting their GP.</w:t>
      </w:r>
    </w:p>
    <w:p w14:paraId="74B3B096" w14:textId="6FA8C7AE" w:rsidR="006B516A" w:rsidRDefault="006B516A" w:rsidP="006B516A">
      <w:pPr>
        <w:spacing w:after="120"/>
        <w:rPr>
          <w:szCs w:val="22"/>
        </w:rPr>
      </w:pPr>
      <w:r>
        <w:rPr>
          <w:szCs w:val="22"/>
        </w:rPr>
        <w:t>The Commiss</w:t>
      </w:r>
      <w:r w:rsidR="005A33A3">
        <w:rPr>
          <w:szCs w:val="22"/>
        </w:rPr>
        <w:t>ioner asked the DHB to apologise</w:t>
      </w:r>
      <w:r>
        <w:rPr>
          <w:szCs w:val="22"/>
        </w:rPr>
        <w:t xml:space="preserve"> to the woman for the deficiencies identified</w:t>
      </w:r>
      <w:r w:rsidR="00203A92">
        <w:rPr>
          <w:szCs w:val="22"/>
        </w:rPr>
        <w:t>,</w:t>
      </w:r>
      <w:r>
        <w:rPr>
          <w:szCs w:val="22"/>
        </w:rPr>
        <w:t xml:space="preserve"> and to use an anonymised version of this case to encourage reflection and discussion during education sessions.</w:t>
      </w:r>
    </w:p>
    <w:p w14:paraId="5C535B67" w14:textId="331F039B" w:rsidR="005E4AB6" w:rsidRDefault="005E4AB6" w:rsidP="006B516A">
      <w:pPr>
        <w:spacing w:after="120"/>
        <w:rPr>
          <w:szCs w:val="22"/>
        </w:rPr>
      </w:pPr>
    </w:p>
    <w:p w14:paraId="47DA1498" w14:textId="77777777" w:rsidR="005E4AB6" w:rsidRDefault="005E4AB6" w:rsidP="006B516A">
      <w:pPr>
        <w:spacing w:after="120"/>
        <w:rPr>
          <w:szCs w:val="22"/>
        </w:rPr>
      </w:pPr>
    </w:p>
    <w:p w14:paraId="21EB267C" w14:textId="58DE6F48" w:rsidR="00EB4A22" w:rsidRPr="00F666F0" w:rsidRDefault="00EB4A22" w:rsidP="00932E72">
      <w:pPr>
        <w:pStyle w:val="Heading3"/>
        <w:rPr>
          <w:rStyle w:val="Heading2Char"/>
          <w:i/>
          <w:iCs w:val="0"/>
          <w:sz w:val="28"/>
          <w:szCs w:val="28"/>
          <w:lang w:bidi="ar-SA"/>
        </w:rPr>
      </w:pPr>
      <w:bookmarkStart w:id="112" w:name="_Toc71561668"/>
      <w:bookmarkStart w:id="113" w:name="_Toc90639034"/>
      <w:r>
        <w:rPr>
          <w:lang w:val="en-AU" w:bidi="ar-SA"/>
        </w:rPr>
        <w:lastRenderedPageBreak/>
        <w:t>6.4</w:t>
      </w:r>
      <w:r w:rsidRPr="00666BAC">
        <w:rPr>
          <w:lang w:val="en-AU" w:bidi="ar-SA"/>
        </w:rPr>
        <w:t xml:space="preserve"> </w:t>
      </w:r>
      <w:r w:rsidRPr="00666BAC">
        <w:rPr>
          <w:lang w:val="en-AU" w:bidi="ar-SA"/>
        </w:rPr>
        <w:tab/>
      </w:r>
      <w:r w:rsidR="00CB1D70">
        <w:rPr>
          <w:lang w:val="en-AU" w:bidi="ar-SA"/>
        </w:rPr>
        <w:t>Woman’s liver lesion not followed up</w:t>
      </w:r>
      <w:r w:rsidRPr="004D22EA">
        <w:rPr>
          <w:rStyle w:val="FootnoteReference"/>
          <w:b w:val="0"/>
          <w:lang w:val="en-AU" w:bidi="ar-SA"/>
        </w:rPr>
        <w:footnoteReference w:id="9"/>
      </w:r>
      <w:bookmarkEnd w:id="112"/>
      <w:bookmarkEnd w:id="113"/>
    </w:p>
    <w:p w14:paraId="55302A4D" w14:textId="3B0178A0" w:rsidR="00EB4A22" w:rsidRPr="001965C1" w:rsidRDefault="00EB4A22" w:rsidP="00EB4A22">
      <w:pPr>
        <w:rPr>
          <w:b/>
          <w:lang w:val="en-AU" w:bidi="ar-SA"/>
        </w:rPr>
      </w:pPr>
      <w:r w:rsidRPr="001965C1">
        <w:rPr>
          <w:b/>
          <w:lang w:val="en-AU" w:bidi="ar-SA"/>
        </w:rPr>
        <w:t xml:space="preserve">This </w:t>
      </w:r>
      <w:r w:rsidR="005A33A3">
        <w:rPr>
          <w:b/>
          <w:lang w:val="en-AU" w:bidi="ar-SA"/>
        </w:rPr>
        <w:t>case highlights the vulnerabilities and complexities of test result follow-up for tests ordered in the ED, and the importance of building safety</w:t>
      </w:r>
      <w:r w:rsidR="00CF594D">
        <w:rPr>
          <w:b/>
          <w:lang w:val="en-AU" w:bidi="ar-SA"/>
        </w:rPr>
        <w:t>-</w:t>
      </w:r>
      <w:r w:rsidR="005A33A3">
        <w:rPr>
          <w:b/>
          <w:lang w:val="en-AU" w:bidi="ar-SA"/>
        </w:rPr>
        <w:t xml:space="preserve">nets into the system to ensure follow-up. </w:t>
      </w:r>
    </w:p>
    <w:p w14:paraId="33D3C236" w14:textId="77777777" w:rsidR="00EB4A22" w:rsidRPr="001965C1" w:rsidRDefault="00EB4A22" w:rsidP="00EB4A22">
      <w:pPr>
        <w:rPr>
          <w:lang w:val="en-AU" w:bidi="ar-SA"/>
        </w:rPr>
      </w:pPr>
    </w:p>
    <w:p w14:paraId="5DCE5D38" w14:textId="77777777" w:rsidR="00EB4A22" w:rsidRDefault="00EB4A22" w:rsidP="004D22EA">
      <w:pPr>
        <w:rPr>
          <w:i/>
        </w:rPr>
      </w:pPr>
      <w:r>
        <w:rPr>
          <w:i/>
        </w:rPr>
        <w:t>Background</w:t>
      </w:r>
    </w:p>
    <w:p w14:paraId="016EBF3A" w14:textId="427D5915" w:rsidR="00B03F58" w:rsidRDefault="006B516A" w:rsidP="004D22EA">
      <w:bookmarkStart w:id="114" w:name="_Toc37056001"/>
      <w:bookmarkStart w:id="115" w:name="_Toc37315226"/>
      <w:bookmarkStart w:id="116" w:name="_Toc39138061"/>
      <w:r>
        <w:t xml:space="preserve">A woman </w:t>
      </w:r>
      <w:r w:rsidR="00B03F58">
        <w:t>who had recently undergone a left femoral angiogram presented to the ED of a public hospital with left groin pain and swelling. Following an assessment, the ED doctor referred the woman for a CT angiogram of her left leg and abdomen to assess for a retroperitoneal (</w:t>
      </w:r>
      <w:r w:rsidR="00CF594D">
        <w:t>abdominal</w:t>
      </w:r>
      <w:r w:rsidR="00B03F58">
        <w:t>) bleed.</w:t>
      </w:r>
    </w:p>
    <w:p w14:paraId="3F68644A" w14:textId="77777777" w:rsidR="00B03F58" w:rsidRDefault="00B03F58" w:rsidP="004D22EA"/>
    <w:p w14:paraId="3033116C" w14:textId="13B384E0" w:rsidR="006B516A" w:rsidRDefault="00B03F58" w:rsidP="004D22EA">
      <w:r>
        <w:t xml:space="preserve">The </w:t>
      </w:r>
      <w:r w:rsidR="0096114E">
        <w:t xml:space="preserve">radiologist who reported the </w:t>
      </w:r>
      <w:r>
        <w:t xml:space="preserve">CT scan noted a </w:t>
      </w:r>
      <w:proofErr w:type="spellStart"/>
      <w:r w:rsidR="005A33A3">
        <w:t>pseudoaneurysm</w:t>
      </w:r>
      <w:proofErr w:type="spellEnd"/>
      <w:r w:rsidR="00FA3252">
        <w:t xml:space="preserve"> in the left femoral artery</w:t>
      </w:r>
      <w:r w:rsidR="0096114E">
        <w:t>,</w:t>
      </w:r>
      <w:r>
        <w:t xml:space="preserve"> no significant bleed</w:t>
      </w:r>
      <w:r w:rsidR="0096114E">
        <w:t>ing,</w:t>
      </w:r>
      <w:r>
        <w:t xml:space="preserve"> and a heterogeneous lesion within the right lobe of the liver. </w:t>
      </w:r>
      <w:r w:rsidR="0096114E">
        <w:t>R</w:t>
      </w:r>
      <w:r>
        <w:t>egard</w:t>
      </w:r>
      <w:r w:rsidR="0096114E">
        <w:t>ing</w:t>
      </w:r>
      <w:r>
        <w:t xml:space="preserve"> the liver lesion, the radiologist recommended comparison with prior imaging or </w:t>
      </w:r>
      <w:r w:rsidR="0096114E">
        <w:t>“</w:t>
      </w:r>
      <w:r>
        <w:t>non-urgent dedicated liver imaging</w:t>
      </w:r>
      <w:r w:rsidR="0096114E">
        <w:t>”</w:t>
      </w:r>
      <w:r>
        <w:t>.</w:t>
      </w:r>
    </w:p>
    <w:p w14:paraId="69A5C87C" w14:textId="2F49536E" w:rsidR="00B03F58" w:rsidRDefault="00B03F58" w:rsidP="004D22EA"/>
    <w:p w14:paraId="2B126C3F" w14:textId="2E2595F6" w:rsidR="00B03F58" w:rsidRDefault="00B03F58" w:rsidP="004D22EA">
      <w:r>
        <w:t xml:space="preserve">The radiologist called the ED doctor and provided an informal verbal report of his findings. The radiologist could not recall what he told the ED doctor, but stated </w:t>
      </w:r>
      <w:r w:rsidR="0096114E">
        <w:t xml:space="preserve">that </w:t>
      </w:r>
      <w:r>
        <w:t xml:space="preserve">it was his usual practice to bring to the attention of the referring doctor all the findings listed in the conclusion of his report (where the liver lesion was detailed). The ED doctor reported that he was advised of the presence of the </w:t>
      </w:r>
      <w:proofErr w:type="spellStart"/>
      <w:r>
        <w:t>pseudoaneurysm</w:t>
      </w:r>
      <w:proofErr w:type="spellEnd"/>
      <w:r>
        <w:t>, but felt it was unlikely that he was made aware of the liver lesion, as he had not documented it.</w:t>
      </w:r>
    </w:p>
    <w:p w14:paraId="12D000BD" w14:textId="101C20B3" w:rsidR="00B03F58" w:rsidRDefault="00B03F58" w:rsidP="004D22EA"/>
    <w:p w14:paraId="221F2E73" w14:textId="5815B6DD" w:rsidR="00B03F58" w:rsidRDefault="00B03F58" w:rsidP="004D22EA">
      <w:r>
        <w:t xml:space="preserve">The ED doctor referred the woman to the vascular surgery team. He documented the presence of the </w:t>
      </w:r>
      <w:proofErr w:type="spellStart"/>
      <w:r>
        <w:t>pseudoaneurysm</w:t>
      </w:r>
      <w:proofErr w:type="spellEnd"/>
      <w:r>
        <w:t xml:space="preserve">, but </w:t>
      </w:r>
      <w:r w:rsidR="0096114E">
        <w:t>did not document</w:t>
      </w:r>
      <w:r w:rsidR="00AB5E3A">
        <w:t xml:space="preserve"> the liver lesion. The ED doctor reviewed</w:t>
      </w:r>
      <w:r w:rsidR="00112D9A">
        <w:t xml:space="preserve"> and accepted</w:t>
      </w:r>
      <w:r w:rsidR="00FA3252">
        <w:t xml:space="preserve"> the CT </w:t>
      </w:r>
      <w:r w:rsidR="00AB5E3A">
        <w:t>rep</w:t>
      </w:r>
      <w:r w:rsidR="00112D9A">
        <w:t>ort on the elec</w:t>
      </w:r>
      <w:r w:rsidR="00FA3252">
        <w:t>tronic system 27 hours after the woman</w:t>
      </w:r>
      <w:r w:rsidR="00112D9A">
        <w:t xml:space="preserve"> had been transferred and admitted under another team</w:t>
      </w:r>
      <w:r w:rsidR="00AB5E3A">
        <w:t>. The</w:t>
      </w:r>
      <w:r w:rsidR="00112D9A">
        <w:t xml:space="preserve"> electronic system showed that five</w:t>
      </w:r>
      <w:r w:rsidR="00AB5E3A">
        <w:t xml:space="preserve"> other clinicians had also reviewed the report</w:t>
      </w:r>
      <w:r w:rsidR="00112D9A">
        <w:t xml:space="preserve"> before the ED doctor had accepted it.</w:t>
      </w:r>
    </w:p>
    <w:p w14:paraId="528EDEB4" w14:textId="7E7B759E" w:rsidR="00AB5E3A" w:rsidRDefault="00AB5E3A" w:rsidP="004D22EA"/>
    <w:p w14:paraId="615C3318" w14:textId="3C36E27E" w:rsidR="00AB5E3A" w:rsidRDefault="00AB5E3A" w:rsidP="004D22EA">
      <w:r>
        <w:t xml:space="preserve">The woman was discharged home with a plan to undertake a procedure to treat the </w:t>
      </w:r>
      <w:proofErr w:type="spellStart"/>
      <w:r>
        <w:t>pseudoaneurysm</w:t>
      </w:r>
      <w:proofErr w:type="spellEnd"/>
      <w:r>
        <w:t xml:space="preserve">. No further follow-up was arranged in relation to the liver lesion. </w:t>
      </w:r>
    </w:p>
    <w:p w14:paraId="12650D39" w14:textId="2750AC0A" w:rsidR="00AB5E3A" w:rsidRDefault="00AB5E3A" w:rsidP="004D22EA"/>
    <w:p w14:paraId="5CE4CE81" w14:textId="1AD98740" w:rsidR="00AB5E3A" w:rsidRDefault="00AB5E3A" w:rsidP="004D22EA">
      <w:r>
        <w:t xml:space="preserve">A few months later, the woman presented to ED with chest and abdominal pain, and a CT scan showed a liver mass. </w:t>
      </w:r>
      <w:r w:rsidR="00B5217C">
        <w:t>Unfortunately, s</w:t>
      </w:r>
      <w:r>
        <w:t xml:space="preserve">he was diagnosed with </w:t>
      </w:r>
      <w:r w:rsidR="00B5217C">
        <w:t xml:space="preserve">inoperable </w:t>
      </w:r>
      <w:r>
        <w:t xml:space="preserve">cancer of the bile duct. </w:t>
      </w:r>
    </w:p>
    <w:p w14:paraId="6925A7FD" w14:textId="77777777" w:rsidR="006B516A" w:rsidRDefault="006B516A" w:rsidP="004D22EA"/>
    <w:p w14:paraId="078421C4" w14:textId="5270106D" w:rsidR="00EB4A22" w:rsidRPr="006F6275" w:rsidRDefault="00EB4A22" w:rsidP="004D22EA">
      <w:pPr>
        <w:rPr>
          <w:rStyle w:val="ListParagraphChar"/>
          <w:i/>
        </w:rPr>
      </w:pPr>
      <w:r w:rsidRPr="006F6275">
        <w:rPr>
          <w:i/>
        </w:rPr>
        <w:t>Findings</w:t>
      </w:r>
      <w:bookmarkEnd w:id="114"/>
      <w:bookmarkEnd w:id="115"/>
      <w:bookmarkEnd w:id="116"/>
    </w:p>
    <w:p w14:paraId="1B9930D6" w14:textId="1B2D49B3" w:rsidR="00AB5E3A" w:rsidRDefault="00AB5E3A" w:rsidP="004D22EA">
      <w:bookmarkStart w:id="117" w:name="_Toc37056002"/>
      <w:bookmarkStart w:id="118" w:name="_Toc37315227"/>
      <w:bookmarkStart w:id="119" w:name="_Toc39138062"/>
      <w:r>
        <w:t xml:space="preserve">This case highlights vulnerabilities in </w:t>
      </w:r>
      <w:r w:rsidR="0096114E">
        <w:t xml:space="preserve">a </w:t>
      </w:r>
      <w:r>
        <w:t>system where, despite apparently rea</w:t>
      </w:r>
      <w:r w:rsidR="00B5217C">
        <w:t xml:space="preserve">sonable </w:t>
      </w:r>
      <w:r w:rsidR="00FA3252">
        <w:t>processes being</w:t>
      </w:r>
      <w:r>
        <w:t xml:space="preserve"> in place, a woman’s clearly identified liver lesion was not followed up in a timely manner. </w:t>
      </w:r>
    </w:p>
    <w:p w14:paraId="52F51391" w14:textId="347E9C57" w:rsidR="00AB5E3A" w:rsidRDefault="00AB5E3A" w:rsidP="004D22EA"/>
    <w:p w14:paraId="116DD16E" w14:textId="13997C9D" w:rsidR="00AB5E3A" w:rsidRDefault="00AB5E3A" w:rsidP="004D22EA">
      <w:r>
        <w:t>HDC’s expert advisors in this case highlighted the complexities of test result follow-up in the ED, with one stating</w:t>
      </w:r>
      <w:r w:rsidR="00C92060">
        <w:t>:</w:t>
      </w:r>
      <w:r>
        <w:t xml:space="preserve"> “</w:t>
      </w:r>
      <w:r w:rsidR="00C92060">
        <w:t xml:space="preserve">[T]he </w:t>
      </w:r>
      <w:r>
        <w:t>pra</w:t>
      </w:r>
      <w:r w:rsidR="00FA3252">
        <w:t>cticalities of an ED SMO handing r</w:t>
      </w:r>
      <w:r>
        <w:t xml:space="preserve">esponsibility for following up a non-urgent finding to a surgical SMO in the early hours of the morning are problematic … </w:t>
      </w:r>
      <w:r w:rsidR="00C92060">
        <w:t xml:space="preserve">[T]he </w:t>
      </w:r>
      <w:r>
        <w:t>realities of being a shift worker engaged in episodic acute care make it difficult to implement this consistently</w:t>
      </w:r>
      <w:r w:rsidR="00FA3252">
        <w:t>.</w:t>
      </w:r>
      <w:r>
        <w:t>”</w:t>
      </w:r>
    </w:p>
    <w:p w14:paraId="392840C2" w14:textId="003E91C3" w:rsidR="00AB5E3A" w:rsidRDefault="00AB5E3A" w:rsidP="004D22EA"/>
    <w:p w14:paraId="7B6A9903" w14:textId="024E5C9E" w:rsidR="00AB5E3A" w:rsidRDefault="00AB5E3A" w:rsidP="004D22EA">
      <w:r>
        <w:t xml:space="preserve">The Commissioner noted that although there was a clear responsibility </w:t>
      </w:r>
      <w:r w:rsidR="00112D9A">
        <w:t xml:space="preserve">for the ED doctor to delegate the follow-up of the test result to another </w:t>
      </w:r>
      <w:r w:rsidR="005A1A6B">
        <w:t>clinician</w:t>
      </w:r>
      <w:r w:rsidR="00112D9A">
        <w:t xml:space="preserve">, there are obvious challenges in </w:t>
      </w:r>
      <w:r w:rsidR="005A1A6B">
        <w:t>absolute</w:t>
      </w:r>
      <w:r w:rsidR="00112D9A">
        <w:t xml:space="preserve"> compliance with this policy when taking into account a busy ED setting, and where the test results come in after a patient has been referred to another team. The Commissioner considered that redundancies need to be built into the system to ameliorate these </w:t>
      </w:r>
      <w:r w:rsidR="005A1A6B">
        <w:t>challenges</w:t>
      </w:r>
      <w:r w:rsidR="00112D9A">
        <w:t xml:space="preserve"> and associated risks.</w:t>
      </w:r>
    </w:p>
    <w:p w14:paraId="1A0479EA" w14:textId="700658EE" w:rsidR="00112D9A" w:rsidRDefault="00112D9A" w:rsidP="004D22EA"/>
    <w:p w14:paraId="3E8E9999" w14:textId="17B476FB" w:rsidR="00112D9A" w:rsidRDefault="00112D9A" w:rsidP="004D22EA">
      <w:r>
        <w:t>It was the Commissioner’s view that in a situation such</w:t>
      </w:r>
      <w:r w:rsidR="00B5217C">
        <w:t xml:space="preserve"> as this, it could be reasonably</w:t>
      </w:r>
      <w:r>
        <w:t xml:space="preserve"> expected that the receiving team would act as a safety</w:t>
      </w:r>
      <w:r w:rsidR="00331BA7">
        <w:t>-</w:t>
      </w:r>
      <w:r>
        <w:t xml:space="preserve">net and take responsibility for following up any unaddressed </w:t>
      </w:r>
      <w:r>
        <w:lastRenderedPageBreak/>
        <w:t xml:space="preserve">test results. However, despite the woman being an inpatient for </w:t>
      </w:r>
      <w:r w:rsidR="00396E62">
        <w:t xml:space="preserve">four </w:t>
      </w:r>
      <w:r>
        <w:t>days, and a number of staff reviewing the CT report, no one took steps to follow</w:t>
      </w:r>
      <w:r w:rsidR="00396E62">
        <w:t xml:space="preserve"> </w:t>
      </w:r>
      <w:r>
        <w:t xml:space="preserve">up the liver lesion. There was a collective failure to act on the reported </w:t>
      </w:r>
      <w:r w:rsidR="005A1A6B">
        <w:t>abnormality</w:t>
      </w:r>
      <w:r>
        <w:t>.</w:t>
      </w:r>
    </w:p>
    <w:p w14:paraId="2BCE3DB1" w14:textId="5AA3FF3B" w:rsidR="00112D9A" w:rsidRDefault="00112D9A" w:rsidP="004D22EA"/>
    <w:p w14:paraId="60836AE6" w14:textId="2EFECDED" w:rsidR="00112D9A" w:rsidRDefault="00112D9A" w:rsidP="004D22EA">
      <w:r>
        <w:t xml:space="preserve">The Commissioner found that fallibilities in the DHB’s test result management system and the collective failure </w:t>
      </w:r>
      <w:r w:rsidR="00AA48DD">
        <w:t xml:space="preserve">of </w:t>
      </w:r>
      <w:r>
        <w:t xml:space="preserve">several </w:t>
      </w:r>
      <w:r w:rsidR="005A1A6B">
        <w:t>clinicians</w:t>
      </w:r>
      <w:r>
        <w:t xml:space="preserve"> resulted in the woman not </w:t>
      </w:r>
      <w:r w:rsidR="005A1A6B">
        <w:t>receiving</w:t>
      </w:r>
      <w:r>
        <w:t xml:space="preserve"> services with reasonable care and skill, and so found the DHB in breach of Right 4(1) of the Code. </w:t>
      </w:r>
    </w:p>
    <w:p w14:paraId="786EF0FB" w14:textId="1C5B8A03" w:rsidR="00AB5E3A" w:rsidRDefault="00AB5E3A" w:rsidP="004D22EA">
      <w:pPr>
        <w:rPr>
          <w:i/>
        </w:rPr>
      </w:pPr>
    </w:p>
    <w:p w14:paraId="41FE5C29" w14:textId="1A070D62" w:rsidR="00EB4A22" w:rsidRPr="00D02372" w:rsidRDefault="00EB4A22" w:rsidP="004D22EA">
      <w:pPr>
        <w:rPr>
          <w:i/>
        </w:rPr>
      </w:pPr>
      <w:r w:rsidRPr="00D02372">
        <w:rPr>
          <w:i/>
        </w:rPr>
        <w:t>Recommendations</w:t>
      </w:r>
      <w:bookmarkEnd w:id="117"/>
      <w:bookmarkEnd w:id="118"/>
      <w:bookmarkEnd w:id="119"/>
    </w:p>
    <w:p w14:paraId="27BD8D20" w14:textId="456A24CC" w:rsidR="00D02372" w:rsidRDefault="005A1A6B" w:rsidP="005A1A6B">
      <w:pPr>
        <w:spacing w:after="120"/>
        <w:rPr>
          <w:szCs w:val="22"/>
        </w:rPr>
      </w:pPr>
      <w:r>
        <w:rPr>
          <w:szCs w:val="22"/>
        </w:rPr>
        <w:t>The Commissioner recommended that the DHB:</w:t>
      </w:r>
    </w:p>
    <w:p w14:paraId="14127E74" w14:textId="23F63AFD" w:rsidR="005A1A6B" w:rsidRDefault="005A1A6B" w:rsidP="00396E62">
      <w:pPr>
        <w:pStyle w:val="ListParagraph"/>
        <w:numPr>
          <w:ilvl w:val="0"/>
          <w:numId w:val="32"/>
        </w:numPr>
        <w:spacing w:after="120"/>
        <w:ind w:left="284" w:hanging="284"/>
        <w:rPr>
          <w:szCs w:val="22"/>
        </w:rPr>
      </w:pPr>
      <w:r>
        <w:rPr>
          <w:szCs w:val="22"/>
        </w:rPr>
        <w:t xml:space="preserve">Provide HDC with an update on its progress towards introducing a system to monitor abnormal radiology results for ED patients. </w:t>
      </w:r>
    </w:p>
    <w:p w14:paraId="3841D1EE" w14:textId="5FCB714A" w:rsidR="005A1A6B" w:rsidRDefault="005A1A6B" w:rsidP="00396E62">
      <w:pPr>
        <w:pStyle w:val="ListParagraph"/>
        <w:numPr>
          <w:ilvl w:val="0"/>
          <w:numId w:val="32"/>
        </w:numPr>
        <w:spacing w:after="120"/>
        <w:ind w:left="284" w:hanging="284"/>
        <w:rPr>
          <w:szCs w:val="22"/>
        </w:rPr>
      </w:pPr>
      <w:r>
        <w:rPr>
          <w:szCs w:val="22"/>
        </w:rPr>
        <w:t>Provide HDC with an update on its progress towards extending its procedure of radiologists notifying ordering clinicians of abnormal findings (including incidental findings) to include after-hours contracted radiologists</w:t>
      </w:r>
      <w:r w:rsidR="00626DD8">
        <w:rPr>
          <w:szCs w:val="22"/>
        </w:rPr>
        <w:t>.</w:t>
      </w:r>
    </w:p>
    <w:p w14:paraId="204DFA79" w14:textId="7DC89121" w:rsidR="005A1A6B" w:rsidRPr="005A1A6B" w:rsidRDefault="005A1A6B" w:rsidP="00396E62">
      <w:pPr>
        <w:pStyle w:val="ListParagraph"/>
        <w:numPr>
          <w:ilvl w:val="0"/>
          <w:numId w:val="32"/>
        </w:numPr>
        <w:spacing w:after="120"/>
        <w:ind w:left="284" w:hanging="284"/>
        <w:rPr>
          <w:szCs w:val="22"/>
        </w:rPr>
      </w:pPr>
      <w:r>
        <w:rPr>
          <w:szCs w:val="22"/>
        </w:rPr>
        <w:t>Consider introducing a mandatory review of all test results ordered during an episode of inpatient care prior to discharge, to ensure that any follow-up is actioned</w:t>
      </w:r>
      <w:r w:rsidR="00535F93">
        <w:rPr>
          <w:szCs w:val="22"/>
        </w:rPr>
        <w:t xml:space="preserve"> appropriately</w:t>
      </w:r>
      <w:r>
        <w:rPr>
          <w:szCs w:val="22"/>
        </w:rPr>
        <w:t>.</w:t>
      </w:r>
    </w:p>
    <w:sectPr w:rsidR="005A1A6B" w:rsidRPr="005A1A6B" w:rsidSect="00E9719B">
      <w:headerReference w:type="default" r:id="rId17"/>
      <w:footerReference w:type="default" r:id="rId18"/>
      <w:pgSz w:w="11906" w:h="16838"/>
      <w:pgMar w:top="1134" w:right="1440" w:bottom="1440" w:left="1440"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3E46" w14:textId="77777777" w:rsidR="00894F0A" w:rsidRDefault="00894F0A" w:rsidP="00841E1C">
      <w:r>
        <w:separator/>
      </w:r>
    </w:p>
  </w:endnote>
  <w:endnote w:type="continuationSeparator" w:id="0">
    <w:p w14:paraId="1C2E75E1" w14:textId="77777777" w:rsidR="00894F0A" w:rsidRDefault="00894F0A" w:rsidP="0084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6F76" w14:textId="77777777" w:rsidR="00894F0A" w:rsidRDefault="00894F0A" w:rsidP="00841E1C">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xxii</w:t>
    </w:r>
    <w:r w:rsidRPr="0073317F">
      <w:rP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5150"/>
      <w:docPartObj>
        <w:docPartGallery w:val="Page Numbers (Bottom of Page)"/>
        <w:docPartUnique/>
      </w:docPartObj>
    </w:sdtPr>
    <w:sdtEndPr>
      <w:rPr>
        <w:noProof/>
      </w:rPr>
    </w:sdtEndPr>
    <w:sdtContent>
      <w:p w14:paraId="566C4B03" w14:textId="6F9EA10C" w:rsidR="00894F0A" w:rsidRDefault="00894F0A">
        <w:pPr>
          <w:pStyle w:val="Footer"/>
          <w:jc w:val="center"/>
        </w:pPr>
        <w:r>
          <w:fldChar w:fldCharType="begin"/>
        </w:r>
        <w:r>
          <w:instrText xml:space="preserve"> PAGE   \* MERGEFORMAT </w:instrText>
        </w:r>
        <w:r>
          <w:fldChar w:fldCharType="separate"/>
        </w:r>
        <w:r w:rsidR="0011470E">
          <w:rPr>
            <w:noProof/>
          </w:rPr>
          <w:t>i</w:t>
        </w:r>
        <w:r>
          <w:rPr>
            <w:noProof/>
          </w:rPr>
          <w:fldChar w:fldCharType="end"/>
        </w:r>
      </w:p>
    </w:sdtContent>
  </w:sdt>
  <w:p w14:paraId="7FF26CDF" w14:textId="77777777" w:rsidR="00894F0A" w:rsidRDefault="00894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1CE1" w14:textId="77777777" w:rsidR="00894F0A" w:rsidRDefault="00894F0A" w:rsidP="00841E1C">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7076"/>
      <w:docPartObj>
        <w:docPartGallery w:val="Page Numbers (Bottom of Page)"/>
        <w:docPartUnique/>
      </w:docPartObj>
    </w:sdtPr>
    <w:sdtEndPr>
      <w:rPr>
        <w:noProof/>
      </w:rPr>
    </w:sdtEndPr>
    <w:sdtContent>
      <w:p w14:paraId="606DB229" w14:textId="033FA96F" w:rsidR="00894F0A" w:rsidRDefault="00894F0A">
        <w:pPr>
          <w:pStyle w:val="Footer"/>
          <w:jc w:val="center"/>
        </w:pPr>
        <w:r>
          <w:fldChar w:fldCharType="begin"/>
        </w:r>
        <w:r>
          <w:instrText xml:space="preserve"> PAGE   \* MERGEFORMAT </w:instrText>
        </w:r>
        <w:r>
          <w:fldChar w:fldCharType="separate"/>
        </w:r>
        <w:r w:rsidR="0011470E">
          <w:rPr>
            <w:noProof/>
          </w:rPr>
          <w:t>2</w:t>
        </w:r>
        <w:r>
          <w:rPr>
            <w:noProof/>
          </w:rPr>
          <w:fldChar w:fldCharType="end"/>
        </w:r>
      </w:p>
    </w:sdtContent>
  </w:sdt>
  <w:p w14:paraId="6B58C0EF" w14:textId="77777777" w:rsidR="00894F0A" w:rsidRDefault="00894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DBE6" w14:textId="77777777" w:rsidR="00894F0A" w:rsidRDefault="00894F0A" w:rsidP="00841E1C">
      <w:r>
        <w:separator/>
      </w:r>
    </w:p>
  </w:footnote>
  <w:footnote w:type="continuationSeparator" w:id="0">
    <w:p w14:paraId="2BF9D905" w14:textId="77777777" w:rsidR="00894F0A" w:rsidRDefault="00894F0A" w:rsidP="00841E1C">
      <w:r>
        <w:continuationSeparator/>
      </w:r>
    </w:p>
  </w:footnote>
  <w:footnote w:id="1">
    <w:p w14:paraId="609B0C51" w14:textId="6087FD7C" w:rsidR="00894F0A" w:rsidRDefault="00894F0A" w:rsidP="00EB4A22">
      <w:pPr>
        <w:pStyle w:val="FootnoteText"/>
        <w:rPr>
          <w:lang w:val="en-US"/>
        </w:rPr>
      </w:pPr>
      <w:r w:rsidRPr="003E5338">
        <w:rPr>
          <w:rStyle w:val="FootnoteReference"/>
        </w:rPr>
        <w:footnoteRef/>
      </w:r>
      <w:r>
        <w:t xml:space="preserve"> </w:t>
      </w:r>
      <w:r>
        <w:rPr>
          <w:lang w:val="en-US"/>
        </w:rPr>
        <w:t>Provisional as of date of extraction (30 August 2021).</w:t>
      </w:r>
    </w:p>
  </w:footnote>
  <w:footnote w:id="2">
    <w:p w14:paraId="37346854" w14:textId="00B47C61" w:rsidR="00894F0A" w:rsidRDefault="00894F0A" w:rsidP="00EB4A22">
      <w:pPr>
        <w:pStyle w:val="FootnoteText"/>
      </w:pPr>
      <w:r>
        <w:rPr>
          <w:rStyle w:val="FootnoteReference"/>
        </w:rPr>
        <w:footnoteRef/>
      </w:r>
      <w:r>
        <w:t xml:space="preserve"> </w:t>
      </w:r>
      <w:r>
        <w:rPr>
          <w:lang w:eastAsia="en-NZ" w:bidi="ar-SA"/>
        </w:rPr>
        <w:t>The rate for Jul</w:t>
      </w:r>
      <w:r>
        <w:rPr>
          <w:rFonts w:ascii="Calibri" w:hAnsi="Calibri"/>
          <w:lang w:eastAsia="en-NZ" w:bidi="ar-SA"/>
        </w:rPr>
        <w:t>–</w:t>
      </w:r>
      <w:r>
        <w:rPr>
          <w:lang w:eastAsia="en-NZ" w:bidi="ar-SA"/>
        </w:rPr>
        <w:t>Dec 2020 has been recalculated based on the most recent discharge data.</w:t>
      </w:r>
    </w:p>
  </w:footnote>
  <w:footnote w:id="3">
    <w:p w14:paraId="70931D61" w14:textId="77777777" w:rsidR="00894F0A" w:rsidRDefault="00894F0A" w:rsidP="00EB4A22">
      <w:pPr>
        <w:pStyle w:val="FootnoteText"/>
        <w:rPr>
          <w:lang w:val="en-US"/>
        </w:rPr>
      </w:pPr>
      <w:r w:rsidRPr="003E5338">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14:paraId="56DAFB49" w14:textId="77777777" w:rsidR="00894F0A" w:rsidRDefault="00894F0A" w:rsidP="00EB4A22">
      <w:pPr>
        <w:pStyle w:val="FootnoteText"/>
      </w:pPr>
      <w:r w:rsidRPr="003E5338">
        <w:rPr>
          <w:rStyle w:val="FootnoteReference"/>
        </w:rPr>
        <w:footnoteRef/>
      </w:r>
      <w:r>
        <w:t xml:space="preserve"> Note that complaints may be received in one six-month period and closed in another six-month period </w:t>
      </w:r>
      <w:r>
        <w:rPr>
          <w:rFonts w:ascii="Calibri" w:hAnsi="Calibri"/>
        </w:rPr>
        <w:t>—</w:t>
      </w:r>
      <w:r>
        <w:t xml:space="preserve"> therefore, the number of complaints received will not correlate with the number of complaints closed. </w:t>
      </w:r>
    </w:p>
  </w:footnote>
  <w:footnote w:id="5">
    <w:p w14:paraId="20CA6420" w14:textId="174C2E25" w:rsidR="00894F0A" w:rsidRDefault="00894F0A" w:rsidP="00EB4A22">
      <w:pPr>
        <w:pStyle w:val="FootnoteText"/>
      </w:pPr>
      <w:r w:rsidRPr="003E5338">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footnote>
  <w:footnote w:id="6">
    <w:p w14:paraId="0F6FE4F0" w14:textId="1DFB1E61" w:rsidR="00894F0A" w:rsidRPr="00F666F0" w:rsidRDefault="00894F0A" w:rsidP="00EB4A22">
      <w:pPr>
        <w:pStyle w:val="FootnoteText"/>
        <w:rPr>
          <w:lang w:val="en-US"/>
        </w:rPr>
      </w:pPr>
      <w:r>
        <w:rPr>
          <w:rStyle w:val="FootnoteReference"/>
        </w:rPr>
        <w:footnoteRef/>
      </w:r>
      <w:r>
        <w:t xml:space="preserve"> Case 19HDC02034.</w:t>
      </w:r>
    </w:p>
  </w:footnote>
  <w:footnote w:id="7">
    <w:p w14:paraId="52AE7F56" w14:textId="61C722AD" w:rsidR="00894F0A" w:rsidRPr="00F666F0" w:rsidRDefault="00894F0A" w:rsidP="00EB4A22">
      <w:pPr>
        <w:pStyle w:val="FootnoteText"/>
        <w:rPr>
          <w:lang w:val="en-US"/>
        </w:rPr>
      </w:pPr>
      <w:r w:rsidRPr="00F666F0">
        <w:rPr>
          <w:rStyle w:val="FootnoteReference"/>
        </w:rPr>
        <w:footnoteRef/>
      </w:r>
      <w:r w:rsidRPr="00F666F0">
        <w:t xml:space="preserve"> </w:t>
      </w:r>
      <w:r>
        <w:t>Case 19HDC00239.</w:t>
      </w:r>
    </w:p>
  </w:footnote>
  <w:footnote w:id="8">
    <w:p w14:paraId="364ABE47" w14:textId="06F998D4" w:rsidR="00894F0A" w:rsidRPr="00F666F0" w:rsidRDefault="00894F0A" w:rsidP="0014504F">
      <w:pPr>
        <w:pStyle w:val="FootnoteText"/>
        <w:rPr>
          <w:lang w:val="en-US"/>
        </w:rPr>
      </w:pPr>
      <w:r w:rsidRPr="00F666F0">
        <w:rPr>
          <w:rStyle w:val="FootnoteReference"/>
        </w:rPr>
        <w:footnoteRef/>
      </w:r>
      <w:r w:rsidRPr="00F666F0">
        <w:t xml:space="preserve"> </w:t>
      </w:r>
      <w:r>
        <w:t>Case 19HDC01210.</w:t>
      </w:r>
    </w:p>
  </w:footnote>
  <w:footnote w:id="9">
    <w:p w14:paraId="47A93B5E" w14:textId="032DE5F3" w:rsidR="00894F0A" w:rsidRPr="006C4735" w:rsidRDefault="00894F0A" w:rsidP="00EB4A22">
      <w:pPr>
        <w:pStyle w:val="FootnoteText"/>
        <w:rPr>
          <w:lang w:val="en-US"/>
        </w:rPr>
      </w:pPr>
      <w:r w:rsidRPr="006C4735">
        <w:rPr>
          <w:rStyle w:val="FootnoteReference"/>
        </w:rPr>
        <w:footnoteRef/>
      </w:r>
      <w:r w:rsidRPr="006C4735">
        <w:t xml:space="preserve"> </w:t>
      </w:r>
      <w:r>
        <w:t>Case 19HDC01900.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3446" w14:textId="77777777" w:rsidR="0011470E" w:rsidRDefault="00114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D5FB" w14:textId="77777777" w:rsidR="0011470E" w:rsidRDefault="00114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1104" w14:textId="77777777" w:rsidR="0011470E" w:rsidRDefault="00114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9541" w14:textId="77777777" w:rsidR="00894F0A" w:rsidRDefault="00894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319"/>
    <w:multiLevelType w:val="hybridMultilevel"/>
    <w:tmpl w:val="F5321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9453E5"/>
    <w:multiLevelType w:val="hybridMultilevel"/>
    <w:tmpl w:val="BAF6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CD733C"/>
    <w:multiLevelType w:val="hybridMultilevel"/>
    <w:tmpl w:val="332C8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EA2E2E"/>
    <w:multiLevelType w:val="hybridMultilevel"/>
    <w:tmpl w:val="D32CD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72E84"/>
    <w:multiLevelType w:val="hybridMultilevel"/>
    <w:tmpl w:val="8B3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B8152E"/>
    <w:multiLevelType w:val="hybridMultilevel"/>
    <w:tmpl w:val="40847702"/>
    <w:lvl w:ilvl="0" w:tplc="174C0F20">
      <w:start w:val="1"/>
      <w:numFmt w:val="bullet"/>
      <w:pStyle w:val="Bulletlis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A14A00"/>
    <w:multiLevelType w:val="hybridMultilevel"/>
    <w:tmpl w:val="37DAE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D35514"/>
    <w:multiLevelType w:val="hybridMultilevel"/>
    <w:tmpl w:val="4D842124"/>
    <w:lvl w:ilvl="0" w:tplc="14090003">
      <w:start w:val="1"/>
      <w:numFmt w:val="bullet"/>
      <w:lvlText w:val="o"/>
      <w:lvlJc w:val="left"/>
      <w:pPr>
        <w:ind w:left="1540" w:hanging="360"/>
      </w:pPr>
      <w:rPr>
        <w:rFonts w:ascii="Courier New" w:hAnsi="Courier New" w:cs="Courier New" w:hint="default"/>
      </w:rPr>
    </w:lvl>
    <w:lvl w:ilvl="1" w:tplc="14090003" w:tentative="1">
      <w:start w:val="1"/>
      <w:numFmt w:val="bullet"/>
      <w:lvlText w:val="o"/>
      <w:lvlJc w:val="left"/>
      <w:pPr>
        <w:ind w:left="2260" w:hanging="360"/>
      </w:pPr>
      <w:rPr>
        <w:rFonts w:ascii="Courier New" w:hAnsi="Courier New" w:cs="Courier New" w:hint="default"/>
      </w:rPr>
    </w:lvl>
    <w:lvl w:ilvl="2" w:tplc="14090005" w:tentative="1">
      <w:start w:val="1"/>
      <w:numFmt w:val="bullet"/>
      <w:lvlText w:val=""/>
      <w:lvlJc w:val="left"/>
      <w:pPr>
        <w:ind w:left="2980" w:hanging="360"/>
      </w:pPr>
      <w:rPr>
        <w:rFonts w:ascii="Wingdings" w:hAnsi="Wingdings" w:hint="default"/>
      </w:rPr>
    </w:lvl>
    <w:lvl w:ilvl="3" w:tplc="14090001" w:tentative="1">
      <w:start w:val="1"/>
      <w:numFmt w:val="bullet"/>
      <w:lvlText w:val=""/>
      <w:lvlJc w:val="left"/>
      <w:pPr>
        <w:ind w:left="3700" w:hanging="360"/>
      </w:pPr>
      <w:rPr>
        <w:rFonts w:ascii="Symbol" w:hAnsi="Symbol" w:hint="default"/>
      </w:rPr>
    </w:lvl>
    <w:lvl w:ilvl="4" w:tplc="14090003" w:tentative="1">
      <w:start w:val="1"/>
      <w:numFmt w:val="bullet"/>
      <w:lvlText w:val="o"/>
      <w:lvlJc w:val="left"/>
      <w:pPr>
        <w:ind w:left="4420" w:hanging="360"/>
      </w:pPr>
      <w:rPr>
        <w:rFonts w:ascii="Courier New" w:hAnsi="Courier New" w:cs="Courier New" w:hint="default"/>
      </w:rPr>
    </w:lvl>
    <w:lvl w:ilvl="5" w:tplc="14090005" w:tentative="1">
      <w:start w:val="1"/>
      <w:numFmt w:val="bullet"/>
      <w:lvlText w:val=""/>
      <w:lvlJc w:val="left"/>
      <w:pPr>
        <w:ind w:left="5140" w:hanging="360"/>
      </w:pPr>
      <w:rPr>
        <w:rFonts w:ascii="Wingdings" w:hAnsi="Wingdings" w:hint="default"/>
      </w:rPr>
    </w:lvl>
    <w:lvl w:ilvl="6" w:tplc="14090001" w:tentative="1">
      <w:start w:val="1"/>
      <w:numFmt w:val="bullet"/>
      <w:lvlText w:val=""/>
      <w:lvlJc w:val="left"/>
      <w:pPr>
        <w:ind w:left="5860" w:hanging="360"/>
      </w:pPr>
      <w:rPr>
        <w:rFonts w:ascii="Symbol" w:hAnsi="Symbol" w:hint="default"/>
      </w:rPr>
    </w:lvl>
    <w:lvl w:ilvl="7" w:tplc="14090003" w:tentative="1">
      <w:start w:val="1"/>
      <w:numFmt w:val="bullet"/>
      <w:lvlText w:val="o"/>
      <w:lvlJc w:val="left"/>
      <w:pPr>
        <w:ind w:left="6580" w:hanging="360"/>
      </w:pPr>
      <w:rPr>
        <w:rFonts w:ascii="Courier New" w:hAnsi="Courier New" w:cs="Courier New" w:hint="default"/>
      </w:rPr>
    </w:lvl>
    <w:lvl w:ilvl="8" w:tplc="14090005" w:tentative="1">
      <w:start w:val="1"/>
      <w:numFmt w:val="bullet"/>
      <w:lvlText w:val=""/>
      <w:lvlJc w:val="left"/>
      <w:pPr>
        <w:ind w:left="7300" w:hanging="360"/>
      </w:pPr>
      <w:rPr>
        <w:rFonts w:ascii="Wingdings" w:hAnsi="Wingdings" w:hint="default"/>
      </w:rPr>
    </w:lvl>
  </w:abstractNum>
  <w:abstractNum w:abstractNumId="9" w15:restartNumberingAfterBreak="0">
    <w:nsid w:val="17931DEB"/>
    <w:multiLevelType w:val="hybridMultilevel"/>
    <w:tmpl w:val="EB5EF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9D2B07"/>
    <w:multiLevelType w:val="hybridMultilevel"/>
    <w:tmpl w:val="A7981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8F39F4"/>
    <w:multiLevelType w:val="hybridMultilevel"/>
    <w:tmpl w:val="F9249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2A62FA"/>
    <w:multiLevelType w:val="hybridMultilevel"/>
    <w:tmpl w:val="C3062E54"/>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13" w15:restartNumberingAfterBreak="0">
    <w:nsid w:val="2D5128E6"/>
    <w:multiLevelType w:val="hybridMultilevel"/>
    <w:tmpl w:val="64BAA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5" w15:restartNumberingAfterBreak="0">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2952941"/>
    <w:multiLevelType w:val="hybridMultilevel"/>
    <w:tmpl w:val="D1D443E2"/>
    <w:lvl w:ilvl="0" w:tplc="14090003">
      <w:start w:val="1"/>
      <w:numFmt w:val="bullet"/>
      <w:lvlText w:val="o"/>
      <w:lvlJc w:val="left"/>
      <w:pPr>
        <w:ind w:left="1540" w:hanging="360"/>
      </w:pPr>
      <w:rPr>
        <w:rFonts w:ascii="Courier New" w:hAnsi="Courier New" w:cs="Courier New" w:hint="default"/>
      </w:rPr>
    </w:lvl>
    <w:lvl w:ilvl="1" w:tplc="14090003" w:tentative="1">
      <w:start w:val="1"/>
      <w:numFmt w:val="bullet"/>
      <w:lvlText w:val="o"/>
      <w:lvlJc w:val="left"/>
      <w:pPr>
        <w:ind w:left="2260" w:hanging="360"/>
      </w:pPr>
      <w:rPr>
        <w:rFonts w:ascii="Courier New" w:hAnsi="Courier New" w:cs="Courier New" w:hint="default"/>
      </w:rPr>
    </w:lvl>
    <w:lvl w:ilvl="2" w:tplc="14090005" w:tentative="1">
      <w:start w:val="1"/>
      <w:numFmt w:val="bullet"/>
      <w:lvlText w:val=""/>
      <w:lvlJc w:val="left"/>
      <w:pPr>
        <w:ind w:left="2980" w:hanging="360"/>
      </w:pPr>
      <w:rPr>
        <w:rFonts w:ascii="Wingdings" w:hAnsi="Wingdings" w:hint="default"/>
      </w:rPr>
    </w:lvl>
    <w:lvl w:ilvl="3" w:tplc="14090001" w:tentative="1">
      <w:start w:val="1"/>
      <w:numFmt w:val="bullet"/>
      <w:lvlText w:val=""/>
      <w:lvlJc w:val="left"/>
      <w:pPr>
        <w:ind w:left="3700" w:hanging="360"/>
      </w:pPr>
      <w:rPr>
        <w:rFonts w:ascii="Symbol" w:hAnsi="Symbol" w:hint="default"/>
      </w:rPr>
    </w:lvl>
    <w:lvl w:ilvl="4" w:tplc="14090003" w:tentative="1">
      <w:start w:val="1"/>
      <w:numFmt w:val="bullet"/>
      <w:lvlText w:val="o"/>
      <w:lvlJc w:val="left"/>
      <w:pPr>
        <w:ind w:left="4420" w:hanging="360"/>
      </w:pPr>
      <w:rPr>
        <w:rFonts w:ascii="Courier New" w:hAnsi="Courier New" w:cs="Courier New" w:hint="default"/>
      </w:rPr>
    </w:lvl>
    <w:lvl w:ilvl="5" w:tplc="14090005" w:tentative="1">
      <w:start w:val="1"/>
      <w:numFmt w:val="bullet"/>
      <w:lvlText w:val=""/>
      <w:lvlJc w:val="left"/>
      <w:pPr>
        <w:ind w:left="5140" w:hanging="360"/>
      </w:pPr>
      <w:rPr>
        <w:rFonts w:ascii="Wingdings" w:hAnsi="Wingdings" w:hint="default"/>
      </w:rPr>
    </w:lvl>
    <w:lvl w:ilvl="6" w:tplc="14090001" w:tentative="1">
      <w:start w:val="1"/>
      <w:numFmt w:val="bullet"/>
      <w:lvlText w:val=""/>
      <w:lvlJc w:val="left"/>
      <w:pPr>
        <w:ind w:left="5860" w:hanging="360"/>
      </w:pPr>
      <w:rPr>
        <w:rFonts w:ascii="Symbol" w:hAnsi="Symbol" w:hint="default"/>
      </w:rPr>
    </w:lvl>
    <w:lvl w:ilvl="7" w:tplc="14090003" w:tentative="1">
      <w:start w:val="1"/>
      <w:numFmt w:val="bullet"/>
      <w:lvlText w:val="o"/>
      <w:lvlJc w:val="left"/>
      <w:pPr>
        <w:ind w:left="6580" w:hanging="360"/>
      </w:pPr>
      <w:rPr>
        <w:rFonts w:ascii="Courier New" w:hAnsi="Courier New" w:cs="Courier New" w:hint="default"/>
      </w:rPr>
    </w:lvl>
    <w:lvl w:ilvl="8" w:tplc="14090005" w:tentative="1">
      <w:start w:val="1"/>
      <w:numFmt w:val="bullet"/>
      <w:lvlText w:val=""/>
      <w:lvlJc w:val="left"/>
      <w:pPr>
        <w:ind w:left="7300" w:hanging="360"/>
      </w:pPr>
      <w:rPr>
        <w:rFonts w:ascii="Wingdings" w:hAnsi="Wingdings" w:hint="default"/>
      </w:rPr>
    </w:lvl>
  </w:abstractNum>
  <w:abstractNum w:abstractNumId="17" w15:restartNumberingAfterBreak="0">
    <w:nsid w:val="36A17209"/>
    <w:multiLevelType w:val="hybridMultilevel"/>
    <w:tmpl w:val="2696A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7C4D46"/>
    <w:multiLevelType w:val="hybridMultilevel"/>
    <w:tmpl w:val="44A60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244F73"/>
    <w:multiLevelType w:val="hybridMultilevel"/>
    <w:tmpl w:val="81147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524DE3"/>
    <w:multiLevelType w:val="hybridMultilevel"/>
    <w:tmpl w:val="950C64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8605B4D"/>
    <w:multiLevelType w:val="hybridMultilevel"/>
    <w:tmpl w:val="A5AC4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0A28B2"/>
    <w:multiLevelType w:val="hybridMultilevel"/>
    <w:tmpl w:val="C2082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08186D"/>
    <w:multiLevelType w:val="hybridMultilevel"/>
    <w:tmpl w:val="666A4B12"/>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5" w15:restartNumberingAfterBreak="0">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37482F"/>
    <w:multiLevelType w:val="hybridMultilevel"/>
    <w:tmpl w:val="78BAD416"/>
    <w:lvl w:ilvl="0" w:tplc="A5565B72">
      <w:start w:val="8"/>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442E9A"/>
    <w:multiLevelType w:val="hybridMultilevel"/>
    <w:tmpl w:val="F9F86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7D10D88"/>
    <w:multiLevelType w:val="hybridMultilevel"/>
    <w:tmpl w:val="83EC7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B269EF"/>
    <w:multiLevelType w:val="multilevel"/>
    <w:tmpl w:val="A30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C0CB7"/>
    <w:multiLevelType w:val="hybridMultilevel"/>
    <w:tmpl w:val="131ED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DBD1C42"/>
    <w:multiLevelType w:val="hybridMultilevel"/>
    <w:tmpl w:val="7BDE6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27"/>
  </w:num>
  <w:num w:numId="5">
    <w:abstractNumId w:val="29"/>
  </w:num>
  <w:num w:numId="6">
    <w:abstractNumId w:val="25"/>
  </w:num>
  <w:num w:numId="7">
    <w:abstractNumId w:val="19"/>
  </w:num>
  <w:num w:numId="8">
    <w:abstractNumId w:val="5"/>
  </w:num>
  <w:num w:numId="9">
    <w:abstractNumId w:val="17"/>
  </w:num>
  <w:num w:numId="10">
    <w:abstractNumId w:val="2"/>
  </w:num>
  <w:num w:numId="11">
    <w:abstractNumId w:val="10"/>
  </w:num>
  <w:num w:numId="12">
    <w:abstractNumId w:val="4"/>
  </w:num>
  <w:num w:numId="13">
    <w:abstractNumId w:val="7"/>
  </w:num>
  <w:num w:numId="14">
    <w:abstractNumId w:val="22"/>
  </w:num>
  <w:num w:numId="15">
    <w:abstractNumId w:val="30"/>
  </w:num>
  <w:num w:numId="16">
    <w:abstractNumId w:val="3"/>
  </w:num>
  <w:num w:numId="17">
    <w:abstractNumId w:val="13"/>
  </w:num>
  <w:num w:numId="18">
    <w:abstractNumId w:val="24"/>
  </w:num>
  <w:num w:numId="19">
    <w:abstractNumId w:val="9"/>
  </w:num>
  <w:num w:numId="20">
    <w:abstractNumId w:val="11"/>
  </w:num>
  <w:num w:numId="21">
    <w:abstractNumId w:val="26"/>
  </w:num>
  <w:num w:numId="22">
    <w:abstractNumId w:val="12"/>
  </w:num>
  <w:num w:numId="23">
    <w:abstractNumId w:val="16"/>
  </w:num>
  <w:num w:numId="24">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8"/>
  </w:num>
  <w:num w:numId="26">
    <w:abstractNumId w:val="0"/>
  </w:num>
  <w:num w:numId="27">
    <w:abstractNumId w:val="20"/>
  </w:num>
  <w:num w:numId="28">
    <w:abstractNumId w:val="1"/>
  </w:num>
  <w:num w:numId="29">
    <w:abstractNumId w:val="18"/>
  </w:num>
  <w:num w:numId="30">
    <w:abstractNumId w:val="28"/>
  </w:num>
  <w:num w:numId="31">
    <w:abstractNumId w:val="32"/>
  </w:num>
  <w:num w:numId="32">
    <w:abstractNumId w:val="33"/>
  </w:num>
  <w:num w:numId="33">
    <w:abstractNumId w:val="21"/>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C"/>
    <w:rsid w:val="00005B1C"/>
    <w:rsid w:val="00007965"/>
    <w:rsid w:val="00012CBB"/>
    <w:rsid w:val="0001347E"/>
    <w:rsid w:val="000153C6"/>
    <w:rsid w:val="00020C01"/>
    <w:rsid w:val="00020F95"/>
    <w:rsid w:val="000255A3"/>
    <w:rsid w:val="000260B7"/>
    <w:rsid w:val="000701CC"/>
    <w:rsid w:val="00070F85"/>
    <w:rsid w:val="00075613"/>
    <w:rsid w:val="00075B0A"/>
    <w:rsid w:val="0008115E"/>
    <w:rsid w:val="00091893"/>
    <w:rsid w:val="00091B1A"/>
    <w:rsid w:val="000960E1"/>
    <w:rsid w:val="000A6DED"/>
    <w:rsid w:val="000B019E"/>
    <w:rsid w:val="000B1AB6"/>
    <w:rsid w:val="000B3523"/>
    <w:rsid w:val="000B5E05"/>
    <w:rsid w:val="000B6642"/>
    <w:rsid w:val="000B7C58"/>
    <w:rsid w:val="000C2A30"/>
    <w:rsid w:val="000D0437"/>
    <w:rsid w:val="000D5357"/>
    <w:rsid w:val="000D620F"/>
    <w:rsid w:val="000E1099"/>
    <w:rsid w:val="000E7FAF"/>
    <w:rsid w:val="000E7FDB"/>
    <w:rsid w:val="000F20D6"/>
    <w:rsid w:val="001008F7"/>
    <w:rsid w:val="00102E22"/>
    <w:rsid w:val="00104FC9"/>
    <w:rsid w:val="00112D9A"/>
    <w:rsid w:val="0011470E"/>
    <w:rsid w:val="00121934"/>
    <w:rsid w:val="00122583"/>
    <w:rsid w:val="00126D70"/>
    <w:rsid w:val="00130B4D"/>
    <w:rsid w:val="00131E13"/>
    <w:rsid w:val="001423D2"/>
    <w:rsid w:val="00144EF1"/>
    <w:rsid w:val="0014504F"/>
    <w:rsid w:val="001472D9"/>
    <w:rsid w:val="00156A3C"/>
    <w:rsid w:val="001619B8"/>
    <w:rsid w:val="00162AF3"/>
    <w:rsid w:val="00163955"/>
    <w:rsid w:val="00165F89"/>
    <w:rsid w:val="00170781"/>
    <w:rsid w:val="00170D39"/>
    <w:rsid w:val="0017126E"/>
    <w:rsid w:val="00184CD4"/>
    <w:rsid w:val="00190A1F"/>
    <w:rsid w:val="001918F5"/>
    <w:rsid w:val="001965C1"/>
    <w:rsid w:val="001A2DD8"/>
    <w:rsid w:val="001B4589"/>
    <w:rsid w:val="001C3941"/>
    <w:rsid w:val="001C682B"/>
    <w:rsid w:val="001D4D95"/>
    <w:rsid w:val="001D5ED0"/>
    <w:rsid w:val="001E3705"/>
    <w:rsid w:val="001E3CF1"/>
    <w:rsid w:val="001E5387"/>
    <w:rsid w:val="001F1407"/>
    <w:rsid w:val="001F7866"/>
    <w:rsid w:val="001F7DC9"/>
    <w:rsid w:val="00203A92"/>
    <w:rsid w:val="00210961"/>
    <w:rsid w:val="002111FB"/>
    <w:rsid w:val="00214127"/>
    <w:rsid w:val="00215948"/>
    <w:rsid w:val="00217AF4"/>
    <w:rsid w:val="00223447"/>
    <w:rsid w:val="0024059C"/>
    <w:rsid w:val="0024163A"/>
    <w:rsid w:val="0024352F"/>
    <w:rsid w:val="002538E2"/>
    <w:rsid w:val="00260D94"/>
    <w:rsid w:val="002632A1"/>
    <w:rsid w:val="00270C50"/>
    <w:rsid w:val="00272488"/>
    <w:rsid w:val="00281A03"/>
    <w:rsid w:val="00283ADA"/>
    <w:rsid w:val="00286DED"/>
    <w:rsid w:val="00292416"/>
    <w:rsid w:val="002A117D"/>
    <w:rsid w:val="002B345D"/>
    <w:rsid w:val="002C34A9"/>
    <w:rsid w:val="002C7890"/>
    <w:rsid w:val="002D7A73"/>
    <w:rsid w:val="002E4910"/>
    <w:rsid w:val="002E79F9"/>
    <w:rsid w:val="002F09C3"/>
    <w:rsid w:val="002F1845"/>
    <w:rsid w:val="002F6076"/>
    <w:rsid w:val="00307654"/>
    <w:rsid w:val="00312632"/>
    <w:rsid w:val="0031532E"/>
    <w:rsid w:val="00320F70"/>
    <w:rsid w:val="00331BA7"/>
    <w:rsid w:val="00332EC2"/>
    <w:rsid w:val="00333858"/>
    <w:rsid w:val="00337477"/>
    <w:rsid w:val="00340F93"/>
    <w:rsid w:val="003412FC"/>
    <w:rsid w:val="00342166"/>
    <w:rsid w:val="00344BA1"/>
    <w:rsid w:val="003451E7"/>
    <w:rsid w:val="00357609"/>
    <w:rsid w:val="00361C8D"/>
    <w:rsid w:val="00362B4D"/>
    <w:rsid w:val="00381D9F"/>
    <w:rsid w:val="00385312"/>
    <w:rsid w:val="0039129E"/>
    <w:rsid w:val="00394623"/>
    <w:rsid w:val="00396E62"/>
    <w:rsid w:val="003A6FD3"/>
    <w:rsid w:val="003C3F06"/>
    <w:rsid w:val="003D0B12"/>
    <w:rsid w:val="003D1DF9"/>
    <w:rsid w:val="003E5338"/>
    <w:rsid w:val="003E5DA3"/>
    <w:rsid w:val="00403C17"/>
    <w:rsid w:val="00404073"/>
    <w:rsid w:val="004040D2"/>
    <w:rsid w:val="00406651"/>
    <w:rsid w:val="00417404"/>
    <w:rsid w:val="00420E52"/>
    <w:rsid w:val="0042242D"/>
    <w:rsid w:val="00425B4F"/>
    <w:rsid w:val="004354CF"/>
    <w:rsid w:val="0043728B"/>
    <w:rsid w:val="00445FF5"/>
    <w:rsid w:val="00446575"/>
    <w:rsid w:val="0044692E"/>
    <w:rsid w:val="00452CE0"/>
    <w:rsid w:val="0046680E"/>
    <w:rsid w:val="00470EF6"/>
    <w:rsid w:val="0047792B"/>
    <w:rsid w:val="004802BD"/>
    <w:rsid w:val="00481F9A"/>
    <w:rsid w:val="00486770"/>
    <w:rsid w:val="00492E7E"/>
    <w:rsid w:val="00494F83"/>
    <w:rsid w:val="004A01A7"/>
    <w:rsid w:val="004B1404"/>
    <w:rsid w:val="004C0176"/>
    <w:rsid w:val="004C6D7F"/>
    <w:rsid w:val="004C6DD1"/>
    <w:rsid w:val="004D22EA"/>
    <w:rsid w:val="004D4A1B"/>
    <w:rsid w:val="004D4F00"/>
    <w:rsid w:val="004D7B0C"/>
    <w:rsid w:val="004E072E"/>
    <w:rsid w:val="004E1C41"/>
    <w:rsid w:val="004E22F0"/>
    <w:rsid w:val="004E379E"/>
    <w:rsid w:val="004E5DE9"/>
    <w:rsid w:val="004F2B73"/>
    <w:rsid w:val="004F61AA"/>
    <w:rsid w:val="004F7501"/>
    <w:rsid w:val="005001F0"/>
    <w:rsid w:val="00502178"/>
    <w:rsid w:val="00502B26"/>
    <w:rsid w:val="0050415E"/>
    <w:rsid w:val="005041D2"/>
    <w:rsid w:val="00505EB8"/>
    <w:rsid w:val="0050633F"/>
    <w:rsid w:val="005120FC"/>
    <w:rsid w:val="0051327A"/>
    <w:rsid w:val="00520021"/>
    <w:rsid w:val="005211E7"/>
    <w:rsid w:val="005303F8"/>
    <w:rsid w:val="00533DD7"/>
    <w:rsid w:val="00535F93"/>
    <w:rsid w:val="00536724"/>
    <w:rsid w:val="00541205"/>
    <w:rsid w:val="00543DCF"/>
    <w:rsid w:val="00544D81"/>
    <w:rsid w:val="00545379"/>
    <w:rsid w:val="00545F9B"/>
    <w:rsid w:val="00552AE7"/>
    <w:rsid w:val="00555018"/>
    <w:rsid w:val="00556413"/>
    <w:rsid w:val="005640BD"/>
    <w:rsid w:val="00580D20"/>
    <w:rsid w:val="00591D29"/>
    <w:rsid w:val="005A1A6B"/>
    <w:rsid w:val="005A33A3"/>
    <w:rsid w:val="005A4245"/>
    <w:rsid w:val="005A62C7"/>
    <w:rsid w:val="005B42C0"/>
    <w:rsid w:val="005B76E4"/>
    <w:rsid w:val="005D5AAB"/>
    <w:rsid w:val="005E49D5"/>
    <w:rsid w:val="005E4AB6"/>
    <w:rsid w:val="005E6CDE"/>
    <w:rsid w:val="005E7A82"/>
    <w:rsid w:val="005F0555"/>
    <w:rsid w:val="005F754E"/>
    <w:rsid w:val="00601B37"/>
    <w:rsid w:val="0061030B"/>
    <w:rsid w:val="00610AEE"/>
    <w:rsid w:val="00611D40"/>
    <w:rsid w:val="00613DE1"/>
    <w:rsid w:val="00620E76"/>
    <w:rsid w:val="006227F6"/>
    <w:rsid w:val="00623655"/>
    <w:rsid w:val="00625B74"/>
    <w:rsid w:val="00626DD8"/>
    <w:rsid w:val="00632D27"/>
    <w:rsid w:val="0063597B"/>
    <w:rsid w:val="00636882"/>
    <w:rsid w:val="00642267"/>
    <w:rsid w:val="00650072"/>
    <w:rsid w:val="0065103A"/>
    <w:rsid w:val="00663145"/>
    <w:rsid w:val="00667992"/>
    <w:rsid w:val="00670245"/>
    <w:rsid w:val="00671664"/>
    <w:rsid w:val="00673F50"/>
    <w:rsid w:val="00681BC2"/>
    <w:rsid w:val="00687F1B"/>
    <w:rsid w:val="0069288E"/>
    <w:rsid w:val="00693A6C"/>
    <w:rsid w:val="0069410F"/>
    <w:rsid w:val="006A0C1F"/>
    <w:rsid w:val="006A440C"/>
    <w:rsid w:val="006A7AED"/>
    <w:rsid w:val="006B1AAE"/>
    <w:rsid w:val="006B24DB"/>
    <w:rsid w:val="006B516A"/>
    <w:rsid w:val="006B653E"/>
    <w:rsid w:val="006B7C2A"/>
    <w:rsid w:val="006C4735"/>
    <w:rsid w:val="006D0558"/>
    <w:rsid w:val="006D3463"/>
    <w:rsid w:val="006D6DF3"/>
    <w:rsid w:val="006D765D"/>
    <w:rsid w:val="006E35D3"/>
    <w:rsid w:val="006F0637"/>
    <w:rsid w:val="006F5A1A"/>
    <w:rsid w:val="006F6275"/>
    <w:rsid w:val="006F7F6E"/>
    <w:rsid w:val="00704AE1"/>
    <w:rsid w:val="007120ED"/>
    <w:rsid w:val="0071552C"/>
    <w:rsid w:val="0071644F"/>
    <w:rsid w:val="00716C8F"/>
    <w:rsid w:val="00717512"/>
    <w:rsid w:val="00730FE5"/>
    <w:rsid w:val="00744152"/>
    <w:rsid w:val="00752BDE"/>
    <w:rsid w:val="00755DFC"/>
    <w:rsid w:val="0077651F"/>
    <w:rsid w:val="0078382D"/>
    <w:rsid w:val="007844E0"/>
    <w:rsid w:val="007A502C"/>
    <w:rsid w:val="007B04F2"/>
    <w:rsid w:val="007B09E9"/>
    <w:rsid w:val="007B4171"/>
    <w:rsid w:val="007C19CB"/>
    <w:rsid w:val="007C4F33"/>
    <w:rsid w:val="007D4193"/>
    <w:rsid w:val="007D6146"/>
    <w:rsid w:val="007E3238"/>
    <w:rsid w:val="007E424B"/>
    <w:rsid w:val="007E6810"/>
    <w:rsid w:val="007F3BA5"/>
    <w:rsid w:val="007F3D48"/>
    <w:rsid w:val="007F406E"/>
    <w:rsid w:val="007F4D21"/>
    <w:rsid w:val="00801367"/>
    <w:rsid w:val="0080255D"/>
    <w:rsid w:val="00803419"/>
    <w:rsid w:val="00810FF3"/>
    <w:rsid w:val="00813848"/>
    <w:rsid w:val="00817376"/>
    <w:rsid w:val="00817C2F"/>
    <w:rsid w:val="008229D3"/>
    <w:rsid w:val="008263BB"/>
    <w:rsid w:val="00833240"/>
    <w:rsid w:val="00841E1C"/>
    <w:rsid w:val="008422F7"/>
    <w:rsid w:val="008565C9"/>
    <w:rsid w:val="0086165A"/>
    <w:rsid w:val="00863A57"/>
    <w:rsid w:val="00873EC9"/>
    <w:rsid w:val="00877478"/>
    <w:rsid w:val="00881270"/>
    <w:rsid w:val="008845AA"/>
    <w:rsid w:val="008867C8"/>
    <w:rsid w:val="00894F0A"/>
    <w:rsid w:val="00894F86"/>
    <w:rsid w:val="0089746A"/>
    <w:rsid w:val="00897797"/>
    <w:rsid w:val="008B11BC"/>
    <w:rsid w:val="008B1AF7"/>
    <w:rsid w:val="008B3438"/>
    <w:rsid w:val="008B5B14"/>
    <w:rsid w:val="008C1E0E"/>
    <w:rsid w:val="008C3C3D"/>
    <w:rsid w:val="008D4C0D"/>
    <w:rsid w:val="008E3AE0"/>
    <w:rsid w:val="008E5F9F"/>
    <w:rsid w:val="008F01DD"/>
    <w:rsid w:val="008F5474"/>
    <w:rsid w:val="008F797F"/>
    <w:rsid w:val="00901A55"/>
    <w:rsid w:val="00901F8B"/>
    <w:rsid w:val="00905A9C"/>
    <w:rsid w:val="009070AC"/>
    <w:rsid w:val="00907B28"/>
    <w:rsid w:val="00907D20"/>
    <w:rsid w:val="00912C5B"/>
    <w:rsid w:val="009201D3"/>
    <w:rsid w:val="00932E72"/>
    <w:rsid w:val="00934DBE"/>
    <w:rsid w:val="00943904"/>
    <w:rsid w:val="00945AF6"/>
    <w:rsid w:val="00950AFA"/>
    <w:rsid w:val="00953ADC"/>
    <w:rsid w:val="0096114E"/>
    <w:rsid w:val="009646C0"/>
    <w:rsid w:val="00971C82"/>
    <w:rsid w:val="009726F4"/>
    <w:rsid w:val="009738E8"/>
    <w:rsid w:val="0098571F"/>
    <w:rsid w:val="00997CEC"/>
    <w:rsid w:val="009A5633"/>
    <w:rsid w:val="009B77B8"/>
    <w:rsid w:val="009C227D"/>
    <w:rsid w:val="009C3D37"/>
    <w:rsid w:val="009D66A9"/>
    <w:rsid w:val="009E7169"/>
    <w:rsid w:val="009E78BF"/>
    <w:rsid w:val="009F3090"/>
    <w:rsid w:val="009F42AE"/>
    <w:rsid w:val="009F55D0"/>
    <w:rsid w:val="009F5EAF"/>
    <w:rsid w:val="00A0562C"/>
    <w:rsid w:val="00A06105"/>
    <w:rsid w:val="00A0795E"/>
    <w:rsid w:val="00A10773"/>
    <w:rsid w:val="00A16504"/>
    <w:rsid w:val="00A24E83"/>
    <w:rsid w:val="00A25C1A"/>
    <w:rsid w:val="00A42F9D"/>
    <w:rsid w:val="00A4472F"/>
    <w:rsid w:val="00A504BF"/>
    <w:rsid w:val="00A534AC"/>
    <w:rsid w:val="00A6153A"/>
    <w:rsid w:val="00A6363C"/>
    <w:rsid w:val="00A65512"/>
    <w:rsid w:val="00A66A80"/>
    <w:rsid w:val="00A736E1"/>
    <w:rsid w:val="00A8283C"/>
    <w:rsid w:val="00A836D6"/>
    <w:rsid w:val="00A9576A"/>
    <w:rsid w:val="00A96DAD"/>
    <w:rsid w:val="00AA4687"/>
    <w:rsid w:val="00AA48DD"/>
    <w:rsid w:val="00AB5E3A"/>
    <w:rsid w:val="00AB6FC6"/>
    <w:rsid w:val="00AC196B"/>
    <w:rsid w:val="00AC554E"/>
    <w:rsid w:val="00AE253F"/>
    <w:rsid w:val="00AE6779"/>
    <w:rsid w:val="00AF58B6"/>
    <w:rsid w:val="00AF65A5"/>
    <w:rsid w:val="00B01533"/>
    <w:rsid w:val="00B03F58"/>
    <w:rsid w:val="00B04A16"/>
    <w:rsid w:val="00B12430"/>
    <w:rsid w:val="00B14792"/>
    <w:rsid w:val="00B20293"/>
    <w:rsid w:val="00B234D2"/>
    <w:rsid w:val="00B273EE"/>
    <w:rsid w:val="00B3077B"/>
    <w:rsid w:val="00B47FE1"/>
    <w:rsid w:val="00B51DED"/>
    <w:rsid w:val="00B5217C"/>
    <w:rsid w:val="00B65A35"/>
    <w:rsid w:val="00B65A71"/>
    <w:rsid w:val="00B72710"/>
    <w:rsid w:val="00B766FA"/>
    <w:rsid w:val="00B800C1"/>
    <w:rsid w:val="00B80DDE"/>
    <w:rsid w:val="00B84D15"/>
    <w:rsid w:val="00B8616A"/>
    <w:rsid w:val="00B9645D"/>
    <w:rsid w:val="00BA006B"/>
    <w:rsid w:val="00BA0E01"/>
    <w:rsid w:val="00BA5C47"/>
    <w:rsid w:val="00BB20D1"/>
    <w:rsid w:val="00BB68C4"/>
    <w:rsid w:val="00BD0B55"/>
    <w:rsid w:val="00BD15B7"/>
    <w:rsid w:val="00BD2A3B"/>
    <w:rsid w:val="00BD4DB7"/>
    <w:rsid w:val="00BE06C5"/>
    <w:rsid w:val="00BE2F29"/>
    <w:rsid w:val="00BE48B8"/>
    <w:rsid w:val="00BF18CE"/>
    <w:rsid w:val="00BF6C02"/>
    <w:rsid w:val="00BF7B25"/>
    <w:rsid w:val="00C14A6A"/>
    <w:rsid w:val="00C173EF"/>
    <w:rsid w:val="00C20DCB"/>
    <w:rsid w:val="00C213E5"/>
    <w:rsid w:val="00C30F89"/>
    <w:rsid w:val="00C40401"/>
    <w:rsid w:val="00C46818"/>
    <w:rsid w:val="00C47184"/>
    <w:rsid w:val="00C535FA"/>
    <w:rsid w:val="00C622AE"/>
    <w:rsid w:val="00C64F75"/>
    <w:rsid w:val="00C66855"/>
    <w:rsid w:val="00C72BEF"/>
    <w:rsid w:val="00C900D0"/>
    <w:rsid w:val="00C92060"/>
    <w:rsid w:val="00C94319"/>
    <w:rsid w:val="00C95743"/>
    <w:rsid w:val="00CA0F71"/>
    <w:rsid w:val="00CA224F"/>
    <w:rsid w:val="00CA42A7"/>
    <w:rsid w:val="00CA4A40"/>
    <w:rsid w:val="00CA7ABF"/>
    <w:rsid w:val="00CB1D70"/>
    <w:rsid w:val="00CB68EA"/>
    <w:rsid w:val="00CC0F87"/>
    <w:rsid w:val="00CC4CBB"/>
    <w:rsid w:val="00CC61F0"/>
    <w:rsid w:val="00CD4D07"/>
    <w:rsid w:val="00CE4940"/>
    <w:rsid w:val="00CE7765"/>
    <w:rsid w:val="00CF0053"/>
    <w:rsid w:val="00CF2589"/>
    <w:rsid w:val="00CF594D"/>
    <w:rsid w:val="00CF6D9B"/>
    <w:rsid w:val="00D01CE1"/>
    <w:rsid w:val="00D02372"/>
    <w:rsid w:val="00D121E1"/>
    <w:rsid w:val="00D20145"/>
    <w:rsid w:val="00D21AD4"/>
    <w:rsid w:val="00D32F4D"/>
    <w:rsid w:val="00D33E81"/>
    <w:rsid w:val="00D3626E"/>
    <w:rsid w:val="00D403E6"/>
    <w:rsid w:val="00D43881"/>
    <w:rsid w:val="00D51C44"/>
    <w:rsid w:val="00D52A05"/>
    <w:rsid w:val="00D53604"/>
    <w:rsid w:val="00D56B74"/>
    <w:rsid w:val="00D611A1"/>
    <w:rsid w:val="00D76C05"/>
    <w:rsid w:val="00D76CA3"/>
    <w:rsid w:val="00D774DC"/>
    <w:rsid w:val="00D80C7C"/>
    <w:rsid w:val="00D8776B"/>
    <w:rsid w:val="00D9182B"/>
    <w:rsid w:val="00D9753A"/>
    <w:rsid w:val="00DA0D79"/>
    <w:rsid w:val="00DA19B1"/>
    <w:rsid w:val="00DA1A29"/>
    <w:rsid w:val="00DA5B8D"/>
    <w:rsid w:val="00DB65DD"/>
    <w:rsid w:val="00DC5D1C"/>
    <w:rsid w:val="00DC5FAD"/>
    <w:rsid w:val="00DD38F0"/>
    <w:rsid w:val="00DD3904"/>
    <w:rsid w:val="00DD5ECA"/>
    <w:rsid w:val="00DD7455"/>
    <w:rsid w:val="00DE03A0"/>
    <w:rsid w:val="00DE11C7"/>
    <w:rsid w:val="00E02E02"/>
    <w:rsid w:val="00E05CAE"/>
    <w:rsid w:val="00E065B9"/>
    <w:rsid w:val="00E07919"/>
    <w:rsid w:val="00E10828"/>
    <w:rsid w:val="00E14609"/>
    <w:rsid w:val="00E151D6"/>
    <w:rsid w:val="00E217F6"/>
    <w:rsid w:val="00E3225F"/>
    <w:rsid w:val="00E32F73"/>
    <w:rsid w:val="00E40092"/>
    <w:rsid w:val="00E4023D"/>
    <w:rsid w:val="00E463C2"/>
    <w:rsid w:val="00E530E4"/>
    <w:rsid w:val="00E541CF"/>
    <w:rsid w:val="00E6143A"/>
    <w:rsid w:val="00E64352"/>
    <w:rsid w:val="00E7059B"/>
    <w:rsid w:val="00E71377"/>
    <w:rsid w:val="00E7573B"/>
    <w:rsid w:val="00E77BF6"/>
    <w:rsid w:val="00E802D3"/>
    <w:rsid w:val="00E828D5"/>
    <w:rsid w:val="00E9355D"/>
    <w:rsid w:val="00E94DE0"/>
    <w:rsid w:val="00E95437"/>
    <w:rsid w:val="00E966CD"/>
    <w:rsid w:val="00E9719B"/>
    <w:rsid w:val="00EA047B"/>
    <w:rsid w:val="00EA18B2"/>
    <w:rsid w:val="00EA737F"/>
    <w:rsid w:val="00EB4A22"/>
    <w:rsid w:val="00EC04B3"/>
    <w:rsid w:val="00EC0612"/>
    <w:rsid w:val="00EC0EF3"/>
    <w:rsid w:val="00ED2353"/>
    <w:rsid w:val="00ED4D89"/>
    <w:rsid w:val="00ED61D6"/>
    <w:rsid w:val="00ED7A15"/>
    <w:rsid w:val="00EE6433"/>
    <w:rsid w:val="00EF6752"/>
    <w:rsid w:val="00F024D3"/>
    <w:rsid w:val="00F11E61"/>
    <w:rsid w:val="00F13FBA"/>
    <w:rsid w:val="00F152F2"/>
    <w:rsid w:val="00F21DAA"/>
    <w:rsid w:val="00F21DBF"/>
    <w:rsid w:val="00F24AEF"/>
    <w:rsid w:val="00F26BAC"/>
    <w:rsid w:val="00F43282"/>
    <w:rsid w:val="00F4389E"/>
    <w:rsid w:val="00F44910"/>
    <w:rsid w:val="00F47E8F"/>
    <w:rsid w:val="00F509B5"/>
    <w:rsid w:val="00F554D2"/>
    <w:rsid w:val="00F6375D"/>
    <w:rsid w:val="00F666F0"/>
    <w:rsid w:val="00F67C7F"/>
    <w:rsid w:val="00F726AA"/>
    <w:rsid w:val="00F73285"/>
    <w:rsid w:val="00F75C8C"/>
    <w:rsid w:val="00F82FEE"/>
    <w:rsid w:val="00F87636"/>
    <w:rsid w:val="00F90C47"/>
    <w:rsid w:val="00FA0FA6"/>
    <w:rsid w:val="00FA29FF"/>
    <w:rsid w:val="00FA3252"/>
    <w:rsid w:val="00FA3618"/>
    <w:rsid w:val="00FA4852"/>
    <w:rsid w:val="00FC113C"/>
    <w:rsid w:val="00FC6014"/>
    <w:rsid w:val="00FE59F7"/>
    <w:rsid w:val="00FF28FD"/>
    <w:rsid w:val="00FF42BE"/>
    <w:rsid w:val="00FF61D4"/>
    <w:rsid w:val="00FF76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6DB18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1C"/>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qFormat/>
    <w:rsid w:val="006B24DB"/>
    <w:pPr>
      <w:keepNext/>
      <w:spacing w:before="360" w:after="480"/>
      <w:jc w:val="center"/>
      <w:outlineLvl w:val="0"/>
    </w:pPr>
    <w:rPr>
      <w:b/>
      <w:bCs/>
      <w:color w:val="C00000"/>
      <w:sz w:val="48"/>
      <w:szCs w:val="50"/>
      <w:lang w:val="en-AU" w:bidi="ar-SA"/>
    </w:rPr>
  </w:style>
  <w:style w:type="paragraph" w:styleId="Heading2">
    <w:name w:val="heading 2"/>
    <w:basedOn w:val="Normal"/>
    <w:next w:val="Normal"/>
    <w:link w:val="Heading2Char"/>
    <w:qFormat/>
    <w:rsid w:val="00841E1C"/>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0F20D6"/>
    <w:pPr>
      <w:keepNext/>
      <w:tabs>
        <w:tab w:val="left" w:pos="425"/>
        <w:tab w:val="left" w:pos="567"/>
      </w:tabs>
      <w:spacing w:after="120"/>
      <w:outlineLvl w:val="2"/>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4DB"/>
    <w:rPr>
      <w:rFonts w:eastAsia="Times New Roman" w:cs="Times New Roman"/>
      <w:b/>
      <w:bCs/>
      <w:color w:val="C00000"/>
      <w:sz w:val="48"/>
      <w:szCs w:val="50"/>
      <w:lang w:val="en-AU"/>
    </w:rPr>
  </w:style>
  <w:style w:type="character" w:customStyle="1" w:styleId="Heading2Char">
    <w:name w:val="Heading 2 Char"/>
    <w:basedOn w:val="DefaultParagraphFont"/>
    <w:link w:val="Heading2"/>
    <w:rsid w:val="00841E1C"/>
    <w:rPr>
      <w:rFonts w:eastAsia="Times New Roman" w:cs="Times New Roman"/>
      <w:b/>
      <w:iCs/>
      <w:sz w:val="24"/>
      <w:szCs w:val="24"/>
      <w:lang w:val="en-AU"/>
    </w:rPr>
  </w:style>
  <w:style w:type="character" w:customStyle="1" w:styleId="Heading3Char">
    <w:name w:val="Heading 3 Char"/>
    <w:basedOn w:val="DefaultParagraphFont"/>
    <w:link w:val="Heading3"/>
    <w:rsid w:val="000F20D6"/>
    <w:rPr>
      <w:rFonts w:eastAsia="Times New Roman" w:cs="Arial"/>
      <w:b/>
      <w:bCs/>
      <w:sz w:val="28"/>
      <w:szCs w:val="28"/>
      <w:lang w:bidi="he-IL"/>
    </w:rPr>
  </w:style>
  <w:style w:type="table" w:styleId="TableGrid">
    <w:name w:val="Table Grid"/>
    <w:basedOn w:val="TableNormal"/>
    <w:uiPriority w:val="59"/>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41E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41E1C"/>
    <w:rPr>
      <w:rFonts w:ascii="Tahoma" w:eastAsia="Times New Roman" w:hAnsi="Tahoma" w:cs="Tahoma"/>
      <w:szCs w:val="24"/>
      <w:shd w:val="clear" w:color="auto" w:fill="000080"/>
      <w:lang w:bidi="he-IL"/>
    </w:rPr>
  </w:style>
  <w:style w:type="paragraph" w:styleId="BalloonText">
    <w:name w:val="Balloon Text"/>
    <w:basedOn w:val="Normal"/>
    <w:link w:val="BalloonTextChar"/>
    <w:uiPriority w:val="99"/>
    <w:semiHidden/>
    <w:rsid w:val="00841E1C"/>
    <w:rPr>
      <w:rFonts w:ascii="Tahoma" w:hAnsi="Tahoma" w:cs="Tahoma"/>
      <w:sz w:val="16"/>
      <w:szCs w:val="16"/>
    </w:rPr>
  </w:style>
  <w:style w:type="character" w:customStyle="1" w:styleId="BalloonTextChar">
    <w:name w:val="Balloon Text Char"/>
    <w:basedOn w:val="DefaultParagraphFont"/>
    <w:link w:val="BalloonText"/>
    <w:uiPriority w:val="99"/>
    <w:semiHidden/>
    <w:rsid w:val="00841E1C"/>
    <w:rPr>
      <w:rFonts w:ascii="Tahoma" w:eastAsia="Times New Roman" w:hAnsi="Tahoma" w:cs="Tahoma"/>
      <w:sz w:val="16"/>
      <w:szCs w:val="16"/>
      <w:lang w:bidi="he-IL"/>
    </w:rPr>
  </w:style>
  <w:style w:type="paragraph" w:styleId="Header">
    <w:name w:val="header"/>
    <w:basedOn w:val="Normal"/>
    <w:link w:val="HeaderChar"/>
    <w:uiPriority w:val="99"/>
    <w:rsid w:val="00841E1C"/>
    <w:pPr>
      <w:tabs>
        <w:tab w:val="center" w:pos="4153"/>
        <w:tab w:val="right" w:pos="8306"/>
      </w:tabs>
    </w:pPr>
  </w:style>
  <w:style w:type="character" w:customStyle="1" w:styleId="HeaderChar">
    <w:name w:val="Header Char"/>
    <w:basedOn w:val="DefaultParagraphFont"/>
    <w:link w:val="Header"/>
    <w:uiPriority w:val="99"/>
    <w:rsid w:val="00841E1C"/>
    <w:rPr>
      <w:rFonts w:eastAsia="Times New Roman" w:cs="Times New Roman"/>
      <w:szCs w:val="24"/>
      <w:lang w:bidi="he-IL"/>
    </w:rPr>
  </w:style>
  <w:style w:type="paragraph" w:styleId="Footer">
    <w:name w:val="footer"/>
    <w:basedOn w:val="Normal"/>
    <w:link w:val="FooterChar"/>
    <w:uiPriority w:val="99"/>
    <w:rsid w:val="00841E1C"/>
    <w:pPr>
      <w:tabs>
        <w:tab w:val="center" w:pos="4153"/>
        <w:tab w:val="right" w:pos="8306"/>
      </w:tabs>
      <w:jc w:val="right"/>
    </w:pPr>
  </w:style>
  <w:style w:type="character" w:customStyle="1" w:styleId="FooterChar">
    <w:name w:val="Footer Char"/>
    <w:basedOn w:val="DefaultParagraphFont"/>
    <w:link w:val="Footer"/>
    <w:uiPriority w:val="99"/>
    <w:rsid w:val="00841E1C"/>
    <w:rPr>
      <w:rFonts w:eastAsia="Times New Roman" w:cs="Times New Roman"/>
      <w:szCs w:val="24"/>
      <w:lang w:bidi="he-IL"/>
    </w:rPr>
  </w:style>
  <w:style w:type="paragraph" w:styleId="FootnoteText">
    <w:name w:val="footnote text"/>
    <w:basedOn w:val="Normal"/>
    <w:link w:val="FootnoteTextChar"/>
    <w:uiPriority w:val="99"/>
    <w:semiHidden/>
    <w:rsid w:val="00841E1C"/>
    <w:rPr>
      <w:sz w:val="20"/>
      <w:szCs w:val="20"/>
    </w:rPr>
  </w:style>
  <w:style w:type="character" w:customStyle="1" w:styleId="FootnoteTextChar">
    <w:name w:val="Footnote Text Char"/>
    <w:basedOn w:val="DefaultParagraphFont"/>
    <w:link w:val="FootnoteText"/>
    <w:uiPriority w:val="99"/>
    <w:semiHidden/>
    <w:rsid w:val="00841E1C"/>
    <w:rPr>
      <w:rFonts w:eastAsia="Times New Roman" w:cs="Times New Roman"/>
      <w:sz w:val="20"/>
      <w:szCs w:val="20"/>
      <w:lang w:bidi="he-IL"/>
    </w:rPr>
  </w:style>
  <w:style w:type="character" w:styleId="FootnoteReference">
    <w:name w:val="footnote reference"/>
    <w:basedOn w:val="DefaultParagraphFont"/>
    <w:uiPriority w:val="99"/>
    <w:semiHidden/>
    <w:rsid w:val="00841E1C"/>
    <w:rPr>
      <w:vertAlign w:val="superscript"/>
    </w:rPr>
  </w:style>
  <w:style w:type="character" w:styleId="EndnoteReference">
    <w:name w:val="endnote reference"/>
    <w:basedOn w:val="DefaultParagraphFont"/>
    <w:semiHidden/>
    <w:rsid w:val="00841E1C"/>
    <w:rPr>
      <w:vertAlign w:val="superscript"/>
    </w:rPr>
  </w:style>
  <w:style w:type="character" w:styleId="CommentReference">
    <w:name w:val="annotation reference"/>
    <w:basedOn w:val="DefaultParagraphFont"/>
    <w:uiPriority w:val="99"/>
    <w:semiHidden/>
    <w:rsid w:val="00841E1C"/>
    <w:rPr>
      <w:sz w:val="16"/>
      <w:szCs w:val="16"/>
    </w:rPr>
  </w:style>
  <w:style w:type="paragraph" w:styleId="CommentText">
    <w:name w:val="annotation text"/>
    <w:basedOn w:val="Normal"/>
    <w:link w:val="CommentTextChar"/>
    <w:uiPriority w:val="99"/>
    <w:semiHidden/>
    <w:rsid w:val="00841E1C"/>
    <w:rPr>
      <w:sz w:val="20"/>
      <w:szCs w:val="20"/>
    </w:rPr>
  </w:style>
  <w:style w:type="character" w:customStyle="1" w:styleId="CommentTextChar">
    <w:name w:val="Comment Text Char"/>
    <w:basedOn w:val="DefaultParagraphFont"/>
    <w:link w:val="CommentText"/>
    <w:uiPriority w:val="99"/>
    <w:semiHidden/>
    <w:rsid w:val="00841E1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rsid w:val="00841E1C"/>
    <w:rPr>
      <w:b/>
      <w:bCs/>
    </w:rPr>
  </w:style>
  <w:style w:type="character" w:customStyle="1" w:styleId="CommentSubjectChar">
    <w:name w:val="Comment Subject Char"/>
    <w:basedOn w:val="CommentTextChar"/>
    <w:link w:val="CommentSubject"/>
    <w:uiPriority w:val="99"/>
    <w:semiHidden/>
    <w:rsid w:val="00841E1C"/>
    <w:rPr>
      <w:rFonts w:eastAsia="Times New Roman" w:cs="Times New Roman"/>
      <w:b/>
      <w:bCs/>
      <w:sz w:val="20"/>
      <w:szCs w:val="20"/>
      <w:lang w:bidi="he-IL"/>
    </w:rPr>
  </w:style>
  <w:style w:type="character" w:styleId="Hyperlink">
    <w:name w:val="Hyperlink"/>
    <w:basedOn w:val="DefaultParagraphFont"/>
    <w:uiPriority w:val="99"/>
    <w:rsid w:val="00841E1C"/>
    <w:rPr>
      <w:color w:val="0000FF"/>
      <w:u w:val="single"/>
    </w:rPr>
  </w:style>
  <w:style w:type="character" w:styleId="PageNumber">
    <w:name w:val="page number"/>
    <w:basedOn w:val="DefaultParagraphFont"/>
    <w:rsid w:val="00841E1C"/>
  </w:style>
  <w:style w:type="paragraph" w:customStyle="1" w:styleId="Default">
    <w:name w:val="Default"/>
    <w:rsid w:val="00841E1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NZ"/>
    </w:rPr>
  </w:style>
  <w:style w:type="paragraph" w:customStyle="1" w:styleId="Bulletindent">
    <w:name w:val="Bullet indent"/>
    <w:basedOn w:val="Normal"/>
    <w:rsid w:val="00841E1C"/>
    <w:pPr>
      <w:tabs>
        <w:tab w:val="left" w:pos="1134"/>
      </w:tabs>
      <w:ind w:left="340" w:hanging="340"/>
    </w:pPr>
    <w:rPr>
      <w:lang w:bidi="ar-SA"/>
    </w:rPr>
  </w:style>
  <w:style w:type="paragraph" w:customStyle="1" w:styleId="Paragraph">
    <w:name w:val="Paragraph"/>
    <w:uiPriority w:val="99"/>
    <w:rsid w:val="00841E1C"/>
    <w:pPr>
      <w:spacing w:line="240" w:lineRule="auto"/>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841E1C"/>
    <w:rPr>
      <w:szCs w:val="20"/>
      <w:lang w:val="en-US" w:bidi="ar-SA"/>
    </w:rPr>
  </w:style>
  <w:style w:type="character" w:customStyle="1" w:styleId="BodyTextChar">
    <w:name w:val="Body Text Char"/>
    <w:basedOn w:val="DefaultParagraphFont"/>
    <w:link w:val="BodyText"/>
    <w:uiPriority w:val="99"/>
    <w:rsid w:val="00841E1C"/>
    <w:rPr>
      <w:rFonts w:eastAsia="Times New Roman" w:cs="Times New Roman"/>
      <w:szCs w:val="20"/>
      <w:lang w:val="en-US"/>
    </w:rPr>
  </w:style>
  <w:style w:type="paragraph" w:styleId="ListParagraph">
    <w:name w:val="List Paragraph"/>
    <w:basedOn w:val="Normal"/>
    <w:link w:val="ListParagraphChar"/>
    <w:uiPriority w:val="34"/>
    <w:qFormat/>
    <w:rsid w:val="00841E1C"/>
    <w:pPr>
      <w:ind w:left="720"/>
    </w:pPr>
  </w:style>
  <w:style w:type="character" w:customStyle="1" w:styleId="ListParagraphChar">
    <w:name w:val="List Paragraph Char"/>
    <w:basedOn w:val="DefaultParagraphFont"/>
    <w:link w:val="ListParagraph"/>
    <w:uiPriority w:val="34"/>
    <w:rsid w:val="00841E1C"/>
    <w:rPr>
      <w:rFonts w:eastAsia="Times New Roman" w:cs="Times New Roman"/>
      <w:szCs w:val="24"/>
      <w:lang w:bidi="he-IL"/>
    </w:rPr>
  </w:style>
  <w:style w:type="paragraph" w:styleId="NoSpacing">
    <w:name w:val="No Spacing"/>
    <w:link w:val="NoSpacingChar"/>
    <w:uiPriority w:val="1"/>
    <w:qFormat/>
    <w:rsid w:val="00841E1C"/>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841E1C"/>
    <w:rPr>
      <w:rFonts w:eastAsiaTheme="minorEastAsia"/>
      <w:lang w:val="en-US"/>
    </w:rPr>
  </w:style>
  <w:style w:type="paragraph" w:styleId="Caption">
    <w:name w:val="caption"/>
    <w:basedOn w:val="Normal"/>
    <w:next w:val="Normal"/>
    <w:uiPriority w:val="35"/>
    <w:unhideWhenUsed/>
    <w:qFormat/>
    <w:rsid w:val="00841E1C"/>
    <w:pPr>
      <w:tabs>
        <w:tab w:val="left" w:pos="1440"/>
        <w:tab w:val="decimal" w:pos="4320"/>
      </w:tabs>
      <w:outlineLvl w:val="0"/>
    </w:pPr>
    <w:rPr>
      <w:rFonts w:ascii="Calibri" w:hAnsi="Calibri"/>
      <w:b/>
      <w:szCs w:val="22"/>
      <w:lang w:eastAsia="en-NZ" w:bidi="ar-SA"/>
    </w:rPr>
  </w:style>
  <w:style w:type="paragraph" w:styleId="NormalWeb">
    <w:name w:val="Normal (Web)"/>
    <w:basedOn w:val="Normal"/>
    <w:uiPriority w:val="99"/>
    <w:semiHidden/>
    <w:unhideWhenUsed/>
    <w:rsid w:val="00841E1C"/>
    <w:pPr>
      <w:spacing w:before="100" w:beforeAutospacing="1" w:after="100" w:afterAutospacing="1"/>
      <w:jc w:val="left"/>
    </w:pPr>
    <w:rPr>
      <w:lang w:eastAsia="en-NZ" w:bidi="ar-SA"/>
    </w:rPr>
  </w:style>
  <w:style w:type="character" w:customStyle="1" w:styleId="st1">
    <w:name w:val="st1"/>
    <w:basedOn w:val="DefaultParagraphFont"/>
    <w:rsid w:val="00841E1C"/>
  </w:style>
  <w:style w:type="paragraph" w:styleId="TOCHeading">
    <w:name w:val="TOC Heading"/>
    <w:basedOn w:val="Heading1"/>
    <w:next w:val="Normal"/>
    <w:uiPriority w:val="39"/>
    <w:unhideWhenUsed/>
    <w:qFormat/>
    <w:rsid w:val="00841E1C"/>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8845AA"/>
    <w:pPr>
      <w:tabs>
        <w:tab w:val="right" w:leader="dot" w:pos="9072"/>
      </w:tabs>
      <w:spacing w:before="120" w:after="120"/>
      <w:jc w:val="left"/>
    </w:pPr>
    <w:rPr>
      <w:bCs/>
      <w:noProof/>
      <w:szCs w:val="22"/>
    </w:rPr>
  </w:style>
  <w:style w:type="paragraph" w:styleId="TOC2">
    <w:name w:val="toc 2"/>
    <w:basedOn w:val="Normal"/>
    <w:next w:val="Normal"/>
    <w:autoRedefine/>
    <w:uiPriority w:val="39"/>
    <w:unhideWhenUsed/>
    <w:rsid w:val="008845AA"/>
    <w:pPr>
      <w:tabs>
        <w:tab w:val="left" w:pos="284"/>
        <w:tab w:val="right" w:leader="dot" w:pos="9072"/>
      </w:tabs>
      <w:ind w:left="284" w:hanging="284"/>
      <w:jc w:val="left"/>
    </w:pPr>
    <w:rPr>
      <w:rFonts w:eastAsiaTheme="minorEastAsia" w:cstheme="minorBidi"/>
      <w:noProof/>
      <w:color w:val="000000" w:themeColor="text1"/>
      <w:szCs w:val="22"/>
      <w:lang w:eastAsia="en-NZ" w:bidi="ar-SA"/>
    </w:rPr>
  </w:style>
  <w:style w:type="paragraph" w:styleId="TOC3">
    <w:name w:val="toc 3"/>
    <w:basedOn w:val="Normal"/>
    <w:next w:val="Normal"/>
    <w:autoRedefine/>
    <w:uiPriority w:val="39"/>
    <w:unhideWhenUsed/>
    <w:rsid w:val="00AE6779"/>
    <w:pPr>
      <w:tabs>
        <w:tab w:val="left" w:pos="1100"/>
        <w:tab w:val="right" w:leader="dot" w:pos="9072"/>
      </w:tabs>
      <w:ind w:left="709" w:hanging="425"/>
      <w:jc w:val="left"/>
    </w:pPr>
    <w:rPr>
      <w:iCs/>
      <w:noProof/>
      <w:sz w:val="20"/>
      <w:szCs w:val="20"/>
    </w:rPr>
  </w:style>
  <w:style w:type="paragraph" w:styleId="TOC4">
    <w:name w:val="toc 4"/>
    <w:basedOn w:val="Normal"/>
    <w:next w:val="Normal"/>
    <w:autoRedefine/>
    <w:uiPriority w:val="39"/>
    <w:unhideWhenUsed/>
    <w:rsid w:val="00841E1C"/>
    <w:pPr>
      <w:ind w:left="660"/>
      <w:jc w:val="left"/>
    </w:pPr>
    <w:rPr>
      <w:sz w:val="18"/>
      <w:szCs w:val="18"/>
    </w:rPr>
  </w:style>
  <w:style w:type="paragraph" w:styleId="TOC5">
    <w:name w:val="toc 5"/>
    <w:basedOn w:val="Normal"/>
    <w:next w:val="Normal"/>
    <w:autoRedefine/>
    <w:uiPriority w:val="39"/>
    <w:unhideWhenUsed/>
    <w:rsid w:val="00841E1C"/>
    <w:pPr>
      <w:ind w:left="880"/>
      <w:jc w:val="left"/>
    </w:pPr>
    <w:rPr>
      <w:sz w:val="18"/>
      <w:szCs w:val="18"/>
    </w:rPr>
  </w:style>
  <w:style w:type="paragraph" w:styleId="TOC6">
    <w:name w:val="toc 6"/>
    <w:basedOn w:val="Normal"/>
    <w:next w:val="Normal"/>
    <w:autoRedefine/>
    <w:uiPriority w:val="39"/>
    <w:unhideWhenUsed/>
    <w:rsid w:val="00841E1C"/>
    <w:pPr>
      <w:ind w:left="1100"/>
      <w:jc w:val="left"/>
    </w:pPr>
    <w:rPr>
      <w:sz w:val="18"/>
      <w:szCs w:val="18"/>
    </w:rPr>
  </w:style>
  <w:style w:type="paragraph" w:styleId="TOC7">
    <w:name w:val="toc 7"/>
    <w:basedOn w:val="Normal"/>
    <w:next w:val="Normal"/>
    <w:autoRedefine/>
    <w:uiPriority w:val="39"/>
    <w:unhideWhenUsed/>
    <w:rsid w:val="00841E1C"/>
    <w:pPr>
      <w:ind w:left="1320"/>
      <w:jc w:val="left"/>
    </w:pPr>
    <w:rPr>
      <w:sz w:val="18"/>
      <w:szCs w:val="18"/>
    </w:rPr>
  </w:style>
  <w:style w:type="paragraph" w:styleId="TOC8">
    <w:name w:val="toc 8"/>
    <w:basedOn w:val="Normal"/>
    <w:next w:val="Normal"/>
    <w:autoRedefine/>
    <w:uiPriority w:val="39"/>
    <w:unhideWhenUsed/>
    <w:rsid w:val="00841E1C"/>
    <w:pPr>
      <w:ind w:left="1540"/>
      <w:jc w:val="left"/>
    </w:pPr>
    <w:rPr>
      <w:sz w:val="18"/>
      <w:szCs w:val="18"/>
    </w:rPr>
  </w:style>
  <w:style w:type="paragraph" w:styleId="TOC9">
    <w:name w:val="toc 9"/>
    <w:basedOn w:val="Normal"/>
    <w:next w:val="Normal"/>
    <w:autoRedefine/>
    <w:uiPriority w:val="39"/>
    <w:unhideWhenUsed/>
    <w:rsid w:val="00841E1C"/>
    <w:pPr>
      <w:ind w:left="1760"/>
      <w:jc w:val="left"/>
    </w:pPr>
    <w:rPr>
      <w:sz w:val="18"/>
      <w:szCs w:val="18"/>
    </w:rPr>
  </w:style>
  <w:style w:type="character" w:styleId="FollowedHyperlink">
    <w:name w:val="FollowedHyperlink"/>
    <w:basedOn w:val="DefaultParagraphFont"/>
    <w:uiPriority w:val="99"/>
    <w:semiHidden/>
    <w:unhideWhenUsed/>
    <w:rsid w:val="00841E1C"/>
    <w:rPr>
      <w:color w:val="800080" w:themeColor="followedHyperlink"/>
      <w:u w:val="single"/>
    </w:rPr>
  </w:style>
  <w:style w:type="character" w:styleId="Strong">
    <w:name w:val="Strong"/>
    <w:basedOn w:val="DefaultParagraphFont"/>
    <w:uiPriority w:val="22"/>
    <w:qFormat/>
    <w:rsid w:val="00841E1C"/>
    <w:rPr>
      <w:b/>
      <w:bCs/>
    </w:rPr>
  </w:style>
  <w:style w:type="paragraph" w:styleId="Quote">
    <w:name w:val="Quote"/>
    <w:basedOn w:val="Normal"/>
    <w:link w:val="QuoteChar"/>
    <w:qFormat/>
    <w:rsid w:val="00841E1C"/>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841E1C"/>
    <w:rPr>
      <w:rFonts w:ascii="Times New Roman" w:eastAsia="Times New Roman" w:hAnsi="Times New Roman" w:cs="Times New Roman"/>
      <w:sz w:val="24"/>
      <w:szCs w:val="24"/>
    </w:rPr>
  </w:style>
  <w:style w:type="paragraph" w:customStyle="1" w:styleId="abclist">
    <w:name w:val="abc list"/>
    <w:basedOn w:val="ListParagraph"/>
    <w:link w:val="abclistChar"/>
    <w:qFormat/>
    <w:rsid w:val="00841E1C"/>
    <w:pPr>
      <w:numPr>
        <w:numId w:val="1"/>
      </w:numPr>
      <w:tabs>
        <w:tab w:val="left" w:pos="284"/>
      </w:tabs>
      <w:spacing w:after="240"/>
    </w:pPr>
    <w:rPr>
      <w:sz w:val="24"/>
    </w:rPr>
  </w:style>
  <w:style w:type="character" w:customStyle="1" w:styleId="abclistChar">
    <w:name w:val="abc list Char"/>
    <w:basedOn w:val="ListParagraphChar"/>
    <w:link w:val="abclist"/>
    <w:rsid w:val="00841E1C"/>
    <w:rPr>
      <w:rFonts w:eastAsia="Times New Roman" w:cs="Times New Roman"/>
      <w:sz w:val="24"/>
      <w:szCs w:val="24"/>
      <w:lang w:bidi="he-IL"/>
    </w:rPr>
  </w:style>
  <w:style w:type="paragraph" w:customStyle="1" w:styleId="abclist2">
    <w:name w:val="abc list2"/>
    <w:basedOn w:val="abclist"/>
    <w:link w:val="abclist2Char"/>
    <w:qFormat/>
    <w:rsid w:val="00841E1C"/>
    <w:pPr>
      <w:numPr>
        <w:numId w:val="0"/>
      </w:numPr>
      <w:tabs>
        <w:tab w:val="clear" w:pos="284"/>
        <w:tab w:val="left" w:pos="426"/>
      </w:tabs>
      <w:ind w:left="426" w:hanging="426"/>
    </w:pPr>
  </w:style>
  <w:style w:type="character" w:customStyle="1" w:styleId="abclist2Char">
    <w:name w:val="abc list2 Char"/>
    <w:basedOn w:val="abclistChar"/>
    <w:link w:val="abclist2"/>
    <w:rsid w:val="00841E1C"/>
    <w:rPr>
      <w:rFonts w:eastAsia="Times New Roman" w:cs="Times New Roman"/>
      <w:sz w:val="24"/>
      <w:szCs w:val="24"/>
      <w:lang w:bidi="he-IL"/>
    </w:rPr>
  </w:style>
  <w:style w:type="paragraph" w:customStyle="1" w:styleId="Paranumbered">
    <w:name w:val="Para numbered"/>
    <w:basedOn w:val="Normal"/>
    <w:rsid w:val="00841E1C"/>
    <w:pPr>
      <w:spacing w:after="240"/>
      <w:ind w:left="360" w:hanging="360"/>
    </w:pPr>
    <w:rPr>
      <w:rFonts w:ascii="Times New Roman" w:hAnsi="Times New Roman"/>
      <w:sz w:val="24"/>
      <w:lang w:bidi="ar-SA"/>
    </w:rPr>
  </w:style>
  <w:style w:type="paragraph" w:customStyle="1" w:styleId="Recommendationfinalpoint">
    <w:name w:val="Recommendation final point"/>
    <w:basedOn w:val="Bulletindent"/>
    <w:next w:val="Paranumbered"/>
    <w:qFormat/>
    <w:rsid w:val="00841E1C"/>
    <w:pPr>
      <w:numPr>
        <w:numId w:val="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841E1C"/>
    <w:pPr>
      <w:numPr>
        <w:numId w:val="7"/>
      </w:numPr>
      <w:tabs>
        <w:tab w:val="left" w:pos="1134"/>
      </w:tabs>
      <w:spacing w:after="240"/>
      <w:ind w:left="357" w:hanging="357"/>
    </w:pPr>
    <w:rPr>
      <w:rFonts w:ascii="Times New Roman" w:hAnsi="Times New Roman"/>
      <w:i/>
      <w:iCs/>
      <w:sz w:val="24"/>
      <w:lang w:bidi="ar-SA"/>
    </w:rPr>
  </w:style>
  <w:style w:type="character" w:customStyle="1" w:styleId="BulletlistChar">
    <w:name w:val="Bullet list Char"/>
    <w:basedOn w:val="ListParagraphChar"/>
    <w:link w:val="Bulletlist"/>
    <w:locked/>
    <w:rsid w:val="00841E1C"/>
    <w:rPr>
      <w:rFonts w:eastAsia="Times New Roman" w:cs="Times New Roman"/>
      <w:sz w:val="24"/>
      <w:szCs w:val="24"/>
      <w:lang w:val="en-US" w:bidi="he-IL"/>
    </w:rPr>
  </w:style>
  <w:style w:type="paragraph" w:customStyle="1" w:styleId="Bulletlist">
    <w:name w:val="Bullet list"/>
    <w:basedOn w:val="ListParagraph"/>
    <w:link w:val="BulletlistChar"/>
    <w:qFormat/>
    <w:rsid w:val="00841E1C"/>
    <w:pPr>
      <w:numPr>
        <w:numId w:val="8"/>
      </w:numPr>
      <w:spacing w:after="120"/>
    </w:pPr>
    <w:rPr>
      <w:rFonts w:eastAsiaTheme="minorHAnsi" w:cstheme="minorBidi"/>
      <w:sz w:val="24"/>
      <w:szCs w:val="22"/>
      <w:lang w:val="en-US"/>
    </w:rPr>
  </w:style>
  <w:style w:type="table" w:styleId="TableGridLight">
    <w:name w:val="Grid Table Light"/>
    <w:basedOn w:val="TableNormal"/>
    <w:uiPriority w:val="40"/>
    <w:rsid w:val="00841E1C"/>
    <w:pPr>
      <w:spacing w:after="0" w:line="240" w:lineRule="auto"/>
      <w:jc w:val="both"/>
    </w:pPr>
    <w:rPr>
      <w:rFonts w:ascii="Times New Roman" w:eastAsia="Times New Roman" w:hAnsi="Times New Roman" w:cs="Times New Roman"/>
      <w:sz w:val="20"/>
      <w:szCs w:val="20"/>
      <w:lang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finalpoint">
    <w:name w:val="Numbered final point"/>
    <w:basedOn w:val="ListParagraph"/>
    <w:link w:val="NumberedfinalpointChar"/>
    <w:rsid w:val="008D4C0D"/>
    <w:pPr>
      <w:spacing w:after="240"/>
      <w:ind w:left="284" w:hanging="284"/>
    </w:pPr>
    <w:rPr>
      <w:sz w:val="24"/>
      <w:lang w:val="en-US" w:eastAsia="en-NZ"/>
    </w:rPr>
  </w:style>
  <w:style w:type="character" w:customStyle="1" w:styleId="NumberedfinalpointChar">
    <w:name w:val="Numbered final point Char"/>
    <w:basedOn w:val="ListParagraphChar"/>
    <w:link w:val="Numberedfinalpoint"/>
    <w:rsid w:val="008D4C0D"/>
    <w:rPr>
      <w:rFonts w:eastAsia="Times New Roman" w:cs="Times New Roman"/>
      <w:sz w:val="24"/>
      <w:szCs w:val="24"/>
      <w:lang w:val="en-US" w:eastAsia="en-NZ" w:bidi="he-IL"/>
    </w:rPr>
  </w:style>
  <w:style w:type="paragraph" w:styleId="Revision">
    <w:name w:val="Revision"/>
    <w:hidden/>
    <w:uiPriority w:val="99"/>
    <w:semiHidden/>
    <w:rsid w:val="00CC0F87"/>
    <w:pPr>
      <w:spacing w:after="0"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5315">
      <w:bodyDiv w:val="1"/>
      <w:marLeft w:val="0"/>
      <w:marRight w:val="0"/>
      <w:marTop w:val="0"/>
      <w:marBottom w:val="0"/>
      <w:divBdr>
        <w:top w:val="none" w:sz="0" w:space="0" w:color="auto"/>
        <w:left w:val="none" w:sz="0" w:space="0" w:color="auto"/>
        <w:bottom w:val="none" w:sz="0" w:space="0" w:color="auto"/>
        <w:right w:val="none" w:sz="0" w:space="0" w:color="auto"/>
      </w:divBdr>
    </w:div>
    <w:div w:id="20185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hdc-fps01\data$\Strategy%20Team\Research%20and%20analysis\DHB%20Reports\2021%20Jan%20to%20Jun\All%20DHB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dc-fps01\data$\Strategy%20Team\Research%20and%20analysis\DHB%20Reports\2021%20Jan%20to%20Jun\All%20DHB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Sheet3!$A$1:$J$1</c:f>
              <c:strCache>
                <c:ptCount val="10"/>
                <c:pt idx="0">
                  <c:v>Jul–Dec 16</c:v>
                </c:pt>
                <c:pt idx="1">
                  <c:v>Jan–Jun 17</c:v>
                </c:pt>
                <c:pt idx="2">
                  <c:v>Jul–Dec 17</c:v>
                </c:pt>
                <c:pt idx="3">
                  <c:v>Jan–Jun 18</c:v>
                </c:pt>
                <c:pt idx="4">
                  <c:v>Jul–Dec 18</c:v>
                </c:pt>
                <c:pt idx="5">
                  <c:v>Jan–Jun 19</c:v>
                </c:pt>
                <c:pt idx="6">
                  <c:v>Jul–Dec 19</c:v>
                </c:pt>
                <c:pt idx="7">
                  <c:v>Jan–Jun 20</c:v>
                </c:pt>
                <c:pt idx="8">
                  <c:v>Jul–Dec 20</c:v>
                </c:pt>
                <c:pt idx="9">
                  <c:v>Jan–Jun 21</c:v>
                </c:pt>
              </c:strCache>
            </c:strRef>
          </c:cat>
          <c:val>
            <c:numRef>
              <c:f>Sheet3!$A$2:$J$2</c:f>
              <c:numCache>
                <c:formatCode>General</c:formatCode>
                <c:ptCount val="10"/>
              </c:numCache>
            </c:numRef>
          </c:val>
          <c:smooth val="0"/>
          <c:extLst>
            <c:ext xmlns:c16="http://schemas.microsoft.com/office/drawing/2014/chart" uri="{C3380CC4-5D6E-409C-BE32-E72D297353CC}">
              <c16:uniqueId val="{00000000-8397-494A-B8CF-9251A8D17740}"/>
            </c:ext>
          </c:extLst>
        </c:ser>
        <c:ser>
          <c:idx val="1"/>
          <c:order val="1"/>
          <c:spPr>
            <a:ln w="28575" cap="rnd">
              <a:solidFill>
                <a:srgbClr val="C00000"/>
              </a:solidFill>
              <a:round/>
            </a:ln>
            <a:effectLst/>
          </c:spPr>
          <c:marker>
            <c:symbol val="circle"/>
            <c:size val="5"/>
            <c:spPr>
              <a:solidFill>
                <a:srgbClr val="C00000"/>
              </a:solidFill>
              <a:ln w="9525">
                <a:solidFill>
                  <a:srgbClr val="C00000"/>
                </a:solidFill>
              </a:ln>
              <a:effectLst/>
            </c:spPr>
          </c:marker>
          <c:cat>
            <c:strRef>
              <c:f>Sheet3!$A$1:$J$1</c:f>
              <c:strCache>
                <c:ptCount val="10"/>
                <c:pt idx="0">
                  <c:v>Jul–Dec 16</c:v>
                </c:pt>
                <c:pt idx="1">
                  <c:v>Jan–Jun 17</c:v>
                </c:pt>
                <c:pt idx="2">
                  <c:v>Jul–Dec 17</c:v>
                </c:pt>
                <c:pt idx="3">
                  <c:v>Jan–Jun 18</c:v>
                </c:pt>
                <c:pt idx="4">
                  <c:v>Jul–Dec 18</c:v>
                </c:pt>
                <c:pt idx="5">
                  <c:v>Jan–Jun 19</c:v>
                </c:pt>
                <c:pt idx="6">
                  <c:v>Jul–Dec 19</c:v>
                </c:pt>
                <c:pt idx="7">
                  <c:v>Jan–Jun 20</c:v>
                </c:pt>
                <c:pt idx="8">
                  <c:v>Jul–Dec 20</c:v>
                </c:pt>
                <c:pt idx="9">
                  <c:v>Jan–Jun 21</c:v>
                </c:pt>
              </c:strCache>
            </c:strRef>
          </c:cat>
          <c:val>
            <c:numRef>
              <c:f>Sheet3!$A$3:$J$3</c:f>
              <c:numCache>
                <c:formatCode>General</c:formatCode>
                <c:ptCount val="10"/>
                <c:pt idx="0">
                  <c:v>386</c:v>
                </c:pt>
                <c:pt idx="1">
                  <c:v>477</c:v>
                </c:pt>
                <c:pt idx="2">
                  <c:v>439</c:v>
                </c:pt>
                <c:pt idx="3">
                  <c:v>450</c:v>
                </c:pt>
                <c:pt idx="4">
                  <c:v>442</c:v>
                </c:pt>
                <c:pt idx="5">
                  <c:v>427</c:v>
                </c:pt>
                <c:pt idx="6">
                  <c:v>471</c:v>
                </c:pt>
                <c:pt idx="7">
                  <c:v>392</c:v>
                </c:pt>
                <c:pt idx="8">
                  <c:v>464</c:v>
                </c:pt>
                <c:pt idx="9">
                  <c:v>532</c:v>
                </c:pt>
              </c:numCache>
            </c:numRef>
          </c:val>
          <c:smooth val="0"/>
          <c:extLst>
            <c:ext xmlns:c16="http://schemas.microsoft.com/office/drawing/2014/chart" uri="{C3380CC4-5D6E-409C-BE32-E72D297353CC}">
              <c16:uniqueId val="{00000001-8397-494A-B8CF-9251A8D17740}"/>
            </c:ext>
          </c:extLst>
        </c:ser>
        <c:dLbls>
          <c:showLegendKey val="0"/>
          <c:showVal val="0"/>
          <c:showCatName val="0"/>
          <c:showSerName val="0"/>
          <c:showPercent val="0"/>
          <c:showBubbleSize val="0"/>
        </c:dLbls>
        <c:marker val="1"/>
        <c:smooth val="0"/>
        <c:axId val="1054301695"/>
        <c:axId val="1054298783"/>
      </c:lineChart>
      <c:catAx>
        <c:axId val="1054301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298783"/>
        <c:crosses val="autoZero"/>
        <c:auto val="1"/>
        <c:lblAlgn val="ctr"/>
        <c:lblOffset val="100"/>
        <c:noMultiLvlLbl val="0"/>
      </c:catAx>
      <c:valAx>
        <c:axId val="1054298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301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00000"/>
            </a:solidFill>
            <a:ln>
              <a:noFill/>
            </a:ln>
            <a:effectLst/>
          </c:spPr>
          <c:invertIfNegative val="0"/>
          <c:cat>
            <c:strRef>
              <c:f>Sheet2!$H$4:$H$13</c:f>
              <c:strCache>
                <c:ptCount val="10"/>
                <c:pt idx="0">
                  <c:v>Other</c:v>
                </c:pt>
                <c:pt idx="1">
                  <c:v>Alcohol and drug</c:v>
                </c:pt>
                <c:pt idx="2">
                  <c:v>Disability services</c:v>
                </c:pt>
                <c:pt idx="3">
                  <c:v>Paediatrics</c:v>
                </c:pt>
                <c:pt idx="4">
                  <c:v>Diagnostics</c:v>
                </c:pt>
                <c:pt idx="5">
                  <c:v>Maternity</c:v>
                </c:pt>
                <c:pt idx="6">
                  <c:v>Emergency department</c:v>
                </c:pt>
                <c:pt idx="7">
                  <c:v>Medicine</c:v>
                </c:pt>
                <c:pt idx="8">
                  <c:v>Mental health</c:v>
                </c:pt>
                <c:pt idx="9">
                  <c:v>Surgery</c:v>
                </c:pt>
              </c:strCache>
            </c:strRef>
          </c:cat>
          <c:val>
            <c:numRef>
              <c:f>Sheet2!$I$4:$I$13</c:f>
              <c:numCache>
                <c:formatCode>General</c:formatCode>
                <c:ptCount val="10"/>
                <c:pt idx="0">
                  <c:v>38</c:v>
                </c:pt>
                <c:pt idx="1">
                  <c:v>11</c:v>
                </c:pt>
                <c:pt idx="2">
                  <c:v>11</c:v>
                </c:pt>
                <c:pt idx="3">
                  <c:v>15</c:v>
                </c:pt>
                <c:pt idx="4">
                  <c:v>22</c:v>
                </c:pt>
                <c:pt idx="5">
                  <c:v>29</c:v>
                </c:pt>
                <c:pt idx="6">
                  <c:v>65</c:v>
                </c:pt>
                <c:pt idx="7">
                  <c:v>86</c:v>
                </c:pt>
                <c:pt idx="8">
                  <c:v>128</c:v>
                </c:pt>
                <c:pt idx="9">
                  <c:v>146</c:v>
                </c:pt>
              </c:numCache>
            </c:numRef>
          </c:val>
          <c:extLst>
            <c:ext xmlns:c16="http://schemas.microsoft.com/office/drawing/2014/chart" uri="{C3380CC4-5D6E-409C-BE32-E72D297353CC}">
              <c16:uniqueId val="{00000000-627A-4EA8-A50D-57DBFF4C57B9}"/>
            </c:ext>
          </c:extLst>
        </c:ser>
        <c:dLbls>
          <c:showLegendKey val="0"/>
          <c:showVal val="0"/>
          <c:showCatName val="0"/>
          <c:showSerName val="0"/>
          <c:showPercent val="0"/>
          <c:showBubbleSize val="0"/>
        </c:dLbls>
        <c:gapWidth val="182"/>
        <c:axId val="378529392"/>
        <c:axId val="378527312"/>
      </c:barChart>
      <c:catAx>
        <c:axId val="378529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78527312"/>
        <c:crosses val="autoZero"/>
        <c:auto val="1"/>
        <c:lblAlgn val="ctr"/>
        <c:lblOffset val="100"/>
        <c:noMultiLvlLbl val="0"/>
      </c:catAx>
      <c:valAx>
        <c:axId val="378527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7852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9BC7-3B6C-4B8D-B943-07B49EC3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8175</Words>
  <Characters>46599</Characters>
  <Application>Microsoft Office Word</Application>
  <DocSecurity>0</DocSecurity>
  <Lines>388</Lines>
  <Paragraphs>109</Paragraphs>
  <ScaleCrop>false</ScaleCrop>
  <Company/>
  <LinksUpToDate>false</LinksUpToDate>
  <CharactersWithSpaces>54665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2022-01-26T02:59:00Z</dcterms:created>
  <dcterms:modified xsi:type="dcterms:W3CDTF">2022-01-26T03:00:00Z</dcterms:modified>
</cp:coreProperties>
</file>