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rPr>
          <w:lang w:val="en-US"/>
        </w:rPr>
      </w:pPr>
    </w:p>
    <w:p w:rsidR="006F31C4" w:rsidRPr="00414465" w:rsidRDefault="006F31C4" w:rsidP="006F31C4">
      <w:pPr>
        <w:pStyle w:val="NoSpacing"/>
        <w:jc w:val="center"/>
        <w:rPr>
          <w:rFonts w:eastAsiaTheme="majorEastAsia" w:cstheme="majorBidi"/>
          <w:b/>
          <w:sz w:val="48"/>
          <w:szCs w:val="48"/>
        </w:rPr>
      </w:pPr>
      <w:r w:rsidRPr="00414465">
        <w:rPr>
          <w:rFonts w:eastAsiaTheme="majorEastAsia" w:cstheme="majorBidi"/>
          <w:b/>
          <w:sz w:val="48"/>
          <w:szCs w:val="48"/>
        </w:rPr>
        <w:t xml:space="preserve">Complaints to HDC involving </w:t>
      </w:r>
    </w:p>
    <w:p w:rsidR="00971A32" w:rsidRPr="00414465" w:rsidRDefault="008E1DF2" w:rsidP="00971A32">
      <w:pPr>
        <w:pStyle w:val="NoSpacing"/>
        <w:jc w:val="center"/>
        <w:rPr>
          <w:rFonts w:eastAsiaTheme="majorEastAsia" w:cstheme="majorBidi"/>
          <w:b/>
          <w:sz w:val="48"/>
          <w:szCs w:val="48"/>
        </w:rPr>
      </w:pPr>
      <w:r w:rsidRPr="00414465">
        <w:rPr>
          <w:rFonts w:eastAsiaTheme="majorEastAsia" w:cstheme="majorBidi"/>
          <w:b/>
          <w:sz w:val="48"/>
          <w:szCs w:val="48"/>
        </w:rPr>
        <w:t>District Health Board</w:t>
      </w:r>
      <w:r w:rsidR="00971A32" w:rsidRPr="00414465">
        <w:rPr>
          <w:rFonts w:eastAsiaTheme="majorEastAsia" w:cstheme="majorBidi"/>
          <w:b/>
          <w:sz w:val="48"/>
          <w:szCs w:val="48"/>
        </w:rPr>
        <w:t>s:</w:t>
      </w:r>
    </w:p>
    <w:p w:rsidR="00E018C3" w:rsidRPr="00414465" w:rsidRDefault="00E018C3" w:rsidP="006F31C4">
      <w:pPr>
        <w:pStyle w:val="NoSpacing"/>
        <w:jc w:val="center"/>
        <w:rPr>
          <w:rFonts w:eastAsiaTheme="majorEastAsia" w:cstheme="majorBidi"/>
          <w:b/>
          <w:sz w:val="40"/>
          <w:szCs w:val="40"/>
        </w:rPr>
      </w:pPr>
    </w:p>
    <w:p w:rsidR="006F31C4" w:rsidRPr="00414465" w:rsidRDefault="003D3BFD" w:rsidP="006F31C4">
      <w:pPr>
        <w:pStyle w:val="NoSpacing"/>
        <w:jc w:val="center"/>
        <w:rPr>
          <w:rFonts w:eastAsiaTheme="majorEastAsia" w:cstheme="majorBidi"/>
          <w:b/>
          <w:sz w:val="40"/>
          <w:szCs w:val="40"/>
        </w:rPr>
      </w:pPr>
      <w:r>
        <w:rPr>
          <w:rFonts w:eastAsiaTheme="majorEastAsia" w:cstheme="majorBidi"/>
          <w:b/>
          <w:sz w:val="40"/>
          <w:szCs w:val="40"/>
        </w:rPr>
        <w:t xml:space="preserve">National Report - </w:t>
      </w:r>
      <w:r w:rsidR="00971A32" w:rsidRPr="00414465">
        <w:rPr>
          <w:rFonts w:eastAsiaTheme="majorEastAsia" w:cstheme="majorBidi"/>
          <w:b/>
          <w:sz w:val="40"/>
          <w:szCs w:val="40"/>
        </w:rPr>
        <w:t>A</w:t>
      </w:r>
      <w:r>
        <w:rPr>
          <w:rFonts w:eastAsiaTheme="majorEastAsia" w:cstheme="majorBidi"/>
          <w:b/>
          <w:sz w:val="40"/>
          <w:szCs w:val="40"/>
        </w:rPr>
        <w:t>ll</w:t>
      </w:r>
      <w:r w:rsidR="00971A32" w:rsidRPr="00414465">
        <w:rPr>
          <w:rFonts w:eastAsiaTheme="majorEastAsia" w:cstheme="majorBidi"/>
          <w:b/>
          <w:sz w:val="40"/>
          <w:szCs w:val="40"/>
        </w:rPr>
        <w:t xml:space="preserve"> DHB</w:t>
      </w:r>
      <w:r>
        <w:rPr>
          <w:rFonts w:eastAsiaTheme="majorEastAsia" w:cstheme="majorBidi"/>
          <w:b/>
          <w:sz w:val="40"/>
          <w:szCs w:val="40"/>
        </w:rPr>
        <w:t>s</w:t>
      </w:r>
    </w:p>
    <w:p w:rsidR="006F31C4" w:rsidRPr="00414465" w:rsidRDefault="006F31C4" w:rsidP="006F31C4">
      <w:pPr>
        <w:pStyle w:val="NoSpacing"/>
        <w:jc w:val="center"/>
        <w:rPr>
          <w:rFonts w:eastAsiaTheme="majorEastAsia" w:cstheme="majorBidi"/>
          <w:b/>
          <w:sz w:val="36"/>
          <w:szCs w:val="36"/>
        </w:rPr>
      </w:pPr>
    </w:p>
    <w:p w:rsidR="001726F0" w:rsidRPr="00414465" w:rsidRDefault="001726F0" w:rsidP="001726F0">
      <w:pPr>
        <w:pStyle w:val="NoSpacing"/>
        <w:jc w:val="center"/>
        <w:rPr>
          <w:rFonts w:eastAsiaTheme="majorEastAsia" w:cstheme="majorBidi"/>
          <w:b/>
          <w:sz w:val="32"/>
          <w:szCs w:val="32"/>
        </w:rPr>
      </w:pPr>
      <w:r w:rsidRPr="00414465">
        <w:rPr>
          <w:rFonts w:eastAsiaTheme="majorEastAsia" w:cstheme="majorBidi"/>
          <w:b/>
          <w:sz w:val="32"/>
          <w:szCs w:val="32"/>
        </w:rPr>
        <w:t>Report and Analysis for period 1 July</w:t>
      </w:r>
      <w:r>
        <w:rPr>
          <w:rFonts w:eastAsiaTheme="majorEastAsia" w:cstheme="majorBidi"/>
          <w:b/>
          <w:sz w:val="32"/>
          <w:szCs w:val="32"/>
        </w:rPr>
        <w:t xml:space="preserve"> </w:t>
      </w:r>
      <w:r w:rsidRPr="00414465">
        <w:rPr>
          <w:rFonts w:eastAsiaTheme="majorEastAsia" w:cstheme="majorBidi"/>
          <w:b/>
          <w:sz w:val="32"/>
          <w:szCs w:val="32"/>
        </w:rPr>
        <w:t>–</w:t>
      </w:r>
      <w:r>
        <w:rPr>
          <w:rFonts w:eastAsiaTheme="majorEastAsia" w:cstheme="majorBidi"/>
          <w:b/>
          <w:sz w:val="32"/>
          <w:szCs w:val="32"/>
        </w:rPr>
        <w:t xml:space="preserve"> </w:t>
      </w:r>
      <w:r w:rsidRPr="00414465">
        <w:rPr>
          <w:rFonts w:eastAsiaTheme="majorEastAsia" w:cstheme="majorBidi"/>
          <w:b/>
          <w:sz w:val="32"/>
          <w:szCs w:val="32"/>
        </w:rPr>
        <w:t>31</w:t>
      </w:r>
      <w:r>
        <w:rPr>
          <w:rFonts w:eastAsiaTheme="majorEastAsia" w:cstheme="majorBidi"/>
          <w:b/>
          <w:sz w:val="32"/>
          <w:szCs w:val="32"/>
        </w:rPr>
        <w:t xml:space="preserve"> </w:t>
      </w:r>
      <w:r w:rsidRPr="00414465">
        <w:rPr>
          <w:rFonts w:eastAsiaTheme="majorEastAsia" w:cstheme="majorBidi"/>
          <w:b/>
          <w:sz w:val="32"/>
          <w:szCs w:val="32"/>
        </w:rPr>
        <w:t>December</w:t>
      </w:r>
      <w:r>
        <w:rPr>
          <w:rFonts w:eastAsiaTheme="majorEastAsia" w:cstheme="majorBidi"/>
          <w:b/>
          <w:sz w:val="32"/>
          <w:szCs w:val="32"/>
        </w:rPr>
        <w:t xml:space="preserve"> </w:t>
      </w:r>
      <w:r w:rsidRPr="00414465">
        <w:rPr>
          <w:rFonts w:eastAsiaTheme="majorEastAsia" w:cstheme="majorBidi"/>
          <w:b/>
          <w:sz w:val="32"/>
          <w:szCs w:val="32"/>
        </w:rPr>
        <w:t>2012</w:t>
      </w: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rPr>
          <w:lang w:val="en-US"/>
        </w:rPr>
      </w:pPr>
    </w:p>
    <w:p w:rsidR="001726F0" w:rsidRPr="00414465" w:rsidRDefault="001726F0" w:rsidP="001726F0">
      <w:pPr>
        <w:jc w:val="center"/>
        <w:rPr>
          <w:lang w:val="en-US"/>
        </w:rPr>
      </w:pPr>
      <w:r w:rsidRPr="00414465">
        <w:rPr>
          <w:noProof/>
          <w:lang w:eastAsia="en-NZ" w:bidi="ar-SA"/>
        </w:rPr>
        <w:drawing>
          <wp:inline distT="0" distB="0" distL="0" distR="0">
            <wp:extent cx="1012191" cy="552450"/>
            <wp:effectExtent l="19050" t="0" r="0" b="0"/>
            <wp:docPr id="1"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8" cstate="print"/>
                    <a:stretch>
                      <a:fillRect/>
                    </a:stretch>
                  </pic:blipFill>
                  <pic:spPr>
                    <a:xfrm>
                      <a:off x="0" y="0"/>
                      <a:ext cx="1025036" cy="559461"/>
                    </a:xfrm>
                    <a:prstGeom prst="rect">
                      <a:avLst/>
                    </a:prstGeom>
                  </pic:spPr>
                </pic:pic>
              </a:graphicData>
            </a:graphic>
          </wp:inline>
        </w:drawing>
      </w:r>
    </w:p>
    <w:p w:rsidR="001726F0" w:rsidRPr="00414465" w:rsidRDefault="001726F0" w:rsidP="001726F0">
      <w:pPr>
        <w:jc w:val="left"/>
      </w:pPr>
    </w:p>
    <w:p w:rsidR="001726F0" w:rsidRPr="00414465" w:rsidRDefault="001726F0" w:rsidP="001726F0">
      <w:pPr>
        <w:sectPr w:rsidR="001726F0" w:rsidRPr="00414465" w:rsidSect="008019CF">
          <w:footerReference w:type="first" r:id="rId9"/>
          <w:pgSz w:w="11906" w:h="16838" w:code="9"/>
          <w:pgMar w:top="1140" w:right="1412" w:bottom="851" w:left="1412" w:header="720" w:footer="590" w:gutter="0"/>
          <w:cols w:space="720"/>
          <w:docGrid w:linePitch="360"/>
        </w:sectPr>
      </w:pPr>
    </w:p>
    <w:p w:rsidR="001726F0" w:rsidRPr="00414465" w:rsidRDefault="001726F0" w:rsidP="001726F0">
      <w:pPr>
        <w:rPr>
          <w:rFonts w:asciiTheme="minorHAnsi" w:hAnsiTheme="minorHAnsi"/>
          <w:b/>
          <w:bCs/>
          <w:sz w:val="32"/>
          <w:lang w:val="en-AU" w:bidi="ar-SA"/>
        </w:rPr>
      </w:pPr>
      <w:r w:rsidRPr="00414465">
        <w:lastRenderedPageBreak/>
        <w:br w:type="page"/>
      </w:r>
    </w:p>
    <w:p w:rsidR="001726F0" w:rsidRPr="00414465" w:rsidRDefault="001726F0" w:rsidP="001726F0">
      <w:pPr>
        <w:pStyle w:val="Heading1"/>
      </w:pPr>
      <w:r w:rsidRPr="00414465">
        <w:lastRenderedPageBreak/>
        <w:t>Introduction</w:t>
      </w:r>
    </w:p>
    <w:p w:rsidR="001726F0" w:rsidRPr="00414465" w:rsidRDefault="001726F0" w:rsidP="001726F0">
      <w:pPr>
        <w:tabs>
          <w:tab w:val="left" w:pos="1440"/>
          <w:tab w:val="left" w:pos="2610"/>
        </w:tabs>
        <w:spacing w:after="240"/>
        <w:outlineLvl w:val="0"/>
        <w:rPr>
          <w:rFonts w:ascii="Calibri" w:hAnsi="Calibri" w:cs="Calibri"/>
          <w:sz w:val="22"/>
          <w:szCs w:val="22"/>
          <w:lang w:val="en-US"/>
        </w:rPr>
      </w:pPr>
      <w:r w:rsidRPr="00414465">
        <w:rPr>
          <w:rFonts w:ascii="Calibri" w:hAnsi="Calibri" w:cs="Calibri"/>
          <w:sz w:val="22"/>
          <w:szCs w:val="22"/>
          <w:lang w:val="en-US"/>
        </w:rPr>
        <w:t xml:space="preserve">This report provides aggregated DHB data and data specific to individual DHBs for the period </w:t>
      </w:r>
      <w:r w:rsidRPr="00414465">
        <w:rPr>
          <w:rFonts w:ascii="Calibri" w:hAnsi="Calibri" w:cs="Calibri"/>
          <w:sz w:val="22"/>
          <w:szCs w:val="22"/>
        </w:rPr>
        <w:t>1 July – 31 December 2012</w:t>
      </w:r>
      <w:r w:rsidRPr="00414465">
        <w:rPr>
          <w:rFonts w:ascii="Calibri" w:hAnsi="Calibri" w:cs="Calibri"/>
          <w:sz w:val="22"/>
          <w:szCs w:val="22"/>
          <w:lang w:val="en-US"/>
        </w:rPr>
        <w:t>. The data reflects only complaints to the Health and Disability Commissioner involving a DHB — it excludes those complaints made directly to a DHB that are not received by HDC.</w:t>
      </w:r>
    </w:p>
    <w:p w:rsidR="001726F0" w:rsidRPr="00414465" w:rsidRDefault="001726F0" w:rsidP="001726F0">
      <w:pPr>
        <w:tabs>
          <w:tab w:val="left" w:pos="1440"/>
          <w:tab w:val="left" w:pos="2610"/>
        </w:tabs>
        <w:spacing w:after="240"/>
        <w:outlineLvl w:val="0"/>
        <w:rPr>
          <w:rFonts w:asciiTheme="minorHAnsi" w:hAnsiTheme="minorHAnsi"/>
          <w:sz w:val="22"/>
          <w:szCs w:val="22"/>
        </w:rPr>
      </w:pPr>
      <w:r w:rsidRPr="00414465">
        <w:rPr>
          <w:rFonts w:asciiTheme="minorHAnsi" w:hAnsiTheme="minorHAnsi" w:cs="Calibri"/>
          <w:sz w:val="22"/>
          <w:szCs w:val="22"/>
          <w:lang w:val="en-US"/>
        </w:rPr>
        <w:t xml:space="preserve">Please also note that data reported </w:t>
      </w:r>
      <w:r w:rsidRPr="00414465">
        <w:rPr>
          <w:rFonts w:asciiTheme="minorHAnsi" w:hAnsiTheme="minorHAnsi"/>
          <w:sz w:val="22"/>
          <w:szCs w:val="22"/>
        </w:rPr>
        <w:t>captures only those complaints in which the DHB was identified as a provider by the complainant. Where a complaint is made about an individual practitioner at a DHB and the DHB is not identified, the complaint may not be included in these reports.</w:t>
      </w:r>
    </w:p>
    <w:p w:rsidR="001726F0" w:rsidRPr="00414465" w:rsidRDefault="001726F0" w:rsidP="001726F0">
      <w:pPr>
        <w:tabs>
          <w:tab w:val="left" w:pos="1440"/>
          <w:tab w:val="left" w:pos="2610"/>
        </w:tabs>
        <w:spacing w:after="240"/>
        <w:outlineLvl w:val="0"/>
        <w:rPr>
          <w:rFonts w:ascii="Calibri" w:hAnsi="Calibri" w:cs="Calibri"/>
          <w:sz w:val="22"/>
          <w:szCs w:val="22"/>
          <w:lang w:val="en-US"/>
        </w:rPr>
      </w:pPr>
      <w:r w:rsidRPr="00414465">
        <w:rPr>
          <w:rFonts w:ascii="Calibri" w:hAnsi="Calibri" w:cs="Calibri"/>
          <w:sz w:val="22"/>
          <w:szCs w:val="22"/>
          <w:lang w:val="en-US"/>
        </w:rPr>
        <w:t>The report includes:</w:t>
      </w:r>
    </w:p>
    <w:p w:rsidR="001726F0" w:rsidRPr="00414465" w:rsidRDefault="001726F0" w:rsidP="001726F0">
      <w:pPr>
        <w:numPr>
          <w:ilvl w:val="0"/>
          <w:numId w:val="2"/>
        </w:numPr>
        <w:tabs>
          <w:tab w:val="left" w:pos="426"/>
          <w:tab w:val="decimal" w:pos="4320"/>
        </w:tabs>
        <w:ind w:left="0" w:firstLine="0"/>
        <w:outlineLvl w:val="0"/>
        <w:rPr>
          <w:rFonts w:ascii="Calibri" w:hAnsi="Calibri" w:cs="Calibri"/>
          <w:sz w:val="22"/>
          <w:szCs w:val="22"/>
          <w:lang w:val="en-US"/>
        </w:rPr>
      </w:pPr>
      <w:r w:rsidRPr="00414465">
        <w:rPr>
          <w:rFonts w:ascii="Calibri" w:hAnsi="Calibri" w:cs="Calibri"/>
          <w:sz w:val="22"/>
          <w:szCs w:val="22"/>
          <w:lang w:val="en-US"/>
        </w:rPr>
        <w:t>Data on complaints received:</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w:t>
      </w:r>
      <w:r w:rsidRPr="00414465">
        <w:rPr>
          <w:rFonts w:ascii="Calibri" w:hAnsi="Calibri" w:cs="Calibri"/>
          <w:sz w:val="22"/>
          <w:szCs w:val="22"/>
          <w:lang w:val="en-US"/>
        </w:rPr>
        <w:tab/>
        <w:t>Current period:</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b/>
        <w:t>— how many</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b/>
        <w:t xml:space="preserve">— service type </w:t>
      </w: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key words (patient concerns or matters complained about)</w:t>
      </w: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r>
      <w:r w:rsidRPr="00414465">
        <w:rPr>
          <w:rFonts w:ascii="Calibri" w:hAnsi="Calibri" w:cs="Calibri"/>
          <w:sz w:val="22"/>
          <w:szCs w:val="22"/>
          <w:lang w:val="en-US"/>
        </w:rPr>
        <w:tab/>
        <w:t xml:space="preserve">for national report: key words and primary issue </w:t>
      </w: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for individual reports:</w:t>
      </w:r>
      <w:r w:rsidRPr="00414465">
        <w:rPr>
          <w:rFonts w:ascii="Calibri" w:hAnsi="Calibri" w:cs="Calibri"/>
          <w:sz w:val="22"/>
          <w:szCs w:val="22"/>
          <w:lang w:val="en-US"/>
        </w:rPr>
        <w:tab/>
        <w:t xml:space="preserve"> key words and classification of key words by service type</w:t>
      </w: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rate of complaints received</w:t>
      </w:r>
    </w:p>
    <w:p w:rsidR="001726F0" w:rsidRPr="00414465" w:rsidRDefault="001726F0" w:rsidP="001726F0">
      <w:pPr>
        <w:tabs>
          <w:tab w:val="left" w:pos="426"/>
          <w:tab w:val="left" w:pos="851"/>
          <w:tab w:val="decimal" w:pos="4320"/>
        </w:tabs>
        <w:ind w:left="425"/>
        <w:outlineLvl w:val="0"/>
        <w:rPr>
          <w:rFonts w:ascii="Calibri" w:hAnsi="Calibri" w:cs="Calibri"/>
          <w:sz w:val="22"/>
          <w:szCs w:val="22"/>
        </w:rPr>
      </w:pP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(b)</w:t>
      </w:r>
      <w:r w:rsidRPr="00414465">
        <w:rPr>
          <w:rFonts w:ascii="Calibri" w:hAnsi="Calibri" w:cs="Calibri"/>
          <w:sz w:val="22"/>
          <w:szCs w:val="22"/>
          <w:lang w:val="en-US"/>
        </w:rPr>
        <w:tab/>
        <w:t>Comparison over time (trend data):</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b/>
        <w:t xml:space="preserve">— number and rate of complaints received over </w:t>
      </w:r>
      <w:r>
        <w:rPr>
          <w:rFonts w:ascii="Calibri" w:hAnsi="Calibri" w:cs="Calibri"/>
          <w:sz w:val="22"/>
          <w:szCs w:val="22"/>
          <w:lang w:val="en-US"/>
        </w:rPr>
        <w:t>current and previous six-month</w:t>
      </w:r>
      <w:r w:rsidRPr="00414465">
        <w:rPr>
          <w:rFonts w:ascii="Calibri" w:hAnsi="Calibri" w:cs="Calibri"/>
          <w:sz w:val="22"/>
          <w:szCs w:val="22"/>
          <w:lang w:val="en-US"/>
        </w:rPr>
        <w:t xml:space="preserve"> periods </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p>
    <w:p w:rsidR="001726F0" w:rsidRPr="00414465" w:rsidRDefault="001726F0" w:rsidP="001726F0">
      <w:pPr>
        <w:tabs>
          <w:tab w:val="left" w:pos="426"/>
          <w:tab w:val="decimal" w:pos="4320"/>
        </w:tabs>
        <w:outlineLvl w:val="0"/>
        <w:rPr>
          <w:rFonts w:ascii="Calibri" w:hAnsi="Calibri" w:cs="Calibri"/>
          <w:sz w:val="22"/>
          <w:szCs w:val="22"/>
          <w:lang w:val="en-US"/>
        </w:rPr>
      </w:pPr>
      <w:r w:rsidRPr="00414465">
        <w:rPr>
          <w:rFonts w:ascii="Calibri" w:hAnsi="Calibri" w:cs="Calibri"/>
          <w:sz w:val="22"/>
          <w:szCs w:val="22"/>
          <w:lang w:val="en-US"/>
        </w:rPr>
        <w:t>2.</w:t>
      </w:r>
      <w:r w:rsidRPr="00414465">
        <w:rPr>
          <w:rFonts w:ascii="Calibri" w:hAnsi="Calibri" w:cs="Calibri"/>
          <w:sz w:val="22"/>
          <w:szCs w:val="22"/>
          <w:lang w:val="en-US"/>
        </w:rPr>
        <w:tab/>
        <w:t xml:space="preserve">Data on complaints closed: </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r w:rsidRPr="00414465">
        <w:rPr>
          <w:rFonts w:ascii="Calibri" w:hAnsi="Calibri" w:cs="Calibri"/>
          <w:sz w:val="22"/>
          <w:szCs w:val="22"/>
          <w:lang w:val="en-US"/>
        </w:rPr>
        <w:tab/>
        <w:t>(a)</w:t>
      </w:r>
      <w:r w:rsidRPr="00414465">
        <w:rPr>
          <w:rFonts w:ascii="Calibri" w:hAnsi="Calibri" w:cs="Calibri"/>
          <w:sz w:val="22"/>
          <w:szCs w:val="22"/>
          <w:lang w:val="en-US"/>
        </w:rPr>
        <w:tab/>
        <w:t>Current period:</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how many</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outcomes — how the matter was resolved</w:t>
      </w:r>
    </w:p>
    <w:p w:rsidR="001726F0" w:rsidRPr="00414465" w:rsidRDefault="001726F0" w:rsidP="001726F0">
      <w:pPr>
        <w:tabs>
          <w:tab w:val="left" w:pos="426"/>
          <w:tab w:val="left" w:pos="1440"/>
          <w:tab w:val="decimal" w:pos="4320"/>
        </w:tabs>
        <w:outlineLvl w:val="0"/>
        <w:rPr>
          <w:rFonts w:ascii="Calibri" w:hAnsi="Calibri" w:cs="Calibri"/>
          <w:sz w:val="22"/>
          <w:szCs w:val="22"/>
          <w:lang w:val="en-US"/>
        </w:rPr>
      </w:pPr>
      <w:r w:rsidRPr="00414465">
        <w:rPr>
          <w:rFonts w:ascii="Calibri" w:hAnsi="Calibri" w:cs="Calibri"/>
          <w:sz w:val="22"/>
          <w:szCs w:val="22"/>
          <w:lang w:val="en-US"/>
        </w:rPr>
        <w:tab/>
      </w:r>
    </w:p>
    <w:p w:rsidR="001726F0" w:rsidRPr="00414465" w:rsidRDefault="001726F0" w:rsidP="001726F0">
      <w:pPr>
        <w:tabs>
          <w:tab w:val="left" w:pos="426"/>
          <w:tab w:val="left" w:pos="851"/>
          <w:tab w:val="decimal" w:pos="4320"/>
        </w:tabs>
        <w:ind w:left="425"/>
        <w:outlineLvl w:val="0"/>
        <w:rPr>
          <w:rFonts w:ascii="Calibri" w:hAnsi="Calibri" w:cs="Calibri"/>
          <w:sz w:val="22"/>
          <w:szCs w:val="22"/>
          <w:lang w:val="en-US"/>
        </w:rPr>
      </w:pPr>
      <w:r w:rsidRPr="00414465">
        <w:rPr>
          <w:rFonts w:ascii="Calibri" w:hAnsi="Calibri" w:cs="Calibri"/>
          <w:sz w:val="22"/>
          <w:szCs w:val="22"/>
          <w:lang w:val="en-US"/>
        </w:rPr>
        <w:tab/>
        <w:t>(b)</w:t>
      </w:r>
      <w:r w:rsidRPr="00414465">
        <w:rPr>
          <w:rFonts w:ascii="Calibri" w:hAnsi="Calibri" w:cs="Calibri"/>
          <w:sz w:val="22"/>
          <w:szCs w:val="22"/>
          <w:lang w:val="en-US"/>
        </w:rPr>
        <w:tab/>
        <w:t>Comparison over time (trend data):</w:t>
      </w:r>
    </w:p>
    <w:p w:rsidR="001726F0" w:rsidRPr="00414465" w:rsidRDefault="001726F0" w:rsidP="001726F0">
      <w:pPr>
        <w:tabs>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b/>
        <w:t xml:space="preserve">— rate of complaints investigated over </w:t>
      </w:r>
      <w:r>
        <w:rPr>
          <w:rFonts w:ascii="Calibri" w:hAnsi="Calibri" w:cs="Calibri"/>
          <w:sz w:val="22"/>
          <w:szCs w:val="22"/>
          <w:lang w:val="en-US"/>
        </w:rPr>
        <w:t>current and previous six-month</w:t>
      </w:r>
      <w:r w:rsidRPr="00414465">
        <w:rPr>
          <w:rFonts w:ascii="Calibri" w:hAnsi="Calibri" w:cs="Calibri"/>
          <w:sz w:val="22"/>
          <w:szCs w:val="22"/>
          <w:lang w:val="en-US"/>
        </w:rPr>
        <w:t xml:space="preserve"> periods </w:t>
      </w:r>
    </w:p>
    <w:p w:rsidR="001726F0" w:rsidRPr="00414465" w:rsidRDefault="001726F0" w:rsidP="001726F0">
      <w:pPr>
        <w:tabs>
          <w:tab w:val="left" w:pos="426"/>
          <w:tab w:val="left" w:pos="851"/>
          <w:tab w:val="decimal" w:pos="4320"/>
        </w:tabs>
        <w:ind w:left="426"/>
        <w:outlineLvl w:val="0"/>
        <w:rPr>
          <w:rFonts w:ascii="Calibri" w:hAnsi="Calibri" w:cs="Calibri"/>
          <w:sz w:val="22"/>
          <w:szCs w:val="22"/>
          <w:lang w:val="en-US"/>
        </w:rPr>
      </w:pPr>
      <w:r w:rsidRPr="00414465">
        <w:rPr>
          <w:rFonts w:ascii="Calibri" w:hAnsi="Calibri" w:cs="Calibri"/>
          <w:sz w:val="22"/>
          <w:szCs w:val="22"/>
          <w:lang w:val="en-US"/>
        </w:rPr>
        <w:tab/>
      </w:r>
    </w:p>
    <w:p w:rsidR="001726F0" w:rsidRPr="00414465" w:rsidRDefault="001726F0" w:rsidP="001726F0">
      <w:pPr>
        <w:tabs>
          <w:tab w:val="left" w:pos="426"/>
          <w:tab w:val="left" w:pos="1440"/>
          <w:tab w:val="decimal" w:pos="4320"/>
        </w:tabs>
        <w:outlineLvl w:val="0"/>
        <w:rPr>
          <w:rFonts w:ascii="Calibri" w:hAnsi="Calibri" w:cs="Calibri"/>
          <w:sz w:val="22"/>
          <w:szCs w:val="22"/>
          <w:lang w:val="en-US"/>
        </w:rPr>
      </w:pPr>
      <w:r w:rsidRPr="00414465">
        <w:rPr>
          <w:rFonts w:ascii="Calibri" w:hAnsi="Calibri" w:cs="Calibri"/>
          <w:sz w:val="22"/>
          <w:szCs w:val="22"/>
          <w:lang w:val="en-US"/>
        </w:rPr>
        <w:t>3.</w:t>
      </w:r>
      <w:r w:rsidRPr="00414465">
        <w:rPr>
          <w:rFonts w:ascii="Calibri" w:hAnsi="Calibri" w:cs="Calibri"/>
          <w:sz w:val="22"/>
          <w:szCs w:val="22"/>
          <w:lang w:val="en-US"/>
        </w:rPr>
        <w:tab/>
        <w:t>Ranking</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by rate of all complaints</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r w:rsidRPr="00414465">
        <w:rPr>
          <w:rFonts w:ascii="Calibri" w:hAnsi="Calibri" w:cs="Calibri"/>
          <w:sz w:val="22"/>
          <w:szCs w:val="22"/>
          <w:lang w:val="en-US"/>
        </w:rPr>
        <w:tab/>
      </w:r>
      <w:r w:rsidRPr="00414465">
        <w:rPr>
          <w:rFonts w:ascii="Calibri" w:hAnsi="Calibri" w:cs="Calibri"/>
          <w:sz w:val="22"/>
          <w:szCs w:val="22"/>
          <w:lang w:val="en-US"/>
        </w:rPr>
        <w:tab/>
        <w:t>— by rate of complaints investigated</w:t>
      </w:r>
    </w:p>
    <w:p w:rsidR="001726F0" w:rsidRPr="00414465" w:rsidRDefault="001726F0" w:rsidP="001726F0">
      <w:pPr>
        <w:tabs>
          <w:tab w:val="left" w:pos="426"/>
          <w:tab w:val="left" w:pos="851"/>
          <w:tab w:val="decimal" w:pos="4320"/>
        </w:tabs>
        <w:outlineLvl w:val="0"/>
        <w:rPr>
          <w:rFonts w:ascii="Calibri" w:hAnsi="Calibri" w:cs="Calibri"/>
          <w:sz w:val="22"/>
          <w:szCs w:val="22"/>
          <w:lang w:val="en-US"/>
        </w:rPr>
      </w:pPr>
    </w:p>
    <w:p w:rsidR="001726F0" w:rsidRDefault="001726F0" w:rsidP="001726F0">
      <w:pPr>
        <w:tabs>
          <w:tab w:val="left" w:pos="426"/>
          <w:tab w:val="left" w:pos="1440"/>
          <w:tab w:val="decimal" w:pos="4320"/>
        </w:tabs>
        <w:outlineLvl w:val="0"/>
        <w:rPr>
          <w:rFonts w:asciiTheme="minorHAnsi" w:hAnsiTheme="minorHAnsi" w:cstheme="minorHAnsi"/>
          <w:b/>
          <w:sz w:val="22"/>
          <w:szCs w:val="22"/>
        </w:rPr>
      </w:pPr>
    </w:p>
    <w:p w:rsidR="001726F0" w:rsidRPr="00414465" w:rsidRDefault="001726F0" w:rsidP="001726F0">
      <w:pPr>
        <w:tabs>
          <w:tab w:val="left" w:pos="426"/>
          <w:tab w:val="left" w:pos="1440"/>
          <w:tab w:val="decimal" w:pos="4320"/>
        </w:tabs>
        <w:outlineLvl w:val="0"/>
        <w:rPr>
          <w:rFonts w:asciiTheme="minorHAnsi" w:hAnsiTheme="minorHAnsi" w:cstheme="minorHAnsi"/>
          <w:b/>
          <w:sz w:val="22"/>
          <w:szCs w:val="22"/>
        </w:rPr>
      </w:pPr>
      <w:r w:rsidRPr="00414465">
        <w:rPr>
          <w:rFonts w:asciiTheme="minorHAnsi" w:hAnsiTheme="minorHAnsi" w:cstheme="minorHAnsi"/>
          <w:b/>
          <w:sz w:val="22"/>
          <w:szCs w:val="22"/>
        </w:rPr>
        <w:t>New material</w:t>
      </w:r>
    </w:p>
    <w:p w:rsidR="001726F0" w:rsidRPr="00414465" w:rsidRDefault="001726F0" w:rsidP="001726F0">
      <w:pPr>
        <w:tabs>
          <w:tab w:val="left" w:pos="426"/>
          <w:tab w:val="left" w:pos="1440"/>
          <w:tab w:val="decimal" w:pos="4320"/>
        </w:tabs>
        <w:outlineLvl w:val="0"/>
        <w:rPr>
          <w:rFonts w:asciiTheme="minorHAnsi" w:hAnsiTheme="minorHAnsi" w:cstheme="minorHAnsi"/>
          <w:sz w:val="22"/>
          <w:szCs w:val="22"/>
        </w:rPr>
      </w:pPr>
      <w:r w:rsidRPr="00414465">
        <w:rPr>
          <w:rFonts w:asciiTheme="minorHAnsi" w:hAnsiTheme="minorHAnsi" w:cstheme="minorHAnsi"/>
          <w:sz w:val="22"/>
          <w:szCs w:val="22"/>
        </w:rPr>
        <w:t xml:space="preserve">For most tables, a column for percentage has also been added next to the number of complaints. Comparison tables for primary issue and key words (for national data and </w:t>
      </w:r>
      <w:r>
        <w:rPr>
          <w:rFonts w:asciiTheme="minorHAnsi" w:hAnsiTheme="minorHAnsi" w:cstheme="minorHAnsi"/>
          <w:sz w:val="22"/>
          <w:szCs w:val="22"/>
        </w:rPr>
        <w:t xml:space="preserve">some </w:t>
      </w:r>
      <w:r w:rsidRPr="00414465">
        <w:rPr>
          <w:rFonts w:asciiTheme="minorHAnsi" w:hAnsiTheme="minorHAnsi" w:cstheme="minorHAnsi"/>
          <w:sz w:val="22"/>
          <w:szCs w:val="22"/>
        </w:rPr>
        <w:t>individual DHBs) now show top five issues or key words for each reported period.</w:t>
      </w:r>
    </w:p>
    <w:p w:rsidR="001726F0" w:rsidRPr="00414465" w:rsidRDefault="001726F0" w:rsidP="001726F0">
      <w:pPr>
        <w:tabs>
          <w:tab w:val="left" w:pos="426"/>
          <w:tab w:val="left" w:pos="1440"/>
          <w:tab w:val="decimal" w:pos="4320"/>
        </w:tabs>
        <w:outlineLvl w:val="0"/>
        <w:rPr>
          <w:sz w:val="22"/>
          <w:szCs w:val="22"/>
          <w:highlight w:val="yellow"/>
        </w:rPr>
      </w:pPr>
    </w:p>
    <w:p w:rsidR="001726F0" w:rsidRPr="00414465" w:rsidRDefault="001726F0" w:rsidP="001726F0">
      <w:pPr>
        <w:pStyle w:val="Heading3"/>
        <w:spacing w:before="0"/>
        <w:rPr>
          <w:rFonts w:ascii="Calibri" w:hAnsi="Calibri" w:cs="Calibri"/>
          <w:b/>
          <w:i w:val="0"/>
          <w:szCs w:val="22"/>
          <w:lang w:val="en-US"/>
        </w:rPr>
      </w:pPr>
      <w:r w:rsidRPr="00414465">
        <w:rPr>
          <w:rFonts w:ascii="Calibri" w:hAnsi="Calibri" w:cs="Calibri"/>
          <w:b/>
          <w:i w:val="0"/>
          <w:szCs w:val="22"/>
          <w:lang w:val="en-US"/>
        </w:rPr>
        <w:t xml:space="preserve">Please note: Discharge (denominator) data </w:t>
      </w:r>
    </w:p>
    <w:p w:rsidR="001726F0" w:rsidRPr="00414465" w:rsidRDefault="001726F0" w:rsidP="001726F0">
      <w:pPr>
        <w:tabs>
          <w:tab w:val="left" w:pos="1440"/>
          <w:tab w:val="left" w:pos="2610"/>
        </w:tabs>
        <w:spacing w:after="240"/>
        <w:outlineLvl w:val="0"/>
        <w:rPr>
          <w:rFonts w:ascii="Calibri" w:hAnsi="Calibri" w:cs="Calibri"/>
          <w:sz w:val="22"/>
          <w:szCs w:val="22"/>
          <w:lang w:val="en-US"/>
        </w:rPr>
      </w:pPr>
      <w:r w:rsidRPr="00414465">
        <w:rPr>
          <w:rFonts w:ascii="Calibri" w:hAnsi="Calibri" w:cs="Calibri"/>
          <w:sz w:val="22"/>
          <w:szCs w:val="22"/>
          <w:lang w:val="en-US"/>
        </w:rPr>
        <w:t xml:space="preserve">Data for this report is provided by </w:t>
      </w:r>
      <w:r w:rsidRPr="00414465">
        <w:rPr>
          <w:rFonts w:ascii="Calibri" w:hAnsi="Calibri"/>
          <w:sz w:val="22"/>
          <w:szCs w:val="22"/>
        </w:rPr>
        <w:t xml:space="preserve">the Ministry of Health (MOH) and is </w:t>
      </w:r>
      <w:r w:rsidRPr="00414465">
        <w:rPr>
          <w:rFonts w:ascii="Calibri" w:hAnsi="Calibri" w:cs="Calibri"/>
          <w:sz w:val="22"/>
          <w:szCs w:val="22"/>
          <w:lang w:val="en-US"/>
        </w:rPr>
        <w:t xml:space="preserve">provisional as at the date of extraction, </w:t>
      </w:r>
      <w:r w:rsidRPr="00414465">
        <w:rPr>
          <w:rFonts w:ascii="Calibri" w:hAnsi="Calibri" w:cs="Calibri"/>
          <w:b/>
          <w:sz w:val="22"/>
          <w:szCs w:val="22"/>
          <w:lang w:val="en-US"/>
        </w:rPr>
        <w:t>18 February 2013</w:t>
      </w:r>
      <w:r w:rsidRPr="00414465">
        <w:rPr>
          <w:rFonts w:ascii="Calibri" w:hAnsi="Calibri" w:cs="Calibri"/>
          <w:sz w:val="22"/>
          <w:szCs w:val="22"/>
          <w:lang w:val="en-US"/>
        </w:rPr>
        <w:t xml:space="preserve">. It </w:t>
      </w:r>
      <w:r w:rsidRPr="00414465">
        <w:rPr>
          <w:rFonts w:ascii="Calibri" w:hAnsi="Calibri"/>
          <w:sz w:val="22"/>
          <w:szCs w:val="22"/>
        </w:rPr>
        <w:t xml:space="preserve">excludes short stay discharges from emergency departments and patients attending </w:t>
      </w:r>
      <w:r w:rsidRPr="00414465">
        <w:rPr>
          <w:rFonts w:ascii="Calibri" w:hAnsi="Calibri" w:cs="Calibri"/>
          <w:sz w:val="22"/>
          <w:szCs w:val="22"/>
          <w:lang w:val="en-US"/>
        </w:rPr>
        <w:t>outpatient</w:t>
      </w:r>
      <w:r w:rsidRPr="00414465">
        <w:rPr>
          <w:rFonts w:ascii="Calibri" w:hAnsi="Calibri"/>
          <w:sz w:val="22"/>
          <w:szCs w:val="22"/>
        </w:rPr>
        <w:t xml:space="preserve"> units and clinics.</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cs="Calibri"/>
          <w:sz w:val="22"/>
          <w:szCs w:val="22"/>
          <w:lang w:val="en-US"/>
        </w:rPr>
        <w:t xml:space="preserve">MOH discharge data is updated as figures come to hand from DHBs. </w:t>
      </w:r>
      <w:r w:rsidRPr="00414465">
        <w:rPr>
          <w:rFonts w:ascii="Calibri" w:hAnsi="Calibri"/>
          <w:sz w:val="22"/>
          <w:szCs w:val="22"/>
        </w:rPr>
        <w:t>D</w:t>
      </w:r>
      <w:proofErr w:type="spellStart"/>
      <w:r w:rsidRPr="00414465">
        <w:rPr>
          <w:rFonts w:ascii="Calibri" w:hAnsi="Calibri" w:cs="Calibri"/>
          <w:sz w:val="22"/>
          <w:szCs w:val="22"/>
          <w:lang w:val="en-US"/>
        </w:rPr>
        <w:t>ifferences</w:t>
      </w:r>
      <w:proofErr w:type="spellEnd"/>
      <w:r w:rsidRPr="00414465">
        <w:rPr>
          <w:rFonts w:ascii="Calibri" w:hAnsi="Calibri" w:cs="Calibri"/>
          <w:sz w:val="22"/>
          <w:szCs w:val="22"/>
          <w:lang w:val="en-US"/>
        </w:rPr>
        <w:t xml:space="preserve"> in data extracted at two dates six months apart can be considerable and are more apparent in larger DHBs. R</w:t>
      </w:r>
      <w:proofErr w:type="spellStart"/>
      <w:r w:rsidRPr="00414465">
        <w:rPr>
          <w:rFonts w:ascii="Calibri" w:hAnsi="Calibri"/>
          <w:sz w:val="22"/>
          <w:szCs w:val="22"/>
        </w:rPr>
        <w:t>ates</w:t>
      </w:r>
      <w:proofErr w:type="spellEnd"/>
      <w:r w:rsidRPr="00414465">
        <w:rPr>
          <w:rFonts w:ascii="Calibri" w:hAnsi="Calibri"/>
          <w:sz w:val="22"/>
          <w:szCs w:val="22"/>
        </w:rPr>
        <w:t xml:space="preserve"> for the immediate previous period have been recalculated according to the most recent data, and consequently frequency data for the previous period (Jan – Jun 2012) presented here may differ from that provided in the last report.</w:t>
      </w:r>
    </w:p>
    <w:p w:rsidR="001726F0" w:rsidRPr="00414465" w:rsidRDefault="001726F0" w:rsidP="001726F0">
      <w:pPr>
        <w:pStyle w:val="Heading3"/>
        <w:spacing w:before="0"/>
        <w:rPr>
          <w:rFonts w:ascii="Calibri" w:hAnsi="Calibri" w:cs="Calibri"/>
          <w:b/>
          <w:i w:val="0"/>
          <w:szCs w:val="22"/>
        </w:rPr>
      </w:pPr>
      <w:r w:rsidRPr="00414465">
        <w:rPr>
          <w:b/>
          <w:i w:val="0"/>
        </w:rPr>
        <w:lastRenderedPageBreak/>
        <w:t xml:space="preserve">Classification </w:t>
      </w:r>
      <w:r w:rsidRPr="00414465">
        <w:rPr>
          <w:rFonts w:ascii="Calibri" w:hAnsi="Calibri" w:cs="Calibri"/>
          <w:b/>
          <w:i w:val="0"/>
          <w:szCs w:val="22"/>
          <w:lang w:val="en-US"/>
        </w:rPr>
        <w:t>of key words by service type</w:t>
      </w:r>
    </w:p>
    <w:p w:rsidR="001726F0" w:rsidRPr="00414465" w:rsidRDefault="001726F0" w:rsidP="001726F0">
      <w:pPr>
        <w:tabs>
          <w:tab w:val="left" w:pos="1440"/>
          <w:tab w:val="left" w:pos="2610"/>
        </w:tabs>
        <w:spacing w:after="240"/>
        <w:outlineLvl w:val="0"/>
        <w:rPr>
          <w:rFonts w:ascii="Calibri" w:hAnsi="Calibri" w:cs="Calibri"/>
          <w:i/>
          <w:sz w:val="22"/>
          <w:szCs w:val="22"/>
        </w:rPr>
      </w:pPr>
      <w:r w:rsidRPr="00414465">
        <w:rPr>
          <w:rFonts w:ascii="Calibri" w:hAnsi="Calibri" w:cs="Calibri"/>
          <w:sz w:val="22"/>
          <w:szCs w:val="22"/>
        </w:rPr>
        <w:t xml:space="preserve">Feedback received in response to previous reports suggested that if the service associated with patient concerns were identified, those concerns could be more directly addressed through targeted service improvement. In this, and the previous report, this data was included for individual DHBs. Where any specific services are the subject of a complaint, the report shows correlations between those services and the </w:t>
      </w:r>
      <w:r w:rsidRPr="00414465">
        <w:rPr>
          <w:rFonts w:ascii="Calibri" w:hAnsi="Calibri" w:cs="Calibri"/>
          <w:sz w:val="22"/>
          <w:szCs w:val="22"/>
          <w:lang w:val="en-US"/>
        </w:rPr>
        <w:t>substance</w:t>
      </w:r>
      <w:r w:rsidRPr="00414465">
        <w:rPr>
          <w:rFonts w:ascii="Calibri" w:hAnsi="Calibri" w:cs="Calibri"/>
          <w:sz w:val="22"/>
          <w:szCs w:val="22"/>
        </w:rPr>
        <w:t xml:space="preserve"> of the complaints (key words) received about the care provided by those services.</w:t>
      </w:r>
    </w:p>
    <w:p w:rsidR="001726F0" w:rsidRPr="00414465" w:rsidRDefault="001726F0" w:rsidP="001726F0">
      <w:pPr>
        <w:tabs>
          <w:tab w:val="left" w:pos="1440"/>
          <w:tab w:val="left" w:pos="2610"/>
        </w:tabs>
        <w:spacing w:after="240"/>
        <w:outlineLvl w:val="0"/>
        <w:rPr>
          <w:rFonts w:asciiTheme="minorHAnsi" w:hAnsiTheme="minorHAnsi"/>
          <w:sz w:val="22"/>
          <w:szCs w:val="22"/>
        </w:rPr>
      </w:pPr>
      <w:r w:rsidRPr="00414465">
        <w:rPr>
          <w:rFonts w:asciiTheme="minorHAnsi" w:hAnsiTheme="minorHAnsi"/>
          <w:sz w:val="22"/>
          <w:szCs w:val="22"/>
        </w:rPr>
        <w:t>The evaluation for the</w:t>
      </w:r>
      <w:r>
        <w:rPr>
          <w:rFonts w:asciiTheme="minorHAnsi" w:hAnsiTheme="minorHAnsi"/>
          <w:sz w:val="22"/>
          <w:szCs w:val="22"/>
        </w:rPr>
        <w:t xml:space="preserve"> </w:t>
      </w:r>
      <w:r w:rsidRPr="00414465">
        <w:rPr>
          <w:rFonts w:asciiTheme="minorHAnsi" w:hAnsiTheme="minorHAnsi"/>
          <w:sz w:val="22"/>
          <w:szCs w:val="22"/>
        </w:rPr>
        <w:t xml:space="preserve">previous period specifically asked for feedback on this additional data. </w:t>
      </w:r>
      <w:r>
        <w:rPr>
          <w:rFonts w:asciiTheme="minorHAnsi" w:hAnsiTheme="minorHAnsi"/>
          <w:sz w:val="22"/>
          <w:szCs w:val="22"/>
        </w:rPr>
        <w:t>Nineteen</w:t>
      </w:r>
      <w:r w:rsidRPr="00414465">
        <w:rPr>
          <w:rFonts w:asciiTheme="minorHAnsi" w:hAnsiTheme="minorHAnsi"/>
          <w:sz w:val="22"/>
          <w:szCs w:val="22"/>
        </w:rPr>
        <w:t xml:space="preserve"> out of </w:t>
      </w:r>
      <w:r>
        <w:rPr>
          <w:rFonts w:asciiTheme="minorHAnsi" w:hAnsiTheme="minorHAnsi"/>
          <w:sz w:val="22"/>
          <w:szCs w:val="22"/>
        </w:rPr>
        <w:t>twenty</w:t>
      </w:r>
      <w:r w:rsidRPr="00414465">
        <w:rPr>
          <w:rFonts w:asciiTheme="minorHAnsi" w:hAnsiTheme="minorHAnsi"/>
          <w:sz w:val="22"/>
          <w:szCs w:val="22"/>
        </w:rPr>
        <w:t xml:space="preserve"> DHBs responded that they wish to continue to receive this data and hence it will be included in all reports from now on.</w:t>
      </w:r>
    </w:p>
    <w:p w:rsidR="001726F0" w:rsidRPr="00414465" w:rsidRDefault="001726F0" w:rsidP="001726F0">
      <w:pPr>
        <w:pStyle w:val="Heading3"/>
        <w:spacing w:before="0"/>
        <w:rPr>
          <w:rFonts w:ascii="Calibri" w:hAnsi="Calibri" w:cs="Calibri"/>
          <w:b/>
          <w:i w:val="0"/>
          <w:szCs w:val="22"/>
          <w:lang w:val="en-US"/>
        </w:rPr>
      </w:pPr>
      <w:r w:rsidRPr="00414465">
        <w:rPr>
          <w:rFonts w:ascii="Calibri" w:hAnsi="Calibri" w:cs="Calibri"/>
          <w:b/>
          <w:i w:val="0"/>
          <w:szCs w:val="22"/>
          <w:lang w:val="en-US"/>
        </w:rPr>
        <w:t xml:space="preserve">Other comment (as noted in previous reports) </w:t>
      </w:r>
    </w:p>
    <w:p w:rsidR="001726F0" w:rsidRPr="00414465" w:rsidRDefault="001726F0" w:rsidP="001726F0">
      <w:pPr>
        <w:tabs>
          <w:tab w:val="left" w:pos="1440"/>
          <w:tab w:val="decimal" w:pos="4320"/>
        </w:tabs>
        <w:outlineLvl w:val="0"/>
        <w:rPr>
          <w:rFonts w:asciiTheme="minorHAnsi" w:hAnsiTheme="minorHAnsi" w:cstheme="minorHAnsi"/>
          <w:i/>
          <w:sz w:val="22"/>
          <w:szCs w:val="22"/>
          <w:lang w:val="en-US"/>
        </w:rPr>
      </w:pPr>
      <w:r w:rsidRPr="00414465">
        <w:rPr>
          <w:rFonts w:asciiTheme="minorHAnsi" w:hAnsiTheme="minorHAnsi" w:cstheme="minorHAnsi"/>
          <w:i/>
          <w:sz w:val="22"/>
          <w:szCs w:val="22"/>
          <w:lang w:val="en-US"/>
        </w:rPr>
        <w:t>(</w:t>
      </w:r>
      <w:proofErr w:type="spellStart"/>
      <w:r w:rsidRPr="00414465">
        <w:rPr>
          <w:rFonts w:asciiTheme="minorHAnsi" w:hAnsiTheme="minorHAnsi" w:cstheme="minorHAnsi"/>
          <w:i/>
          <w:sz w:val="22"/>
          <w:szCs w:val="22"/>
          <w:lang w:val="en-US"/>
        </w:rPr>
        <w:t>i</w:t>
      </w:r>
      <w:proofErr w:type="spellEnd"/>
      <w:r w:rsidRPr="00414465">
        <w:rPr>
          <w:rFonts w:asciiTheme="minorHAnsi" w:hAnsiTheme="minorHAnsi" w:cstheme="minorHAnsi"/>
          <w:i/>
          <w:sz w:val="22"/>
          <w:szCs w:val="22"/>
          <w:lang w:val="en-US"/>
        </w:rPr>
        <w:t>) Timeliness</w:t>
      </w:r>
    </w:p>
    <w:p w:rsidR="001726F0" w:rsidRPr="00414465" w:rsidRDefault="001726F0" w:rsidP="001726F0">
      <w:pPr>
        <w:tabs>
          <w:tab w:val="left" w:pos="1440"/>
          <w:tab w:val="left" w:pos="2610"/>
        </w:tabs>
        <w:spacing w:after="240"/>
        <w:outlineLvl w:val="0"/>
        <w:rPr>
          <w:rFonts w:asciiTheme="minorHAnsi" w:hAnsiTheme="minorHAnsi" w:cstheme="minorHAnsi"/>
          <w:sz w:val="22"/>
          <w:szCs w:val="22"/>
          <w:lang w:val="en-US"/>
        </w:rPr>
      </w:pPr>
      <w:r w:rsidRPr="00414465">
        <w:rPr>
          <w:rFonts w:asciiTheme="minorHAnsi" w:hAnsiTheme="minorHAnsi" w:cstheme="minorHAnsi"/>
          <w:sz w:val="22"/>
          <w:szCs w:val="22"/>
          <w:lang w:val="en-US"/>
        </w:rPr>
        <w:t xml:space="preserve">Respondents have suggested that having the reports available in a timelier manner may assist in the relevance and currency of the information. However, denominator data is obtained from the Ministry of Health and is </w:t>
      </w:r>
      <w:r w:rsidRPr="00414465">
        <w:rPr>
          <w:rFonts w:ascii="Calibri" w:hAnsi="Calibri" w:cs="Calibri"/>
          <w:sz w:val="22"/>
          <w:szCs w:val="22"/>
          <w:lang w:val="en-US"/>
        </w:rPr>
        <w:t>not</w:t>
      </w:r>
      <w:r w:rsidRPr="00414465">
        <w:rPr>
          <w:rFonts w:asciiTheme="minorHAnsi" w:hAnsiTheme="minorHAnsi" w:cstheme="minorHAnsi"/>
          <w:sz w:val="22"/>
          <w:szCs w:val="22"/>
          <w:lang w:val="en-US"/>
        </w:rPr>
        <w:t xml:space="preserve"> available before the end of the month following that in which DHBs provide it to the Ministry. The drafting, checking and the review of 20 reports is time consuming. We accept that the delay in their dissemination reduces their currency.</w:t>
      </w:r>
    </w:p>
    <w:p w:rsidR="001726F0" w:rsidRPr="00414465" w:rsidRDefault="001726F0" w:rsidP="001726F0">
      <w:pPr>
        <w:tabs>
          <w:tab w:val="left" w:pos="1440"/>
          <w:tab w:val="decimal" w:pos="4320"/>
        </w:tabs>
        <w:outlineLvl w:val="0"/>
        <w:rPr>
          <w:rFonts w:asciiTheme="minorHAnsi" w:hAnsiTheme="minorHAnsi" w:cstheme="minorHAnsi"/>
          <w:i/>
          <w:sz w:val="22"/>
          <w:szCs w:val="22"/>
          <w:lang w:val="en-US"/>
        </w:rPr>
      </w:pPr>
      <w:r w:rsidRPr="00414465">
        <w:rPr>
          <w:rFonts w:asciiTheme="minorHAnsi" w:hAnsiTheme="minorHAnsi" w:cstheme="minorHAnsi"/>
          <w:i/>
          <w:sz w:val="22"/>
          <w:szCs w:val="22"/>
          <w:lang w:val="en-US"/>
        </w:rPr>
        <w:t xml:space="preserve">(ii) Ranking </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Theme="minorHAnsi" w:hAnsiTheme="minorHAnsi" w:cstheme="minorHAnsi"/>
          <w:sz w:val="22"/>
          <w:szCs w:val="22"/>
          <w:lang w:val="en-US"/>
        </w:rPr>
        <w:t xml:space="preserve">The ranking system is based on rates of complaints; these rates are calculated using discharge numbers. To the extent that discharge numbers are a measure of DHB activity, this parameter appears to be a reasonable one to use for calculating rates and making comparisons across and within DHBs. It is accepted that discharge numbers are a limited indicator of DHB activity; that complexity is another factor, as are the numbers of patients that are not included in discharge data. Discharge data does not include </w:t>
      </w:r>
      <w:r w:rsidRPr="00414465">
        <w:rPr>
          <w:rFonts w:ascii="Calibri" w:hAnsi="Calibri"/>
          <w:sz w:val="22"/>
          <w:szCs w:val="22"/>
        </w:rPr>
        <w:t>short stay discharges from emergency departments and patients attending outpatient units and clinics, and yet these departments still generate complaints. Thus for DHBs where there are busy emergency departments and/or large numbers of patients attending clinics, the resulting rate of complaints may become inflated. Conversations with DHB staff have indicated that although the data has limitations, it is helpful.</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sz w:val="22"/>
          <w:szCs w:val="22"/>
        </w:rPr>
        <w:t xml:space="preserve">We would appreciate </w:t>
      </w:r>
      <w:r w:rsidRPr="00414465">
        <w:rPr>
          <w:rFonts w:ascii="Calibri" w:hAnsi="Calibri" w:cs="Calibri"/>
          <w:sz w:val="22"/>
          <w:szCs w:val="22"/>
          <w:lang w:val="en-US"/>
        </w:rPr>
        <w:t>further</w:t>
      </w:r>
      <w:r w:rsidRPr="00414465">
        <w:rPr>
          <w:rFonts w:ascii="Calibri" w:hAnsi="Calibri"/>
          <w:sz w:val="22"/>
          <w:szCs w:val="22"/>
        </w:rPr>
        <w:t xml:space="preserve"> feedback on any other simple methods of representing this data.</w:t>
      </w:r>
    </w:p>
    <w:p w:rsidR="001726F0" w:rsidRPr="00414465" w:rsidRDefault="001726F0" w:rsidP="001726F0">
      <w:pPr>
        <w:rPr>
          <w:rFonts w:asciiTheme="minorHAnsi" w:hAnsiTheme="minorHAnsi"/>
          <w:b/>
          <w:bCs/>
          <w:sz w:val="32"/>
          <w:lang w:val="en-AU" w:bidi="ar-SA"/>
        </w:rPr>
      </w:pPr>
      <w:r w:rsidRPr="00414465">
        <w:br w:type="page"/>
      </w:r>
    </w:p>
    <w:p w:rsidR="001726F0" w:rsidRPr="00414465" w:rsidRDefault="001726F0" w:rsidP="001726F0">
      <w:pPr>
        <w:pStyle w:val="Heading1"/>
      </w:pPr>
      <w:r w:rsidRPr="00414465">
        <w:lastRenderedPageBreak/>
        <w:t>National Data for all District Health Boards</w:t>
      </w:r>
    </w:p>
    <w:p w:rsidR="001726F0" w:rsidRPr="00414465" w:rsidRDefault="001726F0" w:rsidP="001726F0">
      <w:pPr>
        <w:pStyle w:val="Heading2"/>
      </w:pPr>
      <w:r w:rsidRPr="00414465">
        <w:t>1.0</w:t>
      </w:r>
      <w:r w:rsidRPr="00414465">
        <w:tab/>
        <w:t xml:space="preserve">Complaints received </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In the period July—December 2012, HDC received a total of 292 complaints about care provided by all District Health Boards. Numbers of complaints </w:t>
      </w:r>
      <w:r>
        <w:rPr>
          <w:rFonts w:ascii="Calibri" w:hAnsi="Calibri"/>
          <w:sz w:val="22"/>
          <w:szCs w:val="22"/>
          <w:lang w:val="en-US"/>
        </w:rPr>
        <w:t>in the previous four six-month</w:t>
      </w:r>
      <w:r w:rsidRPr="00414465">
        <w:rPr>
          <w:rFonts w:ascii="Calibri" w:hAnsi="Calibri"/>
          <w:sz w:val="22"/>
          <w:szCs w:val="22"/>
          <w:lang w:val="en-US"/>
        </w:rPr>
        <w:t xml:space="preserve"> periods from 1 July 2010 are 257, 268, 255 and 355; an average of 284 com</w:t>
      </w:r>
      <w:r>
        <w:rPr>
          <w:rFonts w:ascii="Calibri" w:hAnsi="Calibri"/>
          <w:sz w:val="22"/>
          <w:szCs w:val="22"/>
          <w:lang w:val="en-US"/>
        </w:rPr>
        <w:t>plaints received per six-month</w:t>
      </w:r>
      <w:r w:rsidRPr="00414465">
        <w:rPr>
          <w:rFonts w:ascii="Calibri" w:hAnsi="Calibri"/>
          <w:sz w:val="22"/>
          <w:szCs w:val="22"/>
          <w:lang w:val="en-US"/>
        </w:rPr>
        <w:t xml:space="preserve"> period. The total </w:t>
      </w:r>
      <w:r w:rsidRPr="00414465">
        <w:rPr>
          <w:rFonts w:ascii="Calibri" w:hAnsi="Calibri" w:cs="Calibri"/>
          <w:sz w:val="22"/>
          <w:szCs w:val="22"/>
          <w:lang w:val="en-US"/>
        </w:rPr>
        <w:t>for</w:t>
      </w:r>
      <w:r w:rsidRPr="00414465">
        <w:rPr>
          <w:rFonts w:ascii="Calibri" w:hAnsi="Calibri"/>
          <w:sz w:val="22"/>
          <w:szCs w:val="22"/>
          <w:lang w:val="en-US"/>
        </w:rPr>
        <w:t xml:space="preserve"> the current period shows a 3% increase over the average number of complaints received for those previous periods.</w:t>
      </w:r>
    </w:p>
    <w:p w:rsidR="001726F0" w:rsidRPr="00414465" w:rsidRDefault="001726F0" w:rsidP="001726F0">
      <w:pPr>
        <w:pStyle w:val="Heading3"/>
        <w:rPr>
          <w:lang w:val="en-US"/>
        </w:rPr>
      </w:pPr>
      <w:r w:rsidRPr="00414465">
        <w:rPr>
          <w:lang w:val="en-US"/>
        </w:rPr>
        <w:t>1.1</w:t>
      </w:r>
      <w:r w:rsidRPr="00414465">
        <w:rPr>
          <w:lang w:val="en-US"/>
        </w:rPr>
        <w:tab/>
        <w:t>Service type category</w:t>
      </w:r>
    </w:p>
    <w:p w:rsidR="001726F0" w:rsidRPr="00414465" w:rsidRDefault="001726F0" w:rsidP="001726F0">
      <w:pPr>
        <w:tabs>
          <w:tab w:val="left" w:pos="1440"/>
          <w:tab w:val="left" w:pos="2610"/>
        </w:tabs>
        <w:spacing w:after="240"/>
        <w:outlineLvl w:val="0"/>
        <w:rPr>
          <w:rFonts w:ascii="Calibri" w:hAnsi="Calibri"/>
          <w:i/>
          <w:sz w:val="22"/>
          <w:szCs w:val="22"/>
          <w:lang w:val="en-US"/>
        </w:rPr>
      </w:pPr>
      <w:r w:rsidRPr="00414465">
        <w:rPr>
          <w:rFonts w:ascii="Calibri" w:hAnsi="Calibri"/>
          <w:sz w:val="22"/>
          <w:szCs w:val="22"/>
          <w:lang w:val="en-US"/>
        </w:rPr>
        <w:t>Complaints to HDC are shown by service type in Table 1.</w:t>
      </w:r>
    </w:p>
    <w:p w:rsidR="001726F0" w:rsidRPr="00414465" w:rsidRDefault="001726F0" w:rsidP="001726F0">
      <w:pPr>
        <w:keepNext/>
        <w:tabs>
          <w:tab w:val="left" w:pos="567"/>
          <w:tab w:val="decimal" w:pos="4320"/>
        </w:tabs>
        <w:outlineLvl w:val="0"/>
        <w:rPr>
          <w:rFonts w:ascii="Calibri" w:hAnsi="Calibri"/>
          <w:b/>
          <w:sz w:val="22"/>
          <w:szCs w:val="22"/>
          <w:lang w:val="en-US"/>
        </w:rPr>
      </w:pPr>
      <w:r w:rsidRPr="00414465">
        <w:rPr>
          <w:rFonts w:ascii="Calibri" w:hAnsi="Calibri"/>
          <w:b/>
          <w:sz w:val="22"/>
          <w:szCs w:val="22"/>
          <w:lang w:val="en-US"/>
        </w:rPr>
        <w:t>Table 1 – 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2128"/>
        <w:gridCol w:w="2268"/>
      </w:tblGrid>
      <w:tr w:rsidR="001726F0" w:rsidRPr="00414465" w:rsidTr="000E7C15">
        <w:trPr>
          <w:trHeight w:val="632"/>
        </w:trPr>
        <w:tc>
          <w:tcPr>
            <w:tcW w:w="3968" w:type="dxa"/>
          </w:tcPr>
          <w:p w:rsidR="001726F0" w:rsidRPr="00414465" w:rsidRDefault="001726F0" w:rsidP="000E7C15">
            <w:pPr>
              <w:tabs>
                <w:tab w:val="left" w:pos="1440"/>
                <w:tab w:val="decimal" w:pos="4320"/>
              </w:tabs>
              <w:spacing w:before="120" w:after="120"/>
              <w:jc w:val="center"/>
              <w:outlineLvl w:val="0"/>
              <w:rPr>
                <w:rFonts w:ascii="Calibri" w:hAnsi="Calibri"/>
                <w:b/>
                <w:sz w:val="22"/>
                <w:szCs w:val="22"/>
                <w:vertAlign w:val="superscript"/>
                <w:lang w:val="en-US"/>
              </w:rPr>
            </w:pPr>
            <w:r w:rsidRPr="00414465">
              <w:rPr>
                <w:rFonts w:ascii="Calibri" w:hAnsi="Calibri"/>
                <w:b/>
                <w:sz w:val="22"/>
                <w:szCs w:val="22"/>
                <w:lang w:val="en-US"/>
              </w:rPr>
              <w:t>Service subject to complaint</w:t>
            </w:r>
          </w:p>
        </w:tc>
        <w:tc>
          <w:tcPr>
            <w:tcW w:w="2128" w:type="dxa"/>
          </w:tcPr>
          <w:p w:rsidR="001726F0" w:rsidRPr="00414465" w:rsidRDefault="001726F0" w:rsidP="000E7C15">
            <w:pPr>
              <w:tabs>
                <w:tab w:val="left" w:pos="1440"/>
                <w:tab w:val="decimal" w:pos="4320"/>
              </w:tabs>
              <w:spacing w:before="120" w:after="120"/>
              <w:jc w:val="center"/>
              <w:outlineLvl w:val="0"/>
              <w:rPr>
                <w:rFonts w:ascii="Calibri" w:hAnsi="Calibri"/>
                <w:b/>
                <w:sz w:val="22"/>
                <w:szCs w:val="22"/>
                <w:lang w:val="en-US"/>
              </w:rPr>
            </w:pPr>
            <w:r w:rsidRPr="00414465">
              <w:rPr>
                <w:rFonts w:ascii="Calibri" w:hAnsi="Calibri"/>
                <w:b/>
                <w:sz w:val="22"/>
                <w:szCs w:val="22"/>
                <w:lang w:val="en-US"/>
              </w:rPr>
              <w:t>Number of complaints</w:t>
            </w:r>
          </w:p>
        </w:tc>
        <w:tc>
          <w:tcPr>
            <w:tcW w:w="2268" w:type="dxa"/>
          </w:tcPr>
          <w:p w:rsidR="001726F0" w:rsidRPr="00414465" w:rsidRDefault="001726F0" w:rsidP="000E7C15">
            <w:pPr>
              <w:tabs>
                <w:tab w:val="left" w:pos="1440"/>
                <w:tab w:val="decimal" w:pos="4320"/>
              </w:tabs>
              <w:spacing w:before="120" w:after="120"/>
              <w:jc w:val="center"/>
              <w:outlineLvl w:val="0"/>
              <w:rPr>
                <w:rFonts w:ascii="Calibri" w:hAnsi="Calibri"/>
                <w:b/>
                <w:sz w:val="22"/>
                <w:szCs w:val="22"/>
                <w:lang w:val="en-US"/>
              </w:rPr>
            </w:pPr>
            <w:r w:rsidRPr="00414465">
              <w:rPr>
                <w:rFonts w:ascii="Calibri" w:hAnsi="Calibri"/>
                <w:b/>
                <w:sz w:val="22"/>
                <w:szCs w:val="22"/>
                <w:lang w:val="en-US"/>
              </w:rPr>
              <w:t>Percentage</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Accident &amp; Emergency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19</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6.5%</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Assessment for third party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Counselling/therapy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Dental</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1.0%</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General practice</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4</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1.4%</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Inpatient mental health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10</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3.4%</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Laboratory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Maternity</w:t>
            </w:r>
            <w:r w:rsidRPr="00414465">
              <w:rPr>
                <w:rStyle w:val="FootnoteReference"/>
                <w:rFonts w:asciiTheme="minorHAnsi" w:hAnsiTheme="minorHAnsi" w:cs="Arial"/>
                <w:sz w:val="22"/>
                <w:szCs w:val="22"/>
              </w:rPr>
              <w:footnoteReference w:id="1"/>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11</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3.8%</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Medical</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10</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3.4%</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Mental health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37</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12.7%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Methadone/drug &amp; alcohol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5</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Midwifery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5</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Multiple</w:t>
            </w:r>
            <w:r w:rsidRPr="00414465">
              <w:rPr>
                <w:rStyle w:val="FootnoteReference"/>
                <w:rFonts w:asciiTheme="minorHAnsi" w:hAnsiTheme="minorHAnsi" w:cs="Arial"/>
                <w:sz w:val="22"/>
                <w:szCs w:val="22"/>
              </w:rPr>
              <w:footnoteReference w:id="2"/>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37</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12.7%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Non health or disability service</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Nursing</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4.1%</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Oncology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6</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2.1%</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Other</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4</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1.4%</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Paediatric</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4</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1.4%</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Physician care</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5</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Physiotherapy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Prison health</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Public hospital care</w:t>
            </w:r>
            <w:r w:rsidRPr="00414465">
              <w:rPr>
                <w:rStyle w:val="FootnoteReference"/>
                <w:rFonts w:asciiTheme="minorHAnsi" w:hAnsiTheme="minorHAnsi" w:cs="Arial"/>
                <w:sz w:val="22"/>
                <w:szCs w:val="22"/>
              </w:rPr>
              <w:footnoteReference w:id="3"/>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59</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20.2%</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Radiology</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1</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Rehabilitation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1.0%</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Residential care services</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2</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0.7%</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Rest home care</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1.0%</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Specialist care</w:t>
            </w:r>
            <w:r w:rsidRPr="00414465">
              <w:rPr>
                <w:rStyle w:val="FootnoteReference"/>
                <w:rFonts w:asciiTheme="minorHAnsi" w:hAnsiTheme="minorHAnsi" w:cs="Arial"/>
                <w:sz w:val="22"/>
                <w:szCs w:val="22"/>
              </w:rPr>
              <w:footnoteReference w:id="4"/>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6</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2.1%</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Surgery - public sector</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33</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11.3%</w:t>
            </w:r>
          </w:p>
        </w:tc>
      </w:tr>
      <w:tr w:rsidR="001726F0" w:rsidRPr="00414465" w:rsidTr="000E7C15">
        <w:tc>
          <w:tcPr>
            <w:tcW w:w="3968" w:type="dxa"/>
            <w:vAlign w:val="bottom"/>
          </w:tcPr>
          <w:p w:rsidR="001726F0" w:rsidRPr="00414465" w:rsidRDefault="001726F0" w:rsidP="000E7C15">
            <w:pPr>
              <w:rPr>
                <w:rFonts w:asciiTheme="minorHAnsi" w:hAnsiTheme="minorHAnsi" w:cs="Arial"/>
                <w:sz w:val="22"/>
                <w:szCs w:val="22"/>
              </w:rPr>
            </w:pPr>
            <w:r w:rsidRPr="00414465">
              <w:rPr>
                <w:rFonts w:asciiTheme="minorHAnsi" w:hAnsiTheme="minorHAnsi" w:cs="Arial"/>
                <w:sz w:val="22"/>
                <w:szCs w:val="22"/>
              </w:rPr>
              <w:t>Vision care</w:t>
            </w:r>
          </w:p>
        </w:tc>
        <w:tc>
          <w:tcPr>
            <w:tcW w:w="2128" w:type="dxa"/>
            <w:vAlign w:val="bottom"/>
          </w:tcPr>
          <w:p w:rsidR="001726F0" w:rsidRPr="00414465" w:rsidRDefault="001726F0" w:rsidP="000E7C15">
            <w:pPr>
              <w:tabs>
                <w:tab w:val="right" w:pos="886"/>
              </w:tabs>
              <w:jc w:val="center"/>
              <w:rPr>
                <w:rFonts w:asciiTheme="minorHAnsi" w:hAnsiTheme="minorHAnsi" w:cs="Arial"/>
                <w:sz w:val="22"/>
                <w:szCs w:val="22"/>
              </w:rPr>
            </w:pPr>
            <w:r w:rsidRPr="00414465">
              <w:rPr>
                <w:rFonts w:asciiTheme="minorHAnsi" w:hAnsiTheme="minorHAnsi" w:cs="Arial"/>
                <w:sz w:val="22"/>
                <w:szCs w:val="22"/>
              </w:rPr>
              <w:t>3</w:t>
            </w:r>
          </w:p>
        </w:tc>
        <w:tc>
          <w:tcPr>
            <w:tcW w:w="2268" w:type="dxa"/>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1.0%</w:t>
            </w:r>
          </w:p>
        </w:tc>
      </w:tr>
      <w:tr w:rsidR="001726F0" w:rsidRPr="00414465" w:rsidTr="000E7C15">
        <w:tc>
          <w:tcPr>
            <w:tcW w:w="3968" w:type="dxa"/>
          </w:tcPr>
          <w:p w:rsidR="001726F0" w:rsidRPr="00414465" w:rsidRDefault="001726F0" w:rsidP="000E7C15">
            <w:pPr>
              <w:tabs>
                <w:tab w:val="left" w:pos="1440"/>
                <w:tab w:val="decimal" w:pos="4320"/>
              </w:tabs>
              <w:spacing w:before="100" w:beforeAutospacing="1" w:after="100" w:afterAutospacing="1"/>
              <w:jc w:val="left"/>
              <w:outlineLvl w:val="0"/>
              <w:rPr>
                <w:rFonts w:ascii="Calibri" w:hAnsi="Calibri"/>
                <w:b/>
                <w:sz w:val="22"/>
                <w:szCs w:val="22"/>
                <w:lang w:val="en-US"/>
              </w:rPr>
            </w:pPr>
            <w:r w:rsidRPr="00414465">
              <w:rPr>
                <w:rFonts w:ascii="Calibri" w:hAnsi="Calibri"/>
                <w:b/>
                <w:sz w:val="22"/>
                <w:szCs w:val="22"/>
                <w:lang w:val="en-US"/>
              </w:rPr>
              <w:t>Total</w:t>
            </w:r>
          </w:p>
        </w:tc>
        <w:tc>
          <w:tcPr>
            <w:tcW w:w="2128" w:type="dxa"/>
            <w:vAlign w:val="center"/>
          </w:tcPr>
          <w:p w:rsidR="001726F0" w:rsidRPr="00414465" w:rsidRDefault="001726F0" w:rsidP="000E7C15">
            <w:pPr>
              <w:tabs>
                <w:tab w:val="right" w:pos="886"/>
              </w:tabs>
              <w:jc w:val="center"/>
              <w:rPr>
                <w:rFonts w:ascii="Calibri" w:hAnsi="Calibri"/>
                <w:b/>
                <w:sz w:val="22"/>
                <w:szCs w:val="22"/>
                <w:lang w:val="en-US"/>
              </w:rPr>
            </w:pPr>
            <w:r w:rsidRPr="00414465">
              <w:rPr>
                <w:rFonts w:asciiTheme="minorHAnsi" w:hAnsiTheme="minorHAnsi" w:cs="Arial"/>
                <w:sz w:val="22"/>
                <w:szCs w:val="22"/>
              </w:rPr>
              <w:t>292</w:t>
            </w:r>
          </w:p>
        </w:tc>
        <w:tc>
          <w:tcPr>
            <w:tcW w:w="2268" w:type="dxa"/>
          </w:tcPr>
          <w:p w:rsidR="001726F0" w:rsidRPr="00414465" w:rsidRDefault="001726F0" w:rsidP="000E7C15">
            <w:pPr>
              <w:tabs>
                <w:tab w:val="left" w:pos="1440"/>
                <w:tab w:val="decimal" w:pos="4320"/>
              </w:tabs>
              <w:spacing w:before="100" w:beforeAutospacing="1" w:after="100" w:afterAutospacing="1"/>
              <w:ind w:left="-108" w:right="743" w:hanging="142"/>
              <w:jc w:val="center"/>
              <w:outlineLvl w:val="0"/>
              <w:rPr>
                <w:rFonts w:ascii="Calibri" w:hAnsi="Calibri"/>
                <w:b/>
                <w:sz w:val="22"/>
                <w:szCs w:val="22"/>
                <w:lang w:val="en-US"/>
              </w:rPr>
            </w:pPr>
          </w:p>
        </w:tc>
      </w:tr>
    </w:tbl>
    <w:p w:rsidR="001726F0" w:rsidRPr="00414465" w:rsidRDefault="001726F0" w:rsidP="001726F0">
      <w:pPr>
        <w:tabs>
          <w:tab w:val="left" w:pos="1440"/>
          <w:tab w:val="left" w:pos="2610"/>
        </w:tabs>
        <w:spacing w:after="120"/>
        <w:outlineLvl w:val="0"/>
        <w:rPr>
          <w:rFonts w:ascii="Calibri" w:hAnsi="Calibri"/>
          <w:sz w:val="22"/>
          <w:szCs w:val="22"/>
          <w:lang w:val="en-US"/>
        </w:rPr>
      </w:pPr>
      <w:r w:rsidRPr="00414465">
        <w:rPr>
          <w:rFonts w:ascii="Calibri" w:hAnsi="Calibri"/>
          <w:sz w:val="22"/>
          <w:szCs w:val="22"/>
          <w:lang w:val="en-US"/>
        </w:rPr>
        <w:lastRenderedPageBreak/>
        <w:t xml:space="preserve">The identifiable services where the numbers of complaints were greatest are mental health services - 12.7% (this ratio goes up to 16.1% if inpatient </w:t>
      </w:r>
      <w:r w:rsidRPr="00414465">
        <w:rPr>
          <w:rFonts w:asciiTheme="minorHAnsi" w:hAnsiTheme="minorHAnsi" w:cstheme="minorHAnsi"/>
          <w:sz w:val="22"/>
          <w:szCs w:val="22"/>
        </w:rPr>
        <w:t>mental</w:t>
      </w:r>
      <w:r w:rsidRPr="00414465">
        <w:rPr>
          <w:rFonts w:ascii="Calibri" w:hAnsi="Calibri"/>
          <w:sz w:val="22"/>
          <w:szCs w:val="22"/>
          <w:lang w:val="en-US"/>
        </w:rPr>
        <w:t xml:space="preserve"> health services are also included), public sector surgery - 11.3%, and accident and emergency - 6.5%. </w:t>
      </w:r>
    </w:p>
    <w:p w:rsidR="001726F0" w:rsidRPr="00414465" w:rsidRDefault="001726F0" w:rsidP="001726F0">
      <w:pPr>
        <w:tabs>
          <w:tab w:val="left" w:pos="1440"/>
          <w:tab w:val="left" w:pos="2610"/>
        </w:tabs>
        <w:spacing w:after="120"/>
        <w:outlineLvl w:val="0"/>
        <w:rPr>
          <w:rFonts w:asciiTheme="minorHAnsi" w:hAnsiTheme="minorHAnsi" w:cstheme="minorHAnsi"/>
          <w:sz w:val="22"/>
          <w:szCs w:val="22"/>
          <w:lang w:val="en-US"/>
        </w:rPr>
      </w:pPr>
      <w:r w:rsidRPr="00414465">
        <w:rPr>
          <w:rFonts w:asciiTheme="minorHAnsi" w:hAnsiTheme="minorHAnsi" w:cstheme="minorHAnsi"/>
          <w:sz w:val="22"/>
          <w:szCs w:val="22"/>
        </w:rPr>
        <w:t>It may be noted that multiple services, where no individual service type is identifiable, is the second highest service type complained about alongside mental health services (12.7%). A failure to provide seamless care between providers is often at the heart of these complaints about multiple services.</w:t>
      </w:r>
    </w:p>
    <w:p w:rsidR="001726F0" w:rsidRPr="00056044" w:rsidRDefault="001726F0" w:rsidP="001726F0">
      <w:pPr>
        <w:pStyle w:val="Heading3"/>
        <w:rPr>
          <w:lang w:val="en-US"/>
        </w:rPr>
      </w:pPr>
      <w:r w:rsidRPr="00056044">
        <w:rPr>
          <w:lang w:val="en-US"/>
        </w:rPr>
        <w:t>1.2</w:t>
      </w:r>
      <w:r w:rsidRPr="00056044">
        <w:rPr>
          <w:lang w:val="en-US"/>
        </w:rPr>
        <w:tab/>
        <w:t>Key words (Patient concerns)</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The substance of each complaint to HDC is identified by a broad primary issue, and further by the key words patients and their families tend to use to describe their concerns more specifically. The frequently used key words in these 292 complaints to HDC in this period are listed in Table 2. As each complaint may contain more than one key word, and not all key words are included, the totals in Table 2 do not add up to 100%.</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The top five key</w:t>
      </w:r>
      <w:r>
        <w:rPr>
          <w:rFonts w:ascii="Calibri" w:hAnsi="Calibri"/>
          <w:sz w:val="22"/>
          <w:szCs w:val="22"/>
          <w:lang w:val="en-US"/>
        </w:rPr>
        <w:t xml:space="preserve"> </w:t>
      </w:r>
      <w:r w:rsidRPr="00414465">
        <w:rPr>
          <w:rFonts w:ascii="Calibri" w:hAnsi="Calibri"/>
          <w:sz w:val="22"/>
          <w:szCs w:val="22"/>
          <w:lang w:val="en-US"/>
        </w:rPr>
        <w:t xml:space="preserve">word data </w:t>
      </w:r>
      <w:r w:rsidRPr="00414465">
        <w:rPr>
          <w:rFonts w:ascii="Calibri" w:hAnsi="Calibri" w:cs="Calibri"/>
          <w:sz w:val="22"/>
          <w:szCs w:val="22"/>
          <w:lang w:val="en-US"/>
        </w:rPr>
        <w:t>for</w:t>
      </w:r>
      <w:r w:rsidRPr="00414465">
        <w:rPr>
          <w:rFonts w:ascii="Calibri" w:hAnsi="Calibri"/>
          <w:sz w:val="22"/>
          <w:szCs w:val="22"/>
          <w:lang w:val="en-US"/>
        </w:rPr>
        <w:t xml:space="preserve"> the current year and previous three periods are shown for comparison.</w:t>
      </w:r>
    </w:p>
    <w:p w:rsidR="001726F0" w:rsidRPr="00414465" w:rsidRDefault="001726F0" w:rsidP="001726F0">
      <w:pPr>
        <w:keepNext/>
        <w:tabs>
          <w:tab w:val="left" w:pos="567"/>
          <w:tab w:val="decimal" w:pos="4320"/>
        </w:tabs>
        <w:outlineLvl w:val="0"/>
        <w:rPr>
          <w:rFonts w:ascii="Calibri" w:hAnsi="Calibri"/>
          <w:b/>
          <w:sz w:val="22"/>
          <w:szCs w:val="22"/>
          <w:lang w:val="en-US"/>
        </w:rPr>
      </w:pPr>
      <w:r w:rsidRPr="00414465">
        <w:rPr>
          <w:rFonts w:ascii="Calibri" w:hAnsi="Calibri"/>
          <w:b/>
          <w:sz w:val="22"/>
          <w:szCs w:val="22"/>
          <w:lang w:val="en-US"/>
        </w:rPr>
        <w:t>Table 2 – Top five complaint key words in complaints received over last two years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
        <w:gridCol w:w="1554"/>
        <w:gridCol w:w="573"/>
        <w:gridCol w:w="1696"/>
        <w:gridCol w:w="566"/>
        <w:gridCol w:w="1702"/>
        <w:gridCol w:w="713"/>
        <w:gridCol w:w="1417"/>
        <w:gridCol w:w="678"/>
      </w:tblGrid>
      <w:tr w:rsidR="001726F0" w:rsidRPr="00414465" w:rsidTr="000E7C15">
        <w:trPr>
          <w:tblHeader/>
        </w:trPr>
        <w:tc>
          <w:tcPr>
            <w:tcW w:w="5000" w:type="pct"/>
            <w:gridSpan w:val="9"/>
            <w:vAlign w:val="center"/>
          </w:tcPr>
          <w:p w:rsidR="001726F0" w:rsidRPr="00414465" w:rsidRDefault="001726F0" w:rsidP="000E7C15">
            <w:pPr>
              <w:tabs>
                <w:tab w:val="left" w:pos="1440"/>
                <w:tab w:val="decimal" w:pos="4320"/>
              </w:tabs>
              <w:spacing w:before="120" w:after="120"/>
              <w:jc w:val="center"/>
              <w:outlineLvl w:val="0"/>
              <w:rPr>
                <w:rFonts w:ascii="Calibri" w:hAnsi="Calibri"/>
                <w:b/>
                <w:lang w:val="en-US"/>
              </w:rPr>
            </w:pPr>
            <w:r w:rsidRPr="00414465">
              <w:rPr>
                <w:rFonts w:ascii="Calibri" w:hAnsi="Calibri"/>
                <w:b/>
                <w:sz w:val="22"/>
                <w:szCs w:val="22"/>
                <w:lang w:val="en-US"/>
              </w:rPr>
              <w:t>Top five complaint key</w:t>
            </w:r>
            <w:r>
              <w:rPr>
                <w:rFonts w:ascii="Calibri" w:hAnsi="Calibri"/>
                <w:b/>
                <w:sz w:val="22"/>
                <w:szCs w:val="22"/>
                <w:lang w:val="en-US"/>
              </w:rPr>
              <w:t xml:space="preserve"> w</w:t>
            </w:r>
            <w:r w:rsidRPr="00414465">
              <w:rPr>
                <w:rFonts w:ascii="Calibri" w:hAnsi="Calibri"/>
                <w:b/>
                <w:sz w:val="22"/>
                <w:szCs w:val="22"/>
                <w:lang w:val="en-US"/>
              </w:rPr>
              <w:t>ords (%)</w:t>
            </w:r>
          </w:p>
        </w:tc>
      </w:tr>
      <w:tr w:rsidR="001726F0" w:rsidRPr="00414465" w:rsidTr="000E7C15">
        <w:tc>
          <w:tcPr>
            <w:tcW w:w="158" w:type="pct"/>
          </w:tcPr>
          <w:p w:rsidR="001726F0" w:rsidRPr="00414465" w:rsidRDefault="001726F0" w:rsidP="000E7C15">
            <w:pPr>
              <w:tabs>
                <w:tab w:val="left" w:pos="1440"/>
                <w:tab w:val="decimal" w:pos="4320"/>
              </w:tabs>
              <w:outlineLvl w:val="0"/>
              <w:rPr>
                <w:rFonts w:ascii="Calibri" w:hAnsi="Calibri"/>
                <w:lang w:val="en-US"/>
              </w:rPr>
            </w:pPr>
          </w:p>
        </w:tc>
        <w:tc>
          <w:tcPr>
            <w:tcW w:w="1157"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Jan–Jun 11</w:t>
            </w:r>
          </w:p>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n=268</w:t>
            </w:r>
          </w:p>
        </w:tc>
        <w:tc>
          <w:tcPr>
            <w:tcW w:w="1231" w:type="pct"/>
            <w:gridSpan w:val="2"/>
          </w:tcPr>
          <w:p w:rsidR="001726F0" w:rsidRPr="00414465" w:rsidRDefault="001726F0" w:rsidP="000E7C15">
            <w:pPr>
              <w:tabs>
                <w:tab w:val="left" w:pos="1440"/>
                <w:tab w:val="decimal" w:pos="4320"/>
              </w:tabs>
              <w:ind w:left="139" w:right="10" w:firstLine="13"/>
              <w:jc w:val="center"/>
              <w:outlineLvl w:val="0"/>
              <w:rPr>
                <w:rFonts w:ascii="Calibri" w:hAnsi="Calibri"/>
                <w:b/>
                <w:lang w:val="en-US"/>
              </w:rPr>
            </w:pPr>
            <w:r w:rsidRPr="00414465">
              <w:rPr>
                <w:rFonts w:ascii="Calibri" w:hAnsi="Calibri"/>
                <w:b/>
                <w:sz w:val="22"/>
                <w:szCs w:val="22"/>
                <w:lang w:val="en-US"/>
              </w:rPr>
              <w:t>Jul–Dec 11</w:t>
            </w:r>
          </w:p>
          <w:p w:rsidR="001726F0" w:rsidRPr="00414465" w:rsidRDefault="001726F0" w:rsidP="000E7C15">
            <w:pPr>
              <w:tabs>
                <w:tab w:val="left" w:pos="1440"/>
                <w:tab w:val="decimal" w:pos="4320"/>
              </w:tabs>
              <w:ind w:left="139" w:right="10" w:firstLine="13"/>
              <w:jc w:val="center"/>
              <w:outlineLvl w:val="0"/>
              <w:rPr>
                <w:rFonts w:ascii="Calibri" w:hAnsi="Calibri"/>
                <w:b/>
                <w:lang w:val="en-US"/>
              </w:rPr>
            </w:pPr>
            <w:r w:rsidRPr="00414465">
              <w:rPr>
                <w:rFonts w:ascii="Calibri" w:hAnsi="Calibri"/>
                <w:b/>
                <w:sz w:val="22"/>
                <w:szCs w:val="22"/>
                <w:lang w:val="en-US"/>
              </w:rPr>
              <w:t>n=255</w:t>
            </w:r>
          </w:p>
        </w:tc>
        <w:tc>
          <w:tcPr>
            <w:tcW w:w="1314"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Jan–Jun 12</w:t>
            </w:r>
          </w:p>
          <w:p w:rsidR="001726F0" w:rsidRPr="00414465" w:rsidRDefault="001726F0" w:rsidP="000E7C15">
            <w:pPr>
              <w:tabs>
                <w:tab w:val="left" w:pos="1440"/>
                <w:tab w:val="decimal" w:pos="4320"/>
              </w:tabs>
              <w:ind w:left="139" w:right="10" w:firstLine="13"/>
              <w:jc w:val="center"/>
              <w:outlineLvl w:val="0"/>
              <w:rPr>
                <w:rFonts w:ascii="Calibri" w:hAnsi="Calibri"/>
                <w:b/>
                <w:sz w:val="22"/>
                <w:szCs w:val="22"/>
                <w:lang w:val="en-US"/>
              </w:rPr>
            </w:pPr>
            <w:r w:rsidRPr="00414465">
              <w:rPr>
                <w:rFonts w:ascii="Calibri" w:hAnsi="Calibri"/>
                <w:b/>
                <w:sz w:val="22"/>
                <w:szCs w:val="22"/>
                <w:lang w:val="en-US"/>
              </w:rPr>
              <w:t>n=355</w:t>
            </w:r>
          </w:p>
        </w:tc>
        <w:tc>
          <w:tcPr>
            <w:tcW w:w="1141"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Jul–Dec 12</w:t>
            </w:r>
          </w:p>
          <w:p w:rsidR="001726F0" w:rsidRPr="00414465" w:rsidRDefault="001726F0" w:rsidP="000E7C15">
            <w:pPr>
              <w:tabs>
                <w:tab w:val="left" w:pos="1440"/>
                <w:tab w:val="decimal" w:pos="4320"/>
              </w:tabs>
              <w:ind w:left="139" w:right="10" w:firstLine="13"/>
              <w:jc w:val="center"/>
              <w:outlineLvl w:val="0"/>
              <w:rPr>
                <w:rFonts w:ascii="Calibri" w:hAnsi="Calibri"/>
                <w:b/>
                <w:sz w:val="22"/>
                <w:szCs w:val="22"/>
                <w:lang w:val="en-US"/>
              </w:rPr>
            </w:pPr>
            <w:r w:rsidRPr="00414465">
              <w:rPr>
                <w:rFonts w:ascii="Calibri" w:hAnsi="Calibri"/>
                <w:b/>
                <w:sz w:val="22"/>
                <w:szCs w:val="22"/>
                <w:lang w:val="en-US"/>
              </w:rPr>
              <w:t>n=292</w:t>
            </w:r>
          </w:p>
        </w:tc>
      </w:tr>
      <w:tr w:rsidR="001726F0" w:rsidRPr="00414465" w:rsidTr="000E7C15">
        <w:tc>
          <w:tcPr>
            <w:tcW w:w="158" w:type="pct"/>
            <w:vAlign w:val="center"/>
          </w:tcPr>
          <w:p w:rsidR="001726F0" w:rsidRPr="00ED49EB" w:rsidRDefault="001726F0" w:rsidP="000E7C15">
            <w:pPr>
              <w:tabs>
                <w:tab w:val="left" w:pos="1440"/>
                <w:tab w:val="decimal" w:pos="4320"/>
              </w:tabs>
              <w:jc w:val="center"/>
              <w:outlineLvl w:val="0"/>
              <w:rPr>
                <w:rFonts w:ascii="Calibri" w:hAnsi="Calibri"/>
                <w:sz w:val="22"/>
                <w:szCs w:val="22"/>
                <w:lang w:val="en-US"/>
              </w:rPr>
            </w:pPr>
            <w:r w:rsidRPr="00ED49EB">
              <w:rPr>
                <w:rFonts w:ascii="Calibri" w:hAnsi="Calibri"/>
                <w:sz w:val="22"/>
                <w:szCs w:val="22"/>
                <w:lang w:val="en-US"/>
              </w:rPr>
              <w:t>1</w:t>
            </w:r>
          </w:p>
        </w:tc>
        <w:tc>
          <w:tcPr>
            <w:tcW w:w="845"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treatment</w:t>
            </w:r>
          </w:p>
        </w:tc>
        <w:tc>
          <w:tcPr>
            <w:tcW w:w="312"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43%</w:t>
            </w:r>
          </w:p>
        </w:tc>
        <w:tc>
          <w:tcPr>
            <w:tcW w:w="923"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 xml:space="preserve">Inadequate treatment  </w:t>
            </w:r>
          </w:p>
        </w:tc>
        <w:tc>
          <w:tcPr>
            <w:tcW w:w="308"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35%</w:t>
            </w:r>
          </w:p>
        </w:tc>
        <w:tc>
          <w:tcPr>
            <w:tcW w:w="926"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 xml:space="preserve">Inadequate treatment  </w:t>
            </w:r>
          </w:p>
        </w:tc>
        <w:tc>
          <w:tcPr>
            <w:tcW w:w="388" w:type="pct"/>
            <w:vAlign w:val="center"/>
          </w:tcPr>
          <w:p w:rsidR="001726F0" w:rsidRPr="00241CC6" w:rsidRDefault="001726F0" w:rsidP="000E7C15">
            <w:pPr>
              <w:tabs>
                <w:tab w:val="left" w:pos="1440"/>
                <w:tab w:val="decimal" w:pos="4320"/>
              </w:tabs>
              <w:jc w:val="right"/>
              <w:outlineLvl w:val="0"/>
              <w:rPr>
                <w:rFonts w:ascii="Calibri" w:hAnsi="Calibri"/>
                <w:sz w:val="20"/>
                <w:szCs w:val="20"/>
                <w:lang w:val="en-US"/>
              </w:rPr>
            </w:pPr>
            <w:r w:rsidRPr="00241CC6">
              <w:rPr>
                <w:rFonts w:ascii="Calibri" w:hAnsi="Calibri"/>
                <w:sz w:val="20"/>
                <w:szCs w:val="20"/>
                <w:lang w:val="en-US"/>
              </w:rPr>
              <w:t>33%</w:t>
            </w:r>
          </w:p>
        </w:tc>
        <w:tc>
          <w:tcPr>
            <w:tcW w:w="771"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treatment</w:t>
            </w:r>
          </w:p>
        </w:tc>
        <w:tc>
          <w:tcPr>
            <w:tcW w:w="370"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22%</w:t>
            </w:r>
          </w:p>
        </w:tc>
      </w:tr>
      <w:tr w:rsidR="001726F0" w:rsidRPr="00414465" w:rsidTr="000E7C15">
        <w:tc>
          <w:tcPr>
            <w:tcW w:w="158" w:type="pct"/>
            <w:vAlign w:val="center"/>
          </w:tcPr>
          <w:p w:rsidR="001726F0" w:rsidRPr="00ED49EB" w:rsidRDefault="001726F0" w:rsidP="000E7C15">
            <w:pPr>
              <w:tabs>
                <w:tab w:val="left" w:pos="1440"/>
                <w:tab w:val="decimal" w:pos="4320"/>
              </w:tabs>
              <w:jc w:val="center"/>
              <w:outlineLvl w:val="0"/>
              <w:rPr>
                <w:rFonts w:ascii="Calibri" w:hAnsi="Calibri"/>
                <w:sz w:val="22"/>
                <w:szCs w:val="22"/>
                <w:lang w:val="en-US"/>
              </w:rPr>
            </w:pPr>
            <w:r w:rsidRPr="00ED49EB">
              <w:rPr>
                <w:rFonts w:ascii="Calibri" w:hAnsi="Calibri"/>
                <w:sz w:val="22"/>
                <w:szCs w:val="22"/>
                <w:lang w:val="en-US"/>
              </w:rPr>
              <w:t>2</w:t>
            </w:r>
          </w:p>
        </w:tc>
        <w:tc>
          <w:tcPr>
            <w:tcW w:w="845"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Attitude/</w:t>
            </w:r>
          </w:p>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manner</w:t>
            </w:r>
          </w:p>
        </w:tc>
        <w:tc>
          <w:tcPr>
            <w:tcW w:w="312"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22%</w:t>
            </w:r>
          </w:p>
        </w:tc>
        <w:tc>
          <w:tcPr>
            <w:tcW w:w="923"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Attitude/manner</w:t>
            </w:r>
          </w:p>
        </w:tc>
        <w:tc>
          <w:tcPr>
            <w:tcW w:w="308"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19%</w:t>
            </w:r>
          </w:p>
        </w:tc>
        <w:tc>
          <w:tcPr>
            <w:tcW w:w="926"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Diagnosis</w:t>
            </w:r>
          </w:p>
        </w:tc>
        <w:tc>
          <w:tcPr>
            <w:tcW w:w="388" w:type="pct"/>
            <w:vAlign w:val="center"/>
          </w:tcPr>
          <w:p w:rsidR="001726F0" w:rsidRPr="00241CC6" w:rsidRDefault="001726F0" w:rsidP="000E7C15">
            <w:pPr>
              <w:tabs>
                <w:tab w:val="left" w:pos="1440"/>
                <w:tab w:val="decimal" w:pos="4320"/>
              </w:tabs>
              <w:jc w:val="right"/>
              <w:outlineLvl w:val="0"/>
              <w:rPr>
                <w:rFonts w:ascii="Calibri" w:hAnsi="Calibri"/>
                <w:sz w:val="20"/>
                <w:szCs w:val="20"/>
                <w:lang w:val="en-US"/>
              </w:rPr>
            </w:pPr>
            <w:r w:rsidRPr="00241CC6">
              <w:rPr>
                <w:rFonts w:ascii="Calibri" w:hAnsi="Calibri"/>
                <w:sz w:val="20"/>
                <w:szCs w:val="20"/>
                <w:lang w:val="en-US"/>
              </w:rPr>
              <w:t>21%</w:t>
            </w:r>
          </w:p>
        </w:tc>
        <w:tc>
          <w:tcPr>
            <w:tcW w:w="771"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care</w:t>
            </w:r>
          </w:p>
        </w:tc>
        <w:tc>
          <w:tcPr>
            <w:tcW w:w="370"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16%</w:t>
            </w:r>
          </w:p>
        </w:tc>
      </w:tr>
      <w:tr w:rsidR="001726F0" w:rsidRPr="00414465" w:rsidTr="000E7C15">
        <w:tc>
          <w:tcPr>
            <w:tcW w:w="158" w:type="pct"/>
            <w:vAlign w:val="center"/>
          </w:tcPr>
          <w:p w:rsidR="001726F0" w:rsidRPr="00ED49EB" w:rsidRDefault="001726F0" w:rsidP="000E7C15">
            <w:pPr>
              <w:tabs>
                <w:tab w:val="left" w:pos="1440"/>
                <w:tab w:val="decimal" w:pos="4320"/>
              </w:tabs>
              <w:jc w:val="center"/>
              <w:outlineLvl w:val="0"/>
              <w:rPr>
                <w:rFonts w:ascii="Calibri" w:hAnsi="Calibri"/>
                <w:sz w:val="22"/>
                <w:szCs w:val="22"/>
                <w:lang w:val="en-US"/>
              </w:rPr>
            </w:pPr>
            <w:r w:rsidRPr="00ED49EB">
              <w:rPr>
                <w:rFonts w:ascii="Calibri" w:hAnsi="Calibri"/>
                <w:sz w:val="22"/>
                <w:szCs w:val="22"/>
                <w:lang w:val="en-US"/>
              </w:rPr>
              <w:t>3</w:t>
            </w:r>
          </w:p>
        </w:tc>
        <w:tc>
          <w:tcPr>
            <w:tcW w:w="845"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Diagnosis</w:t>
            </w:r>
          </w:p>
        </w:tc>
        <w:tc>
          <w:tcPr>
            <w:tcW w:w="312"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17%</w:t>
            </w:r>
          </w:p>
        </w:tc>
        <w:tc>
          <w:tcPr>
            <w:tcW w:w="923"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Diagnosis</w:t>
            </w:r>
          </w:p>
        </w:tc>
        <w:tc>
          <w:tcPr>
            <w:tcW w:w="308"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18%</w:t>
            </w:r>
          </w:p>
        </w:tc>
        <w:tc>
          <w:tcPr>
            <w:tcW w:w="926"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care</w:t>
            </w:r>
          </w:p>
        </w:tc>
        <w:tc>
          <w:tcPr>
            <w:tcW w:w="388" w:type="pct"/>
            <w:vAlign w:val="center"/>
          </w:tcPr>
          <w:p w:rsidR="001726F0" w:rsidRPr="00241CC6" w:rsidRDefault="001726F0" w:rsidP="000E7C15">
            <w:pPr>
              <w:tabs>
                <w:tab w:val="left" w:pos="1440"/>
                <w:tab w:val="decimal" w:pos="4320"/>
              </w:tabs>
              <w:jc w:val="right"/>
              <w:outlineLvl w:val="0"/>
              <w:rPr>
                <w:rFonts w:ascii="Calibri" w:hAnsi="Calibri"/>
                <w:sz w:val="20"/>
                <w:szCs w:val="20"/>
                <w:lang w:val="en-US"/>
              </w:rPr>
            </w:pPr>
            <w:r w:rsidRPr="00241CC6">
              <w:rPr>
                <w:rFonts w:ascii="Calibri" w:hAnsi="Calibri"/>
                <w:sz w:val="20"/>
                <w:szCs w:val="20"/>
                <w:lang w:val="en-US"/>
              </w:rPr>
              <w:t>18%</w:t>
            </w:r>
          </w:p>
        </w:tc>
        <w:tc>
          <w:tcPr>
            <w:tcW w:w="771"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 xml:space="preserve">Coordination </w:t>
            </w:r>
          </w:p>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of treatment</w:t>
            </w:r>
          </w:p>
        </w:tc>
        <w:tc>
          <w:tcPr>
            <w:tcW w:w="370"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14%</w:t>
            </w:r>
          </w:p>
        </w:tc>
      </w:tr>
      <w:tr w:rsidR="001726F0" w:rsidRPr="00414465" w:rsidTr="000E7C15">
        <w:tc>
          <w:tcPr>
            <w:tcW w:w="158" w:type="pct"/>
            <w:vAlign w:val="center"/>
          </w:tcPr>
          <w:p w:rsidR="001726F0" w:rsidRPr="00ED49EB" w:rsidRDefault="001726F0" w:rsidP="000E7C15">
            <w:pPr>
              <w:tabs>
                <w:tab w:val="left" w:pos="1440"/>
                <w:tab w:val="decimal" w:pos="4320"/>
              </w:tabs>
              <w:jc w:val="center"/>
              <w:outlineLvl w:val="0"/>
              <w:rPr>
                <w:rFonts w:ascii="Calibri" w:hAnsi="Calibri"/>
                <w:sz w:val="22"/>
                <w:szCs w:val="22"/>
                <w:lang w:val="en-US"/>
              </w:rPr>
            </w:pPr>
            <w:r w:rsidRPr="00ED49EB">
              <w:rPr>
                <w:rFonts w:ascii="Calibri" w:hAnsi="Calibri"/>
                <w:sz w:val="22"/>
                <w:szCs w:val="22"/>
                <w:lang w:val="en-US"/>
              </w:rPr>
              <w:t>4</w:t>
            </w:r>
          </w:p>
        </w:tc>
        <w:tc>
          <w:tcPr>
            <w:tcW w:w="845"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Communication with family</w:t>
            </w:r>
          </w:p>
        </w:tc>
        <w:tc>
          <w:tcPr>
            <w:tcW w:w="312"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15%</w:t>
            </w:r>
          </w:p>
        </w:tc>
        <w:tc>
          <w:tcPr>
            <w:tcW w:w="923"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Communication with family</w:t>
            </w:r>
          </w:p>
        </w:tc>
        <w:tc>
          <w:tcPr>
            <w:tcW w:w="308"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12%</w:t>
            </w:r>
          </w:p>
        </w:tc>
        <w:tc>
          <w:tcPr>
            <w:tcW w:w="926"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Attitude/</w:t>
            </w:r>
          </w:p>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manner</w:t>
            </w:r>
          </w:p>
        </w:tc>
        <w:tc>
          <w:tcPr>
            <w:tcW w:w="388" w:type="pct"/>
            <w:vAlign w:val="center"/>
          </w:tcPr>
          <w:p w:rsidR="001726F0" w:rsidRPr="00241CC6" w:rsidRDefault="001726F0" w:rsidP="000E7C15">
            <w:pPr>
              <w:tabs>
                <w:tab w:val="left" w:pos="1440"/>
                <w:tab w:val="decimal" w:pos="4320"/>
              </w:tabs>
              <w:jc w:val="right"/>
              <w:outlineLvl w:val="0"/>
              <w:rPr>
                <w:rFonts w:ascii="Calibri" w:hAnsi="Calibri"/>
                <w:sz w:val="20"/>
                <w:szCs w:val="20"/>
                <w:lang w:val="en-US"/>
              </w:rPr>
            </w:pPr>
            <w:r w:rsidRPr="00241CC6">
              <w:rPr>
                <w:rFonts w:ascii="Calibri" w:hAnsi="Calibri"/>
                <w:sz w:val="20"/>
                <w:szCs w:val="20"/>
                <w:lang w:val="en-US"/>
              </w:rPr>
              <w:t>17%</w:t>
            </w:r>
          </w:p>
        </w:tc>
        <w:tc>
          <w:tcPr>
            <w:tcW w:w="771"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Diagnosis</w:t>
            </w:r>
          </w:p>
        </w:tc>
        <w:tc>
          <w:tcPr>
            <w:tcW w:w="370"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12%</w:t>
            </w:r>
          </w:p>
        </w:tc>
      </w:tr>
      <w:tr w:rsidR="001726F0" w:rsidRPr="00414465" w:rsidTr="000E7C15">
        <w:tc>
          <w:tcPr>
            <w:tcW w:w="158" w:type="pct"/>
            <w:vAlign w:val="center"/>
          </w:tcPr>
          <w:p w:rsidR="001726F0" w:rsidRPr="00ED49EB" w:rsidRDefault="001726F0" w:rsidP="000E7C15">
            <w:pPr>
              <w:tabs>
                <w:tab w:val="left" w:pos="1440"/>
                <w:tab w:val="decimal" w:pos="4320"/>
              </w:tabs>
              <w:jc w:val="center"/>
              <w:outlineLvl w:val="0"/>
              <w:rPr>
                <w:rFonts w:ascii="Calibri" w:hAnsi="Calibri"/>
                <w:sz w:val="22"/>
                <w:szCs w:val="22"/>
                <w:lang w:val="en-US"/>
              </w:rPr>
            </w:pPr>
            <w:r w:rsidRPr="00ED49EB">
              <w:rPr>
                <w:rFonts w:ascii="Calibri" w:hAnsi="Calibri"/>
                <w:sz w:val="22"/>
                <w:szCs w:val="22"/>
                <w:lang w:val="en-US"/>
              </w:rPr>
              <w:t>5</w:t>
            </w:r>
          </w:p>
        </w:tc>
        <w:tc>
          <w:tcPr>
            <w:tcW w:w="845"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care</w:t>
            </w:r>
          </w:p>
        </w:tc>
        <w:tc>
          <w:tcPr>
            <w:tcW w:w="312"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14%</w:t>
            </w:r>
          </w:p>
        </w:tc>
        <w:tc>
          <w:tcPr>
            <w:tcW w:w="923"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Inadequate care</w:t>
            </w:r>
          </w:p>
        </w:tc>
        <w:tc>
          <w:tcPr>
            <w:tcW w:w="308"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12%</w:t>
            </w:r>
          </w:p>
        </w:tc>
        <w:tc>
          <w:tcPr>
            <w:tcW w:w="926"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Communication with family</w:t>
            </w:r>
          </w:p>
        </w:tc>
        <w:tc>
          <w:tcPr>
            <w:tcW w:w="388" w:type="pct"/>
            <w:vAlign w:val="center"/>
          </w:tcPr>
          <w:p w:rsidR="001726F0" w:rsidRPr="00241CC6" w:rsidRDefault="001726F0" w:rsidP="000E7C15">
            <w:pPr>
              <w:tabs>
                <w:tab w:val="left" w:pos="1440"/>
                <w:tab w:val="decimal" w:pos="4320"/>
              </w:tabs>
              <w:jc w:val="right"/>
              <w:outlineLvl w:val="0"/>
              <w:rPr>
                <w:rFonts w:ascii="Calibri" w:hAnsi="Calibri"/>
                <w:sz w:val="20"/>
                <w:szCs w:val="20"/>
                <w:lang w:val="en-US"/>
              </w:rPr>
            </w:pPr>
            <w:r w:rsidRPr="00241CC6">
              <w:rPr>
                <w:rFonts w:ascii="Calibri" w:hAnsi="Calibri"/>
                <w:sz w:val="20"/>
                <w:szCs w:val="20"/>
                <w:lang w:val="en-US"/>
              </w:rPr>
              <w:t>10%</w:t>
            </w:r>
          </w:p>
        </w:tc>
        <w:tc>
          <w:tcPr>
            <w:tcW w:w="771" w:type="pct"/>
            <w:vAlign w:val="center"/>
          </w:tcPr>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Attitude/</w:t>
            </w:r>
          </w:p>
          <w:p w:rsidR="001726F0" w:rsidRPr="00241CC6" w:rsidRDefault="001726F0" w:rsidP="000E7C15">
            <w:pPr>
              <w:tabs>
                <w:tab w:val="left" w:pos="1440"/>
                <w:tab w:val="decimal" w:pos="4320"/>
              </w:tabs>
              <w:jc w:val="left"/>
              <w:outlineLvl w:val="0"/>
              <w:rPr>
                <w:rFonts w:ascii="Calibri" w:hAnsi="Calibri"/>
                <w:sz w:val="20"/>
                <w:szCs w:val="20"/>
                <w:lang w:val="en-US"/>
              </w:rPr>
            </w:pPr>
            <w:r w:rsidRPr="00241CC6">
              <w:rPr>
                <w:rFonts w:ascii="Calibri" w:hAnsi="Calibri"/>
                <w:sz w:val="20"/>
                <w:szCs w:val="20"/>
                <w:lang w:val="en-US"/>
              </w:rPr>
              <w:t>Manner</w:t>
            </w:r>
          </w:p>
        </w:tc>
        <w:tc>
          <w:tcPr>
            <w:tcW w:w="370" w:type="pct"/>
            <w:vAlign w:val="center"/>
          </w:tcPr>
          <w:p w:rsidR="001726F0" w:rsidRPr="00241CC6" w:rsidRDefault="001726F0" w:rsidP="000E7C15">
            <w:pPr>
              <w:tabs>
                <w:tab w:val="left" w:pos="1440"/>
                <w:tab w:val="decimal" w:pos="4320"/>
              </w:tabs>
              <w:jc w:val="center"/>
              <w:outlineLvl w:val="0"/>
              <w:rPr>
                <w:rFonts w:ascii="Calibri" w:hAnsi="Calibri"/>
                <w:sz w:val="20"/>
                <w:szCs w:val="20"/>
                <w:lang w:val="en-US"/>
              </w:rPr>
            </w:pPr>
            <w:r w:rsidRPr="00241CC6">
              <w:rPr>
                <w:rFonts w:ascii="Calibri" w:hAnsi="Calibri"/>
                <w:sz w:val="20"/>
                <w:szCs w:val="20"/>
                <w:lang w:val="en-US"/>
              </w:rPr>
              <w:t>11%</w:t>
            </w:r>
          </w:p>
        </w:tc>
      </w:tr>
    </w:tbl>
    <w:p w:rsidR="001726F0" w:rsidRPr="00414465" w:rsidRDefault="001726F0" w:rsidP="001726F0">
      <w:pPr>
        <w:tabs>
          <w:tab w:val="left" w:pos="1440"/>
          <w:tab w:val="decimal" w:pos="4320"/>
        </w:tabs>
        <w:jc w:val="left"/>
        <w:outlineLvl w:val="0"/>
        <w:rPr>
          <w:rFonts w:ascii="Calibri" w:hAnsi="Calibri"/>
          <w:i/>
          <w:sz w:val="22"/>
          <w:szCs w:val="22"/>
          <w:lang w:val="en-US"/>
        </w:rPr>
      </w:pPr>
    </w:p>
    <w:p w:rsidR="001726F0" w:rsidRPr="00414465" w:rsidRDefault="001726F0" w:rsidP="001726F0">
      <w:pPr>
        <w:pStyle w:val="ListParagraph"/>
        <w:numPr>
          <w:ilvl w:val="0"/>
          <w:numId w:val="5"/>
        </w:numPr>
        <w:tabs>
          <w:tab w:val="left" w:pos="284"/>
          <w:tab w:val="left" w:pos="1440"/>
          <w:tab w:val="decimal" w:pos="4320"/>
        </w:tabs>
        <w:ind w:left="284" w:hanging="284"/>
        <w:outlineLvl w:val="0"/>
        <w:rPr>
          <w:rFonts w:ascii="Calibri" w:hAnsi="Calibri"/>
          <w:sz w:val="22"/>
          <w:szCs w:val="22"/>
          <w:lang w:val="en-US"/>
        </w:rPr>
      </w:pPr>
      <w:r w:rsidRPr="00414465">
        <w:rPr>
          <w:rFonts w:ascii="Calibri" w:hAnsi="Calibri"/>
          <w:sz w:val="22"/>
          <w:szCs w:val="22"/>
          <w:lang w:val="en-US"/>
        </w:rPr>
        <w:t xml:space="preserve">The most frequently occurring key word in all periods reported remains </w:t>
      </w:r>
      <w:r w:rsidRPr="00414465">
        <w:rPr>
          <w:rFonts w:ascii="Calibri" w:hAnsi="Calibri"/>
          <w:i/>
          <w:sz w:val="22"/>
          <w:szCs w:val="22"/>
          <w:lang w:val="en-US"/>
        </w:rPr>
        <w:t xml:space="preserve">inadequate treatment; </w:t>
      </w:r>
      <w:r w:rsidRPr="00414465">
        <w:rPr>
          <w:rFonts w:ascii="Calibri" w:hAnsi="Calibri"/>
          <w:sz w:val="22"/>
          <w:szCs w:val="22"/>
          <w:lang w:val="en-US"/>
        </w:rPr>
        <w:t>however, the percentage of complaints where each of these appears is reducing. This period, in particular, showed a significant reduction</w:t>
      </w:r>
      <w:r>
        <w:rPr>
          <w:rFonts w:ascii="Calibri" w:hAnsi="Calibri"/>
          <w:sz w:val="22"/>
          <w:szCs w:val="22"/>
          <w:lang w:val="en-US"/>
        </w:rPr>
        <w:t>.</w:t>
      </w:r>
    </w:p>
    <w:p w:rsidR="001726F0" w:rsidRPr="00414465" w:rsidRDefault="001726F0" w:rsidP="001726F0">
      <w:pPr>
        <w:pStyle w:val="ListParagraph"/>
        <w:numPr>
          <w:ilvl w:val="0"/>
          <w:numId w:val="5"/>
        </w:numPr>
        <w:tabs>
          <w:tab w:val="left" w:pos="284"/>
          <w:tab w:val="left" w:pos="1440"/>
          <w:tab w:val="decimal" w:pos="4320"/>
        </w:tabs>
        <w:ind w:left="284" w:hanging="284"/>
        <w:outlineLvl w:val="0"/>
        <w:rPr>
          <w:rFonts w:ascii="Calibri" w:hAnsi="Calibri"/>
          <w:sz w:val="22"/>
          <w:szCs w:val="22"/>
          <w:lang w:val="en-US"/>
        </w:rPr>
      </w:pPr>
      <w:r w:rsidRPr="00414465">
        <w:rPr>
          <w:rFonts w:ascii="Calibri" w:hAnsi="Calibri"/>
          <w:sz w:val="22"/>
          <w:szCs w:val="22"/>
          <w:lang w:val="en-US"/>
        </w:rPr>
        <w:t xml:space="preserve">Complaints citing concerns about </w:t>
      </w:r>
      <w:r w:rsidRPr="00414465">
        <w:rPr>
          <w:rFonts w:ascii="Calibri" w:hAnsi="Calibri"/>
          <w:i/>
          <w:sz w:val="22"/>
          <w:szCs w:val="22"/>
          <w:lang w:val="en-US"/>
        </w:rPr>
        <w:t xml:space="preserve">attitude and manner </w:t>
      </w:r>
      <w:r w:rsidRPr="00414465">
        <w:rPr>
          <w:rFonts w:ascii="Calibri" w:hAnsi="Calibri"/>
          <w:sz w:val="22"/>
          <w:szCs w:val="22"/>
          <w:lang w:val="en-US"/>
        </w:rPr>
        <w:t>continue to reduce over consecutive periods.</w:t>
      </w:r>
    </w:p>
    <w:p w:rsidR="001726F0" w:rsidRPr="00414465" w:rsidRDefault="001726F0" w:rsidP="001726F0">
      <w:pPr>
        <w:pStyle w:val="ListParagraph"/>
        <w:numPr>
          <w:ilvl w:val="0"/>
          <w:numId w:val="5"/>
        </w:numPr>
        <w:tabs>
          <w:tab w:val="left" w:pos="284"/>
          <w:tab w:val="left" w:pos="1440"/>
          <w:tab w:val="decimal" w:pos="4320"/>
        </w:tabs>
        <w:ind w:left="284" w:hanging="284"/>
        <w:outlineLvl w:val="0"/>
        <w:rPr>
          <w:rFonts w:ascii="Calibri" w:hAnsi="Calibri"/>
          <w:i/>
          <w:sz w:val="22"/>
          <w:szCs w:val="22"/>
          <w:lang w:val="en-US"/>
        </w:rPr>
      </w:pPr>
      <w:r w:rsidRPr="00414465">
        <w:rPr>
          <w:rFonts w:ascii="Calibri" w:hAnsi="Calibri"/>
          <w:sz w:val="22"/>
          <w:szCs w:val="22"/>
          <w:lang w:val="en-US"/>
        </w:rPr>
        <w:t xml:space="preserve">The percentage of complaints citing concerns with </w:t>
      </w:r>
      <w:r w:rsidRPr="00414465">
        <w:rPr>
          <w:rFonts w:ascii="Calibri" w:hAnsi="Calibri"/>
          <w:i/>
          <w:sz w:val="22"/>
          <w:szCs w:val="22"/>
          <w:lang w:val="en-US"/>
        </w:rPr>
        <w:t>diagnosis</w:t>
      </w:r>
      <w:r>
        <w:rPr>
          <w:rFonts w:ascii="Calibri" w:hAnsi="Calibri"/>
          <w:i/>
          <w:sz w:val="22"/>
          <w:szCs w:val="22"/>
          <w:lang w:val="en-US"/>
        </w:rPr>
        <w:t xml:space="preserve"> </w:t>
      </w:r>
      <w:r w:rsidRPr="00414465">
        <w:rPr>
          <w:rFonts w:ascii="Calibri" w:hAnsi="Calibri"/>
          <w:sz w:val="22"/>
          <w:szCs w:val="22"/>
          <w:lang w:val="en-US"/>
        </w:rPr>
        <w:t>has also reduced significantly for this period.</w:t>
      </w:r>
    </w:p>
    <w:p w:rsidR="001726F0" w:rsidRPr="00414465" w:rsidRDefault="001726F0" w:rsidP="001726F0">
      <w:pPr>
        <w:pStyle w:val="ListParagraph"/>
        <w:numPr>
          <w:ilvl w:val="0"/>
          <w:numId w:val="5"/>
        </w:numPr>
        <w:tabs>
          <w:tab w:val="left" w:pos="284"/>
          <w:tab w:val="left" w:pos="1440"/>
          <w:tab w:val="decimal" w:pos="4320"/>
        </w:tabs>
        <w:spacing w:after="240"/>
        <w:ind w:left="284" w:hanging="284"/>
        <w:outlineLvl w:val="0"/>
        <w:rPr>
          <w:rFonts w:ascii="Calibri" w:hAnsi="Calibri"/>
          <w:i/>
          <w:sz w:val="22"/>
          <w:szCs w:val="22"/>
          <w:lang w:val="en-US"/>
        </w:rPr>
      </w:pPr>
      <w:r w:rsidRPr="00414465">
        <w:rPr>
          <w:rFonts w:ascii="Calibri" w:hAnsi="Calibri"/>
          <w:sz w:val="22"/>
          <w:szCs w:val="22"/>
          <w:lang w:val="en-US"/>
        </w:rPr>
        <w:t xml:space="preserve">Complaints citing concerns about </w:t>
      </w:r>
      <w:r w:rsidRPr="00414465">
        <w:rPr>
          <w:rFonts w:ascii="Calibri" w:hAnsi="Calibri"/>
          <w:i/>
          <w:sz w:val="22"/>
          <w:szCs w:val="22"/>
          <w:lang w:val="en-US"/>
        </w:rPr>
        <w:t>coordination of treatment</w:t>
      </w:r>
      <w:r>
        <w:rPr>
          <w:rFonts w:ascii="Calibri" w:hAnsi="Calibri"/>
          <w:i/>
          <w:sz w:val="22"/>
          <w:szCs w:val="22"/>
          <w:lang w:val="en-US"/>
        </w:rPr>
        <w:t xml:space="preserve"> </w:t>
      </w:r>
      <w:r w:rsidRPr="00414465">
        <w:rPr>
          <w:rFonts w:ascii="Calibri" w:hAnsi="Calibri"/>
          <w:sz w:val="22"/>
          <w:szCs w:val="22"/>
          <w:lang w:val="en-US"/>
        </w:rPr>
        <w:t xml:space="preserve">did not feature in </w:t>
      </w:r>
      <w:r>
        <w:rPr>
          <w:rFonts w:ascii="Calibri" w:hAnsi="Calibri"/>
          <w:sz w:val="22"/>
          <w:szCs w:val="22"/>
          <w:lang w:val="en-US"/>
        </w:rPr>
        <w:t xml:space="preserve">the </w:t>
      </w:r>
      <w:r w:rsidRPr="00414465">
        <w:rPr>
          <w:rFonts w:ascii="Calibri" w:hAnsi="Calibri"/>
          <w:sz w:val="22"/>
          <w:szCs w:val="22"/>
          <w:lang w:val="en-US"/>
        </w:rPr>
        <w:t>top five concerns for the previous periods but is the third highest reported concern in the current period.</w:t>
      </w:r>
    </w:p>
    <w:p w:rsidR="001726F0" w:rsidRPr="00414465" w:rsidRDefault="001726F0" w:rsidP="001726F0">
      <w:pPr>
        <w:tabs>
          <w:tab w:val="left" w:pos="1440"/>
          <w:tab w:val="left" w:pos="2610"/>
        </w:tabs>
        <w:spacing w:after="240"/>
        <w:outlineLvl w:val="0"/>
        <w:rPr>
          <w:rFonts w:asciiTheme="minorHAnsi" w:hAnsiTheme="minorHAnsi"/>
          <w:sz w:val="22"/>
          <w:szCs w:val="22"/>
        </w:rPr>
      </w:pPr>
      <w:r w:rsidRPr="00414465">
        <w:rPr>
          <w:rFonts w:asciiTheme="minorHAnsi" w:hAnsiTheme="minorHAnsi"/>
          <w:sz w:val="22"/>
          <w:szCs w:val="22"/>
          <w:lang w:val="en-US"/>
        </w:rPr>
        <w:t xml:space="preserve">Please note: </w:t>
      </w:r>
      <w:proofErr w:type="spellStart"/>
      <w:r w:rsidRPr="00414465">
        <w:rPr>
          <w:rFonts w:asciiTheme="minorHAnsi" w:hAnsiTheme="minorHAnsi"/>
          <w:i/>
          <w:sz w:val="22"/>
          <w:szCs w:val="22"/>
          <w:lang w:val="en-US"/>
        </w:rPr>
        <w:t>i</w:t>
      </w:r>
      <w:r w:rsidRPr="00414465">
        <w:rPr>
          <w:rFonts w:asciiTheme="minorHAnsi" w:hAnsiTheme="minorHAnsi"/>
          <w:i/>
          <w:sz w:val="22"/>
          <w:szCs w:val="22"/>
        </w:rPr>
        <w:t>nadequate</w:t>
      </w:r>
      <w:proofErr w:type="spellEnd"/>
      <w:r w:rsidRPr="00414465">
        <w:rPr>
          <w:rFonts w:asciiTheme="minorHAnsi" w:hAnsiTheme="minorHAnsi"/>
          <w:i/>
          <w:sz w:val="22"/>
          <w:szCs w:val="22"/>
        </w:rPr>
        <w:t xml:space="preserve"> care</w:t>
      </w:r>
      <w:r w:rsidRPr="00414465">
        <w:rPr>
          <w:rFonts w:asciiTheme="minorHAnsi" w:hAnsiTheme="minorHAnsi"/>
          <w:sz w:val="22"/>
          <w:szCs w:val="22"/>
        </w:rPr>
        <w:t xml:space="preserve"> differs from </w:t>
      </w:r>
      <w:r w:rsidRPr="00414465">
        <w:rPr>
          <w:rFonts w:asciiTheme="minorHAnsi" w:hAnsiTheme="minorHAnsi"/>
          <w:i/>
          <w:sz w:val="22"/>
          <w:szCs w:val="22"/>
        </w:rPr>
        <w:t xml:space="preserve">inadequate treatment </w:t>
      </w:r>
      <w:r w:rsidRPr="00414465">
        <w:rPr>
          <w:rFonts w:asciiTheme="minorHAnsi" w:hAnsiTheme="minorHAnsi"/>
          <w:sz w:val="22"/>
          <w:szCs w:val="22"/>
        </w:rPr>
        <w:t>in that</w:t>
      </w:r>
      <w:r>
        <w:rPr>
          <w:rFonts w:asciiTheme="minorHAnsi" w:hAnsiTheme="minorHAnsi"/>
          <w:sz w:val="22"/>
          <w:szCs w:val="22"/>
        </w:rPr>
        <w:t xml:space="preserve"> </w:t>
      </w:r>
      <w:r w:rsidRPr="00414465">
        <w:rPr>
          <w:rFonts w:asciiTheme="minorHAnsi" w:hAnsiTheme="minorHAnsi"/>
          <w:sz w:val="22"/>
          <w:szCs w:val="22"/>
          <w:lang w:val="en-US"/>
        </w:rPr>
        <w:t>‘care’ refers to supporting activities (</w:t>
      </w:r>
      <w:r w:rsidRPr="00414465">
        <w:rPr>
          <w:rFonts w:asciiTheme="minorHAnsi" w:hAnsiTheme="minorHAnsi" w:cs="Helv"/>
          <w:sz w:val="22"/>
          <w:szCs w:val="22"/>
          <w:lang w:eastAsia="en-NZ" w:bidi="ar-SA"/>
        </w:rPr>
        <w:t>eg</w:t>
      </w:r>
      <w:r>
        <w:rPr>
          <w:rFonts w:asciiTheme="minorHAnsi" w:hAnsiTheme="minorHAnsi" w:cs="Helv"/>
          <w:sz w:val="22"/>
          <w:szCs w:val="22"/>
          <w:lang w:eastAsia="en-NZ" w:bidi="ar-SA"/>
        </w:rPr>
        <w:t>,</w:t>
      </w:r>
      <w:r w:rsidRPr="00414465">
        <w:rPr>
          <w:rFonts w:asciiTheme="minorHAnsi" w:hAnsiTheme="minorHAnsi" w:cs="Helv"/>
          <w:sz w:val="22"/>
          <w:szCs w:val="22"/>
          <w:lang w:eastAsia="en-NZ" w:bidi="ar-SA"/>
        </w:rPr>
        <w:t xml:space="preserve"> a </w:t>
      </w:r>
      <w:r w:rsidRPr="00414465">
        <w:rPr>
          <w:rFonts w:ascii="Calibri" w:hAnsi="Calibri" w:cs="Calibri"/>
          <w:sz w:val="22"/>
          <w:szCs w:val="22"/>
          <w:lang w:val="en-US"/>
        </w:rPr>
        <w:t>nurse</w:t>
      </w:r>
      <w:r w:rsidRPr="00414465">
        <w:rPr>
          <w:rFonts w:asciiTheme="minorHAnsi" w:hAnsiTheme="minorHAnsi" w:cs="Helv"/>
          <w:sz w:val="22"/>
          <w:szCs w:val="22"/>
          <w:lang w:eastAsia="en-NZ" w:bidi="ar-SA"/>
        </w:rPr>
        <w:t xml:space="preserve"> fails to take observations</w:t>
      </w:r>
      <w:r w:rsidRPr="00414465">
        <w:rPr>
          <w:rFonts w:asciiTheme="minorHAnsi" w:hAnsiTheme="minorHAnsi"/>
          <w:sz w:val="22"/>
          <w:szCs w:val="22"/>
          <w:lang w:val="en-US"/>
        </w:rPr>
        <w:t>) whereas ‘treatment’ describes more active intervention where a standard of practice is relevant.</w:t>
      </w:r>
    </w:p>
    <w:p w:rsidR="001726F0" w:rsidRPr="00056044" w:rsidRDefault="001726F0" w:rsidP="001726F0">
      <w:pPr>
        <w:pStyle w:val="Heading3"/>
        <w:rPr>
          <w:lang w:val="en-US"/>
        </w:rPr>
      </w:pPr>
      <w:r w:rsidRPr="00056044">
        <w:rPr>
          <w:lang w:val="en-US"/>
        </w:rPr>
        <w:t>1.3</w:t>
      </w:r>
      <w:r w:rsidRPr="00056044">
        <w:rPr>
          <w:lang w:val="en-US"/>
        </w:rPr>
        <w:tab/>
        <w:t xml:space="preserve">Service type and key words (concerns raised in complaints) </w:t>
      </w:r>
    </w:p>
    <w:p w:rsidR="001726F0" w:rsidRPr="00414465" w:rsidRDefault="001726F0" w:rsidP="001726F0">
      <w:pPr>
        <w:tabs>
          <w:tab w:val="left" w:pos="1440"/>
          <w:tab w:val="left" w:pos="2610"/>
        </w:tabs>
        <w:spacing w:after="240"/>
        <w:outlineLvl w:val="0"/>
        <w:rPr>
          <w:rFonts w:ascii="Calibri" w:eastAsiaTheme="minorEastAsia" w:hAnsi="Calibri" w:cstheme="minorBidi"/>
          <w:sz w:val="22"/>
          <w:szCs w:val="22"/>
          <w:lang w:val="en-US" w:eastAsia="en-NZ" w:bidi="ar-SA"/>
        </w:rPr>
      </w:pPr>
      <w:r w:rsidRPr="00414465">
        <w:rPr>
          <w:rFonts w:ascii="Calibri" w:eastAsiaTheme="minorEastAsia" w:hAnsi="Calibri" w:cs="Calibri"/>
          <w:sz w:val="22"/>
          <w:szCs w:val="22"/>
          <w:lang w:eastAsia="en-NZ" w:bidi="ar-SA"/>
        </w:rPr>
        <w:t xml:space="preserve">For each service type, the concerns raised in complaints received about the care provided by that service can be identified through an analysis of key words. The reports for individual DHBs list </w:t>
      </w:r>
      <w:r w:rsidRPr="00414465">
        <w:rPr>
          <w:rFonts w:ascii="Calibri" w:eastAsiaTheme="minorEastAsia" w:hAnsi="Calibri" w:cstheme="minorBidi"/>
          <w:sz w:val="22"/>
          <w:szCs w:val="22"/>
          <w:lang w:val="en-US" w:eastAsia="en-NZ" w:bidi="ar-SA"/>
        </w:rPr>
        <w:t>the services in that DHB that were subject to complaint, and the concerns associated with these services.</w:t>
      </w:r>
    </w:p>
    <w:p w:rsidR="001726F0" w:rsidRPr="00414465" w:rsidRDefault="001726F0" w:rsidP="001726F0">
      <w:pPr>
        <w:pStyle w:val="Heading3"/>
        <w:rPr>
          <w:lang w:val="en-US"/>
        </w:rPr>
      </w:pPr>
      <w:r w:rsidRPr="00414465">
        <w:rPr>
          <w:lang w:val="en-US"/>
        </w:rPr>
        <w:t>1.4</w:t>
      </w:r>
      <w:r w:rsidRPr="00414465">
        <w:rPr>
          <w:lang w:val="en-US"/>
        </w:rPr>
        <w:tab/>
        <w:t>Primary issues</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For each complaint received by HDC, one primary issue is identified. The primary issues identified in complaints from the period July to December 2012 are listed in Table 3. The table shows that </w:t>
      </w:r>
      <w:r>
        <w:rPr>
          <w:rFonts w:ascii="Calibri" w:hAnsi="Calibri"/>
          <w:i/>
          <w:sz w:val="22"/>
          <w:szCs w:val="22"/>
          <w:lang w:val="en-US"/>
        </w:rPr>
        <w:lastRenderedPageBreak/>
        <w:t>t</w:t>
      </w:r>
      <w:r w:rsidRPr="00414465">
        <w:rPr>
          <w:rFonts w:ascii="Calibri" w:hAnsi="Calibri"/>
          <w:i/>
          <w:sz w:val="22"/>
          <w:szCs w:val="22"/>
          <w:lang w:val="en-US"/>
        </w:rPr>
        <w:t>reatment</w:t>
      </w:r>
      <w:r w:rsidRPr="00414465">
        <w:rPr>
          <w:rFonts w:ascii="Calibri" w:hAnsi="Calibri"/>
          <w:sz w:val="22"/>
          <w:szCs w:val="22"/>
          <w:lang w:val="en-US"/>
        </w:rPr>
        <w:t xml:space="preserve"> is the most common primary concern, occurring in 176 (60.3%) of the complaints received by DHBs in this period. </w:t>
      </w:r>
    </w:p>
    <w:p w:rsidR="001726F0" w:rsidRPr="00414465" w:rsidRDefault="001726F0" w:rsidP="001726F0">
      <w:pPr>
        <w:keepNext/>
        <w:rPr>
          <w:rFonts w:ascii="Calibri" w:hAnsi="Calibri"/>
          <w:b/>
          <w:sz w:val="22"/>
          <w:szCs w:val="22"/>
          <w:lang w:val="en-US"/>
        </w:rPr>
      </w:pPr>
      <w:r w:rsidRPr="00414465">
        <w:rPr>
          <w:rFonts w:ascii="Calibri" w:hAnsi="Calibri"/>
          <w:b/>
          <w:sz w:val="22"/>
          <w:szCs w:val="22"/>
          <w:lang w:val="en-US"/>
        </w:rPr>
        <w:t>Table 3 – 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552"/>
        <w:gridCol w:w="2552"/>
      </w:tblGrid>
      <w:tr w:rsidR="001726F0" w:rsidRPr="00414465" w:rsidTr="000E7C15">
        <w:trPr>
          <w:tblHeader/>
        </w:trPr>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left"/>
              <w:outlineLvl w:val="0"/>
              <w:rPr>
                <w:rFonts w:ascii="Calibri" w:hAnsi="Calibri"/>
                <w:b/>
                <w:sz w:val="22"/>
                <w:szCs w:val="22"/>
                <w:lang w:val="en-US"/>
              </w:rPr>
            </w:pPr>
            <w:r w:rsidRPr="00414465">
              <w:rPr>
                <w:rFonts w:ascii="Calibri" w:hAnsi="Calibri"/>
                <w:b/>
                <w:sz w:val="22"/>
                <w:szCs w:val="22"/>
                <w:lang w:val="en-US"/>
              </w:rPr>
              <w:t xml:space="preserve">Primary issue in complaints </w:t>
            </w:r>
          </w:p>
        </w:tc>
        <w:tc>
          <w:tcPr>
            <w:tcW w:w="255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2"/>
                <w:szCs w:val="22"/>
                <w:lang w:val="en-US"/>
              </w:rPr>
            </w:pPr>
            <w:r w:rsidRPr="00414465">
              <w:rPr>
                <w:rFonts w:ascii="Calibri" w:hAnsi="Calibri"/>
                <w:b/>
                <w:sz w:val="22"/>
                <w:szCs w:val="22"/>
                <w:lang w:val="en-US"/>
              </w:rPr>
              <w:t>Number of complaints about this issue</w:t>
            </w:r>
          </w:p>
        </w:tc>
        <w:tc>
          <w:tcPr>
            <w:tcW w:w="255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2"/>
                <w:szCs w:val="22"/>
                <w:lang w:val="en-US"/>
              </w:rPr>
            </w:pPr>
            <w:r w:rsidRPr="00414465">
              <w:rPr>
                <w:rFonts w:ascii="Calibri" w:hAnsi="Calibri"/>
                <w:b/>
                <w:sz w:val="22"/>
                <w:szCs w:val="22"/>
                <w:lang w:val="en-US"/>
              </w:rPr>
              <w:t>Percentage</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00" w:beforeAutospacing="1"/>
              <w:jc w:val="left"/>
              <w:outlineLvl w:val="0"/>
              <w:rPr>
                <w:rFonts w:ascii="Calibri" w:hAnsi="Calibri"/>
                <w:sz w:val="22"/>
                <w:szCs w:val="22"/>
                <w:lang w:val="en-US"/>
              </w:rPr>
            </w:pPr>
            <w:r w:rsidRPr="00414465">
              <w:rPr>
                <w:rFonts w:ascii="Calibri" w:hAnsi="Calibri"/>
                <w:sz w:val="22"/>
                <w:szCs w:val="22"/>
                <w:lang w:val="en-US"/>
              </w:rPr>
              <w:t>Access and funding</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18</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6.2%</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Communication</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33</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11.3%</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Consent/information</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21</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7.2%</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 xml:space="preserve">Disability/Other issues </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1.7%</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Discharge &amp; transfer arrangements</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9</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3.1%</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Fees and costs</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Grievance/complaints process</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Management of facilities</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6</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2.1%</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Medical records/reports</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6</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2.1%</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Medication</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7</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2.4%</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Privacy/confidentiality</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0.3%</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Professional conduct</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8</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2.7%</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Treatment</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176</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sz w:val="22"/>
                <w:szCs w:val="22"/>
              </w:rPr>
            </w:pPr>
            <w:r w:rsidRPr="00414465">
              <w:rPr>
                <w:rFonts w:asciiTheme="minorHAnsi" w:hAnsiTheme="minorHAnsi" w:cs="Arial"/>
                <w:sz w:val="22"/>
                <w:szCs w:val="22"/>
              </w:rPr>
              <w:t>60.3%</w:t>
            </w:r>
          </w:p>
        </w:tc>
      </w:tr>
      <w:tr w:rsidR="001726F0" w:rsidRPr="00414465" w:rsidTr="000E7C15">
        <w:tc>
          <w:tcPr>
            <w:tcW w:w="3402"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b/>
                <w:sz w:val="22"/>
                <w:szCs w:val="22"/>
                <w:lang w:val="en-US"/>
              </w:rPr>
            </w:pPr>
            <w:r w:rsidRPr="00414465">
              <w:rPr>
                <w:rFonts w:ascii="Calibri" w:hAnsi="Calibri"/>
                <w:b/>
                <w:sz w:val="22"/>
                <w:szCs w:val="22"/>
                <w:lang w:val="en-US"/>
              </w:rPr>
              <w:t>Total</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b/>
                <w:sz w:val="22"/>
                <w:szCs w:val="22"/>
              </w:rPr>
            </w:pPr>
            <w:r w:rsidRPr="00414465">
              <w:rPr>
                <w:rFonts w:asciiTheme="minorHAnsi" w:hAnsiTheme="minorHAnsi" w:cs="Arial"/>
                <w:b/>
                <w:sz w:val="22"/>
                <w:szCs w:val="22"/>
              </w:rPr>
              <w:t>292</w:t>
            </w:r>
          </w:p>
        </w:tc>
        <w:tc>
          <w:tcPr>
            <w:tcW w:w="2552"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jc w:val="center"/>
              <w:rPr>
                <w:rFonts w:asciiTheme="minorHAnsi" w:hAnsiTheme="minorHAnsi" w:cs="Arial"/>
                <w:b/>
                <w:sz w:val="22"/>
                <w:szCs w:val="22"/>
              </w:rPr>
            </w:pPr>
          </w:p>
        </w:tc>
      </w:tr>
    </w:tbl>
    <w:p w:rsidR="001726F0" w:rsidRPr="00056044" w:rsidRDefault="001726F0" w:rsidP="001726F0">
      <w:pPr>
        <w:tabs>
          <w:tab w:val="left" w:pos="1440"/>
          <w:tab w:val="decimal" w:pos="4320"/>
        </w:tabs>
        <w:jc w:val="left"/>
        <w:outlineLvl w:val="0"/>
        <w:rPr>
          <w:rFonts w:ascii="Calibri" w:hAnsi="Calibri"/>
          <w:sz w:val="22"/>
          <w:szCs w:val="22"/>
          <w:lang w:val="en-US"/>
        </w:rPr>
      </w:pPr>
    </w:p>
    <w:p w:rsidR="001726F0" w:rsidRPr="00414465" w:rsidRDefault="001726F0" w:rsidP="001726F0">
      <w:pPr>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Table 4 shows a comparison over time for the top five primary issues complained about.</w:t>
      </w:r>
    </w:p>
    <w:p w:rsidR="001726F0" w:rsidRPr="00414465" w:rsidRDefault="001726F0" w:rsidP="001726F0">
      <w:pPr>
        <w:tabs>
          <w:tab w:val="left" w:pos="1440"/>
          <w:tab w:val="decimal" w:pos="4320"/>
        </w:tabs>
        <w:jc w:val="left"/>
        <w:outlineLvl w:val="0"/>
        <w:rPr>
          <w:rFonts w:ascii="Calibri" w:hAnsi="Calibri"/>
          <w:sz w:val="22"/>
          <w:szCs w:val="22"/>
          <w:lang w:val="en-US"/>
        </w:rPr>
      </w:pPr>
    </w:p>
    <w:p w:rsidR="001726F0" w:rsidRPr="00414465" w:rsidRDefault="001726F0" w:rsidP="001726F0">
      <w:pPr>
        <w:keepNext/>
        <w:tabs>
          <w:tab w:val="left" w:pos="1440"/>
          <w:tab w:val="decimal" w:pos="4320"/>
        </w:tabs>
        <w:jc w:val="left"/>
        <w:outlineLvl w:val="0"/>
        <w:rPr>
          <w:rFonts w:ascii="Calibri" w:hAnsi="Calibri"/>
          <w:b/>
          <w:sz w:val="22"/>
          <w:szCs w:val="22"/>
          <w:lang w:val="en-US"/>
        </w:rPr>
      </w:pPr>
      <w:r w:rsidRPr="00414465">
        <w:rPr>
          <w:rFonts w:ascii="Calibri" w:hAnsi="Calibri"/>
          <w:b/>
          <w:sz w:val="22"/>
          <w:szCs w:val="22"/>
          <w:lang w:val="en-US"/>
        </w:rPr>
        <w:t xml:space="preserve">Table 4 – Top five primary issues in complaints received </w:t>
      </w:r>
      <w:r w:rsidRPr="001C7BDC">
        <w:rPr>
          <w:rFonts w:ascii="Calibri" w:hAnsi="Calibri"/>
          <w:b/>
          <w:sz w:val="22"/>
          <w:szCs w:val="22"/>
          <w:lang w:val="en-US"/>
        </w:rPr>
        <w:t>over last two years</w:t>
      </w:r>
    </w:p>
    <w:tbl>
      <w:tblPr>
        <w:tblW w:w="48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559"/>
        <w:gridCol w:w="564"/>
        <w:gridCol w:w="1561"/>
        <w:gridCol w:w="568"/>
        <w:gridCol w:w="1561"/>
        <w:gridCol w:w="568"/>
        <w:gridCol w:w="1559"/>
        <w:gridCol w:w="566"/>
      </w:tblGrid>
      <w:tr w:rsidR="001726F0" w:rsidRPr="00414465" w:rsidTr="000E7C15">
        <w:trPr>
          <w:tblHeader/>
        </w:trPr>
        <w:tc>
          <w:tcPr>
            <w:tcW w:w="5000" w:type="pct"/>
            <w:gridSpan w:val="9"/>
            <w:vAlign w:val="center"/>
          </w:tcPr>
          <w:p w:rsidR="001726F0" w:rsidRPr="00414465" w:rsidRDefault="001726F0" w:rsidP="000E7C15">
            <w:pPr>
              <w:tabs>
                <w:tab w:val="left" w:pos="1440"/>
                <w:tab w:val="decimal" w:pos="4320"/>
              </w:tabs>
              <w:spacing w:before="120" w:after="120"/>
              <w:jc w:val="center"/>
              <w:outlineLvl w:val="0"/>
              <w:rPr>
                <w:rFonts w:ascii="Calibri" w:hAnsi="Calibri"/>
                <w:b/>
                <w:lang w:val="en-US"/>
              </w:rPr>
            </w:pPr>
            <w:r w:rsidRPr="00414465">
              <w:rPr>
                <w:rFonts w:ascii="Calibri" w:hAnsi="Calibri"/>
                <w:b/>
                <w:sz w:val="22"/>
                <w:szCs w:val="22"/>
                <w:lang w:val="en-US"/>
              </w:rPr>
              <w:t>Top five primary issues in all complaints (%)</w:t>
            </w:r>
          </w:p>
        </w:tc>
      </w:tr>
      <w:tr w:rsidR="001726F0" w:rsidRPr="00414465" w:rsidTr="000E7C15">
        <w:tc>
          <w:tcPr>
            <w:tcW w:w="237" w:type="pct"/>
          </w:tcPr>
          <w:p w:rsidR="001726F0" w:rsidRPr="00414465" w:rsidRDefault="001726F0" w:rsidP="000E7C15">
            <w:pPr>
              <w:tabs>
                <w:tab w:val="left" w:pos="1440"/>
                <w:tab w:val="decimal" w:pos="4320"/>
              </w:tabs>
              <w:outlineLvl w:val="0"/>
              <w:rPr>
                <w:rFonts w:ascii="Calibri" w:hAnsi="Calibri"/>
                <w:lang w:val="en-US"/>
              </w:rPr>
            </w:pPr>
          </w:p>
        </w:tc>
        <w:tc>
          <w:tcPr>
            <w:tcW w:w="1189"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Jan–Jun 11</w:t>
            </w:r>
          </w:p>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n=268</w:t>
            </w:r>
          </w:p>
        </w:tc>
        <w:tc>
          <w:tcPr>
            <w:tcW w:w="1192" w:type="pct"/>
            <w:gridSpan w:val="2"/>
          </w:tcPr>
          <w:p w:rsidR="001726F0" w:rsidRPr="00414465" w:rsidRDefault="001726F0" w:rsidP="000E7C15">
            <w:pPr>
              <w:tabs>
                <w:tab w:val="left" w:pos="1440"/>
                <w:tab w:val="decimal" w:pos="4320"/>
              </w:tabs>
              <w:ind w:left="139" w:right="10" w:firstLine="13"/>
              <w:jc w:val="center"/>
              <w:outlineLvl w:val="0"/>
              <w:rPr>
                <w:rFonts w:ascii="Calibri" w:hAnsi="Calibri"/>
                <w:b/>
                <w:lang w:val="en-US"/>
              </w:rPr>
            </w:pPr>
            <w:r w:rsidRPr="00414465">
              <w:rPr>
                <w:rFonts w:ascii="Calibri" w:hAnsi="Calibri"/>
                <w:b/>
                <w:sz w:val="22"/>
                <w:szCs w:val="22"/>
                <w:lang w:val="en-US"/>
              </w:rPr>
              <w:t>Jul–Dec 11</w:t>
            </w:r>
          </w:p>
          <w:p w:rsidR="001726F0" w:rsidRPr="00414465" w:rsidRDefault="001726F0" w:rsidP="000E7C15">
            <w:pPr>
              <w:tabs>
                <w:tab w:val="left" w:pos="1440"/>
                <w:tab w:val="decimal" w:pos="4320"/>
              </w:tabs>
              <w:ind w:left="139" w:right="10" w:firstLine="13"/>
              <w:jc w:val="center"/>
              <w:outlineLvl w:val="0"/>
              <w:rPr>
                <w:rFonts w:ascii="Calibri" w:hAnsi="Calibri"/>
                <w:b/>
                <w:lang w:val="en-US"/>
              </w:rPr>
            </w:pPr>
            <w:r w:rsidRPr="00414465">
              <w:rPr>
                <w:rFonts w:ascii="Calibri" w:hAnsi="Calibri"/>
                <w:b/>
                <w:sz w:val="22"/>
                <w:szCs w:val="22"/>
                <w:lang w:val="en-US"/>
              </w:rPr>
              <w:t>n=255</w:t>
            </w:r>
          </w:p>
        </w:tc>
        <w:tc>
          <w:tcPr>
            <w:tcW w:w="1192"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Jan–Jun 12</w:t>
            </w:r>
          </w:p>
          <w:p w:rsidR="001726F0" w:rsidRPr="00414465" w:rsidRDefault="001726F0" w:rsidP="000E7C15">
            <w:pPr>
              <w:tabs>
                <w:tab w:val="left" w:pos="1440"/>
                <w:tab w:val="decimal" w:pos="4320"/>
              </w:tabs>
              <w:ind w:left="139" w:right="10" w:firstLine="13"/>
              <w:jc w:val="center"/>
              <w:outlineLvl w:val="0"/>
              <w:rPr>
                <w:rFonts w:ascii="Calibri" w:hAnsi="Calibri"/>
                <w:b/>
                <w:sz w:val="22"/>
                <w:szCs w:val="22"/>
                <w:lang w:val="en-US"/>
              </w:rPr>
            </w:pPr>
            <w:r w:rsidRPr="00414465">
              <w:rPr>
                <w:rFonts w:ascii="Calibri" w:hAnsi="Calibri"/>
                <w:b/>
                <w:sz w:val="22"/>
                <w:szCs w:val="22"/>
                <w:lang w:val="en-US"/>
              </w:rPr>
              <w:t>n=355</w:t>
            </w:r>
          </w:p>
        </w:tc>
        <w:tc>
          <w:tcPr>
            <w:tcW w:w="1190" w:type="pct"/>
            <w:gridSpan w:val="2"/>
          </w:tcPr>
          <w:p w:rsidR="001726F0" w:rsidRPr="00414465" w:rsidRDefault="001726F0" w:rsidP="000E7C15">
            <w:pPr>
              <w:tabs>
                <w:tab w:val="left" w:pos="1440"/>
                <w:tab w:val="decimal" w:pos="4320"/>
              </w:tabs>
              <w:ind w:firstLine="152"/>
              <w:jc w:val="center"/>
              <w:outlineLvl w:val="0"/>
              <w:rPr>
                <w:rFonts w:ascii="Calibri" w:hAnsi="Calibri"/>
                <w:b/>
                <w:lang w:val="en-US"/>
              </w:rPr>
            </w:pPr>
            <w:r w:rsidRPr="00414465">
              <w:rPr>
                <w:rFonts w:ascii="Calibri" w:hAnsi="Calibri"/>
                <w:b/>
                <w:sz w:val="22"/>
                <w:szCs w:val="22"/>
                <w:lang w:val="en-US"/>
              </w:rPr>
              <w:t>Jul–Dec 12</w:t>
            </w:r>
          </w:p>
          <w:p w:rsidR="001726F0" w:rsidRPr="00414465" w:rsidRDefault="001726F0" w:rsidP="000E7C15">
            <w:pPr>
              <w:tabs>
                <w:tab w:val="left" w:pos="1440"/>
                <w:tab w:val="decimal" w:pos="4320"/>
              </w:tabs>
              <w:ind w:left="139" w:right="10" w:firstLine="13"/>
              <w:jc w:val="center"/>
              <w:outlineLvl w:val="0"/>
              <w:rPr>
                <w:rFonts w:ascii="Calibri" w:hAnsi="Calibri"/>
                <w:b/>
                <w:sz w:val="22"/>
                <w:szCs w:val="22"/>
                <w:lang w:val="en-US"/>
              </w:rPr>
            </w:pPr>
            <w:r w:rsidRPr="00414465">
              <w:rPr>
                <w:rFonts w:ascii="Calibri" w:hAnsi="Calibri"/>
                <w:b/>
                <w:sz w:val="22"/>
                <w:szCs w:val="22"/>
                <w:lang w:val="en-US"/>
              </w:rPr>
              <w:t>n=292</w:t>
            </w:r>
          </w:p>
        </w:tc>
      </w:tr>
      <w:tr w:rsidR="001726F0" w:rsidRPr="0076187B" w:rsidTr="000E7C15">
        <w:tc>
          <w:tcPr>
            <w:tcW w:w="237" w:type="pct"/>
            <w:vAlign w:val="center"/>
          </w:tcPr>
          <w:p w:rsidR="001726F0" w:rsidRPr="0076187B" w:rsidRDefault="001726F0" w:rsidP="000E7C15">
            <w:pPr>
              <w:tabs>
                <w:tab w:val="left" w:pos="1440"/>
                <w:tab w:val="decimal" w:pos="4320"/>
              </w:tabs>
              <w:jc w:val="center"/>
              <w:outlineLvl w:val="0"/>
              <w:rPr>
                <w:rFonts w:ascii="Calibri" w:hAnsi="Calibri"/>
                <w:sz w:val="22"/>
                <w:szCs w:val="22"/>
                <w:lang w:val="en-US"/>
              </w:rPr>
            </w:pPr>
            <w:r w:rsidRPr="0076187B">
              <w:rPr>
                <w:rFonts w:ascii="Calibri" w:hAnsi="Calibri"/>
                <w:sz w:val="22"/>
                <w:szCs w:val="22"/>
                <w:lang w:val="en-US"/>
              </w:rPr>
              <w:t>1</w:t>
            </w:r>
          </w:p>
        </w:tc>
        <w:tc>
          <w:tcPr>
            <w:tcW w:w="873" w:type="pct"/>
            <w:vAlign w:val="center"/>
          </w:tcPr>
          <w:p w:rsidR="001726F0" w:rsidRPr="00986DB7" w:rsidRDefault="001726F0" w:rsidP="000E7C15">
            <w:pPr>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Treatment</w:t>
            </w:r>
          </w:p>
        </w:tc>
        <w:tc>
          <w:tcPr>
            <w:tcW w:w="316"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60%</w:t>
            </w:r>
          </w:p>
        </w:tc>
        <w:tc>
          <w:tcPr>
            <w:tcW w:w="874" w:type="pct"/>
            <w:vAlign w:val="center"/>
          </w:tcPr>
          <w:p w:rsidR="001726F0" w:rsidRPr="00986DB7" w:rsidRDefault="001726F0" w:rsidP="000E7C15">
            <w:pPr>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Treatment</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66%</w:t>
            </w:r>
          </w:p>
        </w:tc>
        <w:tc>
          <w:tcPr>
            <w:tcW w:w="874" w:type="pct"/>
            <w:vAlign w:val="center"/>
          </w:tcPr>
          <w:p w:rsidR="001726F0" w:rsidRPr="00986DB7" w:rsidRDefault="001726F0" w:rsidP="000E7C15">
            <w:pPr>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Treatment</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60%</w:t>
            </w:r>
          </w:p>
        </w:tc>
        <w:tc>
          <w:tcPr>
            <w:tcW w:w="873" w:type="pct"/>
            <w:vAlign w:val="center"/>
          </w:tcPr>
          <w:p w:rsidR="001726F0" w:rsidRPr="00986DB7" w:rsidRDefault="001726F0" w:rsidP="000E7C15">
            <w:pPr>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Treatment</w:t>
            </w:r>
          </w:p>
        </w:tc>
        <w:tc>
          <w:tcPr>
            <w:tcW w:w="317"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60%</w:t>
            </w:r>
          </w:p>
        </w:tc>
      </w:tr>
      <w:tr w:rsidR="001726F0" w:rsidRPr="0076187B" w:rsidTr="000E7C15">
        <w:tc>
          <w:tcPr>
            <w:tcW w:w="237" w:type="pct"/>
            <w:vAlign w:val="center"/>
          </w:tcPr>
          <w:p w:rsidR="001726F0" w:rsidRPr="0076187B" w:rsidRDefault="001726F0" w:rsidP="000E7C15">
            <w:pPr>
              <w:tabs>
                <w:tab w:val="left" w:pos="1440"/>
                <w:tab w:val="decimal" w:pos="4320"/>
              </w:tabs>
              <w:jc w:val="center"/>
              <w:outlineLvl w:val="0"/>
              <w:rPr>
                <w:rFonts w:ascii="Calibri" w:hAnsi="Calibri"/>
                <w:sz w:val="22"/>
                <w:szCs w:val="22"/>
                <w:lang w:val="en-US"/>
              </w:rPr>
            </w:pPr>
            <w:r w:rsidRPr="0076187B">
              <w:rPr>
                <w:rFonts w:ascii="Calibri" w:hAnsi="Calibri"/>
                <w:sz w:val="22"/>
                <w:szCs w:val="22"/>
                <w:lang w:val="en-US"/>
              </w:rPr>
              <w:t>2</w:t>
            </w:r>
          </w:p>
        </w:tc>
        <w:tc>
          <w:tcPr>
            <w:tcW w:w="873"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Communication</w:t>
            </w:r>
          </w:p>
        </w:tc>
        <w:tc>
          <w:tcPr>
            <w:tcW w:w="316"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15%</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Communication</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10%</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Communication</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12%</w:t>
            </w:r>
          </w:p>
        </w:tc>
        <w:tc>
          <w:tcPr>
            <w:tcW w:w="873"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Communication</w:t>
            </w:r>
          </w:p>
        </w:tc>
        <w:tc>
          <w:tcPr>
            <w:tcW w:w="317"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11%</w:t>
            </w:r>
          </w:p>
        </w:tc>
      </w:tr>
      <w:tr w:rsidR="001726F0" w:rsidRPr="0076187B" w:rsidTr="000E7C15">
        <w:tc>
          <w:tcPr>
            <w:tcW w:w="237" w:type="pct"/>
            <w:vAlign w:val="center"/>
          </w:tcPr>
          <w:p w:rsidR="001726F0" w:rsidRPr="0076187B" w:rsidRDefault="001726F0" w:rsidP="000E7C15">
            <w:pPr>
              <w:tabs>
                <w:tab w:val="left" w:pos="1440"/>
                <w:tab w:val="decimal" w:pos="4320"/>
              </w:tabs>
              <w:jc w:val="center"/>
              <w:outlineLvl w:val="0"/>
              <w:rPr>
                <w:rFonts w:ascii="Calibri" w:hAnsi="Calibri"/>
                <w:sz w:val="22"/>
                <w:szCs w:val="22"/>
                <w:lang w:val="en-US"/>
              </w:rPr>
            </w:pPr>
            <w:r w:rsidRPr="0076187B">
              <w:rPr>
                <w:rFonts w:ascii="Calibri" w:hAnsi="Calibri"/>
                <w:sz w:val="22"/>
                <w:szCs w:val="22"/>
                <w:lang w:val="en-US"/>
              </w:rPr>
              <w:t>3</w:t>
            </w:r>
          </w:p>
        </w:tc>
        <w:tc>
          <w:tcPr>
            <w:tcW w:w="873"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Consent/</w:t>
            </w:r>
          </w:p>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information</w:t>
            </w:r>
          </w:p>
        </w:tc>
        <w:tc>
          <w:tcPr>
            <w:tcW w:w="316"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Consent/</w:t>
            </w:r>
          </w:p>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information</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w:t>
            </w:r>
          </w:p>
        </w:tc>
        <w:tc>
          <w:tcPr>
            <w:tcW w:w="874" w:type="pct"/>
            <w:vAlign w:val="center"/>
          </w:tcPr>
          <w:p w:rsidR="001726F0" w:rsidRPr="00986DB7" w:rsidRDefault="001726F0" w:rsidP="000E7C15">
            <w:pPr>
              <w:keepNext/>
              <w:keepLines/>
              <w:tabs>
                <w:tab w:val="left" w:pos="1440"/>
                <w:tab w:val="decimal" w:pos="4320"/>
              </w:tabs>
              <w:spacing w:before="100" w:beforeAutospacing="1"/>
              <w:jc w:val="left"/>
              <w:outlineLvl w:val="0"/>
              <w:rPr>
                <w:rFonts w:ascii="Calibri" w:hAnsi="Calibri"/>
                <w:sz w:val="20"/>
                <w:szCs w:val="20"/>
                <w:lang w:val="en-US"/>
              </w:rPr>
            </w:pPr>
            <w:r w:rsidRPr="00986DB7">
              <w:rPr>
                <w:rFonts w:ascii="Calibri" w:hAnsi="Calibri"/>
                <w:sz w:val="20"/>
                <w:szCs w:val="20"/>
                <w:lang w:val="en-US"/>
              </w:rPr>
              <w:t>Access and funding</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8%</w:t>
            </w:r>
          </w:p>
        </w:tc>
        <w:tc>
          <w:tcPr>
            <w:tcW w:w="873"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Consent/</w:t>
            </w:r>
          </w:p>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information</w:t>
            </w:r>
          </w:p>
        </w:tc>
        <w:tc>
          <w:tcPr>
            <w:tcW w:w="317"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7%</w:t>
            </w:r>
          </w:p>
        </w:tc>
      </w:tr>
      <w:tr w:rsidR="001726F0" w:rsidRPr="0076187B" w:rsidTr="000E7C15">
        <w:tc>
          <w:tcPr>
            <w:tcW w:w="237" w:type="pct"/>
            <w:vAlign w:val="center"/>
          </w:tcPr>
          <w:p w:rsidR="001726F0" w:rsidRPr="0076187B" w:rsidRDefault="001726F0" w:rsidP="000E7C15">
            <w:pPr>
              <w:tabs>
                <w:tab w:val="left" w:pos="1440"/>
                <w:tab w:val="decimal" w:pos="4320"/>
              </w:tabs>
              <w:jc w:val="center"/>
              <w:outlineLvl w:val="0"/>
              <w:rPr>
                <w:rFonts w:ascii="Calibri" w:hAnsi="Calibri"/>
                <w:sz w:val="22"/>
                <w:szCs w:val="22"/>
                <w:lang w:val="en-US"/>
              </w:rPr>
            </w:pPr>
            <w:r w:rsidRPr="0076187B">
              <w:rPr>
                <w:rFonts w:ascii="Calibri" w:hAnsi="Calibri"/>
                <w:sz w:val="22"/>
                <w:szCs w:val="22"/>
                <w:lang w:val="en-US"/>
              </w:rPr>
              <w:t>4</w:t>
            </w:r>
          </w:p>
        </w:tc>
        <w:tc>
          <w:tcPr>
            <w:tcW w:w="873" w:type="pct"/>
            <w:vAlign w:val="center"/>
          </w:tcPr>
          <w:p w:rsidR="001726F0" w:rsidRPr="00986DB7" w:rsidRDefault="001726F0" w:rsidP="000E7C15">
            <w:pPr>
              <w:keepNext/>
              <w:keepLines/>
              <w:tabs>
                <w:tab w:val="left" w:pos="1440"/>
                <w:tab w:val="decimal" w:pos="4320"/>
              </w:tabs>
              <w:spacing w:before="100" w:beforeAutospacing="1"/>
              <w:jc w:val="left"/>
              <w:outlineLvl w:val="0"/>
              <w:rPr>
                <w:rFonts w:ascii="Calibri" w:hAnsi="Calibri"/>
                <w:sz w:val="20"/>
                <w:szCs w:val="20"/>
                <w:lang w:val="en-US"/>
              </w:rPr>
            </w:pPr>
            <w:r w:rsidRPr="00986DB7">
              <w:rPr>
                <w:rFonts w:ascii="Calibri" w:hAnsi="Calibri"/>
                <w:sz w:val="20"/>
                <w:szCs w:val="20"/>
                <w:lang w:val="en-US"/>
              </w:rPr>
              <w:t>Access and funding</w:t>
            </w:r>
          </w:p>
        </w:tc>
        <w:tc>
          <w:tcPr>
            <w:tcW w:w="316"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5%</w:t>
            </w:r>
          </w:p>
        </w:tc>
        <w:tc>
          <w:tcPr>
            <w:tcW w:w="874" w:type="pct"/>
            <w:vAlign w:val="center"/>
          </w:tcPr>
          <w:p w:rsidR="001726F0" w:rsidRPr="00986DB7" w:rsidRDefault="001726F0" w:rsidP="000E7C15">
            <w:pPr>
              <w:keepNext/>
              <w:keepLines/>
              <w:tabs>
                <w:tab w:val="left" w:pos="1440"/>
                <w:tab w:val="decimal" w:pos="4320"/>
              </w:tabs>
              <w:spacing w:before="100" w:beforeAutospacing="1"/>
              <w:jc w:val="left"/>
              <w:outlineLvl w:val="0"/>
              <w:rPr>
                <w:rFonts w:ascii="Calibri" w:hAnsi="Calibri"/>
                <w:sz w:val="20"/>
                <w:szCs w:val="20"/>
                <w:lang w:val="en-US"/>
              </w:rPr>
            </w:pPr>
            <w:r w:rsidRPr="00986DB7">
              <w:rPr>
                <w:rFonts w:ascii="Calibri" w:hAnsi="Calibri"/>
                <w:sz w:val="20"/>
                <w:szCs w:val="20"/>
                <w:lang w:val="en-US"/>
              </w:rPr>
              <w:t>Access and funding</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4%</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Consent/</w:t>
            </w:r>
          </w:p>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information</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7%</w:t>
            </w:r>
          </w:p>
        </w:tc>
        <w:tc>
          <w:tcPr>
            <w:tcW w:w="873" w:type="pct"/>
            <w:vAlign w:val="center"/>
          </w:tcPr>
          <w:p w:rsidR="001726F0" w:rsidRPr="00986DB7" w:rsidRDefault="001726F0" w:rsidP="000E7C15">
            <w:pPr>
              <w:keepNext/>
              <w:keepLines/>
              <w:tabs>
                <w:tab w:val="left" w:pos="1440"/>
                <w:tab w:val="decimal" w:pos="4320"/>
              </w:tabs>
              <w:spacing w:before="100" w:beforeAutospacing="1"/>
              <w:jc w:val="left"/>
              <w:outlineLvl w:val="0"/>
              <w:rPr>
                <w:rFonts w:ascii="Calibri" w:hAnsi="Calibri"/>
                <w:sz w:val="20"/>
                <w:szCs w:val="20"/>
                <w:lang w:val="en-US"/>
              </w:rPr>
            </w:pPr>
            <w:r w:rsidRPr="00986DB7">
              <w:rPr>
                <w:rFonts w:ascii="Calibri" w:hAnsi="Calibri"/>
                <w:sz w:val="20"/>
                <w:szCs w:val="20"/>
                <w:lang w:val="en-US"/>
              </w:rPr>
              <w:t>Access and funding</w:t>
            </w:r>
          </w:p>
        </w:tc>
        <w:tc>
          <w:tcPr>
            <w:tcW w:w="317"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6%</w:t>
            </w:r>
          </w:p>
        </w:tc>
      </w:tr>
      <w:tr w:rsidR="001726F0" w:rsidRPr="0076187B" w:rsidTr="000E7C15">
        <w:tc>
          <w:tcPr>
            <w:tcW w:w="237" w:type="pct"/>
            <w:vAlign w:val="center"/>
          </w:tcPr>
          <w:p w:rsidR="001726F0" w:rsidRPr="0076187B" w:rsidRDefault="001726F0" w:rsidP="000E7C15">
            <w:pPr>
              <w:tabs>
                <w:tab w:val="left" w:pos="1440"/>
                <w:tab w:val="decimal" w:pos="4320"/>
              </w:tabs>
              <w:jc w:val="center"/>
              <w:outlineLvl w:val="0"/>
              <w:rPr>
                <w:rFonts w:ascii="Calibri" w:hAnsi="Calibri"/>
                <w:sz w:val="22"/>
                <w:szCs w:val="22"/>
                <w:lang w:val="en-US"/>
              </w:rPr>
            </w:pPr>
            <w:r w:rsidRPr="0076187B">
              <w:rPr>
                <w:rFonts w:ascii="Calibri" w:hAnsi="Calibri"/>
                <w:sz w:val="22"/>
                <w:szCs w:val="22"/>
                <w:lang w:val="en-US"/>
              </w:rPr>
              <w:t>5</w:t>
            </w:r>
          </w:p>
        </w:tc>
        <w:tc>
          <w:tcPr>
            <w:tcW w:w="873" w:type="pct"/>
            <w:vAlign w:val="center"/>
          </w:tcPr>
          <w:p w:rsidR="001726F0" w:rsidRPr="00986DB7" w:rsidRDefault="001726F0" w:rsidP="000E7C15">
            <w:pPr>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Management of facilities</w:t>
            </w:r>
          </w:p>
        </w:tc>
        <w:tc>
          <w:tcPr>
            <w:tcW w:w="316"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5%</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Medication</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4%</w:t>
            </w:r>
          </w:p>
        </w:tc>
        <w:tc>
          <w:tcPr>
            <w:tcW w:w="874"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Discharge &amp; transfer arrangements</w:t>
            </w:r>
          </w:p>
        </w:tc>
        <w:tc>
          <w:tcPr>
            <w:tcW w:w="318"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3%</w:t>
            </w:r>
          </w:p>
        </w:tc>
        <w:tc>
          <w:tcPr>
            <w:tcW w:w="873" w:type="pct"/>
            <w:vAlign w:val="center"/>
          </w:tcPr>
          <w:p w:rsidR="001726F0" w:rsidRPr="00986DB7" w:rsidRDefault="001726F0" w:rsidP="000E7C15">
            <w:pPr>
              <w:keepNext/>
              <w:keepLines/>
              <w:tabs>
                <w:tab w:val="left" w:pos="1440"/>
                <w:tab w:val="decimal" w:pos="4320"/>
              </w:tabs>
              <w:jc w:val="left"/>
              <w:outlineLvl w:val="0"/>
              <w:rPr>
                <w:rFonts w:ascii="Calibri" w:hAnsi="Calibri"/>
                <w:sz w:val="20"/>
                <w:szCs w:val="20"/>
                <w:lang w:val="en-US"/>
              </w:rPr>
            </w:pPr>
            <w:r w:rsidRPr="00986DB7">
              <w:rPr>
                <w:rFonts w:ascii="Calibri" w:hAnsi="Calibri"/>
                <w:sz w:val="20"/>
                <w:szCs w:val="20"/>
                <w:lang w:val="en-US"/>
              </w:rPr>
              <w:t>Discharge &amp; transfer arrangements</w:t>
            </w:r>
          </w:p>
        </w:tc>
        <w:tc>
          <w:tcPr>
            <w:tcW w:w="317" w:type="pct"/>
            <w:vAlign w:val="center"/>
          </w:tcPr>
          <w:p w:rsidR="001726F0" w:rsidRPr="00986DB7" w:rsidRDefault="001726F0" w:rsidP="000E7C15">
            <w:pPr>
              <w:tabs>
                <w:tab w:val="left" w:pos="1440"/>
                <w:tab w:val="decimal" w:pos="4320"/>
              </w:tabs>
              <w:jc w:val="center"/>
              <w:outlineLvl w:val="0"/>
              <w:rPr>
                <w:rFonts w:ascii="Calibri" w:hAnsi="Calibri"/>
                <w:sz w:val="20"/>
                <w:szCs w:val="20"/>
                <w:lang w:val="en-US"/>
              </w:rPr>
            </w:pPr>
            <w:r w:rsidRPr="00986DB7">
              <w:rPr>
                <w:rFonts w:ascii="Calibri" w:hAnsi="Calibri"/>
                <w:sz w:val="20"/>
                <w:szCs w:val="20"/>
                <w:lang w:val="en-US"/>
              </w:rPr>
              <w:t>3%</w:t>
            </w:r>
          </w:p>
        </w:tc>
      </w:tr>
    </w:tbl>
    <w:p w:rsidR="001726F0" w:rsidRPr="00414465" w:rsidRDefault="001726F0" w:rsidP="001726F0">
      <w:pPr>
        <w:tabs>
          <w:tab w:val="left" w:pos="1440"/>
          <w:tab w:val="left" w:pos="2610"/>
        </w:tabs>
        <w:spacing w:after="240"/>
        <w:outlineLvl w:val="0"/>
        <w:rPr>
          <w:rFonts w:ascii="Calibri" w:hAnsi="Calibri"/>
          <w:sz w:val="22"/>
          <w:szCs w:val="22"/>
          <w:lang w:val="en-US"/>
        </w:rPr>
      </w:pP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The top five primary issues reported in this period are the same as those reported in the previous period and even their ratio is very similar to the previous period. </w:t>
      </w:r>
    </w:p>
    <w:p w:rsidR="001726F0" w:rsidRPr="00414465" w:rsidRDefault="001726F0" w:rsidP="001726F0">
      <w:pPr>
        <w:pStyle w:val="Heading3"/>
        <w:rPr>
          <w:lang w:val="en-US"/>
        </w:rPr>
      </w:pPr>
      <w:r w:rsidRPr="00414465">
        <w:rPr>
          <w:lang w:val="en-US"/>
        </w:rPr>
        <w:t>1.5</w:t>
      </w:r>
      <w:r w:rsidRPr="00414465">
        <w:rPr>
          <w:lang w:val="en-US"/>
        </w:rPr>
        <w:tab/>
      </w:r>
      <w:r w:rsidRPr="00056044">
        <w:rPr>
          <w:lang w:val="en-US"/>
        </w:rPr>
        <w:t>Overview of the content of complaints</w:t>
      </w:r>
    </w:p>
    <w:p w:rsidR="001726F0" w:rsidRPr="00414465" w:rsidRDefault="001726F0" w:rsidP="001726F0">
      <w:pPr>
        <w:tabs>
          <w:tab w:val="left" w:pos="1440"/>
          <w:tab w:val="left" w:pos="2610"/>
        </w:tabs>
        <w:spacing w:after="240"/>
        <w:outlineLvl w:val="0"/>
        <w:rPr>
          <w:rFonts w:ascii="Calibri" w:hAnsi="Calibri"/>
          <w:sz w:val="22"/>
          <w:szCs w:val="22"/>
          <w:lang w:eastAsia="en-NZ" w:bidi="ar-SA"/>
        </w:rPr>
      </w:pPr>
      <w:r w:rsidRPr="00414465">
        <w:rPr>
          <w:rFonts w:ascii="Calibri" w:hAnsi="Calibri"/>
          <w:sz w:val="22"/>
          <w:szCs w:val="22"/>
          <w:lang w:eastAsia="en-NZ" w:bidi="ar-SA"/>
        </w:rPr>
        <w:t xml:space="preserve">Over the four periods </w:t>
      </w:r>
      <w:r w:rsidRPr="00414465">
        <w:rPr>
          <w:rFonts w:ascii="Calibri" w:hAnsi="Calibri" w:cs="Calibri"/>
          <w:sz w:val="22"/>
          <w:szCs w:val="22"/>
          <w:lang w:val="en-US"/>
        </w:rPr>
        <w:t>reported</w:t>
      </w:r>
      <w:r w:rsidRPr="00414465">
        <w:rPr>
          <w:rFonts w:ascii="Calibri" w:hAnsi="Calibri"/>
          <w:sz w:val="22"/>
          <w:szCs w:val="22"/>
          <w:lang w:eastAsia="en-NZ" w:bidi="ar-SA"/>
        </w:rPr>
        <w:t>:</w:t>
      </w:r>
    </w:p>
    <w:p w:rsidR="001726F0" w:rsidRPr="00414465" w:rsidRDefault="001726F0" w:rsidP="001726F0">
      <w:pPr>
        <w:pStyle w:val="ListParagraph"/>
        <w:numPr>
          <w:ilvl w:val="0"/>
          <w:numId w:val="7"/>
        </w:numPr>
        <w:rPr>
          <w:rFonts w:ascii="Calibri" w:hAnsi="Calibri"/>
          <w:b/>
          <w:sz w:val="22"/>
          <w:szCs w:val="22"/>
          <w:lang w:val="en-US"/>
        </w:rPr>
      </w:pPr>
      <w:r w:rsidRPr="00414465">
        <w:rPr>
          <w:rFonts w:ascii="Calibri" w:hAnsi="Calibri"/>
          <w:i/>
          <w:sz w:val="22"/>
          <w:szCs w:val="22"/>
          <w:lang w:eastAsia="en-NZ" w:bidi="ar-SA"/>
        </w:rPr>
        <w:t xml:space="preserve">Treatment </w:t>
      </w:r>
      <w:r w:rsidRPr="00414465">
        <w:rPr>
          <w:rFonts w:ascii="Calibri" w:hAnsi="Calibri"/>
          <w:sz w:val="22"/>
          <w:szCs w:val="22"/>
          <w:lang w:eastAsia="en-NZ" w:bidi="ar-SA"/>
        </w:rPr>
        <w:t xml:space="preserve">remains the over-riding concern. </w:t>
      </w:r>
      <w:r w:rsidRPr="00414465">
        <w:rPr>
          <w:rFonts w:ascii="Calibri" w:hAnsi="Calibri"/>
          <w:i/>
          <w:sz w:val="22"/>
          <w:szCs w:val="22"/>
          <w:lang w:eastAsia="en-NZ" w:bidi="ar-SA"/>
        </w:rPr>
        <w:t xml:space="preserve">Treatment </w:t>
      </w:r>
      <w:r w:rsidRPr="00414465">
        <w:rPr>
          <w:rFonts w:ascii="Calibri" w:hAnsi="Calibri"/>
          <w:sz w:val="22"/>
          <w:szCs w:val="22"/>
          <w:lang w:eastAsia="en-NZ" w:bidi="ar-SA"/>
        </w:rPr>
        <w:t>occurs as the primary issue in an average of 61.5% of complaints, and as a key word in average of 33% of complaints; and</w:t>
      </w:r>
    </w:p>
    <w:p w:rsidR="001726F0" w:rsidRPr="00414465" w:rsidRDefault="001726F0" w:rsidP="001726F0">
      <w:pPr>
        <w:pStyle w:val="ListParagraph"/>
        <w:numPr>
          <w:ilvl w:val="0"/>
          <w:numId w:val="7"/>
        </w:numPr>
        <w:spacing w:after="240"/>
        <w:ind w:left="765" w:hanging="357"/>
        <w:rPr>
          <w:rFonts w:ascii="Calibri" w:hAnsi="Calibri"/>
          <w:b/>
          <w:sz w:val="22"/>
          <w:szCs w:val="22"/>
          <w:lang w:val="en-US"/>
        </w:rPr>
      </w:pPr>
      <w:r w:rsidRPr="00414465">
        <w:rPr>
          <w:rFonts w:ascii="Calibri" w:hAnsi="Calibri"/>
          <w:sz w:val="22"/>
          <w:szCs w:val="22"/>
          <w:lang w:eastAsia="en-NZ" w:bidi="ar-SA"/>
        </w:rPr>
        <w:t xml:space="preserve">patients have consistently identified inadequacies in </w:t>
      </w:r>
      <w:r w:rsidRPr="00414465">
        <w:rPr>
          <w:rFonts w:ascii="Calibri" w:hAnsi="Calibri"/>
          <w:i/>
          <w:sz w:val="22"/>
          <w:szCs w:val="22"/>
          <w:lang w:eastAsia="en-NZ" w:bidi="ar-SA"/>
        </w:rPr>
        <w:t xml:space="preserve">communication; </w:t>
      </w:r>
      <w:r w:rsidRPr="00414465">
        <w:rPr>
          <w:rFonts w:ascii="Calibri" w:hAnsi="Calibri"/>
          <w:sz w:val="22"/>
          <w:szCs w:val="22"/>
          <w:lang w:eastAsia="en-NZ" w:bidi="ar-SA"/>
        </w:rPr>
        <w:t xml:space="preserve">this is noted as a primary issue and/or a key word in between 10% and 15% of complaints over the four periods reported. </w:t>
      </w:r>
    </w:p>
    <w:p w:rsidR="001726F0" w:rsidRPr="00056044" w:rsidRDefault="001726F0" w:rsidP="001726F0">
      <w:pPr>
        <w:pStyle w:val="Heading3"/>
        <w:rPr>
          <w:lang w:val="en-US"/>
        </w:rPr>
      </w:pPr>
      <w:r w:rsidRPr="00056044">
        <w:rPr>
          <w:lang w:val="en-US"/>
        </w:rPr>
        <w:t>1.6</w:t>
      </w:r>
      <w:r w:rsidRPr="00056044">
        <w:rPr>
          <w:lang w:val="en-US"/>
        </w:rPr>
        <w:tab/>
        <w:t>Rate of complaints received — current period</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sz w:val="22"/>
          <w:szCs w:val="22"/>
        </w:rPr>
        <w:t xml:space="preserve">When numbers of </w:t>
      </w:r>
      <w:r w:rsidRPr="00414465">
        <w:rPr>
          <w:rFonts w:ascii="Calibri" w:hAnsi="Calibri" w:cs="Calibri"/>
          <w:sz w:val="22"/>
          <w:szCs w:val="22"/>
          <w:lang w:val="en-US"/>
        </w:rPr>
        <w:t>complaints</w:t>
      </w:r>
      <w:r w:rsidRPr="00414465">
        <w:rPr>
          <w:rFonts w:ascii="Calibri" w:hAnsi="Calibri"/>
          <w:sz w:val="22"/>
          <w:szCs w:val="22"/>
        </w:rPr>
        <w:t xml:space="preserve"> to HDC are expressed as a rate per 100,000 discharges, comparisons can be made between DHBs, and within DHBs over time, enabling any trends to be observed. </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sz w:val="22"/>
          <w:szCs w:val="22"/>
        </w:rPr>
        <w:lastRenderedPageBreak/>
        <w:t xml:space="preserve">Frequency calculations are made using discharge data provided by the Ministry of Health (provisional as at the date of extraction, </w:t>
      </w:r>
      <w:r w:rsidRPr="00414465">
        <w:rPr>
          <w:rFonts w:ascii="Calibri" w:hAnsi="Calibri"/>
          <w:b/>
          <w:sz w:val="22"/>
          <w:szCs w:val="22"/>
        </w:rPr>
        <w:t>18 February 2013</w:t>
      </w:r>
      <w:r w:rsidRPr="00414465">
        <w:rPr>
          <w:rFonts w:ascii="Calibri" w:hAnsi="Calibri"/>
          <w:sz w:val="22"/>
          <w:szCs w:val="22"/>
        </w:rPr>
        <w:t xml:space="preserve">). </w:t>
      </w:r>
    </w:p>
    <w:p w:rsidR="001726F0" w:rsidRPr="00414465" w:rsidRDefault="001726F0" w:rsidP="001726F0">
      <w:pPr>
        <w:keepNext/>
        <w:tabs>
          <w:tab w:val="left" w:pos="1440"/>
          <w:tab w:val="left" w:pos="2610"/>
        </w:tabs>
        <w:outlineLvl w:val="0"/>
        <w:rPr>
          <w:rFonts w:ascii="Calibri" w:hAnsi="Calibri"/>
          <w:b/>
          <w:sz w:val="22"/>
          <w:szCs w:val="22"/>
          <w:lang w:eastAsia="en-NZ" w:bidi="ar-SA"/>
        </w:rPr>
      </w:pPr>
      <w:r w:rsidRPr="00414465">
        <w:rPr>
          <w:rFonts w:ascii="Calibri" w:hAnsi="Calibri"/>
          <w:b/>
          <w:sz w:val="22"/>
          <w:szCs w:val="22"/>
          <w:lang w:eastAsia="en-NZ" w:bidi="ar-SA"/>
        </w:rPr>
        <w:t>Table 5 – Rate of complaints received per 100,000 discharges during July – Dec 2012</w:t>
      </w:r>
    </w:p>
    <w:tbl>
      <w:tblPr>
        <w:tblStyle w:val="TableGrid"/>
        <w:tblW w:w="0" w:type="auto"/>
        <w:tblInd w:w="108" w:type="dxa"/>
        <w:tblLook w:val="04A0"/>
      </w:tblPr>
      <w:tblGrid>
        <w:gridCol w:w="1809"/>
        <w:gridCol w:w="1701"/>
        <w:gridCol w:w="1701"/>
      </w:tblGrid>
      <w:tr w:rsidR="001726F0" w:rsidRPr="00414465" w:rsidTr="000E7C15">
        <w:trPr>
          <w:trHeight w:val="859"/>
        </w:trPr>
        <w:tc>
          <w:tcPr>
            <w:tcW w:w="1809" w:type="dxa"/>
            <w:vAlign w:val="center"/>
          </w:tcPr>
          <w:p w:rsidR="001726F0" w:rsidRPr="00414465" w:rsidRDefault="001726F0" w:rsidP="000E7C15">
            <w:pPr>
              <w:jc w:val="center"/>
              <w:rPr>
                <w:rFonts w:asciiTheme="minorHAnsi" w:hAnsiTheme="minorHAnsi" w:cstheme="minorHAnsi"/>
                <w:b/>
                <w:sz w:val="22"/>
                <w:szCs w:val="22"/>
              </w:rPr>
            </w:pPr>
            <w:r w:rsidRPr="00414465">
              <w:rPr>
                <w:rFonts w:asciiTheme="minorHAnsi" w:hAnsiTheme="minorHAnsi" w:cstheme="minorHAnsi"/>
                <w:b/>
                <w:sz w:val="22"/>
                <w:szCs w:val="22"/>
              </w:rPr>
              <w:t>Number of complaints received</w:t>
            </w:r>
          </w:p>
        </w:tc>
        <w:tc>
          <w:tcPr>
            <w:tcW w:w="1701" w:type="dxa"/>
            <w:vAlign w:val="center"/>
          </w:tcPr>
          <w:p w:rsidR="001726F0" w:rsidRPr="00414465" w:rsidRDefault="001726F0" w:rsidP="000E7C15">
            <w:pPr>
              <w:tabs>
                <w:tab w:val="left" w:pos="1440"/>
                <w:tab w:val="left" w:pos="2610"/>
              </w:tabs>
              <w:spacing w:after="240"/>
              <w:jc w:val="center"/>
              <w:outlineLvl w:val="0"/>
              <w:rPr>
                <w:rFonts w:ascii="Calibri" w:hAnsi="Calibri"/>
                <w:b/>
                <w:sz w:val="22"/>
                <w:szCs w:val="22"/>
              </w:rPr>
            </w:pPr>
            <w:r w:rsidRPr="00414465">
              <w:rPr>
                <w:rFonts w:ascii="Calibri" w:hAnsi="Calibri"/>
                <w:b/>
                <w:sz w:val="22"/>
                <w:szCs w:val="22"/>
              </w:rPr>
              <w:t>Total number of discharges</w:t>
            </w:r>
          </w:p>
        </w:tc>
        <w:tc>
          <w:tcPr>
            <w:tcW w:w="1701" w:type="dxa"/>
            <w:vAlign w:val="center"/>
          </w:tcPr>
          <w:p w:rsidR="001726F0" w:rsidRPr="00414465" w:rsidRDefault="001726F0" w:rsidP="000E7C15">
            <w:pPr>
              <w:tabs>
                <w:tab w:val="left" w:pos="1440"/>
                <w:tab w:val="left" w:pos="2610"/>
              </w:tabs>
              <w:spacing w:after="240"/>
              <w:jc w:val="center"/>
              <w:outlineLvl w:val="0"/>
              <w:rPr>
                <w:rFonts w:ascii="Calibri" w:hAnsi="Calibri"/>
                <w:sz w:val="22"/>
                <w:szCs w:val="22"/>
              </w:rPr>
            </w:pPr>
            <w:r w:rsidRPr="00414465">
              <w:rPr>
                <w:rFonts w:ascii="Calibri" w:hAnsi="Calibri"/>
                <w:b/>
                <w:sz w:val="22"/>
                <w:szCs w:val="22"/>
              </w:rPr>
              <w:t>Rate per 100,000 discharges</w:t>
            </w:r>
          </w:p>
        </w:tc>
      </w:tr>
      <w:tr w:rsidR="001726F0" w:rsidRPr="00414465" w:rsidTr="000E7C15">
        <w:tc>
          <w:tcPr>
            <w:tcW w:w="1809" w:type="dxa"/>
            <w:vAlign w:val="center"/>
          </w:tcPr>
          <w:p w:rsidR="001726F0" w:rsidRPr="00414465" w:rsidRDefault="001726F0" w:rsidP="000E7C15">
            <w:pPr>
              <w:tabs>
                <w:tab w:val="left" w:pos="1440"/>
                <w:tab w:val="left" w:pos="2610"/>
              </w:tabs>
              <w:spacing w:after="240"/>
              <w:jc w:val="center"/>
              <w:outlineLvl w:val="0"/>
              <w:rPr>
                <w:rFonts w:ascii="Calibri" w:hAnsi="Calibri"/>
                <w:sz w:val="22"/>
                <w:szCs w:val="22"/>
              </w:rPr>
            </w:pPr>
            <w:r w:rsidRPr="00414465">
              <w:rPr>
                <w:rFonts w:ascii="Calibri" w:hAnsi="Calibri"/>
                <w:sz w:val="22"/>
                <w:szCs w:val="22"/>
              </w:rPr>
              <w:t>292</w:t>
            </w:r>
          </w:p>
        </w:tc>
        <w:tc>
          <w:tcPr>
            <w:tcW w:w="1701" w:type="dxa"/>
          </w:tcPr>
          <w:p w:rsidR="001726F0" w:rsidRPr="00414465" w:rsidRDefault="001726F0" w:rsidP="000E7C15">
            <w:pPr>
              <w:tabs>
                <w:tab w:val="left" w:pos="1440"/>
                <w:tab w:val="left" w:pos="2610"/>
              </w:tabs>
              <w:spacing w:after="240"/>
              <w:jc w:val="center"/>
              <w:outlineLvl w:val="0"/>
              <w:rPr>
                <w:rFonts w:ascii="Calibri" w:hAnsi="Calibri"/>
                <w:sz w:val="22"/>
                <w:szCs w:val="22"/>
              </w:rPr>
            </w:pPr>
            <w:r w:rsidRPr="00414465">
              <w:rPr>
                <w:rFonts w:ascii="Calibri" w:hAnsi="Calibri"/>
                <w:sz w:val="22"/>
                <w:szCs w:val="22"/>
              </w:rPr>
              <w:t>462,998</w:t>
            </w:r>
            <w:r>
              <w:rPr>
                <w:rStyle w:val="FootnoteReference"/>
                <w:rFonts w:ascii="Calibri" w:hAnsi="Calibri"/>
                <w:sz w:val="22"/>
                <w:szCs w:val="22"/>
              </w:rPr>
              <w:footnoteReference w:id="5"/>
            </w:r>
          </w:p>
        </w:tc>
        <w:tc>
          <w:tcPr>
            <w:tcW w:w="1701" w:type="dxa"/>
            <w:vAlign w:val="center"/>
          </w:tcPr>
          <w:p w:rsidR="001726F0" w:rsidRPr="00414465" w:rsidRDefault="001726F0" w:rsidP="000E7C15">
            <w:pPr>
              <w:tabs>
                <w:tab w:val="left" w:pos="1440"/>
                <w:tab w:val="left" w:pos="2610"/>
              </w:tabs>
              <w:spacing w:after="240"/>
              <w:jc w:val="center"/>
              <w:outlineLvl w:val="0"/>
              <w:rPr>
                <w:rFonts w:ascii="Calibri" w:hAnsi="Calibri"/>
                <w:b/>
                <w:sz w:val="22"/>
                <w:szCs w:val="22"/>
              </w:rPr>
            </w:pPr>
            <w:r w:rsidRPr="00414465">
              <w:rPr>
                <w:rFonts w:ascii="Calibri" w:hAnsi="Calibri"/>
                <w:b/>
                <w:sz w:val="22"/>
                <w:szCs w:val="22"/>
              </w:rPr>
              <w:t>63.07</w:t>
            </w:r>
          </w:p>
        </w:tc>
      </w:tr>
    </w:tbl>
    <w:p w:rsidR="001726F0" w:rsidRPr="00056044" w:rsidRDefault="001726F0" w:rsidP="001726F0">
      <w:pPr>
        <w:pStyle w:val="Heading3"/>
        <w:rPr>
          <w:lang w:val="en-US"/>
        </w:rPr>
      </w:pPr>
      <w:r w:rsidRPr="00056044">
        <w:rPr>
          <w:lang w:val="en-US"/>
        </w:rPr>
        <w:t>1.7</w:t>
      </w:r>
      <w:r w:rsidRPr="00056044">
        <w:rPr>
          <w:lang w:val="en-US"/>
        </w:rPr>
        <w:tab/>
        <w:t>Rate of complaints received — comparison over time</w:t>
      </w:r>
    </w:p>
    <w:p w:rsidR="001726F0" w:rsidRPr="00414465" w:rsidRDefault="001726F0" w:rsidP="001726F0">
      <w:pPr>
        <w:tabs>
          <w:tab w:val="left" w:pos="1440"/>
          <w:tab w:val="left" w:pos="2610"/>
        </w:tabs>
        <w:spacing w:after="240"/>
        <w:outlineLvl w:val="0"/>
        <w:rPr>
          <w:rFonts w:ascii="Calibri" w:hAnsi="Calibri"/>
          <w:sz w:val="22"/>
          <w:szCs w:val="22"/>
          <w:lang w:eastAsia="en-NZ" w:bidi="ar-SA"/>
        </w:rPr>
      </w:pPr>
      <w:r w:rsidRPr="00414465">
        <w:rPr>
          <w:rFonts w:ascii="Calibri" w:hAnsi="Calibri"/>
          <w:sz w:val="22"/>
          <w:szCs w:val="22"/>
          <w:lang w:eastAsia="en-NZ" w:bidi="ar-SA"/>
        </w:rPr>
        <w:t xml:space="preserve">Table 6 and Figure 1 show the </w:t>
      </w:r>
      <w:r w:rsidRPr="00414465">
        <w:rPr>
          <w:rFonts w:ascii="Calibri" w:hAnsi="Calibri" w:cs="Calibri"/>
          <w:sz w:val="22"/>
          <w:szCs w:val="22"/>
          <w:lang w:val="en-US"/>
        </w:rPr>
        <w:t>rate</w:t>
      </w:r>
      <w:r w:rsidRPr="00414465">
        <w:rPr>
          <w:rFonts w:ascii="Calibri" w:hAnsi="Calibri"/>
          <w:sz w:val="22"/>
          <w:szCs w:val="22"/>
          <w:lang w:eastAsia="en-NZ" w:bidi="ar-SA"/>
        </w:rPr>
        <w:t xml:space="preserve"> of complaints received by HDC per 100,000 discharges</w:t>
      </w:r>
      <w:r>
        <w:rPr>
          <w:rStyle w:val="FootnoteReference"/>
          <w:rFonts w:ascii="Calibri" w:hAnsi="Calibri"/>
          <w:sz w:val="22"/>
          <w:szCs w:val="22"/>
          <w:lang w:eastAsia="en-NZ" w:bidi="ar-SA"/>
        </w:rPr>
        <w:footnoteReference w:id="6"/>
      </w:r>
      <w:r w:rsidRPr="00414465">
        <w:rPr>
          <w:rFonts w:ascii="Calibri" w:hAnsi="Calibri"/>
          <w:sz w:val="22"/>
          <w:szCs w:val="22"/>
          <w:lang w:eastAsia="en-NZ" w:bidi="ar-SA"/>
        </w:rPr>
        <w:t xml:space="preserve">, for </w:t>
      </w:r>
      <w:r>
        <w:rPr>
          <w:rFonts w:ascii="Calibri" w:hAnsi="Calibri"/>
          <w:sz w:val="22"/>
          <w:szCs w:val="22"/>
          <w:lang w:eastAsia="en-NZ" w:bidi="ar-SA"/>
        </w:rPr>
        <w:t>current and previous six-month</w:t>
      </w:r>
      <w:r w:rsidRPr="00414465">
        <w:rPr>
          <w:rFonts w:ascii="Calibri" w:hAnsi="Calibri"/>
          <w:sz w:val="22"/>
          <w:szCs w:val="22"/>
          <w:lang w:eastAsia="en-NZ" w:bidi="ar-SA"/>
        </w:rPr>
        <w:t xml:space="preserve"> periods. </w:t>
      </w:r>
    </w:p>
    <w:p w:rsidR="001726F0" w:rsidRPr="00414465" w:rsidRDefault="001726F0" w:rsidP="001726F0">
      <w:pPr>
        <w:keepNext/>
        <w:tabs>
          <w:tab w:val="left" w:pos="1440"/>
          <w:tab w:val="left" w:pos="2610"/>
        </w:tabs>
        <w:outlineLvl w:val="0"/>
        <w:rPr>
          <w:rFonts w:ascii="Calibri" w:hAnsi="Calibri"/>
          <w:b/>
          <w:sz w:val="22"/>
          <w:szCs w:val="22"/>
          <w:lang w:eastAsia="en-NZ" w:bidi="ar-SA"/>
        </w:rPr>
      </w:pPr>
      <w:r w:rsidRPr="00414465">
        <w:rPr>
          <w:rFonts w:ascii="Calibri" w:hAnsi="Calibri"/>
          <w:b/>
          <w:sz w:val="22"/>
          <w:szCs w:val="22"/>
          <w:lang w:eastAsia="en-NZ" w:bidi="ar-SA"/>
        </w:rPr>
        <w:t xml:space="preserve">Table 6 – Rate of complaints received in last five years </w:t>
      </w:r>
    </w:p>
    <w:tbl>
      <w:tblPr>
        <w:tblStyle w:val="TableGrid"/>
        <w:tblpPr w:leftFromText="180" w:rightFromText="180" w:vertAnchor="text" w:horzAnchor="margin" w:tblpX="114" w:tblpY="105"/>
        <w:tblW w:w="4784" w:type="pct"/>
        <w:tblLayout w:type="fixed"/>
        <w:tblLook w:val="04A0"/>
      </w:tblPr>
      <w:tblGrid>
        <w:gridCol w:w="1526"/>
        <w:gridCol w:w="737"/>
        <w:gridCol w:w="737"/>
        <w:gridCol w:w="737"/>
        <w:gridCol w:w="737"/>
        <w:gridCol w:w="737"/>
        <w:gridCol w:w="737"/>
        <w:gridCol w:w="737"/>
        <w:gridCol w:w="737"/>
        <w:gridCol w:w="737"/>
        <w:gridCol w:w="737"/>
      </w:tblGrid>
      <w:tr w:rsidR="001726F0" w:rsidRPr="00414465" w:rsidTr="000E7C15">
        <w:tc>
          <w:tcPr>
            <w:tcW w:w="858" w:type="pct"/>
            <w:vAlign w:val="center"/>
          </w:tcPr>
          <w:p w:rsidR="001726F0" w:rsidRPr="00414465" w:rsidRDefault="001726F0" w:rsidP="000E7C15">
            <w:pPr>
              <w:keepNext/>
              <w:jc w:val="left"/>
              <w:rPr>
                <w:rFonts w:ascii="Calibri" w:hAnsi="Calibri"/>
                <w:b/>
                <w:sz w:val="20"/>
                <w:szCs w:val="20"/>
              </w:rPr>
            </w:pPr>
          </w:p>
          <w:p w:rsidR="001726F0" w:rsidRPr="00414465" w:rsidRDefault="001726F0" w:rsidP="000E7C15">
            <w:pPr>
              <w:keepNext/>
              <w:jc w:val="left"/>
              <w:rPr>
                <w:rFonts w:ascii="Calibri" w:hAnsi="Calibri"/>
                <w:b/>
                <w:sz w:val="20"/>
                <w:szCs w:val="20"/>
              </w:rPr>
            </w:pP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Jan–Jun 08</w:t>
            </w: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Jul–Dec 08</w:t>
            </w: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Jan–Jun 09</w:t>
            </w: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Jul–Dec 09</w:t>
            </w: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Jan–Jun 10</w:t>
            </w:r>
          </w:p>
        </w:tc>
        <w:tc>
          <w:tcPr>
            <w:tcW w:w="414" w:type="pct"/>
            <w:vAlign w:val="center"/>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Jul–Dec 10</w:t>
            </w:r>
          </w:p>
        </w:tc>
        <w:tc>
          <w:tcPr>
            <w:tcW w:w="414" w:type="pct"/>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Jan–Jun 11</w:t>
            </w:r>
          </w:p>
        </w:tc>
        <w:tc>
          <w:tcPr>
            <w:tcW w:w="414" w:type="pct"/>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Jul–Dec 11</w:t>
            </w:r>
          </w:p>
        </w:tc>
        <w:tc>
          <w:tcPr>
            <w:tcW w:w="414" w:type="pct"/>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Jan–Jun 12</w:t>
            </w:r>
          </w:p>
        </w:tc>
        <w:tc>
          <w:tcPr>
            <w:tcW w:w="414" w:type="pct"/>
          </w:tcPr>
          <w:p w:rsidR="001726F0" w:rsidRPr="00414465" w:rsidRDefault="001726F0" w:rsidP="000E7C15">
            <w:pPr>
              <w:keepNext/>
              <w:jc w:val="center"/>
              <w:rPr>
                <w:rFonts w:ascii="Calibri" w:hAnsi="Calibri"/>
                <w:b/>
                <w:sz w:val="20"/>
                <w:szCs w:val="20"/>
              </w:rPr>
            </w:pPr>
            <w:r w:rsidRPr="00414465">
              <w:rPr>
                <w:rFonts w:ascii="Calibri" w:hAnsi="Calibri"/>
                <w:b/>
                <w:sz w:val="20"/>
                <w:szCs w:val="20"/>
              </w:rPr>
              <w:t>Jul–Dec 12</w:t>
            </w:r>
          </w:p>
        </w:tc>
      </w:tr>
      <w:tr w:rsidR="001726F0" w:rsidRPr="00414465" w:rsidTr="000E7C15">
        <w:tc>
          <w:tcPr>
            <w:tcW w:w="858" w:type="pct"/>
            <w:vAlign w:val="center"/>
          </w:tcPr>
          <w:p w:rsidR="001726F0" w:rsidRPr="00414465" w:rsidRDefault="001726F0" w:rsidP="000E7C15">
            <w:pPr>
              <w:keepNext/>
              <w:jc w:val="left"/>
              <w:rPr>
                <w:rFonts w:ascii="Calibri" w:hAnsi="Calibri"/>
                <w:b/>
                <w:sz w:val="20"/>
                <w:szCs w:val="20"/>
              </w:rPr>
            </w:pPr>
            <w:r w:rsidRPr="00414465">
              <w:rPr>
                <w:rFonts w:ascii="Calibri" w:hAnsi="Calibri"/>
                <w:b/>
                <w:sz w:val="20"/>
                <w:szCs w:val="20"/>
              </w:rPr>
              <w:t>Complaints received</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258</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236</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230</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270</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256</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257</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268</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255</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355</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292</w:t>
            </w:r>
          </w:p>
        </w:tc>
      </w:tr>
      <w:tr w:rsidR="001726F0" w:rsidRPr="00414465" w:rsidTr="000E7C15">
        <w:tc>
          <w:tcPr>
            <w:tcW w:w="858" w:type="pct"/>
            <w:vAlign w:val="center"/>
          </w:tcPr>
          <w:p w:rsidR="001726F0" w:rsidRPr="00414465" w:rsidRDefault="001726F0" w:rsidP="000E7C15">
            <w:pPr>
              <w:keepNext/>
              <w:jc w:val="left"/>
              <w:rPr>
                <w:rFonts w:ascii="Calibri" w:hAnsi="Calibri"/>
                <w:b/>
                <w:sz w:val="20"/>
                <w:szCs w:val="20"/>
              </w:rPr>
            </w:pPr>
            <w:r w:rsidRPr="00414465">
              <w:rPr>
                <w:rFonts w:ascii="Calibri" w:hAnsi="Calibri"/>
                <w:b/>
                <w:sz w:val="20"/>
                <w:szCs w:val="20"/>
              </w:rPr>
              <w:t>Rate per 100,000 discharges</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65.39</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55.86</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55.99</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61.63</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60.19</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57.16</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62.48</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55.86</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80.22</w:t>
            </w:r>
            <w:r w:rsidRPr="00414465">
              <w:rPr>
                <w:rFonts w:ascii="Calibri" w:hAnsi="Calibri"/>
                <w:sz w:val="20"/>
                <w:szCs w:val="20"/>
                <w:vertAlign w:val="superscript"/>
              </w:rPr>
              <w:t>a</w:t>
            </w:r>
          </w:p>
        </w:tc>
        <w:tc>
          <w:tcPr>
            <w:tcW w:w="414" w:type="pct"/>
            <w:vAlign w:val="center"/>
          </w:tcPr>
          <w:p w:rsidR="001726F0" w:rsidRPr="00414465" w:rsidRDefault="001726F0" w:rsidP="000E7C15">
            <w:pPr>
              <w:keepNext/>
              <w:jc w:val="center"/>
              <w:rPr>
                <w:rFonts w:ascii="Calibri" w:hAnsi="Calibri"/>
                <w:sz w:val="20"/>
                <w:szCs w:val="20"/>
              </w:rPr>
            </w:pPr>
            <w:r w:rsidRPr="00414465">
              <w:rPr>
                <w:rFonts w:ascii="Calibri" w:hAnsi="Calibri"/>
                <w:sz w:val="20"/>
                <w:szCs w:val="20"/>
              </w:rPr>
              <w:t>63.07</w:t>
            </w:r>
          </w:p>
        </w:tc>
      </w:tr>
    </w:tbl>
    <w:p w:rsidR="001726F0" w:rsidRPr="00414465" w:rsidRDefault="001726F0" w:rsidP="001726F0">
      <w:pPr>
        <w:pStyle w:val="NoSpacing"/>
        <w:rPr>
          <w:lang w:eastAsia="en-NZ"/>
        </w:rPr>
      </w:pPr>
    </w:p>
    <w:p w:rsidR="001726F0" w:rsidRPr="00414465" w:rsidRDefault="001726F0" w:rsidP="001726F0">
      <w:pPr>
        <w:pStyle w:val="Caption"/>
        <w:keepNext/>
        <w:keepLines/>
        <w:jc w:val="left"/>
      </w:pPr>
      <w:r w:rsidRPr="00414465">
        <w:t>Figure 1 – Rate of complaints received per 100,000 discharges</w:t>
      </w:r>
    </w:p>
    <w:p w:rsidR="001726F0" w:rsidRPr="00414465" w:rsidRDefault="001726F0" w:rsidP="001726F0">
      <w:pPr>
        <w:tabs>
          <w:tab w:val="left" w:pos="1440"/>
          <w:tab w:val="left" w:pos="2610"/>
        </w:tabs>
        <w:spacing w:after="240"/>
        <w:outlineLvl w:val="0"/>
        <w:rPr>
          <w:rFonts w:ascii="Calibri" w:hAnsi="Calibri"/>
          <w:sz w:val="22"/>
          <w:szCs w:val="22"/>
          <w:lang w:eastAsia="en-NZ" w:bidi="ar-SA"/>
        </w:rPr>
      </w:pPr>
      <w:r w:rsidRPr="00414465">
        <w:rPr>
          <w:rFonts w:ascii="Calibri" w:hAnsi="Calibri"/>
          <w:noProof/>
          <w:sz w:val="22"/>
          <w:szCs w:val="22"/>
          <w:lang w:eastAsia="en-NZ" w:bidi="ar-SA"/>
        </w:rPr>
        <w:drawing>
          <wp:inline distT="0" distB="0" distL="0" distR="0">
            <wp:extent cx="5767070" cy="3365534"/>
            <wp:effectExtent l="19050" t="0" r="24130" b="6316"/>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26F0" w:rsidRPr="00414465" w:rsidRDefault="001726F0" w:rsidP="001726F0">
      <w:pPr>
        <w:tabs>
          <w:tab w:val="left" w:pos="1440"/>
          <w:tab w:val="left" w:pos="2610"/>
        </w:tabs>
        <w:spacing w:after="240"/>
        <w:outlineLvl w:val="0"/>
        <w:rPr>
          <w:rFonts w:ascii="Calibri" w:hAnsi="Calibri"/>
          <w:sz w:val="22"/>
          <w:szCs w:val="22"/>
          <w:lang w:eastAsia="en-NZ" w:bidi="ar-SA"/>
        </w:rPr>
      </w:pPr>
      <w:r w:rsidRPr="00414465">
        <w:rPr>
          <w:rFonts w:ascii="Calibri" w:hAnsi="Calibri"/>
          <w:sz w:val="22"/>
          <w:szCs w:val="22"/>
          <w:lang w:eastAsia="en-NZ" w:bidi="ar-SA"/>
        </w:rPr>
        <w:t>The rate has reduced significantly when compared with the (unusual high of) previous period but is still on a higher side when compared with other reported periods.</w:t>
      </w:r>
    </w:p>
    <w:p w:rsidR="001726F0" w:rsidRPr="00414465" w:rsidRDefault="001726F0" w:rsidP="001726F0">
      <w:pPr>
        <w:pStyle w:val="Heading2"/>
      </w:pPr>
      <w:r w:rsidRPr="00414465">
        <w:lastRenderedPageBreak/>
        <w:t>2.0</w:t>
      </w:r>
      <w:r w:rsidRPr="00414465">
        <w:tab/>
        <w:t xml:space="preserve">Complaints closed </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HDC closed </w:t>
      </w:r>
      <w:r w:rsidRPr="00414465">
        <w:rPr>
          <w:rFonts w:ascii="Calibri" w:hAnsi="Calibri"/>
          <w:b/>
          <w:sz w:val="22"/>
          <w:szCs w:val="22"/>
          <w:lang w:val="en-US"/>
        </w:rPr>
        <w:t xml:space="preserve">254 </w:t>
      </w:r>
      <w:r w:rsidRPr="00414465">
        <w:rPr>
          <w:rFonts w:ascii="Calibri" w:hAnsi="Calibri"/>
          <w:sz w:val="22"/>
          <w:szCs w:val="22"/>
          <w:lang w:val="en-US"/>
        </w:rPr>
        <w:t xml:space="preserve">complaints involving DHBs in the period July — December 2012. This compares with 302 in the previous </w:t>
      </w:r>
      <w:r w:rsidRPr="00414465">
        <w:rPr>
          <w:rFonts w:ascii="Calibri" w:hAnsi="Calibri" w:cs="Calibri"/>
          <w:sz w:val="22"/>
          <w:szCs w:val="22"/>
          <w:lang w:val="en-US"/>
        </w:rPr>
        <w:t>period</w:t>
      </w:r>
      <w:r w:rsidRPr="00414465">
        <w:rPr>
          <w:rFonts w:ascii="Calibri" w:hAnsi="Calibri"/>
          <w:sz w:val="22"/>
          <w:szCs w:val="22"/>
          <w:lang w:val="en-US"/>
        </w:rPr>
        <w:t>.</w:t>
      </w:r>
    </w:p>
    <w:p w:rsidR="001726F0" w:rsidRPr="001C7B56" w:rsidRDefault="001726F0" w:rsidP="001726F0">
      <w:pPr>
        <w:pStyle w:val="Heading3"/>
        <w:rPr>
          <w:lang w:val="en-US"/>
        </w:rPr>
      </w:pPr>
      <w:r w:rsidRPr="001C7B56">
        <w:rPr>
          <w:lang w:val="en-US"/>
        </w:rPr>
        <w:t>2.1</w:t>
      </w:r>
      <w:r w:rsidRPr="001C7B56">
        <w:rPr>
          <w:lang w:val="en-US"/>
        </w:rPr>
        <w:tab/>
        <w:t>Outcomes of complaints closed</w:t>
      </w:r>
    </w:p>
    <w:p w:rsidR="001726F0" w:rsidRPr="00414465" w:rsidRDefault="001726F0" w:rsidP="001726F0">
      <w:pPr>
        <w:tabs>
          <w:tab w:val="left" w:pos="1440"/>
          <w:tab w:val="left" w:pos="2610"/>
        </w:tabs>
        <w:spacing w:after="240"/>
        <w:outlineLvl w:val="0"/>
        <w:rPr>
          <w:rFonts w:ascii="Calibri" w:hAnsi="Calibri"/>
          <w:sz w:val="22"/>
          <w:szCs w:val="22"/>
          <w:lang w:val="en-US" w:eastAsia="en-NZ" w:bidi="ar-SA"/>
        </w:rPr>
      </w:pPr>
      <w:r w:rsidRPr="00414465">
        <w:rPr>
          <w:rFonts w:ascii="Calibri" w:hAnsi="Calibri"/>
          <w:sz w:val="22"/>
          <w:szCs w:val="22"/>
          <w:lang w:val="en-US"/>
        </w:rPr>
        <w:t xml:space="preserve">Complaints are classified into two groups according to the manner of their resolution: whether investigation or non-investigation. Within each classification, there is a variety of possible outcomes. Once HDC has notified a DHB that a complaint concerning that DHB is to be investigated, the complaint remains </w:t>
      </w:r>
      <w:r w:rsidRPr="00414465">
        <w:rPr>
          <w:rFonts w:ascii="Calibri" w:hAnsi="Calibri" w:cs="Calibri"/>
          <w:sz w:val="22"/>
          <w:szCs w:val="22"/>
          <w:lang w:val="en-US"/>
        </w:rPr>
        <w:t>classified</w:t>
      </w:r>
      <w:r w:rsidRPr="00414465">
        <w:rPr>
          <w:rFonts w:ascii="Calibri" w:hAnsi="Calibri"/>
          <w:sz w:val="22"/>
          <w:szCs w:val="22"/>
          <w:lang w:val="en-US"/>
        </w:rPr>
        <w:t xml:space="preserve"> as an investigation, even though an alternative manner of resolution may subsequently</w:t>
      </w:r>
      <w:r>
        <w:rPr>
          <w:rFonts w:ascii="Calibri" w:hAnsi="Calibri"/>
          <w:sz w:val="22"/>
          <w:szCs w:val="22"/>
          <w:lang w:val="en-US"/>
        </w:rPr>
        <w:t xml:space="preserve"> </w:t>
      </w:r>
      <w:r w:rsidRPr="00414465">
        <w:rPr>
          <w:rFonts w:ascii="Calibri" w:hAnsi="Calibri"/>
          <w:sz w:val="22"/>
          <w:szCs w:val="22"/>
          <w:lang w:val="en-US"/>
        </w:rPr>
        <w:t xml:space="preserve">be adopted. </w:t>
      </w:r>
      <w:r w:rsidRPr="00414465">
        <w:rPr>
          <w:rFonts w:ascii="Calibri" w:hAnsi="Calibri"/>
          <w:sz w:val="22"/>
          <w:szCs w:val="22"/>
          <w:lang w:val="en-US" w:eastAsia="en-NZ" w:bidi="ar-SA"/>
        </w:rPr>
        <w:t xml:space="preserve">An investigation may also be discontinued. </w:t>
      </w:r>
      <w:r w:rsidRPr="00414465">
        <w:rPr>
          <w:rFonts w:ascii="Calibri" w:hAnsi="Calibri"/>
          <w:sz w:val="22"/>
          <w:szCs w:val="22"/>
          <w:lang w:val="en-US"/>
        </w:rPr>
        <w:t xml:space="preserve">Notification of investigation generally indicates more serious or </w:t>
      </w:r>
      <w:r w:rsidRPr="00414465">
        <w:rPr>
          <w:rFonts w:ascii="Calibri" w:hAnsi="Calibri"/>
          <w:sz w:val="22"/>
          <w:szCs w:val="22"/>
          <w:lang w:val="en-US" w:eastAsia="en-NZ" w:bidi="ar-SA"/>
        </w:rPr>
        <w:t>complex issues.</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The manner of resolution </w:t>
      </w:r>
      <w:r w:rsidRPr="00414465">
        <w:rPr>
          <w:rFonts w:ascii="Calibri" w:hAnsi="Calibri" w:cs="Calibri"/>
          <w:sz w:val="22"/>
          <w:szCs w:val="22"/>
          <w:lang w:val="en-US"/>
        </w:rPr>
        <w:t>and</w:t>
      </w:r>
      <w:r w:rsidRPr="00414465">
        <w:rPr>
          <w:rFonts w:ascii="Calibri" w:hAnsi="Calibri"/>
          <w:sz w:val="22"/>
          <w:szCs w:val="22"/>
          <w:lang w:val="en-US"/>
        </w:rPr>
        <w:t xml:space="preserve"> outcomes of complaints closed is shown in Table 7.</w:t>
      </w:r>
    </w:p>
    <w:p w:rsidR="001726F0" w:rsidRPr="00414465" w:rsidRDefault="001726F0" w:rsidP="001726F0">
      <w:pPr>
        <w:tabs>
          <w:tab w:val="left" w:pos="1440"/>
          <w:tab w:val="left" w:pos="2610"/>
        </w:tabs>
        <w:spacing w:after="240"/>
        <w:outlineLvl w:val="0"/>
        <w:rPr>
          <w:rFonts w:ascii="Calibri" w:hAnsi="Calibri"/>
          <w:sz w:val="22"/>
          <w:szCs w:val="22"/>
          <w:lang w:val="en-US"/>
        </w:rPr>
      </w:pPr>
      <w:r w:rsidRPr="00414465">
        <w:rPr>
          <w:rFonts w:ascii="Calibri" w:hAnsi="Calibri"/>
          <w:sz w:val="22"/>
          <w:szCs w:val="22"/>
          <w:lang w:val="en-US"/>
        </w:rPr>
        <w:t xml:space="preserve">The data is also presented in Figure 2 where the number of complaints for each outcome type is shown as a percentage of all closed complaints (percentages rounded to one decimal place). </w:t>
      </w:r>
    </w:p>
    <w:p w:rsidR="001726F0" w:rsidRPr="00414465" w:rsidRDefault="001726F0" w:rsidP="001726F0">
      <w:pPr>
        <w:keepNext/>
        <w:tabs>
          <w:tab w:val="left" w:pos="426"/>
          <w:tab w:val="left" w:pos="1440"/>
          <w:tab w:val="decimal" w:pos="4320"/>
        </w:tabs>
        <w:jc w:val="left"/>
        <w:outlineLvl w:val="0"/>
        <w:rPr>
          <w:rFonts w:ascii="Calibri" w:hAnsi="Calibri"/>
          <w:b/>
          <w:sz w:val="22"/>
          <w:szCs w:val="22"/>
          <w:lang w:val="en-US"/>
        </w:rPr>
      </w:pPr>
      <w:r w:rsidRPr="00414465">
        <w:rPr>
          <w:rFonts w:ascii="Calibri" w:hAnsi="Calibri"/>
          <w:b/>
          <w:sz w:val="22"/>
          <w:szCs w:val="22"/>
          <w:lang w:val="en-US"/>
        </w:rPr>
        <w:t>Table 7 – Outcome of complaints closed by complaint type</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9"/>
        <w:gridCol w:w="1811"/>
        <w:gridCol w:w="1701"/>
      </w:tblGrid>
      <w:tr w:rsidR="001726F0" w:rsidRPr="00414465" w:rsidTr="000E7C15">
        <w:trPr>
          <w:tblHeader/>
        </w:trPr>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b/>
                <w:sz w:val="22"/>
                <w:szCs w:val="22"/>
                <w:lang w:val="en-US"/>
              </w:rPr>
            </w:pPr>
            <w:bookmarkStart w:id="0" w:name="_Hlk242529591"/>
            <w:r w:rsidRPr="00414465">
              <w:rPr>
                <w:rFonts w:ascii="Calibri" w:hAnsi="Calibri"/>
                <w:sz w:val="22"/>
                <w:szCs w:val="22"/>
              </w:rPr>
              <w:br w:type="page"/>
            </w:r>
            <w:r w:rsidRPr="00414465">
              <w:rPr>
                <w:rFonts w:ascii="Calibri" w:hAnsi="Calibri"/>
                <w:b/>
                <w:sz w:val="22"/>
                <w:szCs w:val="22"/>
                <w:lang w:val="en-US"/>
              </w:rPr>
              <w:t>Outcome</w:t>
            </w:r>
          </w:p>
        </w:tc>
        <w:tc>
          <w:tcPr>
            <w:tcW w:w="181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center"/>
              <w:outlineLvl w:val="0"/>
              <w:rPr>
                <w:rFonts w:ascii="Calibri" w:hAnsi="Calibri"/>
                <w:b/>
                <w:sz w:val="22"/>
                <w:szCs w:val="22"/>
                <w:lang w:val="en-US"/>
              </w:rPr>
            </w:pPr>
            <w:r w:rsidRPr="00414465">
              <w:rPr>
                <w:rFonts w:ascii="Calibri" w:hAnsi="Calibri"/>
                <w:b/>
                <w:sz w:val="22"/>
                <w:szCs w:val="22"/>
                <w:lang w:val="en-US"/>
              </w:rPr>
              <w:t>Number of complaints closed</w:t>
            </w:r>
          </w:p>
          <w:p w:rsidR="001726F0" w:rsidRPr="00414465" w:rsidRDefault="001726F0" w:rsidP="000E7C15">
            <w:pPr>
              <w:keepNext/>
              <w:keepLines/>
              <w:tabs>
                <w:tab w:val="left" w:pos="1440"/>
                <w:tab w:val="decimal" w:pos="4320"/>
              </w:tabs>
              <w:jc w:val="center"/>
              <w:outlineLvl w:val="0"/>
              <w:rPr>
                <w:rFonts w:ascii="Calibri" w:hAnsi="Calibri"/>
                <w:b/>
                <w:sz w:val="16"/>
                <w:szCs w:val="16"/>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b/>
                <w:sz w:val="22"/>
                <w:szCs w:val="22"/>
                <w:lang w:val="en-US"/>
              </w:rPr>
            </w:pPr>
            <w:r w:rsidRPr="00414465">
              <w:rPr>
                <w:rFonts w:ascii="Calibri" w:hAnsi="Calibri"/>
                <w:b/>
                <w:sz w:val="22"/>
                <w:szCs w:val="22"/>
                <w:lang w:val="en-US"/>
              </w:rPr>
              <w:t>Percentage</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b/>
                <w:i/>
                <w:sz w:val="22"/>
                <w:szCs w:val="22"/>
                <w:lang w:val="en-US"/>
              </w:rPr>
            </w:pPr>
            <w:r w:rsidRPr="00414465">
              <w:rPr>
                <w:rFonts w:ascii="Calibri" w:hAnsi="Calibri"/>
                <w:b/>
                <w:i/>
                <w:sz w:val="22"/>
                <w:szCs w:val="22"/>
                <w:lang w:val="en-US"/>
              </w:rPr>
              <w:t>Investigation</w:t>
            </w:r>
          </w:p>
        </w:tc>
        <w:tc>
          <w:tcPr>
            <w:tcW w:w="181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ind w:firstLine="910"/>
              <w:jc w:val="left"/>
              <w:outlineLvl w:val="0"/>
              <w:rPr>
                <w:rFonts w:ascii="Calibri" w:hAnsi="Calibri"/>
                <w:i/>
                <w:sz w:val="22"/>
                <w:szCs w:val="22"/>
                <w:lang w:val="en-US"/>
              </w:rPr>
            </w:pP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ind w:firstLine="910"/>
              <w:jc w:val="left"/>
              <w:outlineLvl w:val="0"/>
              <w:rPr>
                <w:rFonts w:ascii="Calibri" w:hAnsi="Calibri"/>
                <w:i/>
                <w:sz w:val="22"/>
                <w:szCs w:val="22"/>
                <w:lang w:val="en-US"/>
              </w:rPr>
            </w:pP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 xml:space="preserve">Breach </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5</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2.0%</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No breach</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0.4%</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Investigation discontinued s38(1)</w:t>
            </w:r>
            <w:r w:rsidRPr="00414465">
              <w:rPr>
                <w:rStyle w:val="FootnoteReference"/>
                <w:rFonts w:ascii="Calibri" w:eastAsiaTheme="minorEastAsia" w:hAnsi="Calibri" w:cs="Arial"/>
                <w:lang w:eastAsia="en-NZ" w:bidi="ar-SA"/>
              </w:rPr>
              <w:t xml:space="preserve"> </w:t>
            </w:r>
            <w:r w:rsidRPr="00414465">
              <w:rPr>
                <w:rStyle w:val="FootnoteReference"/>
                <w:rFonts w:ascii="Calibri" w:eastAsiaTheme="minorEastAsia" w:hAnsi="Calibri" w:cs="Arial"/>
                <w:lang w:eastAsia="en-NZ" w:bidi="ar-SA"/>
              </w:rPr>
              <w:footnoteReference w:id="7"/>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0.8%</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b/>
                <w:i/>
                <w:sz w:val="22"/>
                <w:szCs w:val="22"/>
                <w:lang w:val="en-US"/>
              </w:rPr>
            </w:pPr>
            <w:r w:rsidRPr="00414465">
              <w:rPr>
                <w:rFonts w:ascii="Calibri" w:hAnsi="Calibri"/>
                <w:b/>
                <w:i/>
                <w:sz w:val="22"/>
                <w:szCs w:val="22"/>
                <w:lang w:val="en-US"/>
              </w:rPr>
              <w:t>Non-investigation</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rPr>
              <w:t> </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cs="Arial"/>
                <w:sz w:val="22"/>
                <w:szCs w:val="22"/>
                <w:lang w:eastAsia="en-NZ" w:bidi="ar-SA"/>
              </w:rPr>
              <w:t>Referred to Advocacy</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18</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7.1%</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No further action — s 38(1)</w:t>
            </w:r>
            <w:r w:rsidRPr="00414465">
              <w:rPr>
                <w:rStyle w:val="FootnoteReference"/>
                <w:rFonts w:ascii="Calibri" w:hAnsi="Calibri" w:cs="Arial"/>
                <w:sz w:val="22"/>
                <w:szCs w:val="22"/>
                <w:lang w:eastAsia="en-NZ" w:bidi="ar-SA"/>
              </w:rPr>
              <w:footnoteReference w:id="8"/>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14</w:t>
            </w:r>
            <w:r>
              <w:rPr>
                <w:rFonts w:ascii="Calibri" w:hAnsi="Calibri"/>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55.</w:t>
            </w:r>
            <w:r>
              <w:rPr>
                <w:rFonts w:ascii="Calibri" w:hAnsi="Calibri" w:cs="Calibri"/>
                <w:sz w:val="22"/>
                <w:szCs w:val="22"/>
                <w:lang w:val="en-US"/>
              </w:rPr>
              <w:t>9</w:t>
            </w:r>
            <w:r w:rsidRPr="00414465">
              <w:rPr>
                <w:rFonts w:ascii="Calibri" w:hAnsi="Calibri" w:cs="Calibri"/>
                <w:sz w:val="22"/>
                <w:szCs w:val="22"/>
                <w:lang w:val="en-US"/>
              </w:rPr>
              <w:t>%</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Referred to DG of Health</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0.4%</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cs="Arial"/>
                <w:sz w:val="22"/>
                <w:szCs w:val="22"/>
                <w:lang w:eastAsia="en-NZ" w:bidi="ar-SA"/>
              </w:rPr>
              <w:t>Referred to District Inspector</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8</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3.1%</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Referred to Medical Council</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1.2%</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Referred to Midwifery Council</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0.4%</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Referred to Nursing Council</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0.4%</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Referred to Provider</w:t>
            </w:r>
            <w:r w:rsidRPr="00414465">
              <w:rPr>
                <w:rStyle w:val="FootnoteReference"/>
                <w:rFonts w:ascii="Calibri" w:hAnsi="Calibri" w:cs="Arial"/>
                <w:sz w:val="22"/>
                <w:szCs w:val="22"/>
                <w:lang w:eastAsia="en-NZ" w:bidi="ar-SA"/>
              </w:rPr>
              <w:footnoteReference w:id="9"/>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47</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18.5%</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2"/>
                <w:szCs w:val="22"/>
                <w:lang w:val="en-US"/>
              </w:rPr>
            </w:pPr>
            <w:r w:rsidRPr="00414465">
              <w:rPr>
                <w:rFonts w:ascii="Calibri" w:hAnsi="Calibri"/>
                <w:sz w:val="22"/>
                <w:szCs w:val="22"/>
                <w:lang w:val="en-US"/>
              </w:rPr>
              <w:t xml:space="preserve">Resolved by Parties </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1.2%</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 xml:space="preserve">Withdrawn </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13</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5.1%</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sz w:val="22"/>
                <w:szCs w:val="22"/>
                <w:lang w:eastAsia="en-NZ" w:bidi="ar-SA"/>
              </w:rPr>
            </w:pPr>
            <w:r w:rsidRPr="00414465">
              <w:rPr>
                <w:rFonts w:ascii="Calibri" w:hAnsi="Calibri" w:cs="Arial"/>
                <w:sz w:val="22"/>
                <w:szCs w:val="22"/>
                <w:lang w:eastAsia="en-NZ" w:bidi="ar-SA"/>
              </w:rPr>
              <w:t>Outside jurisdiction</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912"/>
                <w:tab w:val="left" w:pos="1440"/>
                <w:tab w:val="decimal" w:pos="4320"/>
              </w:tabs>
              <w:jc w:val="center"/>
              <w:outlineLvl w:val="0"/>
              <w:rPr>
                <w:rFonts w:ascii="Calibri" w:hAnsi="Calibri"/>
                <w:sz w:val="22"/>
                <w:szCs w:val="22"/>
                <w:lang w:val="en-US"/>
              </w:rPr>
            </w:pPr>
            <w:r w:rsidRPr="00414465">
              <w:rPr>
                <w:rFonts w:ascii="Calibri" w:hAnsi="Calibri"/>
                <w:sz w:val="22"/>
                <w:szCs w:val="22"/>
                <w:lang w:val="en-US"/>
              </w:rPr>
              <w:t>9</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jc w:val="center"/>
              <w:rPr>
                <w:rFonts w:ascii="Calibri" w:hAnsi="Calibri" w:cs="Calibri"/>
                <w:sz w:val="22"/>
                <w:szCs w:val="22"/>
              </w:rPr>
            </w:pPr>
            <w:r w:rsidRPr="00414465">
              <w:rPr>
                <w:rFonts w:ascii="Calibri" w:hAnsi="Calibri" w:cs="Calibri"/>
                <w:sz w:val="22"/>
                <w:szCs w:val="22"/>
                <w:lang w:val="en-US"/>
              </w:rPr>
              <w:t>3.5%</w:t>
            </w:r>
          </w:p>
        </w:tc>
      </w:tr>
      <w:tr w:rsidR="001726F0" w:rsidRPr="00414465" w:rsidTr="000E7C15">
        <w:tc>
          <w:tcPr>
            <w:tcW w:w="38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cs="Arial"/>
                <w:b/>
                <w:sz w:val="22"/>
                <w:szCs w:val="22"/>
                <w:lang w:eastAsia="en-NZ" w:bidi="ar-SA"/>
              </w:rPr>
            </w:pPr>
            <w:r w:rsidRPr="00414465">
              <w:rPr>
                <w:rFonts w:ascii="Calibri" w:hAnsi="Calibri" w:cs="Arial"/>
                <w:b/>
                <w:sz w:val="22"/>
                <w:szCs w:val="22"/>
                <w:lang w:eastAsia="en-NZ" w:bidi="ar-SA"/>
              </w:rPr>
              <w:t>Total</w:t>
            </w:r>
          </w:p>
        </w:tc>
        <w:tc>
          <w:tcPr>
            <w:tcW w:w="1811"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tabs>
                <w:tab w:val="left" w:pos="912"/>
                <w:tab w:val="left" w:pos="1440"/>
                <w:tab w:val="decimal" w:pos="4320"/>
              </w:tabs>
              <w:ind w:firstLine="91"/>
              <w:jc w:val="center"/>
              <w:outlineLvl w:val="0"/>
              <w:rPr>
                <w:rFonts w:ascii="Calibri" w:hAnsi="Calibri"/>
                <w:b/>
                <w:sz w:val="22"/>
                <w:szCs w:val="22"/>
                <w:lang w:val="en-US"/>
              </w:rPr>
            </w:pPr>
            <w:r w:rsidRPr="00414465">
              <w:rPr>
                <w:rFonts w:ascii="Calibri" w:hAnsi="Calibri"/>
                <w:b/>
                <w:sz w:val="22"/>
                <w:szCs w:val="22"/>
                <w:lang w:val="en-US"/>
              </w:rPr>
              <w:t>254</w:t>
            </w:r>
          </w:p>
        </w:tc>
        <w:tc>
          <w:tcPr>
            <w:tcW w:w="1701"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912"/>
                <w:tab w:val="left" w:pos="1440"/>
                <w:tab w:val="decimal" w:pos="4320"/>
              </w:tabs>
              <w:ind w:firstLine="91"/>
              <w:jc w:val="center"/>
              <w:outlineLvl w:val="0"/>
              <w:rPr>
                <w:rFonts w:ascii="Calibri" w:hAnsi="Calibri"/>
                <w:b/>
                <w:sz w:val="22"/>
                <w:szCs w:val="22"/>
                <w:lang w:val="en-US"/>
              </w:rPr>
            </w:pPr>
          </w:p>
        </w:tc>
      </w:tr>
      <w:bookmarkEnd w:id="0"/>
    </w:tbl>
    <w:p w:rsidR="001726F0" w:rsidRPr="00414465" w:rsidRDefault="001726F0" w:rsidP="001726F0">
      <w:pPr>
        <w:tabs>
          <w:tab w:val="left" w:pos="1440"/>
          <w:tab w:val="left" w:pos="2610"/>
        </w:tabs>
        <w:spacing w:after="240"/>
        <w:outlineLvl w:val="0"/>
        <w:rPr>
          <w:rFonts w:ascii="Calibri" w:hAnsi="Calibri"/>
          <w:sz w:val="22"/>
          <w:szCs w:val="22"/>
        </w:rPr>
      </w:pPr>
    </w:p>
    <w:p w:rsidR="001726F0" w:rsidRPr="00414465" w:rsidRDefault="001726F0" w:rsidP="001726F0">
      <w:pPr>
        <w:keepNext/>
        <w:tabs>
          <w:tab w:val="left" w:pos="1440"/>
          <w:tab w:val="left" w:pos="2610"/>
        </w:tabs>
        <w:spacing w:after="240"/>
        <w:outlineLvl w:val="0"/>
        <w:rPr>
          <w:rFonts w:ascii="Calibri" w:hAnsi="Calibri"/>
          <w:sz w:val="22"/>
          <w:szCs w:val="22"/>
        </w:rPr>
      </w:pPr>
      <w:r w:rsidRPr="00414465">
        <w:rPr>
          <w:rFonts w:ascii="Calibri" w:hAnsi="Calibri"/>
          <w:sz w:val="22"/>
          <w:szCs w:val="22"/>
        </w:rPr>
        <w:lastRenderedPageBreak/>
        <w:t>In summary, Table 7 illustrates that:</w:t>
      </w:r>
    </w:p>
    <w:p w:rsidR="001726F0" w:rsidRPr="00414465" w:rsidRDefault="001726F0" w:rsidP="001726F0">
      <w:pPr>
        <w:pStyle w:val="ListParagraph"/>
        <w:keepNext/>
        <w:numPr>
          <w:ilvl w:val="0"/>
          <w:numId w:val="1"/>
        </w:numPr>
        <w:tabs>
          <w:tab w:val="left" w:pos="1440"/>
          <w:tab w:val="decimal" w:pos="4320"/>
        </w:tabs>
        <w:ind w:left="284" w:hanging="284"/>
        <w:outlineLvl w:val="0"/>
        <w:rPr>
          <w:rFonts w:ascii="Calibri" w:hAnsi="Calibri"/>
          <w:sz w:val="22"/>
          <w:szCs w:val="22"/>
        </w:rPr>
      </w:pPr>
      <w:r w:rsidRPr="00414465">
        <w:rPr>
          <w:rFonts w:ascii="Calibri" w:hAnsi="Calibri"/>
          <w:sz w:val="22"/>
          <w:szCs w:val="22"/>
        </w:rPr>
        <w:t>74% of complaints were either closed with no action or no further action (55.</w:t>
      </w:r>
      <w:r>
        <w:rPr>
          <w:rFonts w:ascii="Calibri" w:hAnsi="Calibri"/>
          <w:sz w:val="22"/>
          <w:szCs w:val="22"/>
        </w:rPr>
        <w:t>9</w:t>
      </w:r>
      <w:r w:rsidRPr="00414465">
        <w:rPr>
          <w:rFonts w:ascii="Calibri" w:hAnsi="Calibri"/>
          <w:sz w:val="22"/>
          <w:szCs w:val="22"/>
        </w:rPr>
        <w:t>%), or referred to the provid</w:t>
      </w:r>
      <w:r>
        <w:rPr>
          <w:rFonts w:ascii="Calibri" w:hAnsi="Calibri"/>
          <w:sz w:val="22"/>
          <w:szCs w:val="22"/>
        </w:rPr>
        <w:t>er for resolution (18.5%); and</w:t>
      </w:r>
    </w:p>
    <w:p w:rsidR="001726F0" w:rsidRPr="00414465" w:rsidRDefault="001726F0" w:rsidP="001726F0">
      <w:pPr>
        <w:pStyle w:val="ListParagraph"/>
        <w:numPr>
          <w:ilvl w:val="0"/>
          <w:numId w:val="1"/>
        </w:numPr>
        <w:tabs>
          <w:tab w:val="left" w:pos="1440"/>
          <w:tab w:val="decimal" w:pos="4320"/>
        </w:tabs>
        <w:spacing w:after="240"/>
        <w:ind w:left="284" w:hanging="284"/>
        <w:outlineLvl w:val="0"/>
        <w:rPr>
          <w:rFonts w:ascii="Calibri" w:hAnsi="Calibri"/>
          <w:sz w:val="22"/>
          <w:szCs w:val="22"/>
        </w:rPr>
      </w:pPr>
      <w:r>
        <w:rPr>
          <w:rFonts w:ascii="Calibri" w:hAnsi="Calibri"/>
          <w:sz w:val="22"/>
          <w:szCs w:val="22"/>
        </w:rPr>
        <w:t>j</w:t>
      </w:r>
      <w:r w:rsidRPr="00414465">
        <w:rPr>
          <w:rFonts w:ascii="Calibri" w:hAnsi="Calibri"/>
          <w:sz w:val="22"/>
          <w:szCs w:val="22"/>
        </w:rPr>
        <w:t>ust</w:t>
      </w:r>
      <w:r>
        <w:rPr>
          <w:rFonts w:ascii="Calibri" w:hAnsi="Calibri"/>
          <w:sz w:val="22"/>
          <w:szCs w:val="22"/>
        </w:rPr>
        <w:t xml:space="preserve"> </w:t>
      </w:r>
      <w:r w:rsidRPr="00414465">
        <w:rPr>
          <w:rFonts w:ascii="Calibri" w:hAnsi="Calibri"/>
          <w:sz w:val="22"/>
          <w:szCs w:val="22"/>
        </w:rPr>
        <w:t>7.1% of complaints were referred to Advocacy in this period.</w:t>
      </w:r>
    </w:p>
    <w:p w:rsidR="001726F0" w:rsidRDefault="001726F0" w:rsidP="001726F0">
      <w:pPr>
        <w:pStyle w:val="Caption"/>
        <w:keepNext/>
        <w:rPr>
          <w:lang w:val="en-US"/>
        </w:rPr>
      </w:pPr>
      <w:r w:rsidRPr="00414465">
        <w:t xml:space="preserve">Figure 2 </w:t>
      </w:r>
      <w:r w:rsidRPr="00414465">
        <w:rPr>
          <w:lang w:val="en-US"/>
        </w:rPr>
        <w:t>– Outcome of complaints closed by complaint type</w:t>
      </w:r>
    </w:p>
    <w:p w:rsidR="001726F0" w:rsidRDefault="001726F0" w:rsidP="001726F0">
      <w:pPr>
        <w:rPr>
          <w:lang w:val="en-US" w:eastAsia="en-NZ" w:bidi="ar-SA"/>
        </w:rPr>
      </w:pPr>
      <w:r w:rsidRPr="00757CD6">
        <w:rPr>
          <w:noProof/>
          <w:lang w:eastAsia="en-NZ" w:bidi="ar-SA"/>
        </w:rPr>
        <w:drawing>
          <wp:inline distT="0" distB="0" distL="0" distR="0">
            <wp:extent cx="5767070" cy="4193449"/>
            <wp:effectExtent l="19050" t="0" r="2413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26F0" w:rsidRPr="00757CD6" w:rsidRDefault="001726F0" w:rsidP="001726F0">
      <w:pPr>
        <w:rPr>
          <w:lang w:val="en-US" w:eastAsia="en-NZ" w:bidi="ar-SA"/>
        </w:rPr>
      </w:pPr>
    </w:p>
    <w:p w:rsidR="001726F0" w:rsidRPr="00414465" w:rsidRDefault="001726F0" w:rsidP="001726F0">
      <w:pPr>
        <w:rPr>
          <w:lang w:eastAsia="en-NZ" w:bidi="ar-SA"/>
        </w:rPr>
      </w:pPr>
    </w:p>
    <w:p w:rsidR="001726F0" w:rsidRPr="00414465" w:rsidRDefault="001726F0" w:rsidP="001726F0">
      <w:pPr>
        <w:ind w:hanging="567"/>
        <w:jc w:val="left"/>
        <w:rPr>
          <w:rFonts w:ascii="Calibri" w:hAnsi="Calibri"/>
          <w:i/>
          <w:sz w:val="22"/>
          <w:szCs w:val="22"/>
          <w:lang w:eastAsia="en-NZ" w:bidi="ar-SA"/>
        </w:rPr>
      </w:pPr>
    </w:p>
    <w:p w:rsidR="001726F0" w:rsidRPr="001C7B56" w:rsidRDefault="001726F0" w:rsidP="001726F0">
      <w:pPr>
        <w:pStyle w:val="Heading3"/>
        <w:rPr>
          <w:lang w:val="en-US"/>
        </w:rPr>
      </w:pPr>
      <w:r w:rsidRPr="001C7B56">
        <w:rPr>
          <w:lang w:val="en-US"/>
        </w:rPr>
        <w:t>2.2</w:t>
      </w:r>
      <w:r w:rsidRPr="001C7B56">
        <w:rPr>
          <w:lang w:val="en-US"/>
        </w:rPr>
        <w:tab/>
        <w:t>Outcomes of complaints closed</w:t>
      </w:r>
      <w:r>
        <w:rPr>
          <w:lang w:val="en-US"/>
        </w:rPr>
        <w:t xml:space="preserve"> </w:t>
      </w:r>
      <w:r w:rsidRPr="001C7B56">
        <w:rPr>
          <w:lang w:val="en-US"/>
        </w:rPr>
        <w:t>—</w:t>
      </w:r>
      <w:r>
        <w:rPr>
          <w:lang w:val="en-US"/>
        </w:rPr>
        <w:t xml:space="preserve"> </w:t>
      </w:r>
      <w:r w:rsidRPr="001C7B56">
        <w:rPr>
          <w:lang w:val="en-US"/>
        </w:rPr>
        <w:t>comparison over time</w:t>
      </w:r>
    </w:p>
    <w:p w:rsidR="001726F0" w:rsidRPr="00414465" w:rsidRDefault="001726F0" w:rsidP="001726F0">
      <w:pPr>
        <w:tabs>
          <w:tab w:val="left" w:pos="1440"/>
          <w:tab w:val="left" w:pos="2610"/>
        </w:tabs>
        <w:spacing w:after="240"/>
        <w:outlineLvl w:val="0"/>
        <w:rPr>
          <w:rFonts w:asciiTheme="minorHAnsi" w:hAnsiTheme="minorHAnsi"/>
          <w:sz w:val="22"/>
          <w:szCs w:val="22"/>
          <w:lang w:eastAsia="en-NZ" w:bidi="ar-SA"/>
        </w:rPr>
      </w:pPr>
      <w:r w:rsidRPr="00414465">
        <w:rPr>
          <w:rFonts w:asciiTheme="minorHAnsi" w:hAnsiTheme="minorHAnsi"/>
          <w:sz w:val="22"/>
          <w:szCs w:val="22"/>
          <w:lang w:eastAsia="en-NZ" w:bidi="ar-SA"/>
        </w:rPr>
        <w:t xml:space="preserve">The outcomes of closed complaints that are not closed following investigation are most commonly </w:t>
      </w:r>
      <w:r w:rsidRPr="00414465">
        <w:rPr>
          <w:rFonts w:asciiTheme="minorHAnsi" w:hAnsiTheme="minorHAnsi"/>
          <w:i/>
          <w:sz w:val="22"/>
          <w:szCs w:val="22"/>
          <w:lang w:eastAsia="en-NZ" w:bidi="ar-SA"/>
        </w:rPr>
        <w:t>referred to advocacy</w:t>
      </w:r>
      <w:r w:rsidRPr="00414465">
        <w:rPr>
          <w:rFonts w:asciiTheme="minorHAnsi" w:hAnsiTheme="minorHAnsi"/>
          <w:sz w:val="22"/>
          <w:szCs w:val="22"/>
          <w:lang w:eastAsia="en-NZ" w:bidi="ar-SA"/>
        </w:rPr>
        <w:t xml:space="preserve">, </w:t>
      </w:r>
      <w:r w:rsidRPr="00414465">
        <w:rPr>
          <w:rFonts w:ascii="Calibri" w:hAnsi="Calibri" w:cs="Calibri"/>
          <w:sz w:val="22"/>
          <w:szCs w:val="22"/>
          <w:lang w:val="en-US"/>
        </w:rPr>
        <w:t>referred</w:t>
      </w:r>
      <w:r w:rsidRPr="00414465">
        <w:rPr>
          <w:rFonts w:asciiTheme="minorHAnsi" w:hAnsiTheme="minorHAnsi"/>
          <w:i/>
          <w:sz w:val="22"/>
          <w:szCs w:val="22"/>
          <w:lang w:eastAsia="en-NZ" w:bidi="ar-SA"/>
        </w:rPr>
        <w:t xml:space="preserve"> to provider </w:t>
      </w:r>
      <w:r w:rsidRPr="00414465">
        <w:rPr>
          <w:rFonts w:asciiTheme="minorHAnsi" w:hAnsiTheme="minorHAnsi"/>
          <w:sz w:val="22"/>
          <w:szCs w:val="22"/>
          <w:lang w:eastAsia="en-NZ" w:bidi="ar-SA"/>
        </w:rPr>
        <w:t xml:space="preserve">or resolved with </w:t>
      </w:r>
      <w:r w:rsidRPr="00414465">
        <w:rPr>
          <w:rFonts w:asciiTheme="minorHAnsi" w:hAnsiTheme="minorHAnsi"/>
          <w:i/>
          <w:sz w:val="22"/>
          <w:szCs w:val="22"/>
          <w:lang w:eastAsia="en-NZ" w:bidi="ar-SA"/>
        </w:rPr>
        <w:t>no further action.</w:t>
      </w:r>
      <w:r w:rsidRPr="00414465">
        <w:rPr>
          <w:rFonts w:asciiTheme="minorHAnsi" w:hAnsiTheme="minorHAnsi"/>
          <w:sz w:val="22"/>
          <w:szCs w:val="22"/>
          <w:lang w:eastAsia="en-NZ" w:bidi="ar-SA"/>
        </w:rPr>
        <w:t xml:space="preserve"> The distribution of these outco</w:t>
      </w:r>
      <w:r>
        <w:rPr>
          <w:rFonts w:asciiTheme="minorHAnsi" w:hAnsiTheme="minorHAnsi"/>
          <w:sz w:val="22"/>
          <w:szCs w:val="22"/>
          <w:lang w:eastAsia="en-NZ" w:bidi="ar-SA"/>
        </w:rPr>
        <w:t>mes in the last four six-month</w:t>
      </w:r>
      <w:r w:rsidRPr="00414465">
        <w:rPr>
          <w:rFonts w:asciiTheme="minorHAnsi" w:hAnsiTheme="minorHAnsi"/>
          <w:sz w:val="22"/>
          <w:szCs w:val="22"/>
          <w:lang w:eastAsia="en-NZ" w:bidi="ar-SA"/>
        </w:rPr>
        <w:t xml:space="preserve"> periods is shown in Table 8.</w:t>
      </w:r>
    </w:p>
    <w:p w:rsidR="001726F0" w:rsidRPr="00414465" w:rsidRDefault="001726F0" w:rsidP="001726F0">
      <w:pPr>
        <w:keepNext/>
        <w:tabs>
          <w:tab w:val="left" w:pos="426"/>
          <w:tab w:val="left" w:pos="1440"/>
          <w:tab w:val="decimal" w:pos="4320"/>
        </w:tabs>
        <w:jc w:val="left"/>
        <w:outlineLvl w:val="0"/>
        <w:rPr>
          <w:rFonts w:ascii="Calibri" w:hAnsi="Calibri"/>
          <w:b/>
          <w:sz w:val="22"/>
          <w:szCs w:val="22"/>
          <w:lang w:val="en-US"/>
        </w:rPr>
      </w:pPr>
      <w:r w:rsidRPr="00414465">
        <w:rPr>
          <w:rFonts w:ascii="Calibri" w:hAnsi="Calibri"/>
          <w:b/>
          <w:sz w:val="22"/>
          <w:szCs w:val="22"/>
          <w:lang w:val="en-US"/>
        </w:rPr>
        <w:t>Table 8 – Outcome of non-investigated complaints</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4"/>
        <w:gridCol w:w="1559"/>
        <w:gridCol w:w="1559"/>
        <w:gridCol w:w="1418"/>
      </w:tblGrid>
      <w:tr w:rsidR="001726F0" w:rsidRPr="00414465" w:rsidTr="000E7C15">
        <w:trPr>
          <w:tblHeader/>
        </w:trPr>
        <w:tc>
          <w:tcPr>
            <w:tcW w:w="269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left"/>
              <w:outlineLvl w:val="0"/>
              <w:rPr>
                <w:rFonts w:ascii="Calibri" w:hAnsi="Calibri"/>
                <w:b/>
                <w:sz w:val="20"/>
                <w:szCs w:val="20"/>
                <w:lang w:val="en-US"/>
              </w:rPr>
            </w:pPr>
            <w:r w:rsidRPr="00414465">
              <w:rPr>
                <w:rFonts w:ascii="Calibri" w:hAnsi="Calibri"/>
                <w:b/>
                <w:sz w:val="20"/>
                <w:szCs w:val="20"/>
                <w:lang w:val="en-US"/>
              </w:rPr>
              <w:t>Outcome of non-investigated complaints</w:t>
            </w:r>
          </w:p>
        </w:tc>
        <w:tc>
          <w:tcPr>
            <w:tcW w:w="6090" w:type="dxa"/>
            <w:gridSpan w:val="4"/>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0"/>
                <w:szCs w:val="20"/>
                <w:lang w:val="en-US"/>
              </w:rPr>
            </w:pPr>
            <w:r w:rsidRPr="00414465">
              <w:rPr>
                <w:rFonts w:ascii="Calibri" w:hAnsi="Calibri"/>
                <w:b/>
                <w:sz w:val="20"/>
                <w:szCs w:val="20"/>
                <w:lang w:val="en-US"/>
              </w:rPr>
              <w:t>Percentage of complaints</w:t>
            </w:r>
          </w:p>
        </w:tc>
      </w:tr>
      <w:tr w:rsidR="001726F0" w:rsidRPr="00414465" w:rsidTr="000E7C15">
        <w:trPr>
          <w:trHeight w:val="597"/>
          <w:tblHeader/>
        </w:trPr>
        <w:tc>
          <w:tcPr>
            <w:tcW w:w="269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jc w:val="left"/>
              <w:outlineLvl w:val="0"/>
              <w:rPr>
                <w:rFonts w:ascii="Calibri" w:hAnsi="Calibri"/>
                <w:sz w:val="20"/>
                <w:szCs w:val="20"/>
              </w:rPr>
            </w:pPr>
          </w:p>
        </w:tc>
        <w:tc>
          <w:tcPr>
            <w:tcW w:w="155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0"/>
                <w:szCs w:val="20"/>
                <w:lang w:val="en-US"/>
              </w:rPr>
            </w:pPr>
            <w:r w:rsidRPr="00414465">
              <w:rPr>
                <w:rFonts w:ascii="Calibri" w:hAnsi="Calibri"/>
                <w:b/>
                <w:sz w:val="20"/>
                <w:szCs w:val="20"/>
                <w:lang w:val="en-US"/>
              </w:rPr>
              <w:t>Jan—June 2011</w:t>
            </w:r>
          </w:p>
          <w:p w:rsidR="001726F0" w:rsidRPr="00414465" w:rsidRDefault="001726F0" w:rsidP="000E7C15">
            <w:pPr>
              <w:keepNext/>
              <w:keepLines/>
              <w:tabs>
                <w:tab w:val="left" w:pos="1440"/>
                <w:tab w:val="decimal" w:pos="4320"/>
              </w:tabs>
              <w:jc w:val="center"/>
              <w:outlineLvl w:val="0"/>
              <w:rPr>
                <w:rFonts w:ascii="Calibri" w:hAnsi="Calibri"/>
                <w:b/>
                <w:sz w:val="20"/>
                <w:szCs w:val="20"/>
                <w:lang w:val="en-US"/>
              </w:rPr>
            </w:pPr>
            <w:r w:rsidRPr="00414465">
              <w:rPr>
                <w:rFonts w:ascii="Calibri" w:hAnsi="Calibri"/>
                <w:b/>
                <w:sz w:val="20"/>
                <w:szCs w:val="20"/>
                <w:lang w:val="en-US"/>
              </w:rPr>
              <w:t>(n=246)</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0"/>
                <w:szCs w:val="20"/>
                <w:lang w:val="en-US"/>
              </w:rPr>
            </w:pPr>
            <w:r w:rsidRPr="00414465">
              <w:rPr>
                <w:rFonts w:ascii="Calibri" w:hAnsi="Calibri"/>
                <w:b/>
                <w:sz w:val="20"/>
                <w:szCs w:val="20"/>
                <w:lang w:val="en-US"/>
              </w:rPr>
              <w:t>Jul—Dec 2011</w:t>
            </w:r>
          </w:p>
          <w:p w:rsidR="001726F0" w:rsidRPr="00414465" w:rsidRDefault="001726F0" w:rsidP="000E7C15">
            <w:pPr>
              <w:keepNext/>
              <w:keepLines/>
              <w:tabs>
                <w:tab w:val="left" w:pos="1440"/>
                <w:tab w:val="decimal" w:pos="4320"/>
              </w:tabs>
              <w:jc w:val="center"/>
              <w:outlineLvl w:val="0"/>
              <w:rPr>
                <w:rFonts w:ascii="Calibri" w:hAnsi="Calibri"/>
                <w:b/>
                <w:sz w:val="20"/>
                <w:szCs w:val="20"/>
                <w:lang w:val="en-US"/>
              </w:rPr>
            </w:pPr>
            <w:r w:rsidRPr="00414465">
              <w:rPr>
                <w:rFonts w:ascii="Calibri" w:hAnsi="Calibri"/>
                <w:b/>
                <w:sz w:val="20"/>
                <w:szCs w:val="20"/>
                <w:lang w:val="en-US"/>
              </w:rPr>
              <w:t>(n=217)</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0"/>
                <w:szCs w:val="20"/>
                <w:lang w:val="en-US"/>
              </w:rPr>
            </w:pPr>
            <w:r w:rsidRPr="00414465">
              <w:rPr>
                <w:rFonts w:ascii="Calibri" w:hAnsi="Calibri"/>
                <w:b/>
                <w:sz w:val="20"/>
                <w:szCs w:val="20"/>
                <w:lang w:val="en-US"/>
              </w:rPr>
              <w:t>Jan—June 2012 (n=302)</w:t>
            </w:r>
          </w:p>
        </w:tc>
        <w:tc>
          <w:tcPr>
            <w:tcW w:w="1418"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jc w:val="center"/>
              <w:outlineLvl w:val="0"/>
              <w:rPr>
                <w:rFonts w:ascii="Calibri" w:hAnsi="Calibri"/>
                <w:b/>
                <w:sz w:val="20"/>
                <w:szCs w:val="20"/>
                <w:lang w:val="en-US"/>
              </w:rPr>
            </w:pPr>
            <w:r w:rsidRPr="00414465">
              <w:rPr>
                <w:rFonts w:ascii="Calibri" w:hAnsi="Calibri"/>
                <w:b/>
                <w:sz w:val="20"/>
                <w:szCs w:val="20"/>
                <w:lang w:val="en-US"/>
              </w:rPr>
              <w:t>Jul—Dec 2012 (n=254)</w:t>
            </w:r>
          </w:p>
        </w:tc>
      </w:tr>
      <w:tr w:rsidR="001726F0" w:rsidRPr="00414465" w:rsidTr="000E7C15">
        <w:trPr>
          <w:trHeight w:val="57"/>
        </w:trPr>
        <w:tc>
          <w:tcPr>
            <w:tcW w:w="269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left"/>
              <w:outlineLvl w:val="0"/>
              <w:rPr>
                <w:rFonts w:ascii="Calibri" w:hAnsi="Calibri" w:cs="Arial"/>
                <w:sz w:val="20"/>
                <w:szCs w:val="20"/>
                <w:lang w:eastAsia="en-NZ" w:bidi="ar-SA"/>
              </w:rPr>
            </w:pPr>
            <w:r w:rsidRPr="00414465">
              <w:rPr>
                <w:rFonts w:ascii="Calibri" w:hAnsi="Calibri" w:cs="Arial"/>
                <w:sz w:val="20"/>
                <w:szCs w:val="20"/>
                <w:lang w:eastAsia="en-NZ" w:bidi="ar-SA"/>
              </w:rPr>
              <w:t>No further action — s38(1)</w:t>
            </w:r>
          </w:p>
        </w:tc>
        <w:tc>
          <w:tcPr>
            <w:tcW w:w="155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41.1%</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48.8%</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47.7%</w:t>
            </w:r>
          </w:p>
        </w:tc>
        <w:tc>
          <w:tcPr>
            <w:tcW w:w="1418"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55.</w:t>
            </w:r>
            <w:r>
              <w:rPr>
                <w:rFonts w:ascii="Calibri" w:hAnsi="Calibri"/>
                <w:sz w:val="20"/>
                <w:szCs w:val="20"/>
                <w:lang w:val="en-US"/>
              </w:rPr>
              <w:t>9</w:t>
            </w:r>
            <w:r w:rsidRPr="00414465">
              <w:rPr>
                <w:rFonts w:ascii="Calibri" w:hAnsi="Calibri"/>
                <w:sz w:val="20"/>
                <w:szCs w:val="20"/>
                <w:lang w:val="en-US"/>
              </w:rPr>
              <w:t>%</w:t>
            </w:r>
          </w:p>
        </w:tc>
      </w:tr>
      <w:tr w:rsidR="001726F0" w:rsidRPr="00414465" w:rsidTr="000E7C15">
        <w:trPr>
          <w:trHeight w:val="57"/>
        </w:trPr>
        <w:tc>
          <w:tcPr>
            <w:tcW w:w="269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left"/>
              <w:outlineLvl w:val="0"/>
              <w:rPr>
                <w:rFonts w:ascii="Calibri" w:hAnsi="Calibri" w:cs="Arial"/>
                <w:sz w:val="20"/>
                <w:szCs w:val="20"/>
                <w:lang w:eastAsia="en-NZ" w:bidi="ar-SA"/>
              </w:rPr>
            </w:pPr>
            <w:r w:rsidRPr="00414465">
              <w:rPr>
                <w:rFonts w:ascii="Calibri" w:hAnsi="Calibri" w:cs="Arial"/>
                <w:sz w:val="20"/>
                <w:szCs w:val="20"/>
                <w:lang w:eastAsia="en-NZ" w:bidi="ar-SA"/>
              </w:rPr>
              <w:t>Referred to provider</w:t>
            </w:r>
          </w:p>
        </w:tc>
        <w:tc>
          <w:tcPr>
            <w:tcW w:w="155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28.9%</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21.2%</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22.9%</w:t>
            </w:r>
          </w:p>
        </w:tc>
        <w:tc>
          <w:tcPr>
            <w:tcW w:w="1418"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18.5%</w:t>
            </w:r>
          </w:p>
        </w:tc>
      </w:tr>
      <w:tr w:rsidR="001726F0" w:rsidRPr="00414465" w:rsidTr="000E7C15">
        <w:trPr>
          <w:trHeight w:val="57"/>
        </w:trPr>
        <w:tc>
          <w:tcPr>
            <w:tcW w:w="269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left"/>
              <w:outlineLvl w:val="0"/>
              <w:rPr>
                <w:rFonts w:ascii="Calibri" w:hAnsi="Calibri"/>
                <w:sz w:val="20"/>
                <w:szCs w:val="20"/>
                <w:lang w:val="en-US"/>
              </w:rPr>
            </w:pPr>
            <w:r w:rsidRPr="00414465">
              <w:rPr>
                <w:rFonts w:ascii="Calibri" w:hAnsi="Calibri" w:cs="Arial"/>
                <w:sz w:val="20"/>
                <w:szCs w:val="20"/>
                <w:lang w:eastAsia="en-NZ" w:bidi="ar-SA"/>
              </w:rPr>
              <w:t>Referred to Advocacy</w:t>
            </w:r>
          </w:p>
        </w:tc>
        <w:tc>
          <w:tcPr>
            <w:tcW w:w="1554"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16.4%</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15.2%</w:t>
            </w:r>
          </w:p>
        </w:tc>
        <w:tc>
          <w:tcPr>
            <w:tcW w:w="1559"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8.3%</w:t>
            </w:r>
          </w:p>
        </w:tc>
        <w:tc>
          <w:tcPr>
            <w:tcW w:w="1418" w:type="dxa"/>
            <w:tcBorders>
              <w:top w:val="single" w:sz="4" w:space="0" w:color="auto"/>
              <w:left w:val="single" w:sz="4" w:space="0" w:color="auto"/>
              <w:bottom w:val="single" w:sz="4" w:space="0" w:color="auto"/>
              <w:right w:val="single" w:sz="4" w:space="0" w:color="auto"/>
            </w:tcBorders>
          </w:tcPr>
          <w:p w:rsidR="001726F0" w:rsidRPr="00414465" w:rsidRDefault="001726F0" w:rsidP="000E7C15">
            <w:pPr>
              <w:keepNext/>
              <w:keepLines/>
              <w:tabs>
                <w:tab w:val="left" w:pos="1440"/>
                <w:tab w:val="decimal" w:pos="4320"/>
              </w:tabs>
              <w:spacing w:before="120" w:after="100" w:afterAutospacing="1"/>
              <w:jc w:val="center"/>
              <w:outlineLvl w:val="0"/>
              <w:rPr>
                <w:rFonts w:ascii="Calibri" w:hAnsi="Calibri"/>
                <w:sz w:val="20"/>
                <w:szCs w:val="20"/>
                <w:lang w:val="en-US"/>
              </w:rPr>
            </w:pPr>
            <w:r w:rsidRPr="00414465">
              <w:rPr>
                <w:rFonts w:ascii="Calibri" w:hAnsi="Calibri"/>
                <w:sz w:val="20"/>
                <w:szCs w:val="20"/>
                <w:lang w:val="en-US"/>
              </w:rPr>
              <w:t>7.1%</w:t>
            </w:r>
          </w:p>
        </w:tc>
      </w:tr>
    </w:tbl>
    <w:p w:rsidR="001726F0" w:rsidRPr="00414465" w:rsidRDefault="001726F0" w:rsidP="001726F0">
      <w:pPr>
        <w:rPr>
          <w:lang w:eastAsia="en-NZ" w:bidi="ar-SA"/>
        </w:rPr>
      </w:pPr>
    </w:p>
    <w:p w:rsidR="001726F0" w:rsidRPr="00414465" w:rsidRDefault="001726F0" w:rsidP="001726F0">
      <w:pPr>
        <w:keepNext/>
        <w:rPr>
          <w:rFonts w:asciiTheme="minorHAnsi" w:hAnsiTheme="minorHAnsi"/>
          <w:sz w:val="22"/>
          <w:szCs w:val="22"/>
          <w:lang w:eastAsia="en-NZ" w:bidi="ar-SA"/>
        </w:rPr>
      </w:pPr>
      <w:r w:rsidRPr="00414465">
        <w:rPr>
          <w:rFonts w:asciiTheme="minorHAnsi" w:hAnsiTheme="minorHAnsi"/>
          <w:sz w:val="22"/>
          <w:szCs w:val="22"/>
          <w:lang w:eastAsia="en-NZ" w:bidi="ar-SA"/>
        </w:rPr>
        <w:t>Table 8 shows that:</w:t>
      </w:r>
    </w:p>
    <w:p w:rsidR="001726F0" w:rsidRPr="00414465" w:rsidRDefault="001726F0" w:rsidP="001726F0">
      <w:pPr>
        <w:pStyle w:val="ListParagraph"/>
        <w:numPr>
          <w:ilvl w:val="0"/>
          <w:numId w:val="6"/>
        </w:numPr>
        <w:rPr>
          <w:rFonts w:asciiTheme="minorHAnsi" w:hAnsiTheme="minorHAnsi"/>
          <w:sz w:val="22"/>
          <w:szCs w:val="22"/>
          <w:lang w:eastAsia="en-NZ" w:bidi="ar-SA"/>
        </w:rPr>
      </w:pPr>
      <w:r w:rsidRPr="00414465">
        <w:rPr>
          <w:rFonts w:asciiTheme="minorHAnsi" w:hAnsiTheme="minorHAnsi"/>
          <w:sz w:val="22"/>
          <w:szCs w:val="22"/>
          <w:lang w:eastAsia="en-NZ" w:bidi="ar-SA"/>
        </w:rPr>
        <w:t xml:space="preserve">the percentage of complaints </w:t>
      </w:r>
      <w:r w:rsidRPr="00414465">
        <w:rPr>
          <w:rFonts w:asciiTheme="minorHAnsi" w:hAnsiTheme="minorHAnsi"/>
          <w:i/>
          <w:sz w:val="22"/>
          <w:szCs w:val="22"/>
          <w:lang w:eastAsia="en-NZ" w:bidi="ar-SA"/>
        </w:rPr>
        <w:t xml:space="preserve">referred to advocacy, </w:t>
      </w:r>
      <w:r w:rsidRPr="00414465">
        <w:rPr>
          <w:rFonts w:asciiTheme="minorHAnsi" w:hAnsiTheme="minorHAnsi"/>
          <w:sz w:val="22"/>
          <w:szCs w:val="22"/>
          <w:lang w:eastAsia="en-NZ" w:bidi="ar-SA"/>
        </w:rPr>
        <w:t>reduced considerably in the last period and has shown further reduction in this period;</w:t>
      </w:r>
    </w:p>
    <w:p w:rsidR="001726F0" w:rsidRPr="00414465" w:rsidRDefault="001726F0" w:rsidP="001726F0">
      <w:pPr>
        <w:pStyle w:val="ListParagraph"/>
        <w:numPr>
          <w:ilvl w:val="0"/>
          <w:numId w:val="6"/>
        </w:numPr>
        <w:rPr>
          <w:rFonts w:asciiTheme="minorHAnsi" w:hAnsiTheme="minorHAnsi"/>
          <w:sz w:val="22"/>
          <w:szCs w:val="22"/>
          <w:lang w:eastAsia="en-NZ" w:bidi="ar-SA"/>
        </w:rPr>
      </w:pPr>
      <w:r w:rsidRPr="00414465">
        <w:rPr>
          <w:rFonts w:asciiTheme="minorHAnsi" w:hAnsiTheme="minorHAnsi"/>
          <w:sz w:val="22"/>
          <w:szCs w:val="22"/>
          <w:lang w:eastAsia="en-NZ" w:bidi="ar-SA"/>
        </w:rPr>
        <w:lastRenderedPageBreak/>
        <w:t>percentage of complaints with</w:t>
      </w:r>
      <w:r>
        <w:rPr>
          <w:rFonts w:asciiTheme="minorHAnsi" w:hAnsiTheme="minorHAnsi"/>
          <w:sz w:val="22"/>
          <w:szCs w:val="22"/>
          <w:lang w:eastAsia="en-NZ" w:bidi="ar-SA"/>
        </w:rPr>
        <w:t xml:space="preserve"> </w:t>
      </w:r>
      <w:r w:rsidRPr="00414465">
        <w:rPr>
          <w:rFonts w:asciiTheme="minorHAnsi" w:hAnsiTheme="minorHAnsi"/>
          <w:i/>
          <w:sz w:val="22"/>
          <w:szCs w:val="22"/>
          <w:lang w:eastAsia="en-NZ" w:bidi="ar-SA"/>
        </w:rPr>
        <w:t>no further action</w:t>
      </w:r>
      <w:r>
        <w:rPr>
          <w:rFonts w:asciiTheme="minorHAnsi" w:hAnsiTheme="minorHAnsi"/>
          <w:i/>
          <w:sz w:val="22"/>
          <w:szCs w:val="22"/>
          <w:lang w:eastAsia="en-NZ" w:bidi="ar-SA"/>
        </w:rPr>
        <w:t xml:space="preserve"> </w:t>
      </w:r>
      <w:r w:rsidRPr="00414465">
        <w:rPr>
          <w:rFonts w:asciiTheme="minorHAnsi" w:hAnsiTheme="minorHAnsi"/>
          <w:sz w:val="22"/>
          <w:szCs w:val="22"/>
          <w:lang w:eastAsia="en-NZ" w:bidi="ar-SA"/>
        </w:rPr>
        <w:t xml:space="preserve">has increased when compared to the previous periods; and </w:t>
      </w:r>
    </w:p>
    <w:p w:rsidR="001726F0" w:rsidRPr="00414465" w:rsidRDefault="001726F0" w:rsidP="001726F0">
      <w:pPr>
        <w:pStyle w:val="ListParagraph"/>
        <w:numPr>
          <w:ilvl w:val="0"/>
          <w:numId w:val="6"/>
        </w:numPr>
        <w:tabs>
          <w:tab w:val="left" w:pos="426"/>
        </w:tabs>
        <w:spacing w:after="240"/>
        <w:ind w:left="782" w:hanging="357"/>
        <w:rPr>
          <w:rFonts w:ascii="Calibri" w:hAnsi="Calibri"/>
          <w:i/>
          <w:sz w:val="22"/>
          <w:szCs w:val="22"/>
          <w:lang w:eastAsia="en-NZ" w:bidi="ar-SA"/>
        </w:rPr>
      </w:pPr>
      <w:r w:rsidRPr="00414465">
        <w:rPr>
          <w:rFonts w:asciiTheme="minorHAnsi" w:hAnsiTheme="minorHAnsi"/>
          <w:sz w:val="22"/>
          <w:szCs w:val="22"/>
          <w:lang w:eastAsia="en-NZ" w:bidi="ar-SA"/>
        </w:rPr>
        <w:t xml:space="preserve">the percentage of complaints </w:t>
      </w:r>
      <w:r w:rsidRPr="00414465">
        <w:rPr>
          <w:rFonts w:asciiTheme="minorHAnsi" w:hAnsiTheme="minorHAnsi"/>
          <w:i/>
          <w:sz w:val="22"/>
          <w:szCs w:val="22"/>
          <w:lang w:eastAsia="en-NZ" w:bidi="ar-SA"/>
        </w:rPr>
        <w:t xml:space="preserve">referred to provider </w:t>
      </w:r>
      <w:r w:rsidRPr="00414465">
        <w:rPr>
          <w:rFonts w:asciiTheme="minorHAnsi" w:hAnsiTheme="minorHAnsi"/>
          <w:sz w:val="22"/>
          <w:szCs w:val="22"/>
          <w:lang w:eastAsia="en-NZ" w:bidi="ar-SA"/>
        </w:rPr>
        <w:t>has shown significant reduction.</w:t>
      </w:r>
    </w:p>
    <w:p w:rsidR="001726F0" w:rsidRPr="00414465" w:rsidRDefault="001726F0" w:rsidP="001726F0">
      <w:pPr>
        <w:pStyle w:val="Heading3"/>
      </w:pPr>
      <w:r>
        <w:t>2</w:t>
      </w:r>
      <w:r w:rsidRPr="001C7B56">
        <w:rPr>
          <w:lang w:val="en-US"/>
        </w:rPr>
        <w:t>.3</w:t>
      </w:r>
      <w:r w:rsidRPr="001C7B56">
        <w:rPr>
          <w:lang w:val="en-US"/>
        </w:rPr>
        <w:tab/>
        <w:t>Rate of complaints closed following investigation during July – Dec 2012</w:t>
      </w:r>
    </w:p>
    <w:p w:rsidR="001726F0" w:rsidRDefault="001726F0" w:rsidP="001726F0">
      <w:pPr>
        <w:keepNext/>
        <w:tabs>
          <w:tab w:val="left" w:pos="1440"/>
          <w:tab w:val="left" w:pos="2610"/>
        </w:tabs>
        <w:outlineLvl w:val="0"/>
        <w:rPr>
          <w:rFonts w:ascii="Calibri" w:hAnsi="Calibri"/>
          <w:b/>
          <w:sz w:val="22"/>
          <w:szCs w:val="22"/>
        </w:rPr>
      </w:pPr>
    </w:p>
    <w:p w:rsidR="001726F0" w:rsidRPr="00414465" w:rsidRDefault="001726F0" w:rsidP="001726F0">
      <w:pPr>
        <w:keepNext/>
        <w:tabs>
          <w:tab w:val="left" w:pos="1440"/>
          <w:tab w:val="left" w:pos="2610"/>
        </w:tabs>
        <w:outlineLvl w:val="0"/>
        <w:rPr>
          <w:rFonts w:ascii="Calibri" w:hAnsi="Calibri"/>
          <w:b/>
          <w:sz w:val="22"/>
          <w:szCs w:val="22"/>
        </w:rPr>
      </w:pPr>
      <w:r w:rsidRPr="00414465">
        <w:rPr>
          <w:rFonts w:ascii="Calibri" w:hAnsi="Calibri"/>
          <w:b/>
          <w:sz w:val="22"/>
          <w:szCs w:val="22"/>
        </w:rPr>
        <w:t>Table 9 – Rate of complaints closed following investigation per 100,000 discharges</w:t>
      </w:r>
    </w:p>
    <w:tbl>
      <w:tblPr>
        <w:tblStyle w:val="TableGrid"/>
        <w:tblW w:w="0" w:type="auto"/>
        <w:tblInd w:w="108" w:type="dxa"/>
        <w:tblLook w:val="04A0"/>
      </w:tblPr>
      <w:tblGrid>
        <w:gridCol w:w="1985"/>
        <w:gridCol w:w="1984"/>
        <w:gridCol w:w="1985"/>
      </w:tblGrid>
      <w:tr w:rsidR="001726F0" w:rsidRPr="00414465" w:rsidTr="000E7C15">
        <w:trPr>
          <w:trHeight w:val="749"/>
        </w:trPr>
        <w:tc>
          <w:tcPr>
            <w:tcW w:w="1985" w:type="dxa"/>
          </w:tcPr>
          <w:p w:rsidR="001726F0" w:rsidRPr="00414465" w:rsidRDefault="001726F0" w:rsidP="000E7C15">
            <w:pPr>
              <w:pStyle w:val="NoSpacing"/>
              <w:jc w:val="center"/>
              <w:rPr>
                <w:rFonts w:cstheme="minorHAnsi"/>
                <w:b/>
              </w:rPr>
            </w:pPr>
            <w:r w:rsidRPr="00414465">
              <w:rPr>
                <w:rFonts w:cstheme="minorHAnsi"/>
                <w:b/>
              </w:rPr>
              <w:t>Number of complaints investigated</w:t>
            </w:r>
          </w:p>
        </w:tc>
        <w:tc>
          <w:tcPr>
            <w:tcW w:w="1984" w:type="dxa"/>
          </w:tcPr>
          <w:p w:rsidR="001726F0" w:rsidRPr="00414465" w:rsidRDefault="001726F0" w:rsidP="000E7C15">
            <w:pPr>
              <w:pStyle w:val="NoSpacing"/>
              <w:jc w:val="center"/>
              <w:rPr>
                <w:rFonts w:cstheme="minorHAnsi"/>
                <w:b/>
              </w:rPr>
            </w:pPr>
            <w:r w:rsidRPr="00414465">
              <w:rPr>
                <w:rFonts w:cstheme="minorHAnsi"/>
                <w:b/>
              </w:rPr>
              <w:t>Total number of discharges</w:t>
            </w:r>
          </w:p>
        </w:tc>
        <w:tc>
          <w:tcPr>
            <w:tcW w:w="1985" w:type="dxa"/>
          </w:tcPr>
          <w:p w:rsidR="001726F0" w:rsidRPr="00414465" w:rsidRDefault="001726F0" w:rsidP="000E7C15">
            <w:pPr>
              <w:pStyle w:val="NoSpacing"/>
              <w:jc w:val="center"/>
              <w:rPr>
                <w:rFonts w:cstheme="minorHAnsi"/>
                <w:b/>
              </w:rPr>
            </w:pPr>
            <w:r w:rsidRPr="00414465">
              <w:rPr>
                <w:rFonts w:cstheme="minorHAnsi"/>
                <w:b/>
              </w:rPr>
              <w:t>Rate per 100,000 discharges</w:t>
            </w:r>
          </w:p>
        </w:tc>
      </w:tr>
      <w:tr w:rsidR="001726F0" w:rsidRPr="00414465" w:rsidTr="000E7C15">
        <w:tc>
          <w:tcPr>
            <w:tcW w:w="1985" w:type="dxa"/>
            <w:vAlign w:val="center"/>
          </w:tcPr>
          <w:p w:rsidR="001726F0" w:rsidRPr="00414465" w:rsidRDefault="001726F0" w:rsidP="000E7C15">
            <w:pPr>
              <w:pStyle w:val="NoSpacing"/>
              <w:jc w:val="center"/>
            </w:pPr>
            <w:r w:rsidRPr="00414465">
              <w:t>8</w:t>
            </w:r>
          </w:p>
        </w:tc>
        <w:tc>
          <w:tcPr>
            <w:tcW w:w="1984" w:type="dxa"/>
          </w:tcPr>
          <w:p w:rsidR="001726F0" w:rsidRPr="00414465" w:rsidRDefault="001726F0" w:rsidP="000E7C15">
            <w:pPr>
              <w:pStyle w:val="NoSpacing"/>
              <w:jc w:val="center"/>
            </w:pPr>
            <w:r w:rsidRPr="00414465">
              <w:t>462,998</w:t>
            </w:r>
          </w:p>
        </w:tc>
        <w:tc>
          <w:tcPr>
            <w:tcW w:w="1985" w:type="dxa"/>
            <w:vAlign w:val="center"/>
          </w:tcPr>
          <w:p w:rsidR="001726F0" w:rsidRPr="00414465" w:rsidRDefault="001726F0" w:rsidP="000E7C15">
            <w:pPr>
              <w:pStyle w:val="NoSpacing"/>
              <w:jc w:val="center"/>
              <w:rPr>
                <w:b/>
              </w:rPr>
            </w:pPr>
            <w:r w:rsidRPr="00414465">
              <w:rPr>
                <w:b/>
              </w:rPr>
              <w:t>1.73</w:t>
            </w:r>
          </w:p>
        </w:tc>
      </w:tr>
    </w:tbl>
    <w:p w:rsidR="001726F0" w:rsidRPr="00002A84" w:rsidRDefault="001726F0" w:rsidP="001726F0">
      <w:pPr>
        <w:pStyle w:val="Heading3"/>
        <w:keepNext w:val="0"/>
        <w:spacing w:before="0"/>
        <w:rPr>
          <w:i w:val="0"/>
          <w:lang w:val="en-US"/>
        </w:rPr>
      </w:pPr>
    </w:p>
    <w:p w:rsidR="001726F0" w:rsidRPr="001C7B56" w:rsidRDefault="001726F0" w:rsidP="001726F0">
      <w:pPr>
        <w:pStyle w:val="Heading3"/>
        <w:rPr>
          <w:lang w:val="en-US"/>
        </w:rPr>
      </w:pPr>
      <w:r w:rsidRPr="001C7B56">
        <w:rPr>
          <w:lang w:val="en-US"/>
        </w:rPr>
        <w:t>2.4</w:t>
      </w:r>
      <w:r w:rsidRPr="001C7B56">
        <w:rPr>
          <w:lang w:val="en-US"/>
        </w:rPr>
        <w:tab/>
        <w:t>Rate of complaints closed following investigation — comparison over time</w:t>
      </w:r>
    </w:p>
    <w:p w:rsidR="001726F0" w:rsidRPr="00414465" w:rsidRDefault="001726F0" w:rsidP="001726F0">
      <w:pPr>
        <w:tabs>
          <w:tab w:val="left" w:pos="1440"/>
          <w:tab w:val="left" w:pos="2610"/>
        </w:tabs>
        <w:spacing w:after="240"/>
        <w:outlineLvl w:val="0"/>
        <w:rPr>
          <w:rFonts w:ascii="Calibri" w:hAnsi="Calibri"/>
          <w:sz w:val="22"/>
          <w:szCs w:val="22"/>
          <w:lang w:eastAsia="en-NZ" w:bidi="ar-SA"/>
        </w:rPr>
      </w:pPr>
      <w:r w:rsidRPr="00414465">
        <w:rPr>
          <w:rFonts w:ascii="Calibri" w:hAnsi="Calibri"/>
          <w:sz w:val="22"/>
          <w:szCs w:val="22"/>
        </w:rPr>
        <w:t xml:space="preserve">Table 10 and Figure 3 show the comparison of the rate of complaints closed following investigation in the last five years. </w:t>
      </w:r>
    </w:p>
    <w:p w:rsidR="001726F0" w:rsidRPr="00414465" w:rsidRDefault="001726F0" w:rsidP="001726F0">
      <w:pPr>
        <w:keepNext/>
        <w:tabs>
          <w:tab w:val="left" w:pos="1440"/>
          <w:tab w:val="left" w:pos="2610"/>
        </w:tabs>
        <w:outlineLvl w:val="0"/>
        <w:rPr>
          <w:rFonts w:ascii="Calibri" w:hAnsi="Calibri"/>
          <w:b/>
          <w:sz w:val="22"/>
          <w:szCs w:val="22"/>
          <w:lang w:eastAsia="en-NZ" w:bidi="ar-SA"/>
        </w:rPr>
      </w:pPr>
      <w:r w:rsidRPr="00414465">
        <w:rPr>
          <w:rFonts w:ascii="Calibri" w:hAnsi="Calibri"/>
          <w:b/>
          <w:sz w:val="22"/>
          <w:szCs w:val="22"/>
          <w:lang w:eastAsia="en-NZ" w:bidi="ar-SA"/>
        </w:rPr>
        <w:t>Table 10 – Rate of complaints investigated in last five years</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737"/>
        <w:gridCol w:w="737"/>
        <w:gridCol w:w="737"/>
        <w:gridCol w:w="737"/>
        <w:gridCol w:w="737"/>
        <w:gridCol w:w="737"/>
        <w:gridCol w:w="737"/>
        <w:gridCol w:w="737"/>
        <w:gridCol w:w="737"/>
        <w:gridCol w:w="737"/>
      </w:tblGrid>
      <w:tr w:rsidR="001726F0" w:rsidRPr="00414465" w:rsidTr="000E7C15">
        <w:tc>
          <w:tcPr>
            <w:tcW w:w="1676" w:type="dxa"/>
          </w:tcPr>
          <w:p w:rsidR="001726F0" w:rsidRPr="00414465" w:rsidRDefault="001726F0" w:rsidP="000E7C15">
            <w:pPr>
              <w:spacing w:before="120" w:after="120"/>
              <w:rPr>
                <w:rFonts w:asciiTheme="minorHAnsi" w:eastAsiaTheme="minorEastAsia" w:hAnsiTheme="minorHAnsi" w:cstheme="minorBidi"/>
                <w:sz w:val="20"/>
                <w:szCs w:val="20"/>
                <w:lang w:val="en-US" w:eastAsia="en-NZ" w:bidi="ar-SA"/>
              </w:rPr>
            </w:pP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Jan–Jun 08</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eastAsia="en-NZ" w:bidi="ar-SA"/>
              </w:rPr>
              <w:t>Jul–Dec 08</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Jan–Jun 09</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Jul–Dec 09</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Jan–Jun 10</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Jul–Dec 10</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Jan–Jun 11</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Jul–Dec 11</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Jan–Jun 12</w:t>
            </w:r>
          </w:p>
        </w:tc>
        <w:tc>
          <w:tcPr>
            <w:tcW w:w="737" w:type="dxa"/>
          </w:tcPr>
          <w:p w:rsidR="001726F0" w:rsidRPr="00414465" w:rsidRDefault="001726F0" w:rsidP="000E7C15">
            <w:pPr>
              <w:spacing w:before="120" w:after="120"/>
              <w:jc w:val="center"/>
              <w:rPr>
                <w:rFonts w:asciiTheme="minorHAnsi" w:eastAsiaTheme="minorEastAsia" w:hAnsiTheme="minorHAnsi" w:cstheme="minorBidi"/>
                <w:b/>
                <w:sz w:val="20"/>
                <w:szCs w:val="20"/>
                <w:lang w:val="en-US" w:eastAsia="en-NZ" w:bidi="ar-SA"/>
              </w:rPr>
            </w:pPr>
            <w:r w:rsidRPr="00414465">
              <w:rPr>
                <w:rFonts w:asciiTheme="minorHAnsi" w:eastAsiaTheme="minorEastAsia" w:hAnsiTheme="minorHAnsi" w:cstheme="minorBidi"/>
                <w:b/>
                <w:sz w:val="20"/>
                <w:szCs w:val="20"/>
                <w:lang w:val="en-US" w:eastAsia="en-NZ" w:bidi="ar-SA"/>
              </w:rPr>
              <w:t>Jul–Dec 12</w:t>
            </w:r>
          </w:p>
        </w:tc>
      </w:tr>
      <w:tr w:rsidR="001726F0" w:rsidRPr="00414465" w:rsidTr="000E7C15">
        <w:trPr>
          <w:trHeight w:val="581"/>
        </w:trPr>
        <w:tc>
          <w:tcPr>
            <w:tcW w:w="1676" w:type="dxa"/>
          </w:tcPr>
          <w:p w:rsidR="001726F0" w:rsidRPr="00414465" w:rsidRDefault="001726F0" w:rsidP="000E7C15">
            <w:pPr>
              <w:pStyle w:val="NoSpacing"/>
              <w:jc w:val="left"/>
              <w:rPr>
                <w:b/>
                <w:lang w:eastAsia="en-NZ"/>
              </w:rPr>
            </w:pPr>
            <w:r w:rsidRPr="00414465">
              <w:rPr>
                <w:b/>
                <w:lang w:eastAsia="en-NZ"/>
              </w:rPr>
              <w:t>Complaints closed</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256</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240</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251</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229</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262</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257</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246</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217</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302</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254</w:t>
            </w:r>
          </w:p>
        </w:tc>
      </w:tr>
      <w:tr w:rsidR="001726F0" w:rsidRPr="00414465" w:rsidTr="000E7C15">
        <w:tc>
          <w:tcPr>
            <w:tcW w:w="1676" w:type="dxa"/>
          </w:tcPr>
          <w:p w:rsidR="001726F0" w:rsidRPr="00414465" w:rsidRDefault="001726F0" w:rsidP="000E7C15">
            <w:pPr>
              <w:pStyle w:val="NoSpacing"/>
              <w:jc w:val="left"/>
              <w:rPr>
                <w:b/>
                <w:lang w:eastAsia="en-NZ"/>
              </w:rPr>
            </w:pPr>
            <w:r w:rsidRPr="00414465">
              <w:rPr>
                <w:b/>
                <w:lang w:eastAsia="en-NZ"/>
              </w:rPr>
              <w:t>Investigations</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18</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28</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22</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11</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8</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3</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8</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3</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13</w:t>
            </w:r>
          </w:p>
        </w:tc>
        <w:tc>
          <w:tcPr>
            <w:tcW w:w="737" w:type="dxa"/>
            <w:vAlign w:val="center"/>
          </w:tcPr>
          <w:p w:rsidR="001726F0" w:rsidRPr="00414465" w:rsidRDefault="001726F0" w:rsidP="000E7C15">
            <w:pPr>
              <w:keepNext/>
              <w:keepLines/>
              <w:jc w:val="center"/>
              <w:rPr>
                <w:rFonts w:ascii="Calibri" w:hAnsi="Calibri"/>
                <w:sz w:val="22"/>
                <w:szCs w:val="22"/>
                <w:lang w:eastAsia="en-NZ" w:bidi="ar-SA"/>
              </w:rPr>
            </w:pPr>
            <w:r w:rsidRPr="00414465">
              <w:rPr>
                <w:rFonts w:ascii="Calibri" w:hAnsi="Calibri"/>
                <w:sz w:val="22"/>
                <w:szCs w:val="22"/>
                <w:lang w:eastAsia="en-NZ" w:bidi="ar-SA"/>
              </w:rPr>
              <w:t>8</w:t>
            </w:r>
          </w:p>
        </w:tc>
      </w:tr>
      <w:tr w:rsidR="001726F0" w:rsidRPr="00414465" w:rsidTr="000E7C15">
        <w:tc>
          <w:tcPr>
            <w:tcW w:w="1676" w:type="dxa"/>
          </w:tcPr>
          <w:p w:rsidR="001726F0" w:rsidRPr="00414465" w:rsidRDefault="001726F0" w:rsidP="000E7C15">
            <w:pPr>
              <w:pStyle w:val="NoSpacing"/>
              <w:jc w:val="left"/>
              <w:rPr>
                <w:b/>
                <w:lang w:eastAsia="en-NZ"/>
              </w:rPr>
            </w:pPr>
            <w:r w:rsidRPr="00414465">
              <w:rPr>
                <w:b/>
                <w:lang w:eastAsia="en-NZ"/>
              </w:rPr>
              <w:t>Rate investigated per 100,000 discharges</w:t>
            </w:r>
            <w:r>
              <w:rPr>
                <w:rStyle w:val="FootnoteReference"/>
                <w:b/>
                <w:lang w:eastAsia="en-NZ"/>
              </w:rPr>
              <w:footnoteReference w:id="10"/>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4.56</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6.63</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5.35</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2.51</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1.88</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0.68</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1.86</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0.66</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2.94</w:t>
            </w:r>
          </w:p>
        </w:tc>
        <w:tc>
          <w:tcPr>
            <w:tcW w:w="737" w:type="dxa"/>
            <w:vAlign w:val="center"/>
          </w:tcPr>
          <w:p w:rsidR="001726F0" w:rsidRPr="00414465" w:rsidRDefault="001726F0" w:rsidP="000E7C15">
            <w:pPr>
              <w:keepNext/>
              <w:keepLines/>
              <w:spacing w:before="120"/>
              <w:jc w:val="center"/>
              <w:rPr>
                <w:rFonts w:ascii="Calibri" w:hAnsi="Calibri"/>
                <w:sz w:val="22"/>
                <w:szCs w:val="22"/>
                <w:lang w:eastAsia="en-NZ" w:bidi="ar-SA"/>
              </w:rPr>
            </w:pPr>
            <w:r w:rsidRPr="00414465">
              <w:rPr>
                <w:rFonts w:ascii="Calibri" w:hAnsi="Calibri"/>
                <w:sz w:val="22"/>
                <w:szCs w:val="22"/>
                <w:lang w:eastAsia="en-NZ" w:bidi="ar-SA"/>
              </w:rPr>
              <w:t>1.73</w:t>
            </w:r>
          </w:p>
        </w:tc>
      </w:tr>
    </w:tbl>
    <w:p w:rsidR="001726F0" w:rsidRPr="00414465" w:rsidRDefault="001726F0" w:rsidP="001726F0">
      <w:pPr>
        <w:pStyle w:val="NoSpacing"/>
        <w:rPr>
          <w:lang w:eastAsia="en-NZ"/>
        </w:rPr>
      </w:pPr>
    </w:p>
    <w:p w:rsidR="001726F0" w:rsidRPr="00414465" w:rsidRDefault="001726F0" w:rsidP="001726F0">
      <w:pPr>
        <w:keepNext/>
        <w:tabs>
          <w:tab w:val="left" w:pos="1440"/>
          <w:tab w:val="left" w:pos="2610"/>
        </w:tabs>
        <w:outlineLvl w:val="0"/>
        <w:rPr>
          <w:rFonts w:ascii="Calibri" w:hAnsi="Calibri"/>
          <w:b/>
          <w:sz w:val="22"/>
          <w:szCs w:val="22"/>
          <w:lang w:eastAsia="en-NZ" w:bidi="ar-SA"/>
        </w:rPr>
      </w:pPr>
      <w:r w:rsidRPr="00414465">
        <w:rPr>
          <w:rFonts w:ascii="Calibri" w:hAnsi="Calibri"/>
          <w:b/>
          <w:sz w:val="22"/>
          <w:szCs w:val="22"/>
          <w:lang w:eastAsia="en-NZ" w:bidi="ar-SA"/>
        </w:rPr>
        <w:t>Figure 3 – Rate of complaints investigated in last five years</w:t>
      </w:r>
    </w:p>
    <w:p w:rsidR="001726F0" w:rsidRPr="00414465" w:rsidRDefault="001726F0" w:rsidP="001726F0">
      <w:pPr>
        <w:tabs>
          <w:tab w:val="left" w:pos="1440"/>
          <w:tab w:val="left" w:pos="2610"/>
        </w:tabs>
        <w:spacing w:after="240"/>
        <w:outlineLvl w:val="0"/>
      </w:pPr>
      <w:r w:rsidRPr="00414465">
        <w:rPr>
          <w:noProof/>
          <w:lang w:eastAsia="en-NZ" w:bidi="ar-SA"/>
        </w:rPr>
        <w:drawing>
          <wp:inline distT="0" distB="0" distL="0" distR="0">
            <wp:extent cx="5767070" cy="3888332"/>
            <wp:effectExtent l="19050" t="0" r="2413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26F0" w:rsidRPr="00414465" w:rsidRDefault="001726F0" w:rsidP="001726F0">
      <w:pPr>
        <w:pStyle w:val="Heading2"/>
      </w:pPr>
      <w:r w:rsidRPr="00414465">
        <w:lastRenderedPageBreak/>
        <w:t>3.0</w:t>
      </w:r>
      <w:r w:rsidRPr="00414465">
        <w:tab/>
        <w:t>Ranking</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sz w:val="22"/>
          <w:szCs w:val="22"/>
        </w:rPr>
        <w:t>Tables 11 and 12 show the rate of complaints about DHBs received by HDC (Table 11), and those investigated (Table 12), per 100,000 discharges for each DHB (ranked, not named</w:t>
      </w:r>
      <w:r w:rsidRPr="00414465">
        <w:rPr>
          <w:rStyle w:val="FootnoteReference"/>
          <w:rFonts w:ascii="Calibri" w:hAnsi="Calibri"/>
          <w:sz w:val="22"/>
          <w:szCs w:val="22"/>
        </w:rPr>
        <w:footnoteReference w:id="11"/>
      </w:r>
      <w:r w:rsidRPr="00414465">
        <w:rPr>
          <w:rFonts w:ascii="Calibri" w:hAnsi="Calibri"/>
          <w:sz w:val="22"/>
          <w:szCs w:val="22"/>
        </w:rPr>
        <w:t xml:space="preserve">) relative to other DHBs for this period. </w:t>
      </w:r>
    </w:p>
    <w:p w:rsidR="001726F0" w:rsidRPr="00414465" w:rsidRDefault="001726F0" w:rsidP="001726F0">
      <w:pPr>
        <w:tabs>
          <w:tab w:val="left" w:pos="1440"/>
          <w:tab w:val="left" w:pos="2610"/>
        </w:tabs>
        <w:spacing w:after="240"/>
        <w:outlineLvl w:val="0"/>
        <w:rPr>
          <w:rFonts w:ascii="Calibri" w:hAnsi="Calibri"/>
          <w:sz w:val="22"/>
          <w:szCs w:val="22"/>
        </w:rPr>
      </w:pPr>
      <w:r w:rsidRPr="00414465">
        <w:rPr>
          <w:rFonts w:ascii="Calibri" w:hAnsi="Calibri"/>
          <w:sz w:val="22"/>
          <w:szCs w:val="22"/>
        </w:rPr>
        <w:t>Each DHB’s ranking on the tables can be identified from its individual report.</w:t>
      </w:r>
    </w:p>
    <w:p w:rsidR="001726F0" w:rsidRPr="00414465" w:rsidRDefault="001726F0" w:rsidP="001726F0">
      <w:pPr>
        <w:tabs>
          <w:tab w:val="left" w:pos="1440"/>
          <w:tab w:val="left" w:pos="2610"/>
        </w:tabs>
        <w:spacing w:after="240"/>
        <w:outlineLvl w:val="0"/>
        <w:rPr>
          <w:rFonts w:ascii="Calibri" w:hAnsi="Calibri"/>
          <w:b/>
          <w:sz w:val="22"/>
          <w:szCs w:val="22"/>
        </w:rPr>
      </w:pPr>
      <w:r w:rsidRPr="00414465">
        <w:rPr>
          <w:rFonts w:ascii="Calibri" w:hAnsi="Calibri"/>
          <w:sz w:val="22"/>
          <w:szCs w:val="22"/>
        </w:rPr>
        <w:t xml:space="preserve">All individual DHBs were subject to some complaints to HDC. The rate of complaints ranged from 25.96 complaints per 100,000 discharges to 213.68 complaints per 100,000 discharges — a greater than eight-fold increase in frequency across DHBs. </w:t>
      </w:r>
    </w:p>
    <w:p w:rsidR="001726F0" w:rsidRPr="00414465" w:rsidRDefault="001726F0" w:rsidP="001726F0">
      <w:pPr>
        <w:keepNext/>
        <w:tabs>
          <w:tab w:val="left" w:pos="284"/>
          <w:tab w:val="left" w:pos="2835"/>
        </w:tabs>
        <w:rPr>
          <w:rFonts w:ascii="Calibri" w:hAnsi="Calibri"/>
          <w:sz w:val="22"/>
          <w:szCs w:val="22"/>
        </w:rPr>
      </w:pPr>
      <w:r w:rsidRPr="00414465">
        <w:rPr>
          <w:rFonts w:ascii="Calibri" w:hAnsi="Calibri"/>
          <w:b/>
          <w:sz w:val="22"/>
          <w:szCs w:val="22"/>
        </w:rPr>
        <w:t>Table 11 – Rate of complaints received per 100,000 discharges</w:t>
      </w:r>
    </w:p>
    <w:tbl>
      <w:tblPr>
        <w:tblStyle w:val="TableGrid"/>
        <w:tblW w:w="0" w:type="auto"/>
        <w:tblInd w:w="108" w:type="dxa"/>
        <w:tblLook w:val="04A0"/>
      </w:tblPr>
      <w:tblGrid>
        <w:gridCol w:w="1857"/>
        <w:gridCol w:w="1952"/>
        <w:gridCol w:w="268"/>
        <w:gridCol w:w="1857"/>
        <w:gridCol w:w="1953"/>
      </w:tblGrid>
      <w:tr w:rsidR="001726F0" w:rsidRPr="00414465" w:rsidTr="000E7C15">
        <w:trPr>
          <w:trHeight w:val="567"/>
        </w:trPr>
        <w:tc>
          <w:tcPr>
            <w:tcW w:w="1857" w:type="dxa"/>
            <w:vAlign w:val="center"/>
          </w:tcPr>
          <w:p w:rsidR="001726F0" w:rsidRPr="00414465" w:rsidRDefault="001726F0" w:rsidP="000E7C15">
            <w:pPr>
              <w:spacing w:before="120" w:after="120"/>
              <w:jc w:val="center"/>
              <w:rPr>
                <w:rFonts w:asciiTheme="minorHAnsi" w:hAnsiTheme="minorHAnsi"/>
                <w:b/>
                <w:sz w:val="22"/>
                <w:szCs w:val="22"/>
              </w:rPr>
            </w:pPr>
            <w:r w:rsidRPr="00414465">
              <w:rPr>
                <w:rFonts w:asciiTheme="minorHAnsi" w:hAnsiTheme="minorHAnsi"/>
                <w:b/>
                <w:sz w:val="22"/>
                <w:szCs w:val="22"/>
              </w:rPr>
              <w:t>DHB ranking</w:t>
            </w:r>
          </w:p>
        </w:tc>
        <w:tc>
          <w:tcPr>
            <w:tcW w:w="1952" w:type="dxa"/>
            <w:tcBorders>
              <w:right w:val="single" w:sz="4" w:space="0" w:color="auto"/>
            </w:tcBorders>
            <w:vAlign w:val="center"/>
          </w:tcPr>
          <w:p w:rsidR="001726F0" w:rsidRPr="00414465" w:rsidRDefault="001726F0" w:rsidP="000E7C15">
            <w:pPr>
              <w:spacing w:before="120" w:after="120"/>
              <w:jc w:val="center"/>
              <w:rPr>
                <w:rFonts w:asciiTheme="minorHAnsi" w:hAnsiTheme="minorHAnsi"/>
                <w:b/>
                <w:sz w:val="22"/>
                <w:szCs w:val="22"/>
                <w:lang w:eastAsia="en-NZ"/>
              </w:rPr>
            </w:pPr>
            <w:r w:rsidRPr="00414465">
              <w:rPr>
                <w:rFonts w:asciiTheme="minorHAnsi" w:hAnsiTheme="minorHAnsi"/>
                <w:b/>
                <w:sz w:val="22"/>
                <w:szCs w:val="22"/>
              </w:rPr>
              <w:t>Rate of complaints to HDC per 100,000 discharges</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jc w:val="center"/>
              <w:rPr>
                <w:rFonts w:asciiTheme="minorHAnsi" w:hAnsiTheme="minorHAnsi"/>
                <w:b/>
                <w:sz w:val="22"/>
                <w:szCs w:val="22"/>
              </w:rPr>
            </w:pPr>
          </w:p>
        </w:tc>
        <w:tc>
          <w:tcPr>
            <w:tcW w:w="1857" w:type="dxa"/>
            <w:tcBorders>
              <w:left w:val="single" w:sz="4" w:space="0" w:color="auto"/>
            </w:tcBorders>
            <w:vAlign w:val="center"/>
          </w:tcPr>
          <w:p w:rsidR="001726F0" w:rsidRPr="00414465" w:rsidRDefault="001726F0" w:rsidP="000E7C15">
            <w:pPr>
              <w:spacing w:before="120" w:after="120"/>
              <w:jc w:val="center"/>
              <w:rPr>
                <w:rFonts w:asciiTheme="minorHAnsi" w:hAnsiTheme="minorHAnsi"/>
                <w:b/>
                <w:sz w:val="22"/>
                <w:szCs w:val="22"/>
              </w:rPr>
            </w:pPr>
            <w:r w:rsidRPr="00414465">
              <w:rPr>
                <w:rFonts w:asciiTheme="minorHAnsi" w:hAnsiTheme="minorHAnsi"/>
                <w:b/>
                <w:sz w:val="22"/>
                <w:szCs w:val="22"/>
              </w:rPr>
              <w:t>DHB ranking</w:t>
            </w:r>
          </w:p>
        </w:tc>
        <w:tc>
          <w:tcPr>
            <w:tcW w:w="1953" w:type="dxa"/>
            <w:vAlign w:val="center"/>
          </w:tcPr>
          <w:p w:rsidR="001726F0" w:rsidRPr="00414465" w:rsidRDefault="001726F0" w:rsidP="000E7C15">
            <w:pPr>
              <w:spacing w:before="120" w:after="120"/>
              <w:jc w:val="center"/>
              <w:rPr>
                <w:rFonts w:asciiTheme="minorHAnsi" w:hAnsiTheme="minorHAnsi"/>
                <w:b/>
                <w:sz w:val="22"/>
                <w:szCs w:val="22"/>
                <w:lang w:eastAsia="en-NZ"/>
              </w:rPr>
            </w:pPr>
            <w:r w:rsidRPr="00414465">
              <w:rPr>
                <w:rFonts w:asciiTheme="minorHAnsi" w:hAnsiTheme="minorHAnsi"/>
                <w:b/>
                <w:sz w:val="22"/>
                <w:szCs w:val="22"/>
              </w:rPr>
              <w:t>Rate of complaints to HDC per 100,000 discharges</w:t>
            </w:r>
          </w:p>
        </w:tc>
      </w:tr>
      <w:tr w:rsidR="001726F0" w:rsidRPr="00414465" w:rsidTr="000E7C15">
        <w:trPr>
          <w:trHeight w:val="502"/>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25.96</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11</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59.83</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2</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29.11</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12</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65.12</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3</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31.17</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13</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72.78</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4</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36.42</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14</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73.00</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5</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40.51</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15</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92.14</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6</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42.18</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16</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92.42</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7</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48.07</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b/>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17</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102.15</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8</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51.08</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b/>
                <w:sz w:val="22"/>
                <w:szCs w:val="22"/>
              </w:rPr>
            </w:pPr>
            <w:r w:rsidRPr="00414465">
              <w:rPr>
                <w:rFonts w:asciiTheme="minorHAnsi" w:hAnsiTheme="minorHAnsi"/>
                <w:sz w:val="22"/>
                <w:szCs w:val="22"/>
              </w:rPr>
              <w:t>DHB</w:t>
            </w:r>
            <w:r w:rsidRPr="00414465">
              <w:rPr>
                <w:rFonts w:asciiTheme="minorHAnsi" w:hAnsiTheme="minorHAnsi"/>
                <w:b/>
                <w:sz w:val="22"/>
                <w:szCs w:val="22"/>
              </w:rPr>
              <w:t xml:space="preserve"> 18</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105.05</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9</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51.68</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b/>
                <w:sz w:val="22"/>
                <w:szCs w:val="22"/>
              </w:rPr>
            </w:pPr>
            <w:r w:rsidRPr="00414465">
              <w:rPr>
                <w:rFonts w:asciiTheme="minorHAnsi" w:hAnsiTheme="minorHAnsi"/>
                <w:sz w:val="22"/>
                <w:szCs w:val="22"/>
              </w:rPr>
              <w:t>DHB</w:t>
            </w:r>
            <w:r w:rsidRPr="00414465">
              <w:rPr>
                <w:rFonts w:asciiTheme="minorHAnsi" w:hAnsiTheme="minorHAnsi"/>
                <w:b/>
                <w:sz w:val="22"/>
                <w:szCs w:val="22"/>
              </w:rPr>
              <w:t xml:space="preserve"> 19</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136.96</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r w:rsidRPr="00414465">
              <w:rPr>
                <w:rFonts w:asciiTheme="minorHAnsi" w:hAnsiTheme="minorHAnsi"/>
                <w:sz w:val="22"/>
                <w:szCs w:val="22"/>
              </w:rPr>
              <w:t xml:space="preserve">DHB </w:t>
            </w:r>
            <w:r w:rsidRPr="00414465">
              <w:rPr>
                <w:rFonts w:asciiTheme="minorHAnsi" w:hAnsiTheme="minorHAnsi"/>
                <w:b/>
                <w:sz w:val="22"/>
                <w:szCs w:val="22"/>
              </w:rPr>
              <w:t>10</w:t>
            </w:r>
          </w:p>
        </w:tc>
        <w:tc>
          <w:tcPr>
            <w:tcW w:w="1952" w:type="dxa"/>
            <w:tcBorders>
              <w:right w:val="single" w:sz="4" w:space="0" w:color="auto"/>
            </w:tcBorders>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58.17</w:t>
            </w: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3"/>
              <w:rPr>
                <w:rFonts w:asciiTheme="minorHAnsi" w:hAnsiTheme="minorHAnsi"/>
                <w:b/>
                <w:sz w:val="22"/>
                <w:szCs w:val="22"/>
              </w:rPr>
            </w:pPr>
            <w:r w:rsidRPr="00414465">
              <w:rPr>
                <w:rFonts w:asciiTheme="minorHAnsi" w:hAnsiTheme="minorHAnsi"/>
                <w:sz w:val="22"/>
                <w:szCs w:val="22"/>
              </w:rPr>
              <w:t>DHB</w:t>
            </w:r>
            <w:r w:rsidRPr="00414465">
              <w:rPr>
                <w:rFonts w:asciiTheme="minorHAnsi" w:hAnsiTheme="minorHAnsi"/>
                <w:b/>
                <w:sz w:val="22"/>
                <w:szCs w:val="22"/>
              </w:rPr>
              <w:t xml:space="preserve"> 20</w:t>
            </w:r>
          </w:p>
        </w:tc>
        <w:tc>
          <w:tcPr>
            <w:tcW w:w="1953" w:type="dxa"/>
            <w:vAlign w:val="center"/>
          </w:tcPr>
          <w:p w:rsidR="001726F0" w:rsidRPr="00414465" w:rsidRDefault="001726F0" w:rsidP="000E7C15">
            <w:pPr>
              <w:jc w:val="center"/>
              <w:rPr>
                <w:rFonts w:ascii="Arial" w:hAnsi="Arial" w:cs="Arial"/>
                <w:sz w:val="20"/>
                <w:szCs w:val="20"/>
              </w:rPr>
            </w:pPr>
            <w:r w:rsidRPr="00414465">
              <w:rPr>
                <w:rFonts w:ascii="Arial" w:hAnsi="Arial" w:cs="Arial"/>
                <w:sz w:val="20"/>
                <w:szCs w:val="20"/>
              </w:rPr>
              <w:t>213.68</w:t>
            </w:r>
          </w:p>
        </w:tc>
      </w:tr>
      <w:tr w:rsidR="001726F0" w:rsidRPr="00414465" w:rsidTr="000E7C15">
        <w:trPr>
          <w:trHeight w:val="454"/>
        </w:trPr>
        <w:tc>
          <w:tcPr>
            <w:tcW w:w="1857" w:type="dxa"/>
          </w:tcPr>
          <w:p w:rsidR="001726F0" w:rsidRPr="00414465" w:rsidRDefault="001726F0" w:rsidP="000E7C15">
            <w:pPr>
              <w:spacing w:before="120" w:after="120"/>
              <w:ind w:left="323"/>
              <w:rPr>
                <w:rFonts w:asciiTheme="minorHAnsi" w:hAnsiTheme="minorHAnsi"/>
                <w:sz w:val="22"/>
                <w:szCs w:val="22"/>
              </w:rPr>
            </w:pPr>
          </w:p>
        </w:tc>
        <w:tc>
          <w:tcPr>
            <w:tcW w:w="1952" w:type="dxa"/>
            <w:tcBorders>
              <w:right w:val="single" w:sz="4" w:space="0" w:color="auto"/>
            </w:tcBorders>
          </w:tcPr>
          <w:p w:rsidR="001726F0" w:rsidRPr="00414465" w:rsidRDefault="001726F0" w:rsidP="000E7C15">
            <w:pPr>
              <w:spacing w:before="120" w:after="120"/>
              <w:jc w:val="center"/>
              <w:rPr>
                <w:rFonts w:asciiTheme="minorHAnsi" w:hAnsiTheme="minorHAnsi"/>
                <w:sz w:val="22"/>
                <w:szCs w:val="22"/>
              </w:rPr>
            </w:pPr>
          </w:p>
        </w:tc>
        <w:tc>
          <w:tcPr>
            <w:tcW w:w="268" w:type="dxa"/>
            <w:tcBorders>
              <w:top w:val="nil"/>
              <w:left w:val="single" w:sz="4" w:space="0" w:color="auto"/>
              <w:bottom w:val="nil"/>
              <w:right w:val="single" w:sz="4" w:space="0" w:color="auto"/>
            </w:tcBorders>
          </w:tcPr>
          <w:p w:rsidR="001726F0" w:rsidRPr="00414465" w:rsidRDefault="001726F0" w:rsidP="000E7C15">
            <w:pPr>
              <w:spacing w:before="120" w:after="120"/>
              <w:rPr>
                <w:rFonts w:asciiTheme="minorHAnsi" w:hAnsiTheme="minorHAnsi"/>
                <w:sz w:val="22"/>
                <w:szCs w:val="22"/>
              </w:rPr>
            </w:pPr>
          </w:p>
        </w:tc>
        <w:tc>
          <w:tcPr>
            <w:tcW w:w="1857" w:type="dxa"/>
            <w:tcBorders>
              <w:left w:val="single" w:sz="4" w:space="0" w:color="auto"/>
            </w:tcBorders>
          </w:tcPr>
          <w:p w:rsidR="001726F0" w:rsidRPr="00414465" w:rsidRDefault="001726F0" w:rsidP="000E7C15">
            <w:pPr>
              <w:spacing w:before="120" w:after="120"/>
              <w:ind w:left="321"/>
              <w:jc w:val="left"/>
              <w:rPr>
                <w:rFonts w:asciiTheme="minorHAnsi" w:hAnsiTheme="minorHAnsi"/>
                <w:b/>
                <w:sz w:val="22"/>
                <w:szCs w:val="22"/>
              </w:rPr>
            </w:pPr>
            <w:r w:rsidRPr="00414465">
              <w:rPr>
                <w:rFonts w:asciiTheme="minorHAnsi" w:hAnsiTheme="minorHAnsi"/>
                <w:b/>
                <w:sz w:val="22"/>
                <w:szCs w:val="22"/>
              </w:rPr>
              <w:t>All DHBs</w:t>
            </w:r>
          </w:p>
        </w:tc>
        <w:tc>
          <w:tcPr>
            <w:tcW w:w="1953" w:type="dxa"/>
          </w:tcPr>
          <w:p w:rsidR="001726F0" w:rsidRPr="00414465" w:rsidRDefault="001726F0" w:rsidP="000E7C15">
            <w:pPr>
              <w:spacing w:before="120" w:after="120"/>
              <w:jc w:val="center"/>
              <w:rPr>
                <w:rFonts w:asciiTheme="minorHAnsi" w:hAnsiTheme="minorHAnsi"/>
                <w:b/>
                <w:sz w:val="22"/>
                <w:szCs w:val="22"/>
              </w:rPr>
            </w:pPr>
            <w:r w:rsidRPr="00414465">
              <w:rPr>
                <w:rFonts w:asciiTheme="minorHAnsi" w:hAnsiTheme="minorHAnsi"/>
                <w:b/>
                <w:sz w:val="22"/>
                <w:szCs w:val="22"/>
              </w:rPr>
              <w:t>63.07</w:t>
            </w:r>
          </w:p>
        </w:tc>
      </w:tr>
    </w:tbl>
    <w:p w:rsidR="001726F0" w:rsidRPr="00414465" w:rsidRDefault="001726F0" w:rsidP="001726F0">
      <w:pPr>
        <w:tabs>
          <w:tab w:val="left" w:pos="2694"/>
        </w:tabs>
        <w:rPr>
          <w:rFonts w:ascii="Calibri" w:hAnsi="Calibri"/>
          <w:sz w:val="22"/>
          <w:szCs w:val="22"/>
        </w:rPr>
      </w:pPr>
    </w:p>
    <w:p w:rsidR="001726F0" w:rsidRPr="00414465" w:rsidRDefault="001726F0" w:rsidP="001726F0">
      <w:pPr>
        <w:tabs>
          <w:tab w:val="left" w:pos="2694"/>
        </w:tabs>
        <w:spacing w:after="240"/>
        <w:rPr>
          <w:rFonts w:ascii="Calibri" w:hAnsi="Calibri"/>
          <w:sz w:val="22"/>
          <w:szCs w:val="22"/>
        </w:rPr>
      </w:pPr>
      <w:r w:rsidRPr="00414465">
        <w:rPr>
          <w:rFonts w:ascii="Calibri" w:hAnsi="Calibri"/>
          <w:sz w:val="22"/>
          <w:szCs w:val="22"/>
        </w:rPr>
        <w:t xml:space="preserve">For investigated complaints (Table 12), the data from all DHBs showed a rate of 1.73 investigated complaints per 100,000 discharges, and a range of 0 to 21.09 complaints per 100,000 discharges. </w:t>
      </w:r>
    </w:p>
    <w:p w:rsidR="001726F0" w:rsidRPr="00414465" w:rsidRDefault="001726F0" w:rsidP="001726F0">
      <w:pPr>
        <w:keepNext/>
        <w:keepLines/>
        <w:tabs>
          <w:tab w:val="left" w:pos="142"/>
          <w:tab w:val="left" w:pos="426"/>
        </w:tabs>
        <w:rPr>
          <w:rFonts w:ascii="Calibri" w:hAnsi="Calibri"/>
          <w:b/>
          <w:sz w:val="22"/>
          <w:szCs w:val="22"/>
        </w:rPr>
      </w:pPr>
      <w:r w:rsidRPr="00414465">
        <w:rPr>
          <w:rFonts w:ascii="Calibri" w:hAnsi="Calibri"/>
          <w:b/>
          <w:sz w:val="22"/>
          <w:szCs w:val="22"/>
        </w:rPr>
        <w:lastRenderedPageBreak/>
        <w:t>Table 12 – Rate of complaints investigated per 100,000 discharges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1E0"/>
      </w:tblPr>
      <w:tblGrid>
        <w:gridCol w:w="1948"/>
        <w:gridCol w:w="2268"/>
      </w:tblGrid>
      <w:tr w:rsidR="001726F0" w:rsidRPr="00414465" w:rsidTr="000E7C15">
        <w:trPr>
          <w:tblHeader/>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Calibri" w:hAnsi="Calibri"/>
                <w:b/>
                <w:sz w:val="22"/>
                <w:szCs w:val="22"/>
              </w:rPr>
            </w:pPr>
            <w:r w:rsidRPr="00414465">
              <w:rPr>
                <w:rFonts w:ascii="Calibri" w:hAnsi="Calibri"/>
                <w:b/>
                <w:sz w:val="22"/>
                <w:szCs w:val="22"/>
              </w:rPr>
              <w:t>DHB ranking</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Calibri" w:hAnsi="Calibri"/>
                <w:b/>
                <w:sz w:val="22"/>
                <w:szCs w:val="22"/>
              </w:rPr>
            </w:pPr>
            <w:r w:rsidRPr="00414465">
              <w:rPr>
                <w:rFonts w:ascii="Calibri" w:hAnsi="Calibri"/>
                <w:b/>
                <w:sz w:val="22"/>
                <w:szCs w:val="22"/>
              </w:rPr>
              <w:t>Rate of investigated complaints per 100,000 discharges</w:t>
            </w:r>
          </w:p>
        </w:tc>
      </w:tr>
      <w:tr w:rsidR="001726F0" w:rsidRPr="00414465" w:rsidTr="000E7C15">
        <w:trPr>
          <w:trHeight w:hRule="exact" w:val="624"/>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ind w:left="323"/>
              <w:jc w:val="left"/>
              <w:rPr>
                <w:rFonts w:ascii="Calibri" w:hAnsi="Calibri"/>
                <w:sz w:val="22"/>
                <w:szCs w:val="22"/>
              </w:rPr>
            </w:pPr>
            <w:r w:rsidRPr="00414465">
              <w:rPr>
                <w:rFonts w:ascii="Calibri" w:hAnsi="Calibri"/>
                <w:sz w:val="22"/>
                <w:szCs w:val="22"/>
              </w:rPr>
              <w:t>DHB 1–14</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ind w:left="45" w:firstLine="2"/>
              <w:jc w:val="center"/>
              <w:rPr>
                <w:rFonts w:ascii="Calibri" w:hAnsi="Calibri"/>
                <w:sz w:val="22"/>
                <w:szCs w:val="22"/>
              </w:rPr>
            </w:pPr>
            <w:r w:rsidRPr="00414465">
              <w:rPr>
                <w:rFonts w:ascii="Calibri" w:hAnsi="Calibri"/>
                <w:sz w:val="22"/>
                <w:szCs w:val="22"/>
              </w:rPr>
              <w:t>No complaints investigated</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15</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1.85</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16</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4.27</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17</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4.47</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18</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8.10</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19</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8.65</w:t>
            </w:r>
          </w:p>
        </w:tc>
      </w:tr>
      <w:tr w:rsidR="001726F0" w:rsidRPr="00414465" w:rsidTr="000E7C15">
        <w:trPr>
          <w:trHeight w:hRule="exact" w:val="48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20" w:after="120"/>
              <w:ind w:left="323"/>
              <w:jc w:val="left"/>
              <w:rPr>
                <w:rFonts w:ascii="Calibri" w:hAnsi="Calibri"/>
                <w:sz w:val="22"/>
                <w:szCs w:val="22"/>
              </w:rPr>
            </w:pPr>
            <w:r w:rsidRPr="00414465">
              <w:rPr>
                <w:rFonts w:ascii="Calibri" w:hAnsi="Calibri"/>
                <w:sz w:val="22"/>
                <w:szCs w:val="22"/>
              </w:rPr>
              <w:t>DHB 20</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jc w:val="center"/>
              <w:rPr>
                <w:rFonts w:ascii="Arial" w:hAnsi="Arial" w:cs="Arial"/>
                <w:sz w:val="20"/>
                <w:szCs w:val="20"/>
              </w:rPr>
            </w:pPr>
            <w:r w:rsidRPr="00414465">
              <w:rPr>
                <w:rFonts w:ascii="Arial" w:hAnsi="Arial" w:cs="Arial"/>
                <w:sz w:val="20"/>
                <w:szCs w:val="20"/>
              </w:rPr>
              <w:t>21.09</w:t>
            </w:r>
          </w:p>
        </w:tc>
      </w:tr>
      <w:tr w:rsidR="001726F0" w:rsidRPr="00414465" w:rsidTr="000E7C15">
        <w:trPr>
          <w:trHeight w:val="629"/>
        </w:trPr>
        <w:tc>
          <w:tcPr>
            <w:tcW w:w="194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spacing w:before="100" w:beforeAutospacing="1" w:after="100" w:afterAutospacing="1"/>
              <w:ind w:left="323"/>
              <w:jc w:val="left"/>
              <w:rPr>
                <w:rFonts w:ascii="Calibri" w:hAnsi="Calibri"/>
                <w:b/>
                <w:sz w:val="22"/>
                <w:szCs w:val="22"/>
              </w:rPr>
            </w:pPr>
            <w:r w:rsidRPr="00414465">
              <w:rPr>
                <w:rFonts w:ascii="Calibri" w:hAnsi="Calibri"/>
                <w:b/>
                <w:sz w:val="22"/>
              </w:rPr>
              <w:t>All DHBs</w:t>
            </w:r>
          </w:p>
        </w:tc>
        <w:tc>
          <w:tcPr>
            <w:tcW w:w="2268" w:type="dxa"/>
            <w:tcBorders>
              <w:top w:val="single" w:sz="4" w:space="0" w:color="auto"/>
              <w:left w:val="single" w:sz="4" w:space="0" w:color="auto"/>
              <w:bottom w:val="single" w:sz="4" w:space="0" w:color="auto"/>
              <w:right w:val="single" w:sz="4" w:space="0" w:color="auto"/>
            </w:tcBorders>
            <w:vAlign w:val="center"/>
          </w:tcPr>
          <w:p w:rsidR="001726F0" w:rsidRPr="00414465" w:rsidRDefault="001726F0" w:rsidP="000E7C15">
            <w:pPr>
              <w:keepNext/>
              <w:keepLines/>
              <w:ind w:left="45" w:firstLine="2"/>
              <w:jc w:val="center"/>
              <w:rPr>
                <w:rFonts w:ascii="Calibri" w:hAnsi="Calibri"/>
                <w:b/>
                <w:sz w:val="22"/>
                <w:szCs w:val="22"/>
              </w:rPr>
            </w:pPr>
            <w:r w:rsidRPr="00414465">
              <w:rPr>
                <w:rFonts w:ascii="Calibri" w:hAnsi="Calibri"/>
                <w:b/>
                <w:sz w:val="22"/>
                <w:szCs w:val="22"/>
              </w:rPr>
              <w:t>1.73</w:t>
            </w:r>
          </w:p>
        </w:tc>
      </w:tr>
    </w:tbl>
    <w:p w:rsidR="001726F0" w:rsidRPr="00414465" w:rsidRDefault="001726F0" w:rsidP="001726F0">
      <w:pPr>
        <w:rPr>
          <w:rFonts w:ascii="Calibri" w:eastAsia="Calibri" w:hAnsi="Calibri"/>
          <w:sz w:val="22"/>
          <w:szCs w:val="22"/>
          <w:lang w:val="en-US" w:bidi="ar-SA"/>
        </w:rPr>
      </w:pPr>
    </w:p>
    <w:p w:rsidR="001726F0" w:rsidRPr="006744A2" w:rsidRDefault="001726F0" w:rsidP="001726F0">
      <w:pPr>
        <w:pStyle w:val="NoSpacing"/>
        <w:spacing w:after="120"/>
        <w:rPr>
          <w:b/>
        </w:rPr>
      </w:pPr>
      <w:r>
        <w:rPr>
          <w:b/>
        </w:rPr>
        <w:t>4.0</w:t>
      </w:r>
      <w:r>
        <w:rPr>
          <w:b/>
        </w:rPr>
        <w:tab/>
      </w:r>
      <w:r w:rsidRPr="006744A2">
        <w:rPr>
          <w:b/>
        </w:rPr>
        <w:t xml:space="preserve">Learning from </w:t>
      </w:r>
      <w:r>
        <w:rPr>
          <w:b/>
        </w:rPr>
        <w:t>c</w:t>
      </w:r>
      <w:r w:rsidRPr="006744A2">
        <w:rPr>
          <w:b/>
        </w:rPr>
        <w:t>omplaints — HDC case reports</w:t>
      </w:r>
    </w:p>
    <w:p w:rsidR="001726F0" w:rsidRPr="00670F7A" w:rsidRDefault="001726F0" w:rsidP="001726F0">
      <w:pPr>
        <w:spacing w:after="240"/>
        <w:rPr>
          <w:rFonts w:asciiTheme="minorHAnsi" w:hAnsiTheme="minorHAnsi" w:cstheme="minorHAnsi"/>
          <w:sz w:val="22"/>
          <w:szCs w:val="22"/>
          <w:lang w:val="en-US"/>
        </w:rPr>
      </w:pPr>
      <w:r w:rsidRPr="00670F7A">
        <w:rPr>
          <w:rFonts w:asciiTheme="minorHAnsi" w:hAnsiTheme="minorHAnsi" w:cstheme="minorHAnsi"/>
          <w:sz w:val="22"/>
          <w:szCs w:val="22"/>
          <w:lang w:val="en-US"/>
        </w:rPr>
        <w:t xml:space="preserve">In the following cases, the complaint raised issues of concern, and action was taken to improve hospital systems and practices. The first complaint highlights the significance of CTG use in monitoring of maternal and fetal well-being; and the remaining three complaints highlight the importance of having a seamless service when multiple professionals are involved in patient care. The first three complaints were investigated — the full </w:t>
      </w:r>
      <w:proofErr w:type="spellStart"/>
      <w:r w:rsidRPr="00670F7A">
        <w:rPr>
          <w:rFonts w:asciiTheme="minorHAnsi" w:hAnsiTheme="minorHAnsi" w:cstheme="minorHAnsi"/>
          <w:sz w:val="22"/>
          <w:szCs w:val="22"/>
          <w:lang w:val="en-US"/>
        </w:rPr>
        <w:t>anonymised</w:t>
      </w:r>
      <w:proofErr w:type="spellEnd"/>
      <w:r w:rsidRPr="00670F7A">
        <w:rPr>
          <w:rFonts w:asciiTheme="minorHAnsi" w:hAnsiTheme="minorHAnsi" w:cstheme="minorHAnsi"/>
          <w:sz w:val="22"/>
          <w:szCs w:val="22"/>
          <w:lang w:val="en-US"/>
        </w:rPr>
        <w:t xml:space="preserve"> reports can be found on the HDC website. </w:t>
      </w:r>
    </w:p>
    <w:p w:rsidR="001726F0" w:rsidRPr="004D19E8" w:rsidRDefault="001726F0" w:rsidP="001726F0">
      <w:pPr>
        <w:jc w:val="left"/>
        <w:rPr>
          <w:rFonts w:asciiTheme="minorHAnsi" w:hAnsiTheme="minorHAnsi" w:cstheme="minorHAnsi"/>
          <w:b/>
          <w:sz w:val="22"/>
          <w:szCs w:val="22"/>
        </w:rPr>
      </w:pPr>
      <w:r w:rsidRPr="004D19E8">
        <w:rPr>
          <w:rFonts w:asciiTheme="minorHAnsi" w:hAnsiTheme="minorHAnsi" w:cstheme="minorHAnsi"/>
          <w:b/>
          <w:sz w:val="22"/>
          <w:szCs w:val="22"/>
        </w:rPr>
        <w:t xml:space="preserve">Monitoring of maternal and </w:t>
      </w:r>
      <w:proofErr w:type="spellStart"/>
      <w:r w:rsidRPr="004D19E8">
        <w:rPr>
          <w:rFonts w:asciiTheme="minorHAnsi" w:hAnsiTheme="minorHAnsi" w:cstheme="minorHAnsi"/>
          <w:b/>
          <w:sz w:val="22"/>
          <w:szCs w:val="22"/>
        </w:rPr>
        <w:t>fetal</w:t>
      </w:r>
      <w:proofErr w:type="spellEnd"/>
      <w:r w:rsidRPr="004D19E8">
        <w:rPr>
          <w:rFonts w:asciiTheme="minorHAnsi" w:hAnsiTheme="minorHAnsi" w:cstheme="minorHAnsi"/>
          <w:b/>
          <w:sz w:val="22"/>
          <w:szCs w:val="22"/>
        </w:rPr>
        <w:t xml:space="preserve"> well-being during labour</w:t>
      </w:r>
      <w:r>
        <w:rPr>
          <w:rFonts w:asciiTheme="minorHAnsi" w:hAnsiTheme="minorHAnsi" w:cstheme="minorHAnsi"/>
          <w:b/>
          <w:sz w:val="22"/>
          <w:szCs w:val="22"/>
        </w:rPr>
        <w:t xml:space="preserve"> </w:t>
      </w:r>
      <w:r w:rsidRPr="004D19E8">
        <w:rPr>
          <w:rFonts w:asciiTheme="minorHAnsi" w:hAnsiTheme="minorHAnsi" w:cstheme="minorHAnsi"/>
          <w:sz w:val="22"/>
          <w:szCs w:val="22"/>
        </w:rPr>
        <w:t>(</w:t>
      </w:r>
      <w:r w:rsidRPr="004D19E8">
        <w:rPr>
          <w:rFonts w:asciiTheme="minorHAnsi" w:hAnsiTheme="minorHAnsi" w:cstheme="minorHAnsi"/>
          <w:b/>
          <w:noProof/>
          <w:sz w:val="22"/>
          <w:szCs w:val="22"/>
        </w:rPr>
        <w:t>10HDC00996</w:t>
      </w:r>
      <w:r w:rsidRPr="004D19E8">
        <w:rPr>
          <w:rFonts w:asciiTheme="minorHAnsi" w:hAnsiTheme="minorHAnsi" w:cstheme="minorHAnsi"/>
          <w:sz w:val="22"/>
          <w:szCs w:val="22"/>
        </w:rPr>
        <w:t>)</w:t>
      </w:r>
    </w:p>
    <w:p w:rsidR="001726F0" w:rsidRPr="005761C5" w:rsidRDefault="001726F0" w:rsidP="001726F0">
      <w:pPr>
        <w:keepNext/>
        <w:rPr>
          <w:rFonts w:asciiTheme="minorHAnsi" w:hAnsiTheme="minorHAnsi" w:cstheme="minorHAnsi"/>
          <w:i/>
          <w:sz w:val="22"/>
          <w:szCs w:val="22"/>
          <w:lang w:val="en-US"/>
        </w:rPr>
      </w:pPr>
      <w:r w:rsidRPr="005761C5">
        <w:rPr>
          <w:rFonts w:asciiTheme="minorHAnsi" w:hAnsiTheme="minorHAnsi" w:cstheme="minorHAnsi"/>
          <w:i/>
          <w:sz w:val="22"/>
          <w:szCs w:val="22"/>
          <w:lang w:val="en-US"/>
        </w:rPr>
        <w:t>Background</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 xml:space="preserve">A woman was admitted to hospital for induction of </w:t>
      </w:r>
      <w:proofErr w:type="spellStart"/>
      <w:r w:rsidRPr="004D19E8">
        <w:rPr>
          <w:rFonts w:asciiTheme="minorHAnsi" w:hAnsiTheme="minorHAnsi" w:cstheme="minorHAnsi"/>
          <w:sz w:val="22"/>
          <w:szCs w:val="22"/>
          <w:lang w:val="en-US"/>
        </w:rPr>
        <w:t>labour</w:t>
      </w:r>
      <w:proofErr w:type="spellEnd"/>
      <w:r w:rsidRPr="004D19E8">
        <w:rPr>
          <w:rFonts w:asciiTheme="minorHAnsi" w:hAnsiTheme="minorHAnsi" w:cstheme="minorHAnsi"/>
          <w:sz w:val="22"/>
          <w:szCs w:val="22"/>
          <w:lang w:val="en-US"/>
        </w:rPr>
        <w:t xml:space="preserve">. Her care was initially managed by the hospital’s core midwifery staff and she was provided with routine care and monitoring in accordance with the district health board’s (DHB) induction of </w:t>
      </w:r>
      <w:proofErr w:type="spellStart"/>
      <w:r w:rsidRPr="004D19E8">
        <w:rPr>
          <w:rFonts w:asciiTheme="minorHAnsi" w:hAnsiTheme="minorHAnsi" w:cstheme="minorHAnsi"/>
          <w:sz w:val="22"/>
          <w:szCs w:val="22"/>
          <w:lang w:val="en-US"/>
        </w:rPr>
        <w:t>labour</w:t>
      </w:r>
      <w:proofErr w:type="spellEnd"/>
      <w:r w:rsidRPr="004D19E8">
        <w:rPr>
          <w:rFonts w:asciiTheme="minorHAnsi" w:hAnsiTheme="minorHAnsi" w:cstheme="minorHAnsi"/>
          <w:sz w:val="22"/>
          <w:szCs w:val="22"/>
          <w:lang w:val="en-US"/>
        </w:rPr>
        <w:t xml:space="preserve"> guidelines.  </w:t>
      </w:r>
    </w:p>
    <w:p w:rsidR="001726F0" w:rsidRPr="005761C5" w:rsidRDefault="001726F0" w:rsidP="001726F0">
      <w:pPr>
        <w:keepNext/>
        <w:rPr>
          <w:rFonts w:asciiTheme="minorHAnsi" w:hAnsiTheme="minorHAnsi" w:cstheme="minorHAnsi"/>
          <w:i/>
          <w:sz w:val="22"/>
          <w:szCs w:val="22"/>
          <w:lang w:val="en-US"/>
        </w:rPr>
      </w:pPr>
      <w:proofErr w:type="spellStart"/>
      <w:r>
        <w:rPr>
          <w:rFonts w:asciiTheme="minorHAnsi" w:hAnsiTheme="minorHAnsi" w:cstheme="minorHAnsi"/>
          <w:i/>
          <w:sz w:val="22"/>
          <w:szCs w:val="22"/>
          <w:lang w:val="en-US"/>
        </w:rPr>
        <w:t>Labour</w:t>
      </w:r>
      <w:proofErr w:type="spellEnd"/>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 xml:space="preserve">The morning after </w:t>
      </w:r>
      <w:proofErr w:type="spellStart"/>
      <w:r w:rsidRPr="004D19E8">
        <w:rPr>
          <w:rFonts w:asciiTheme="minorHAnsi" w:hAnsiTheme="minorHAnsi" w:cstheme="minorHAnsi"/>
          <w:sz w:val="22"/>
          <w:szCs w:val="22"/>
          <w:lang w:val="en-US"/>
        </w:rPr>
        <w:t>labour</w:t>
      </w:r>
      <w:proofErr w:type="spellEnd"/>
      <w:r w:rsidRPr="004D19E8">
        <w:rPr>
          <w:rFonts w:asciiTheme="minorHAnsi" w:hAnsiTheme="minorHAnsi" w:cstheme="minorHAnsi"/>
          <w:sz w:val="22"/>
          <w:szCs w:val="22"/>
          <w:lang w:val="en-US"/>
        </w:rPr>
        <w:t xml:space="preserve"> was induced, the fetal heart rate increased and a </w:t>
      </w:r>
      <w:proofErr w:type="spellStart"/>
      <w:r w:rsidRPr="004D19E8">
        <w:rPr>
          <w:rFonts w:asciiTheme="minorHAnsi" w:hAnsiTheme="minorHAnsi" w:cstheme="minorHAnsi"/>
          <w:sz w:val="22"/>
          <w:szCs w:val="22"/>
          <w:lang w:val="en-US"/>
        </w:rPr>
        <w:t>cardiotocogram</w:t>
      </w:r>
      <w:proofErr w:type="spellEnd"/>
      <w:r w:rsidRPr="004D19E8">
        <w:rPr>
          <w:rFonts w:asciiTheme="minorHAnsi" w:hAnsiTheme="minorHAnsi" w:cstheme="minorHAnsi"/>
          <w:sz w:val="22"/>
          <w:szCs w:val="22"/>
          <w:lang w:val="en-US"/>
        </w:rPr>
        <w:t xml:space="preserve"> (CTG) was commenced. The on-call consultant obstetrician reviewed the CTG trace shortly after, and considered it showed normal fetal activity. That evening, the woman’s waters broke and her lead maternity </w:t>
      </w:r>
      <w:proofErr w:type="spellStart"/>
      <w:r w:rsidRPr="004D19E8">
        <w:rPr>
          <w:rFonts w:asciiTheme="minorHAnsi" w:hAnsiTheme="minorHAnsi" w:cstheme="minorHAnsi"/>
          <w:sz w:val="22"/>
          <w:szCs w:val="22"/>
          <w:lang w:val="en-US"/>
        </w:rPr>
        <w:t>carer</w:t>
      </w:r>
      <w:proofErr w:type="spellEnd"/>
      <w:r w:rsidRPr="004D19E8">
        <w:rPr>
          <w:rFonts w:asciiTheme="minorHAnsi" w:hAnsiTheme="minorHAnsi" w:cstheme="minorHAnsi"/>
          <w:sz w:val="22"/>
          <w:szCs w:val="22"/>
          <w:lang w:val="en-US"/>
        </w:rPr>
        <w:t xml:space="preserve"> (LMC) was called to attend. The LMC assessed that woman was in early </w:t>
      </w:r>
      <w:proofErr w:type="spellStart"/>
      <w:r w:rsidRPr="004D19E8">
        <w:rPr>
          <w:rFonts w:asciiTheme="minorHAnsi" w:hAnsiTheme="minorHAnsi" w:cstheme="minorHAnsi"/>
          <w:sz w:val="22"/>
          <w:szCs w:val="22"/>
          <w:lang w:val="en-US"/>
        </w:rPr>
        <w:t>labour</w:t>
      </w:r>
      <w:proofErr w:type="spellEnd"/>
      <w:r w:rsidRPr="004D19E8">
        <w:rPr>
          <w:rFonts w:asciiTheme="minorHAnsi" w:hAnsiTheme="minorHAnsi" w:cstheme="minorHAnsi"/>
          <w:sz w:val="22"/>
          <w:szCs w:val="22"/>
          <w:lang w:val="en-US"/>
        </w:rPr>
        <w:t xml:space="preserve"> and the woman was given sedation to help her rest overnight. </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The following morning, the woman requested an epidural. The LMC was not certified to administer epidurals and stated that she handed over the woman’s care to the hospital midwives. The LMC left the hospital at 6am.</w:t>
      </w:r>
      <w:r>
        <w:rPr>
          <w:rFonts w:asciiTheme="minorHAnsi" w:hAnsiTheme="minorHAnsi" w:cstheme="minorHAnsi"/>
          <w:sz w:val="22"/>
          <w:szCs w:val="22"/>
          <w:lang w:val="en-US"/>
        </w:rPr>
        <w:t xml:space="preserve"> </w:t>
      </w:r>
      <w:r w:rsidRPr="004D19E8">
        <w:rPr>
          <w:rFonts w:asciiTheme="minorHAnsi" w:hAnsiTheme="minorHAnsi" w:cstheme="minorHAnsi"/>
          <w:sz w:val="22"/>
          <w:szCs w:val="22"/>
          <w:lang w:val="en-US"/>
        </w:rPr>
        <w:t xml:space="preserve">The hospital midwife caring for the woman monitored the fetal heart rate by CTG, assessing it as “overall reassuring”. </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Around two hours later, a senior midwife noted that the CTG was monitoring the maternal heart rate and alerted the hospital midwife. However, when the senior midwife returned to the room approximately an hour later, she saw that the CTG was still monitoring the maternal heart rate. The senior midwife repositioned the CTG and saw that the fetal heart rate</w:t>
      </w:r>
      <w:r>
        <w:rPr>
          <w:rFonts w:asciiTheme="minorHAnsi" w:hAnsiTheme="minorHAnsi" w:cstheme="minorHAnsi"/>
          <w:sz w:val="22"/>
          <w:szCs w:val="22"/>
          <w:lang w:val="en-US"/>
        </w:rPr>
        <w:t xml:space="preserve"> </w:t>
      </w:r>
      <w:r w:rsidRPr="004D19E8">
        <w:rPr>
          <w:rFonts w:asciiTheme="minorHAnsi" w:hAnsiTheme="minorHAnsi" w:cstheme="minorHAnsi"/>
          <w:sz w:val="22"/>
          <w:szCs w:val="22"/>
          <w:lang w:val="en-US"/>
        </w:rPr>
        <w:t xml:space="preserve">was abnormal. The woman’s </w:t>
      </w:r>
      <w:proofErr w:type="spellStart"/>
      <w:r w:rsidRPr="004D19E8">
        <w:rPr>
          <w:rFonts w:asciiTheme="minorHAnsi" w:hAnsiTheme="minorHAnsi" w:cstheme="minorHAnsi"/>
          <w:sz w:val="22"/>
          <w:szCs w:val="22"/>
          <w:lang w:val="en-US"/>
        </w:rPr>
        <w:t>labour</w:t>
      </w:r>
      <w:proofErr w:type="spellEnd"/>
      <w:r w:rsidRPr="004D19E8">
        <w:rPr>
          <w:rFonts w:asciiTheme="minorHAnsi" w:hAnsiTheme="minorHAnsi" w:cstheme="minorHAnsi"/>
          <w:sz w:val="22"/>
          <w:szCs w:val="22"/>
          <w:lang w:val="en-US"/>
        </w:rPr>
        <w:t xml:space="preserve"> was expedited however, sadly, the baby died soon after birth. </w:t>
      </w:r>
    </w:p>
    <w:p w:rsidR="001726F0" w:rsidRPr="005761C5" w:rsidRDefault="001726F0" w:rsidP="001726F0">
      <w:pPr>
        <w:keepNext/>
        <w:rPr>
          <w:rFonts w:asciiTheme="minorHAnsi" w:hAnsiTheme="minorHAnsi" w:cstheme="minorHAnsi"/>
          <w:i/>
          <w:sz w:val="22"/>
          <w:szCs w:val="22"/>
          <w:lang w:val="en-US"/>
        </w:rPr>
      </w:pPr>
      <w:r>
        <w:rPr>
          <w:rFonts w:asciiTheme="minorHAnsi" w:hAnsiTheme="minorHAnsi" w:cstheme="minorHAnsi"/>
          <w:i/>
          <w:sz w:val="22"/>
          <w:szCs w:val="22"/>
          <w:lang w:val="en-US"/>
        </w:rPr>
        <w:lastRenderedPageBreak/>
        <w:t>Outcome</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 xml:space="preserve">It was held that the LMC failed to appropriately monitor maternal and fetal well-being and breached Right 4(1). She also failed to take appropriate steps to arrange for an epidural or hand the woman’s care over to the secondary care team, and breached Right 4(5). </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 xml:space="preserve">The hospital midwife failed to use appropriate equipment, correctly read the CTG and request assistance when necessary and breached Right 4(1). Her failure to seek assistance impaired the woman’s continuity of care and, accordingly, she breached Right 4(5). </w:t>
      </w:r>
    </w:p>
    <w:p w:rsidR="001726F0" w:rsidRPr="004D19E8" w:rsidRDefault="001726F0" w:rsidP="001726F0">
      <w:pPr>
        <w:spacing w:after="240"/>
        <w:rPr>
          <w:rFonts w:asciiTheme="minorHAnsi" w:hAnsiTheme="minorHAnsi" w:cstheme="minorHAnsi"/>
          <w:sz w:val="22"/>
          <w:szCs w:val="22"/>
          <w:lang w:val="en-US"/>
        </w:rPr>
      </w:pPr>
      <w:r w:rsidRPr="004D19E8">
        <w:rPr>
          <w:rFonts w:asciiTheme="minorHAnsi" w:hAnsiTheme="minorHAnsi" w:cstheme="minorHAnsi"/>
          <w:sz w:val="22"/>
          <w:szCs w:val="22"/>
          <w:lang w:val="en-US"/>
        </w:rPr>
        <w:t>The senior midwife failed to provide adequate supervision to the hospital midwife, and failed to take adequate steps to monitor the maternal and fetal well-being when she became aware that the CTG was monitoring the maternal heart rate instead of the fetal heart rate. The senior midwife breached Right 4(1). She also failed to call for assistance when she became aware that the baby was at risk and an emergency delivery was required, and breached Right 4(2).</w:t>
      </w:r>
    </w:p>
    <w:p w:rsidR="001726F0" w:rsidRPr="00670F7A" w:rsidRDefault="001726F0" w:rsidP="001726F0">
      <w:pPr>
        <w:spacing w:after="240"/>
        <w:rPr>
          <w:rFonts w:asciiTheme="minorHAnsi" w:hAnsiTheme="minorHAnsi" w:cstheme="minorHAnsi"/>
          <w:sz w:val="22"/>
          <w:szCs w:val="22"/>
        </w:rPr>
      </w:pPr>
      <w:r w:rsidRPr="004D19E8">
        <w:rPr>
          <w:rFonts w:asciiTheme="minorHAnsi" w:hAnsiTheme="minorHAnsi" w:cstheme="minorHAnsi"/>
          <w:sz w:val="22"/>
          <w:szCs w:val="22"/>
          <w:lang w:val="en-US"/>
        </w:rPr>
        <w:t xml:space="preserve">The DHB failed to take reasonable steps to ensure that services of an appropriate standard were provided to the woman and breached Right 4(1). For failing to have systems in place to ensure that services of an appropriate quality and continuity were provided, the DHB also breached Right 4(5). </w:t>
      </w:r>
    </w:p>
    <w:p w:rsidR="001726F0" w:rsidRPr="004D19E8" w:rsidRDefault="001726F0" w:rsidP="001726F0">
      <w:pPr>
        <w:keepNext/>
        <w:rPr>
          <w:rFonts w:asciiTheme="minorHAnsi" w:hAnsiTheme="minorHAnsi" w:cstheme="minorHAnsi"/>
          <w:sz w:val="22"/>
          <w:szCs w:val="22"/>
        </w:rPr>
      </w:pPr>
      <w:r w:rsidRPr="004D19E8">
        <w:rPr>
          <w:rFonts w:asciiTheme="minorHAnsi" w:hAnsiTheme="minorHAnsi" w:cstheme="minorHAnsi"/>
          <w:b/>
          <w:sz w:val="22"/>
          <w:szCs w:val="22"/>
        </w:rPr>
        <w:t>Delay in diagnosis of metastatic bone disease</w:t>
      </w:r>
      <w:r>
        <w:rPr>
          <w:rFonts w:asciiTheme="minorHAnsi" w:hAnsiTheme="minorHAnsi" w:cstheme="minorHAnsi"/>
          <w:sz w:val="22"/>
          <w:szCs w:val="22"/>
        </w:rPr>
        <w:t xml:space="preserve"> </w:t>
      </w:r>
      <w:r w:rsidRPr="004D19E8">
        <w:rPr>
          <w:rFonts w:asciiTheme="minorHAnsi" w:hAnsiTheme="minorHAnsi" w:cstheme="minorHAnsi"/>
          <w:sz w:val="22"/>
          <w:szCs w:val="22"/>
        </w:rPr>
        <w:t>(</w:t>
      </w:r>
      <w:r w:rsidRPr="004D19E8">
        <w:rPr>
          <w:rFonts w:asciiTheme="minorHAnsi" w:hAnsiTheme="minorHAnsi" w:cstheme="minorHAnsi"/>
          <w:b/>
          <w:noProof/>
          <w:sz w:val="22"/>
          <w:szCs w:val="22"/>
        </w:rPr>
        <w:t>10HDC00703</w:t>
      </w:r>
      <w:r w:rsidRPr="004D19E8">
        <w:rPr>
          <w:rFonts w:asciiTheme="minorHAnsi" w:hAnsiTheme="minorHAnsi" w:cstheme="minorHAnsi"/>
          <w:sz w:val="22"/>
          <w:szCs w:val="22"/>
        </w:rPr>
        <w:t>)</w:t>
      </w:r>
    </w:p>
    <w:p w:rsidR="001726F0" w:rsidRPr="005761C5" w:rsidRDefault="001726F0" w:rsidP="001726F0">
      <w:pPr>
        <w:keepNext/>
        <w:rPr>
          <w:rFonts w:asciiTheme="minorHAnsi" w:hAnsiTheme="minorHAnsi" w:cstheme="minorHAnsi"/>
          <w:i/>
          <w:sz w:val="22"/>
          <w:szCs w:val="22"/>
          <w:lang w:val="en-US"/>
        </w:rPr>
      </w:pPr>
      <w:r w:rsidRPr="005761C5">
        <w:rPr>
          <w:rFonts w:asciiTheme="minorHAnsi" w:hAnsiTheme="minorHAnsi" w:cstheme="minorHAnsi"/>
          <w:i/>
          <w:sz w:val="22"/>
          <w:szCs w:val="22"/>
          <w:lang w:val="en-US"/>
        </w:rPr>
        <w:t>Background</w:t>
      </w:r>
    </w:p>
    <w:p w:rsidR="001726F0" w:rsidRPr="004D19E8"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color w:val="000000"/>
          <w:sz w:val="22"/>
          <w:szCs w:val="22"/>
          <w:lang w:eastAsia="en-NZ"/>
        </w:rPr>
        <w:t xml:space="preserve">In 2002, a woman had a mastectomy for invasive breast cancer and was advised that she had an 80 percent risk of the cancer recurring within the next five years. She was an outpatient at the Oncology Clinic of a public hospital. She also had a history of chronic regional pain syndrome (CRPS) of the knees. </w:t>
      </w:r>
    </w:p>
    <w:p w:rsidR="001726F0" w:rsidRPr="004D19E8"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color w:val="000000"/>
          <w:sz w:val="22"/>
          <w:szCs w:val="22"/>
          <w:lang w:eastAsia="en-NZ"/>
        </w:rPr>
        <w:t xml:space="preserve">In 2007, the woman experienced a sudden onset of back pain without suffering any trauma. She was assessed at the Emergency Care Centre of a hospital and an x-ray was taken of her lumbar spine to exclude cancer. The x-ray showed “no bony lesions” and her spine was of normal alignment. As her condition did not improve, she was referred to the General Medical Team the following day. </w:t>
      </w:r>
    </w:p>
    <w:p w:rsidR="001726F0" w:rsidRPr="004D19E8"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color w:val="000000"/>
          <w:sz w:val="22"/>
          <w:szCs w:val="22"/>
          <w:lang w:eastAsia="en-NZ"/>
        </w:rPr>
        <w:t xml:space="preserve">The General Medical Team assessed the woman, taking into account her CRPS, breast cancer history and normal x-ray. It was determined that her condition was due to “muscle spasm” and she was reviewed by the Orthopaedic Team. Upon review, the orthopaedic registrar considered that she had mechanical back pain and advised analgesia and early mobilisation. </w:t>
      </w:r>
    </w:p>
    <w:p w:rsidR="001726F0" w:rsidRPr="004D19E8"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color w:val="000000"/>
          <w:sz w:val="22"/>
          <w:szCs w:val="22"/>
          <w:lang w:eastAsia="en-NZ"/>
        </w:rPr>
        <w:t>The woman was discharged, and sought ongoing treatment from her GP. She was subsequently seen at Outpatient Clinics by a breast surgeon and an oncologist. Both doctors noted that the woman was doing well but made no reference in the clinical record of her recent hospital admission or that she was experiencing severe back pain.</w:t>
      </w:r>
    </w:p>
    <w:p w:rsidR="001726F0" w:rsidRPr="004D19E8"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color w:val="000000"/>
          <w:sz w:val="22"/>
          <w:szCs w:val="22"/>
          <w:lang w:eastAsia="en-NZ"/>
        </w:rPr>
        <w:t>Three months later the woman was diagnosed with metastatic bone disease.</w:t>
      </w:r>
    </w:p>
    <w:p w:rsidR="001726F0" w:rsidRPr="005761C5" w:rsidRDefault="001726F0" w:rsidP="001726F0">
      <w:pPr>
        <w:keepNext/>
        <w:rPr>
          <w:rFonts w:asciiTheme="minorHAnsi" w:hAnsiTheme="minorHAnsi" w:cstheme="minorHAnsi"/>
          <w:i/>
          <w:sz w:val="22"/>
          <w:szCs w:val="22"/>
          <w:lang w:val="en-US"/>
        </w:rPr>
      </w:pPr>
      <w:r>
        <w:rPr>
          <w:rFonts w:asciiTheme="minorHAnsi" w:hAnsiTheme="minorHAnsi" w:cstheme="minorHAnsi"/>
          <w:i/>
          <w:sz w:val="22"/>
          <w:szCs w:val="22"/>
          <w:lang w:val="en-US"/>
        </w:rPr>
        <w:t>Outcome</w:t>
      </w:r>
    </w:p>
    <w:p w:rsidR="001726F0" w:rsidRPr="004D19E8" w:rsidRDefault="001726F0" w:rsidP="001726F0">
      <w:pPr>
        <w:autoSpaceDE w:val="0"/>
        <w:autoSpaceDN w:val="0"/>
        <w:adjustRightInd w:val="0"/>
        <w:spacing w:after="240"/>
        <w:rPr>
          <w:rFonts w:asciiTheme="minorHAnsi" w:hAnsiTheme="minorHAnsi" w:cstheme="minorHAnsi"/>
          <w:sz w:val="22"/>
          <w:szCs w:val="22"/>
        </w:rPr>
      </w:pPr>
      <w:r w:rsidRPr="004D19E8">
        <w:rPr>
          <w:rFonts w:asciiTheme="minorHAnsi" w:hAnsiTheme="minorHAnsi" w:cstheme="minorHAnsi"/>
          <w:color w:val="000000"/>
          <w:sz w:val="22"/>
          <w:szCs w:val="22"/>
          <w:lang w:eastAsia="en-NZ"/>
        </w:rPr>
        <w:t>It was held</w:t>
      </w:r>
      <w:r w:rsidRPr="004D19E8">
        <w:rPr>
          <w:rFonts w:asciiTheme="minorHAnsi" w:hAnsiTheme="minorHAnsi" w:cstheme="minorHAnsi"/>
          <w:sz w:val="22"/>
          <w:szCs w:val="22"/>
        </w:rPr>
        <w:t xml:space="preserve"> that there were failures on the part of the General Medical Team in ensuring that the woman’s condition was adequately investigated. In particular, they failed to undertake an MRI or a bone scan in light of the woman’s cancer history and poor response to analgesia. Furthermore, the General Medical Team did not directly communicate with the Oncology Clinic about the woman’s admission.  </w:t>
      </w:r>
    </w:p>
    <w:p w:rsidR="001726F0" w:rsidRDefault="001726F0" w:rsidP="001726F0">
      <w:pPr>
        <w:autoSpaceDE w:val="0"/>
        <w:autoSpaceDN w:val="0"/>
        <w:adjustRightInd w:val="0"/>
        <w:spacing w:after="240"/>
        <w:rPr>
          <w:rFonts w:asciiTheme="minorHAnsi" w:hAnsiTheme="minorHAnsi" w:cstheme="minorHAnsi"/>
          <w:color w:val="000000"/>
          <w:sz w:val="22"/>
          <w:szCs w:val="22"/>
          <w:lang w:eastAsia="en-NZ"/>
        </w:rPr>
      </w:pPr>
      <w:r w:rsidRPr="004D19E8">
        <w:rPr>
          <w:rFonts w:asciiTheme="minorHAnsi" w:hAnsiTheme="minorHAnsi" w:cstheme="minorHAnsi"/>
          <w:sz w:val="22"/>
          <w:szCs w:val="22"/>
        </w:rPr>
        <w:t>It was also held that the failures of the General Medical Team were service failures and are directly attributable to the DHB as the service operator. Accordingly, t</w:t>
      </w:r>
      <w:r w:rsidRPr="004D19E8">
        <w:rPr>
          <w:rFonts w:asciiTheme="minorHAnsi" w:hAnsiTheme="minorHAnsi" w:cstheme="minorHAnsi"/>
          <w:color w:val="000000"/>
          <w:sz w:val="22"/>
          <w:szCs w:val="22"/>
          <w:lang w:eastAsia="en-NZ"/>
        </w:rPr>
        <w:t>he DHB was found to have breached Rights 4(1) and 4(5).</w:t>
      </w:r>
    </w:p>
    <w:p w:rsidR="001726F0" w:rsidRPr="000F4136" w:rsidRDefault="001726F0" w:rsidP="001726F0">
      <w:pPr>
        <w:keepNext/>
        <w:rPr>
          <w:rFonts w:asciiTheme="minorHAnsi" w:hAnsiTheme="minorHAnsi" w:cstheme="minorHAnsi"/>
          <w:b/>
          <w:sz w:val="22"/>
          <w:szCs w:val="22"/>
        </w:rPr>
      </w:pPr>
      <w:r w:rsidRPr="000F4136">
        <w:rPr>
          <w:rFonts w:asciiTheme="minorHAnsi" w:hAnsiTheme="minorHAnsi" w:cstheme="minorHAnsi"/>
          <w:b/>
          <w:sz w:val="22"/>
          <w:szCs w:val="22"/>
        </w:rPr>
        <w:lastRenderedPageBreak/>
        <w:t>Care of patient by community mental health services</w:t>
      </w:r>
      <w:r>
        <w:rPr>
          <w:rFonts w:asciiTheme="minorHAnsi" w:hAnsiTheme="minorHAnsi" w:cstheme="minorHAnsi"/>
          <w:b/>
          <w:sz w:val="22"/>
          <w:szCs w:val="22"/>
        </w:rPr>
        <w:t xml:space="preserve"> </w:t>
      </w:r>
      <w:r w:rsidRPr="000F4136">
        <w:rPr>
          <w:rFonts w:asciiTheme="minorHAnsi" w:hAnsiTheme="minorHAnsi" w:cstheme="minorHAnsi"/>
          <w:sz w:val="22"/>
          <w:szCs w:val="22"/>
        </w:rPr>
        <w:t>(</w:t>
      </w:r>
      <w:r w:rsidRPr="000F4136">
        <w:rPr>
          <w:rFonts w:asciiTheme="minorHAnsi" w:hAnsiTheme="minorHAnsi" w:cstheme="minorHAnsi"/>
          <w:b/>
          <w:noProof/>
          <w:sz w:val="22"/>
          <w:szCs w:val="22"/>
        </w:rPr>
        <w:t>10HDC00805</w:t>
      </w:r>
      <w:r w:rsidRPr="000F4136">
        <w:rPr>
          <w:rFonts w:asciiTheme="minorHAnsi" w:hAnsiTheme="minorHAnsi" w:cstheme="minorHAnsi"/>
          <w:sz w:val="22"/>
          <w:szCs w:val="22"/>
        </w:rPr>
        <w:t>)</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This case concerns the psychiatric care provided to a 45-year-old man with a severe personality disorder, by a DHB’s Community Mental Health (CMH) service.</w:t>
      </w:r>
    </w:p>
    <w:p w:rsidR="001726F0" w:rsidRPr="005761C5" w:rsidRDefault="001726F0" w:rsidP="001726F0">
      <w:pPr>
        <w:keepNext/>
        <w:rPr>
          <w:rFonts w:asciiTheme="minorHAnsi" w:hAnsiTheme="minorHAnsi" w:cstheme="minorHAnsi"/>
          <w:i/>
          <w:sz w:val="22"/>
          <w:szCs w:val="22"/>
          <w:lang w:val="en-US"/>
        </w:rPr>
      </w:pPr>
      <w:r w:rsidRPr="005761C5">
        <w:rPr>
          <w:rFonts w:asciiTheme="minorHAnsi" w:hAnsiTheme="minorHAnsi" w:cstheme="minorHAnsi"/>
          <w:i/>
          <w:sz w:val="22"/>
          <w:szCs w:val="22"/>
          <w:lang w:val="en-US"/>
        </w:rPr>
        <w:t>Background</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 xml:space="preserve">In 2010, the man attempted suicide, precipitated by relationship stress and eviction from his partner’s house. The Psychiatric Acute Community Team (PACT) staff arranged respite accommodation while he waited for a CMH psychiatric assessment. During the assessment, the man attempted to self harm. He was transferred to the Intensive Care Unit (ICU). Two days later, he was discharged from the mental health service by a psychologist on the psychiatric liaison team and sent to his partner’s home without CMH follow-up. There was no communication with the man’s partner about his discharge and his GP received conflicting information about psychiatric follow-up arrangements from the ICU medical team and the liaison team psychologist.  </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 xml:space="preserve">Several weeks later, a psychiatrist and CMH nurse saw the man. The psychiatrist understood that the nurse was assigned as the man’s case manager. However, the nurse believed he was attending the assessment merely as a “second observer”, and that a case manager would be assigned if, on completion of the assessment, the man was considered to be suitable for CMH care. Unfortunately, the assessment could not be completed in the allocated time slot, so a second appointment was made for a month’s time, when the psychiatrist returned from leave. The psychiatrist placed his handwritten notes on the man’s paper file before going on leave, but he did not communicate with the man’s GP or partner. No interim contact was planned, but a crisis plan was made, in which the CMH nurse was to be the man’s first point of contact with the service should he go into crisis. This crisis plan was not documented anywhere in his clinical notes or his electronic file. There was also no record of the nurse being present at the assessment or in what capacity. </w:t>
      </w:r>
    </w:p>
    <w:p w:rsidR="001726F0" w:rsidRPr="005761C5" w:rsidRDefault="001726F0" w:rsidP="001726F0">
      <w:pPr>
        <w:keepNext/>
        <w:rPr>
          <w:rFonts w:asciiTheme="minorHAnsi" w:hAnsiTheme="minorHAnsi" w:cstheme="minorHAnsi"/>
          <w:i/>
          <w:sz w:val="22"/>
          <w:szCs w:val="22"/>
          <w:lang w:val="en-US"/>
        </w:rPr>
      </w:pPr>
      <w:r>
        <w:rPr>
          <w:rFonts w:asciiTheme="minorHAnsi" w:hAnsiTheme="minorHAnsi" w:cstheme="minorHAnsi"/>
          <w:i/>
          <w:sz w:val="22"/>
          <w:szCs w:val="22"/>
          <w:lang w:val="en-US"/>
        </w:rPr>
        <w:t>Crisis</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 xml:space="preserve">The man went into crisis within two weeks of the assessment. His partner approached the PACT three times over three days, advising she had asked the man to leave her home and he was threatening suicide. PACT staff were unaware that the man had been seen recently by the psychiatrist or that there was a crisis plan involving the CMH nurse as point of first contact. Despite recognising that the man’s relationship breakdown and eviction were risk factors, no arrangement was made to review the man by PACT or CMH staff. The man was found dead from suicide a few days later. </w:t>
      </w:r>
    </w:p>
    <w:p w:rsidR="001726F0" w:rsidRPr="005761C5" w:rsidRDefault="001726F0" w:rsidP="001726F0">
      <w:pPr>
        <w:keepNext/>
        <w:rPr>
          <w:rFonts w:asciiTheme="minorHAnsi" w:hAnsiTheme="minorHAnsi" w:cstheme="minorHAnsi"/>
          <w:i/>
          <w:sz w:val="22"/>
          <w:szCs w:val="22"/>
          <w:lang w:val="en-US"/>
        </w:rPr>
      </w:pPr>
      <w:r>
        <w:rPr>
          <w:rFonts w:asciiTheme="minorHAnsi" w:hAnsiTheme="minorHAnsi" w:cstheme="minorHAnsi"/>
          <w:i/>
          <w:sz w:val="22"/>
          <w:szCs w:val="22"/>
          <w:lang w:val="en-US"/>
        </w:rPr>
        <w:t>Outcome</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 xml:space="preserve">It was held that the psychiatrist’s handwritten notes of the assessment were inadequate to inform care and this substandard documentation breached Right 4(2). He failed to communicate with the man’s GP and partner, and did not take adequate steps to ensure that the crisis plan was documented on the man’s clinical record, which compromised his continuity of care. These failures amounted to a breach of Right 4(5). </w:t>
      </w:r>
    </w:p>
    <w:p w:rsidR="001726F0" w:rsidRPr="000F4136" w:rsidRDefault="001726F0" w:rsidP="001726F0">
      <w:pPr>
        <w:spacing w:after="240"/>
        <w:rPr>
          <w:rFonts w:asciiTheme="minorHAnsi" w:hAnsiTheme="minorHAnsi" w:cstheme="minorHAnsi"/>
          <w:sz w:val="22"/>
          <w:szCs w:val="22"/>
        </w:rPr>
      </w:pPr>
      <w:r w:rsidRPr="000F4136">
        <w:rPr>
          <w:rFonts w:asciiTheme="minorHAnsi" w:hAnsiTheme="minorHAnsi" w:cstheme="minorHAnsi"/>
          <w:sz w:val="22"/>
          <w:szCs w:val="22"/>
        </w:rPr>
        <w:t>It was also held that the failure of the DHB’s CMH service to contact and assess the man when informed by his partner of his known risk factors breached Right 4(1). The DHB’s failure to take appropriate steps to involve the man’s partner in the discharge planning breached Right 4(2), while system failures around role clarity and responsibilities, and in the flow of information and communication between CMH, PACT and the GP impaired the man’s continuity of care, and was a breach of Right 4(5).</w:t>
      </w:r>
    </w:p>
    <w:p w:rsidR="000C640E" w:rsidRDefault="000C640E" w:rsidP="000C640E">
      <w:pPr>
        <w:autoSpaceDE w:val="0"/>
        <w:autoSpaceDN w:val="0"/>
        <w:adjustRightInd w:val="0"/>
        <w:spacing w:after="240"/>
        <w:rPr>
          <w:rFonts w:asciiTheme="minorHAnsi" w:hAnsiTheme="minorHAnsi" w:cstheme="minorHAnsi"/>
          <w:color w:val="000000"/>
          <w:sz w:val="22"/>
          <w:szCs w:val="22"/>
          <w:lang w:eastAsia="en-NZ"/>
        </w:rPr>
      </w:pPr>
    </w:p>
    <w:p w:rsidR="000C640E" w:rsidRDefault="000C640E" w:rsidP="000C640E">
      <w:pPr>
        <w:rPr>
          <w:rFonts w:asciiTheme="minorHAnsi" w:hAnsiTheme="minorHAnsi" w:cstheme="minorHAnsi"/>
          <w:color w:val="000000"/>
          <w:sz w:val="22"/>
          <w:szCs w:val="22"/>
          <w:lang w:eastAsia="en-NZ"/>
        </w:rPr>
      </w:pPr>
      <w:r>
        <w:rPr>
          <w:rFonts w:asciiTheme="minorHAnsi" w:hAnsiTheme="minorHAnsi" w:cstheme="minorHAnsi"/>
          <w:color w:val="000000"/>
          <w:sz w:val="22"/>
          <w:szCs w:val="22"/>
          <w:lang w:eastAsia="en-NZ"/>
        </w:rPr>
        <w:br w:type="page"/>
      </w:r>
    </w:p>
    <w:p w:rsidR="000C640E" w:rsidRPr="00DA2621" w:rsidRDefault="000C640E" w:rsidP="000C640E">
      <w:pPr>
        <w:spacing w:after="240"/>
        <w:rPr>
          <w:rFonts w:asciiTheme="minorHAnsi" w:hAnsiTheme="minorHAnsi" w:cstheme="minorHAnsi"/>
          <w:b/>
          <w:sz w:val="22"/>
          <w:szCs w:val="22"/>
        </w:rPr>
      </w:pPr>
      <w:r w:rsidRPr="00DA2621">
        <w:rPr>
          <w:rFonts w:asciiTheme="minorHAnsi" w:hAnsiTheme="minorHAnsi" w:cstheme="minorHAnsi"/>
          <w:b/>
          <w:sz w:val="22"/>
          <w:szCs w:val="22"/>
        </w:rPr>
        <w:lastRenderedPageBreak/>
        <w:t>Care of patient during the birth of her baby;</w:t>
      </w:r>
      <w:r>
        <w:rPr>
          <w:rFonts w:asciiTheme="minorHAnsi" w:hAnsiTheme="minorHAnsi" w:cstheme="minorHAnsi"/>
          <w:b/>
          <w:sz w:val="22"/>
          <w:szCs w:val="22"/>
        </w:rPr>
        <w:t xml:space="preserve"> delay in treatment;</w:t>
      </w:r>
      <w:r w:rsidRPr="00DA2621">
        <w:rPr>
          <w:rFonts w:asciiTheme="minorHAnsi" w:hAnsiTheme="minorHAnsi" w:cstheme="minorHAnsi"/>
          <w:b/>
          <w:sz w:val="22"/>
          <w:szCs w:val="22"/>
        </w:rPr>
        <w:t xml:space="preserve"> </w:t>
      </w:r>
      <w:r>
        <w:rPr>
          <w:rFonts w:asciiTheme="minorHAnsi" w:hAnsiTheme="minorHAnsi" w:cstheme="minorHAnsi"/>
          <w:b/>
          <w:sz w:val="22"/>
          <w:szCs w:val="22"/>
        </w:rPr>
        <w:t>response to complaint;</w:t>
      </w:r>
      <w:r w:rsidRPr="00DA2621">
        <w:rPr>
          <w:rFonts w:asciiTheme="minorHAnsi" w:hAnsiTheme="minorHAnsi" w:cstheme="minorHAnsi"/>
          <w:b/>
          <w:sz w:val="22"/>
          <w:szCs w:val="22"/>
        </w:rPr>
        <w:t xml:space="preserve"> referral from pri</w:t>
      </w:r>
      <w:r>
        <w:rPr>
          <w:rFonts w:asciiTheme="minorHAnsi" w:hAnsiTheme="minorHAnsi" w:cstheme="minorHAnsi"/>
          <w:b/>
          <w:sz w:val="22"/>
          <w:szCs w:val="22"/>
        </w:rPr>
        <w:t>vate to public funded treatment</w:t>
      </w:r>
    </w:p>
    <w:p w:rsidR="000C640E" w:rsidRPr="005761C5" w:rsidRDefault="000C640E" w:rsidP="000C640E">
      <w:pPr>
        <w:keepNext/>
        <w:rPr>
          <w:rFonts w:asciiTheme="minorHAnsi" w:hAnsiTheme="minorHAnsi" w:cstheme="minorHAnsi"/>
          <w:i/>
          <w:sz w:val="22"/>
          <w:szCs w:val="22"/>
          <w:lang w:val="en-US"/>
        </w:rPr>
      </w:pPr>
      <w:r w:rsidRPr="005761C5">
        <w:rPr>
          <w:rFonts w:asciiTheme="minorHAnsi" w:hAnsiTheme="minorHAnsi" w:cstheme="minorHAnsi"/>
          <w:i/>
          <w:sz w:val="22"/>
          <w:szCs w:val="22"/>
          <w:lang w:val="en-US"/>
        </w:rPr>
        <w:t>Background</w:t>
      </w:r>
    </w:p>
    <w:p w:rsidR="000C640E" w:rsidRPr="00DA2621"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 xml:space="preserve">This case concerns a woman who had a history of difficult, slow-to-progress labours leading to traumatic deliveries of large babies. When she became pregnant for the third time, her Lead Maternity Carer (LMC) was aware of her anxieties in light of her previous experiences during childbirth. </w:t>
      </w:r>
    </w:p>
    <w:p w:rsidR="000C640E" w:rsidRPr="00DA2621"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When she arrived at hospital in labour, she immediately passed meconium, which caused alarm. She asked for a Caesarean section, but soon after, the baby was born. The woman suffered extensive tearing from the birth and required follow-up surgery.</w:t>
      </w:r>
    </w:p>
    <w:p w:rsidR="000C640E" w:rsidRPr="00DA2621"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The woman complained that the midwife denied her a Caesarean section, compromised the safety of the baby by leaving the woman unattended to write notes when the baby’s head had crowned, did not protect her perineum at the time of birth and did not perform an episiotomy, given her past history.</w:t>
      </w:r>
    </w:p>
    <w:p w:rsidR="000C640E"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 xml:space="preserve">Following the birth, the woman experienced ongoing pain, stress incontinence and faecal incontinence. She was advised by a bowel specialist that she had sustained a fourth-degree perineal tear requiring further surgery. This surgery was not performed until a year later as a result of deficiencies in the care provided by the DHB particularly in relation to its communication with the woman and other providers, and the process for approval of inter-DHB funding for surgery. </w:t>
      </w:r>
    </w:p>
    <w:p w:rsidR="000C640E" w:rsidRPr="005761C5" w:rsidRDefault="000C640E" w:rsidP="000C640E">
      <w:pPr>
        <w:keepNext/>
        <w:rPr>
          <w:rFonts w:asciiTheme="minorHAnsi" w:hAnsiTheme="minorHAnsi" w:cstheme="minorHAnsi"/>
          <w:i/>
          <w:sz w:val="22"/>
          <w:szCs w:val="22"/>
          <w:lang w:val="en-US"/>
        </w:rPr>
      </w:pPr>
      <w:r>
        <w:rPr>
          <w:rFonts w:asciiTheme="minorHAnsi" w:hAnsiTheme="minorHAnsi" w:cstheme="minorHAnsi"/>
          <w:i/>
          <w:sz w:val="22"/>
          <w:szCs w:val="22"/>
          <w:lang w:val="en-US"/>
        </w:rPr>
        <w:t>Outcome</w:t>
      </w:r>
    </w:p>
    <w:p w:rsidR="000C640E" w:rsidRPr="00DA2621"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The Commissioner’s expert advised that the midwifery care provided was thorough and comprehensive, and consistent with expected standards and that even if an episiotomy had been intended, there was insufficient time to do so. Furthermore, at this stage, there was no indicati</w:t>
      </w:r>
      <w:r>
        <w:rPr>
          <w:rFonts w:asciiTheme="minorHAnsi" w:hAnsiTheme="minorHAnsi" w:cstheme="minorHAnsi"/>
          <w:sz w:val="22"/>
          <w:szCs w:val="22"/>
        </w:rPr>
        <w:t xml:space="preserve">on an episiotomy was necessary. It was also held that </w:t>
      </w:r>
      <w:r w:rsidRPr="00DA2621">
        <w:rPr>
          <w:rFonts w:asciiTheme="minorHAnsi" w:hAnsiTheme="minorHAnsi" w:cstheme="minorHAnsi"/>
          <w:sz w:val="22"/>
          <w:szCs w:val="22"/>
        </w:rPr>
        <w:t>the actual clinical management provided by the DHB was consistent with expected standards, although it seems the surgery was unduly delayed.</w:t>
      </w:r>
    </w:p>
    <w:p w:rsidR="000C640E" w:rsidRPr="005761C5" w:rsidRDefault="000C640E" w:rsidP="000C640E">
      <w:pPr>
        <w:keepNext/>
        <w:rPr>
          <w:rFonts w:asciiTheme="minorHAnsi" w:hAnsiTheme="minorHAnsi" w:cstheme="minorHAnsi"/>
          <w:i/>
          <w:sz w:val="22"/>
          <w:szCs w:val="22"/>
          <w:lang w:val="en-US"/>
        </w:rPr>
      </w:pPr>
      <w:r>
        <w:rPr>
          <w:rFonts w:asciiTheme="minorHAnsi" w:hAnsiTheme="minorHAnsi" w:cstheme="minorHAnsi"/>
          <w:i/>
          <w:sz w:val="22"/>
          <w:szCs w:val="22"/>
          <w:lang w:val="en-US"/>
        </w:rPr>
        <w:t>Follow-up actions</w:t>
      </w:r>
    </w:p>
    <w:p w:rsidR="000C640E" w:rsidRPr="00DA2621" w:rsidRDefault="000C640E" w:rsidP="000C640E">
      <w:pPr>
        <w:spacing w:after="240"/>
        <w:rPr>
          <w:rFonts w:asciiTheme="minorHAnsi" w:hAnsiTheme="minorHAnsi" w:cstheme="minorHAnsi"/>
          <w:sz w:val="22"/>
          <w:szCs w:val="22"/>
        </w:rPr>
      </w:pPr>
      <w:r w:rsidRPr="00DA2621">
        <w:rPr>
          <w:rFonts w:asciiTheme="minorHAnsi" w:hAnsiTheme="minorHAnsi" w:cstheme="minorHAnsi"/>
          <w:sz w:val="22"/>
          <w:szCs w:val="22"/>
        </w:rPr>
        <w:t>As a result of this complaint, the Commissioner asked the DHB to</w:t>
      </w:r>
      <w:r>
        <w:rPr>
          <w:rFonts w:asciiTheme="minorHAnsi" w:hAnsiTheme="minorHAnsi" w:cstheme="minorHAnsi"/>
          <w:sz w:val="22"/>
          <w:szCs w:val="22"/>
        </w:rPr>
        <w:t>:</w:t>
      </w:r>
      <w:r w:rsidRPr="00DA2621">
        <w:rPr>
          <w:rFonts w:asciiTheme="minorHAnsi" w:hAnsiTheme="minorHAnsi" w:cstheme="minorHAnsi"/>
          <w:sz w:val="22"/>
          <w:szCs w:val="22"/>
        </w:rPr>
        <w:t xml:space="preserve"> </w:t>
      </w:r>
    </w:p>
    <w:p w:rsidR="000C640E" w:rsidRPr="00DA2621" w:rsidRDefault="000C640E" w:rsidP="000C640E">
      <w:pPr>
        <w:pStyle w:val="ListParagraph"/>
        <w:numPr>
          <w:ilvl w:val="0"/>
          <w:numId w:val="31"/>
        </w:numPr>
        <w:spacing w:after="240"/>
        <w:rPr>
          <w:rFonts w:asciiTheme="minorHAnsi" w:hAnsiTheme="minorHAnsi" w:cstheme="minorHAnsi"/>
          <w:sz w:val="22"/>
          <w:szCs w:val="22"/>
        </w:rPr>
      </w:pPr>
      <w:r w:rsidRPr="00DA2621">
        <w:rPr>
          <w:rFonts w:asciiTheme="minorHAnsi" w:hAnsiTheme="minorHAnsi" w:cstheme="minorHAnsi"/>
          <w:sz w:val="22"/>
          <w:szCs w:val="22"/>
        </w:rPr>
        <w:t>meet with the woman to apologise for the distress the delays in accessing surgery caused, and for its failure to communicate with her</w:t>
      </w:r>
      <w:r>
        <w:rPr>
          <w:rFonts w:asciiTheme="minorHAnsi" w:hAnsiTheme="minorHAnsi" w:cstheme="minorHAnsi"/>
          <w:sz w:val="22"/>
          <w:szCs w:val="22"/>
        </w:rPr>
        <w:t>;</w:t>
      </w:r>
    </w:p>
    <w:p w:rsidR="000C640E" w:rsidRPr="00DA2621" w:rsidRDefault="000C640E" w:rsidP="000C640E">
      <w:pPr>
        <w:pStyle w:val="ListParagraph"/>
        <w:numPr>
          <w:ilvl w:val="0"/>
          <w:numId w:val="31"/>
        </w:numPr>
        <w:spacing w:after="240"/>
        <w:rPr>
          <w:rFonts w:asciiTheme="minorHAnsi" w:hAnsiTheme="minorHAnsi" w:cstheme="minorHAnsi"/>
          <w:sz w:val="22"/>
          <w:szCs w:val="22"/>
        </w:rPr>
      </w:pPr>
      <w:r w:rsidRPr="00DA2621">
        <w:rPr>
          <w:rFonts w:asciiTheme="minorHAnsi" w:hAnsiTheme="minorHAnsi" w:cstheme="minorHAnsi"/>
          <w:sz w:val="22"/>
          <w:szCs w:val="22"/>
        </w:rPr>
        <w:t>undertake an audit of the colorectal surgeon’s referral documentation;</w:t>
      </w:r>
    </w:p>
    <w:p w:rsidR="000C640E" w:rsidRPr="00DA2621" w:rsidRDefault="000C640E" w:rsidP="000C640E">
      <w:pPr>
        <w:pStyle w:val="ListParagraph"/>
        <w:numPr>
          <w:ilvl w:val="0"/>
          <w:numId w:val="31"/>
        </w:numPr>
        <w:spacing w:after="240"/>
        <w:rPr>
          <w:rFonts w:asciiTheme="minorHAnsi" w:hAnsiTheme="minorHAnsi" w:cstheme="minorHAnsi"/>
          <w:sz w:val="22"/>
          <w:szCs w:val="22"/>
        </w:rPr>
      </w:pPr>
      <w:r w:rsidRPr="00DA2621">
        <w:rPr>
          <w:rFonts w:asciiTheme="minorHAnsi" w:hAnsiTheme="minorHAnsi" w:cstheme="minorHAnsi"/>
          <w:sz w:val="22"/>
          <w:szCs w:val="22"/>
        </w:rPr>
        <w:t xml:space="preserve">undertake an audit of the Antenatal Clinic records to ensure that discharge summaries are completed and a copy sent to GPs when patients are transferred from secondary maternity care; </w:t>
      </w:r>
    </w:p>
    <w:p w:rsidR="000C640E" w:rsidRPr="00DA2621" w:rsidRDefault="000C640E" w:rsidP="000C640E">
      <w:pPr>
        <w:pStyle w:val="ListParagraph"/>
        <w:numPr>
          <w:ilvl w:val="0"/>
          <w:numId w:val="31"/>
        </w:numPr>
        <w:spacing w:after="240"/>
        <w:rPr>
          <w:rFonts w:asciiTheme="minorHAnsi" w:hAnsiTheme="minorHAnsi" w:cstheme="minorHAnsi"/>
          <w:sz w:val="22"/>
          <w:szCs w:val="22"/>
        </w:rPr>
      </w:pPr>
      <w:r w:rsidRPr="00DA2621">
        <w:rPr>
          <w:rFonts w:asciiTheme="minorHAnsi" w:hAnsiTheme="minorHAnsi" w:cstheme="minorHAnsi"/>
          <w:sz w:val="22"/>
          <w:szCs w:val="22"/>
        </w:rPr>
        <w:t>undertake an audit to ensure staff compliance with its updated referral protocol for patients requiring elective surgery;</w:t>
      </w:r>
      <w:r w:rsidR="002625DE">
        <w:rPr>
          <w:rFonts w:asciiTheme="minorHAnsi" w:hAnsiTheme="minorHAnsi" w:cstheme="minorHAnsi"/>
          <w:sz w:val="22"/>
          <w:szCs w:val="22"/>
        </w:rPr>
        <w:t xml:space="preserve"> </w:t>
      </w:r>
    </w:p>
    <w:p w:rsidR="000C640E" w:rsidRPr="00E6495B" w:rsidRDefault="000C640E" w:rsidP="000C640E">
      <w:pPr>
        <w:pStyle w:val="ListParagraph"/>
        <w:numPr>
          <w:ilvl w:val="0"/>
          <w:numId w:val="31"/>
        </w:numPr>
        <w:spacing w:after="240"/>
        <w:rPr>
          <w:rFonts w:asciiTheme="minorHAnsi" w:hAnsiTheme="minorHAnsi" w:cstheme="minorHAnsi"/>
          <w:sz w:val="22"/>
          <w:szCs w:val="22"/>
        </w:rPr>
      </w:pPr>
      <w:r w:rsidRPr="00DA2621">
        <w:rPr>
          <w:rFonts w:asciiTheme="minorHAnsi" w:hAnsiTheme="minorHAnsi" w:cstheme="minorHAnsi"/>
          <w:sz w:val="22"/>
          <w:szCs w:val="22"/>
        </w:rPr>
        <w:t>review the record-keeping processes within the customer services department with a view to improving processes to ensure enquiries are appropriately resolved within the accepted timeframe.</w:t>
      </w:r>
    </w:p>
    <w:p w:rsidR="00840A95" w:rsidRPr="00414465" w:rsidRDefault="00840A95" w:rsidP="00840A95">
      <w:pPr>
        <w:rPr>
          <w:lang w:val="en-AU" w:bidi="ar-SA"/>
        </w:rPr>
      </w:pPr>
    </w:p>
    <w:p w:rsidR="00840A95" w:rsidRPr="00414465" w:rsidRDefault="00840A95" w:rsidP="00840A95">
      <w:pPr>
        <w:rPr>
          <w:lang w:val="en-AU" w:bidi="ar-SA"/>
        </w:rPr>
      </w:pPr>
    </w:p>
    <w:p w:rsidR="00386A1C" w:rsidRPr="00414465" w:rsidRDefault="00386A1C">
      <w:pPr>
        <w:rPr>
          <w:rFonts w:asciiTheme="minorHAnsi" w:hAnsiTheme="minorHAnsi"/>
          <w:b/>
          <w:bCs/>
          <w:sz w:val="32"/>
          <w:szCs w:val="32"/>
          <w:lang w:val="en-AU" w:bidi="ar-SA"/>
        </w:rPr>
      </w:pPr>
    </w:p>
    <w:sectPr w:rsidR="00386A1C" w:rsidRPr="00414465" w:rsidSect="00E018C3">
      <w:footerReference w:type="default" r:id="rId13"/>
      <w:pgSz w:w="11906" w:h="16838" w:code="9"/>
      <w:pgMar w:top="1140" w:right="1412" w:bottom="851" w:left="1412" w:header="720" w:footer="59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32" w:rsidRDefault="00F02632">
      <w:r>
        <w:separator/>
      </w:r>
    </w:p>
  </w:endnote>
  <w:endnote w:type="continuationSeparator" w:id="0">
    <w:p w:rsidR="00F02632" w:rsidRDefault="00F02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F0" w:rsidRDefault="001726F0">
    <w:pPr>
      <w:pStyle w:val="Footer"/>
    </w:pPr>
  </w:p>
  <w:p w:rsidR="001726F0" w:rsidRDefault="00172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32" w:rsidRPr="0073317F" w:rsidRDefault="003D3BFD" w:rsidP="00842715">
    <w:pPr>
      <w:pStyle w:val="Footer"/>
      <w:jc w:val="left"/>
      <w:rPr>
        <w:rFonts w:asciiTheme="minorHAnsi" w:hAnsiTheme="minorHAnsi"/>
        <w:sz w:val="22"/>
        <w:szCs w:val="22"/>
      </w:rPr>
    </w:pPr>
    <w:r>
      <w:rPr>
        <w:rFonts w:asciiTheme="minorHAnsi" w:hAnsiTheme="minorHAnsi"/>
        <w:sz w:val="22"/>
        <w:szCs w:val="22"/>
      </w:rPr>
      <w:t>National</w:t>
    </w:r>
    <w:r w:rsidR="00F02632" w:rsidRPr="0073317F">
      <w:rPr>
        <w:rFonts w:asciiTheme="minorHAnsi" w:hAnsiTheme="minorHAnsi"/>
        <w:sz w:val="22"/>
        <w:szCs w:val="22"/>
      </w:rPr>
      <w:t xml:space="preserve"> Complaints Data July-Dec 2012</w:t>
    </w:r>
    <w:r w:rsidR="00F02632" w:rsidRPr="0073317F">
      <w:rPr>
        <w:rFonts w:asciiTheme="minorHAnsi" w:hAnsiTheme="minorHAnsi"/>
        <w:sz w:val="22"/>
        <w:szCs w:val="22"/>
      </w:rPr>
      <w:ptab w:relativeTo="margin" w:alignment="right" w:leader="none"/>
    </w:r>
    <w:r w:rsidR="00AC44C1" w:rsidRPr="0073317F">
      <w:rPr>
        <w:rFonts w:asciiTheme="minorHAnsi" w:hAnsiTheme="minorHAnsi"/>
        <w:sz w:val="22"/>
        <w:szCs w:val="22"/>
      </w:rPr>
      <w:fldChar w:fldCharType="begin"/>
    </w:r>
    <w:r w:rsidR="00F02632" w:rsidRPr="0073317F">
      <w:rPr>
        <w:rFonts w:asciiTheme="minorHAnsi" w:hAnsiTheme="minorHAnsi"/>
        <w:sz w:val="22"/>
        <w:szCs w:val="22"/>
      </w:rPr>
      <w:instrText xml:space="preserve"> PAGE   \* MERGEFORMAT </w:instrText>
    </w:r>
    <w:r w:rsidR="00AC44C1" w:rsidRPr="0073317F">
      <w:rPr>
        <w:rFonts w:asciiTheme="minorHAnsi" w:hAnsiTheme="minorHAnsi"/>
        <w:sz w:val="22"/>
        <w:szCs w:val="22"/>
      </w:rPr>
      <w:fldChar w:fldCharType="separate"/>
    </w:r>
    <w:r w:rsidR="00CF48C0">
      <w:rPr>
        <w:rFonts w:asciiTheme="minorHAnsi" w:hAnsiTheme="minorHAnsi"/>
        <w:noProof/>
        <w:sz w:val="22"/>
        <w:szCs w:val="22"/>
      </w:rPr>
      <w:t>14</w:t>
    </w:r>
    <w:r w:rsidR="00AC44C1" w:rsidRPr="0073317F">
      <w:rPr>
        <w:rFonts w:asciiTheme="minorHAnsi" w:hAnsiTheme="min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32" w:rsidRDefault="00F02632">
      <w:r>
        <w:separator/>
      </w:r>
    </w:p>
  </w:footnote>
  <w:footnote w:type="continuationSeparator" w:id="0">
    <w:p w:rsidR="00F02632" w:rsidRDefault="00F02632">
      <w:r>
        <w:continuationSeparator/>
      </w:r>
    </w:p>
  </w:footnote>
  <w:footnote w:id="1">
    <w:p w:rsidR="001726F0" w:rsidRPr="0005291C" w:rsidRDefault="001726F0" w:rsidP="001726F0">
      <w:pPr>
        <w:tabs>
          <w:tab w:val="left" w:pos="851"/>
          <w:tab w:val="decimal" w:pos="4320"/>
        </w:tabs>
        <w:jc w:val="left"/>
        <w:outlineLvl w:val="0"/>
        <w:rPr>
          <w:rFonts w:ascii="Calibri" w:hAnsi="Calibri"/>
          <w:sz w:val="18"/>
          <w:szCs w:val="18"/>
          <w:lang w:val="en-US"/>
        </w:rPr>
      </w:pPr>
      <w:r w:rsidRPr="00CA1A00">
        <w:rPr>
          <w:rStyle w:val="FootnoteReference"/>
          <w:sz w:val="20"/>
          <w:szCs w:val="20"/>
        </w:rPr>
        <w:footnoteRef/>
      </w:r>
      <w:r w:rsidRPr="00CA1A00">
        <w:rPr>
          <w:rStyle w:val="FootnoteReference"/>
          <w:sz w:val="20"/>
          <w:szCs w:val="20"/>
        </w:rPr>
        <w:t xml:space="preserve"> </w:t>
      </w:r>
      <w:r>
        <w:rPr>
          <w:rFonts w:ascii="Calibri" w:hAnsi="Calibri"/>
          <w:sz w:val="18"/>
          <w:szCs w:val="18"/>
          <w:lang w:val="en-US"/>
        </w:rPr>
        <w:t>D</w:t>
      </w:r>
      <w:r w:rsidRPr="0005291C">
        <w:rPr>
          <w:rFonts w:ascii="Calibri" w:hAnsi="Calibri"/>
          <w:sz w:val="18"/>
          <w:szCs w:val="18"/>
          <w:lang w:val="en-US"/>
        </w:rPr>
        <w:t>enote</w:t>
      </w:r>
      <w:r>
        <w:rPr>
          <w:rFonts w:ascii="Calibri" w:hAnsi="Calibri"/>
          <w:sz w:val="18"/>
          <w:szCs w:val="18"/>
          <w:lang w:val="en-US"/>
        </w:rPr>
        <w:t>s</w:t>
      </w:r>
      <w:r w:rsidRPr="0005291C">
        <w:rPr>
          <w:rFonts w:ascii="Calibri" w:hAnsi="Calibri"/>
          <w:sz w:val="18"/>
          <w:szCs w:val="18"/>
          <w:lang w:val="en-US"/>
        </w:rPr>
        <w:t xml:space="preserve"> care provided by any attending staff.</w:t>
      </w:r>
    </w:p>
  </w:footnote>
  <w:footnote w:id="2">
    <w:p w:rsidR="001726F0" w:rsidRPr="00254246" w:rsidRDefault="001726F0" w:rsidP="001726F0">
      <w:pPr>
        <w:tabs>
          <w:tab w:val="left" w:pos="851"/>
          <w:tab w:val="decimal" w:pos="4320"/>
        </w:tabs>
        <w:jc w:val="left"/>
        <w:outlineLvl w:val="0"/>
        <w:rPr>
          <w:rFonts w:ascii="Calibri" w:hAnsi="Calibri"/>
          <w:sz w:val="18"/>
          <w:szCs w:val="18"/>
          <w:lang w:val="en-US"/>
        </w:rPr>
      </w:pPr>
      <w:r w:rsidRPr="004E4F96">
        <w:rPr>
          <w:rStyle w:val="FootnoteReference"/>
          <w:sz w:val="20"/>
          <w:szCs w:val="20"/>
        </w:rPr>
        <w:footnoteRef/>
      </w:r>
      <w:r w:rsidRPr="004E4F96">
        <w:rPr>
          <w:rStyle w:val="FootnoteReference"/>
          <w:sz w:val="20"/>
          <w:szCs w:val="20"/>
        </w:rPr>
        <w:t xml:space="preserve"> </w:t>
      </w:r>
      <w:r w:rsidRPr="00254246">
        <w:rPr>
          <w:rFonts w:ascii="Calibri" w:hAnsi="Calibri"/>
          <w:sz w:val="18"/>
          <w:szCs w:val="18"/>
          <w:lang w:val="en-US"/>
        </w:rPr>
        <w:t>A complaint where several services are involved.</w:t>
      </w:r>
    </w:p>
  </w:footnote>
  <w:footnote w:id="3">
    <w:p w:rsidR="001726F0" w:rsidRPr="00254246" w:rsidRDefault="001726F0" w:rsidP="001726F0">
      <w:pPr>
        <w:tabs>
          <w:tab w:val="left" w:pos="851"/>
          <w:tab w:val="decimal" w:pos="4320"/>
        </w:tabs>
        <w:jc w:val="left"/>
        <w:outlineLvl w:val="0"/>
        <w:rPr>
          <w:rFonts w:ascii="Calibri" w:hAnsi="Calibri"/>
          <w:sz w:val="18"/>
          <w:szCs w:val="18"/>
          <w:lang w:val="en-US"/>
        </w:rPr>
      </w:pPr>
      <w:r w:rsidRPr="004E4F96">
        <w:rPr>
          <w:rStyle w:val="FootnoteReference"/>
          <w:sz w:val="20"/>
          <w:szCs w:val="20"/>
        </w:rPr>
        <w:footnoteRef/>
      </w:r>
      <w:r w:rsidRPr="004E4F96">
        <w:rPr>
          <w:rStyle w:val="FootnoteReference"/>
          <w:sz w:val="20"/>
          <w:szCs w:val="20"/>
        </w:rPr>
        <w:t xml:space="preserve"> </w:t>
      </w:r>
      <w:r>
        <w:rPr>
          <w:rFonts w:ascii="Calibri" w:hAnsi="Calibri"/>
          <w:sz w:val="18"/>
          <w:szCs w:val="18"/>
          <w:lang w:val="en-US"/>
        </w:rPr>
        <w:t>A complaint</w:t>
      </w:r>
      <w:r w:rsidRPr="001C020E">
        <w:rPr>
          <w:rFonts w:ascii="Calibri" w:hAnsi="Calibri"/>
          <w:sz w:val="18"/>
          <w:szCs w:val="18"/>
          <w:lang w:val="en-US"/>
        </w:rPr>
        <w:t xml:space="preserve"> about the overall level of care, where no individual practitioners are specifically mentioned, or practitioners are mentioned in a general way.</w:t>
      </w:r>
    </w:p>
  </w:footnote>
  <w:footnote w:id="4">
    <w:p w:rsidR="001726F0" w:rsidRDefault="001726F0" w:rsidP="001726F0">
      <w:pPr>
        <w:tabs>
          <w:tab w:val="left" w:pos="851"/>
          <w:tab w:val="decimal" w:pos="4320"/>
        </w:tabs>
        <w:jc w:val="left"/>
        <w:outlineLvl w:val="0"/>
      </w:pPr>
      <w:r w:rsidRPr="004E4F96">
        <w:rPr>
          <w:rStyle w:val="FootnoteReference"/>
          <w:sz w:val="20"/>
          <w:szCs w:val="20"/>
        </w:rPr>
        <w:footnoteRef/>
      </w:r>
      <w:r w:rsidRPr="004E4F96">
        <w:rPr>
          <w:rStyle w:val="FootnoteReference"/>
          <w:sz w:val="20"/>
          <w:szCs w:val="20"/>
        </w:rPr>
        <w:t xml:space="preserve"> </w:t>
      </w:r>
      <w:r>
        <w:rPr>
          <w:rFonts w:ascii="Calibri" w:hAnsi="Calibri"/>
          <w:sz w:val="18"/>
          <w:szCs w:val="18"/>
          <w:lang w:val="en-US"/>
        </w:rPr>
        <w:t>A</w:t>
      </w:r>
      <w:r w:rsidRPr="001C020E">
        <w:rPr>
          <w:rFonts w:ascii="Calibri" w:hAnsi="Calibri"/>
          <w:sz w:val="18"/>
          <w:szCs w:val="18"/>
          <w:lang w:val="en-US"/>
        </w:rPr>
        <w:t xml:space="preserve"> complaint where a specific senior clinician has been named in the complaint.</w:t>
      </w:r>
    </w:p>
  </w:footnote>
  <w:footnote w:id="5">
    <w:p w:rsidR="001726F0" w:rsidRDefault="001726F0" w:rsidP="001726F0">
      <w:pPr>
        <w:pStyle w:val="FootnoteText"/>
      </w:pPr>
      <w:r>
        <w:rPr>
          <w:rStyle w:val="FootnoteReference"/>
        </w:rPr>
        <w:footnoteRef/>
      </w:r>
      <w:r>
        <w:t xml:space="preserve"> </w:t>
      </w:r>
      <w:r>
        <w:rPr>
          <w:rFonts w:ascii="Calibri" w:hAnsi="Calibri"/>
          <w:sz w:val="18"/>
          <w:szCs w:val="22"/>
        </w:rPr>
        <w:t>T</w:t>
      </w:r>
      <w:r w:rsidRPr="00375AEC">
        <w:rPr>
          <w:rFonts w:ascii="Calibri" w:hAnsi="Calibri"/>
          <w:sz w:val="18"/>
          <w:szCs w:val="22"/>
        </w:rPr>
        <w:t xml:space="preserve">he number of total discharges excludes </w:t>
      </w:r>
      <w:r w:rsidRPr="00375AEC">
        <w:rPr>
          <w:rFonts w:ascii="Calibri" w:hAnsi="Calibri" w:cs="Calibri"/>
          <w:sz w:val="18"/>
          <w:szCs w:val="22"/>
          <w:lang w:val="en-US"/>
        </w:rPr>
        <w:t>short</w:t>
      </w:r>
      <w:r w:rsidRPr="00375AEC">
        <w:rPr>
          <w:rFonts w:ascii="Calibri" w:hAnsi="Calibri"/>
          <w:sz w:val="18"/>
          <w:szCs w:val="22"/>
        </w:rPr>
        <w:t xml:space="preserve"> stay emergency department discharges, and patients attending outpatient units and clinics.</w:t>
      </w:r>
    </w:p>
  </w:footnote>
  <w:footnote w:id="6">
    <w:p w:rsidR="001726F0" w:rsidRDefault="001726F0" w:rsidP="001726F0">
      <w:pPr>
        <w:pStyle w:val="FootnoteText"/>
      </w:pPr>
      <w:r>
        <w:rPr>
          <w:rStyle w:val="FootnoteReference"/>
        </w:rPr>
        <w:footnoteRef/>
      </w:r>
      <w:r>
        <w:t xml:space="preserve"> </w:t>
      </w:r>
      <w:r>
        <w:rPr>
          <w:rFonts w:ascii="Calibri" w:hAnsi="Calibri"/>
          <w:sz w:val="18"/>
          <w:szCs w:val="18"/>
          <w:lang w:eastAsia="en-NZ" w:bidi="ar-SA"/>
        </w:rPr>
        <w:t>The r</w:t>
      </w:r>
      <w:r w:rsidRPr="00414465">
        <w:rPr>
          <w:rFonts w:ascii="Calibri" w:hAnsi="Calibri"/>
          <w:sz w:val="18"/>
          <w:szCs w:val="18"/>
          <w:lang w:eastAsia="en-NZ" w:bidi="ar-SA"/>
        </w:rPr>
        <w:t xml:space="preserve">ate for Jan-Jun </w:t>
      </w:r>
      <w:r>
        <w:rPr>
          <w:rFonts w:ascii="Calibri" w:hAnsi="Calibri"/>
          <w:sz w:val="18"/>
          <w:szCs w:val="18"/>
          <w:lang w:eastAsia="en-NZ" w:bidi="ar-SA"/>
        </w:rPr>
        <w:t>20</w:t>
      </w:r>
      <w:r w:rsidRPr="00414465">
        <w:rPr>
          <w:rFonts w:ascii="Calibri" w:hAnsi="Calibri"/>
          <w:sz w:val="18"/>
          <w:szCs w:val="18"/>
          <w:lang w:eastAsia="en-NZ" w:bidi="ar-SA"/>
        </w:rPr>
        <w:t>12 has been recalculated based on the most recent discharge data</w:t>
      </w:r>
      <w:r>
        <w:rPr>
          <w:rFonts w:ascii="Calibri" w:hAnsi="Calibri"/>
          <w:sz w:val="18"/>
          <w:szCs w:val="18"/>
          <w:lang w:eastAsia="en-NZ" w:bidi="ar-SA"/>
        </w:rPr>
        <w:t>.</w:t>
      </w:r>
    </w:p>
  </w:footnote>
  <w:footnote w:id="7">
    <w:p w:rsidR="001726F0" w:rsidRDefault="001726F0" w:rsidP="001726F0">
      <w:pPr>
        <w:widowControl w:val="0"/>
        <w:tabs>
          <w:tab w:val="left" w:pos="743"/>
          <w:tab w:val="decimal" w:pos="4320"/>
        </w:tabs>
        <w:outlineLvl w:val="0"/>
      </w:pPr>
      <w:r w:rsidRPr="000B791B">
        <w:rPr>
          <w:rStyle w:val="FootnoteReference"/>
          <w:sz w:val="20"/>
          <w:szCs w:val="20"/>
        </w:rPr>
        <w:footnoteRef/>
      </w:r>
      <w:r w:rsidRPr="000B791B">
        <w:rPr>
          <w:sz w:val="20"/>
          <w:szCs w:val="20"/>
        </w:rPr>
        <w:t xml:space="preserve"> </w:t>
      </w:r>
      <w:r w:rsidRPr="00C65190">
        <w:rPr>
          <w:rFonts w:ascii="Calibri" w:hAnsi="Calibri"/>
          <w:sz w:val="18"/>
          <w:szCs w:val="18"/>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the District Inspector).</w:t>
      </w:r>
    </w:p>
  </w:footnote>
  <w:footnote w:id="8">
    <w:p w:rsidR="001726F0" w:rsidRDefault="001726F0" w:rsidP="001726F0">
      <w:pPr>
        <w:pStyle w:val="FootnoteText"/>
      </w:pPr>
      <w:r>
        <w:rPr>
          <w:rStyle w:val="FootnoteReference"/>
        </w:rPr>
        <w:footnoteRef/>
      </w:r>
      <w:r>
        <w:t xml:space="preserve"> </w:t>
      </w:r>
      <w:r w:rsidRPr="003B2341">
        <w:rPr>
          <w:rFonts w:ascii="Calibri" w:hAnsi="Calibri"/>
          <w:sz w:val="18"/>
          <w:szCs w:val="18"/>
          <w:lang w:val="en-US"/>
        </w:rPr>
        <w:t>See previous footnote.</w:t>
      </w:r>
    </w:p>
  </w:footnote>
  <w:footnote w:id="9">
    <w:p w:rsidR="001726F0" w:rsidRPr="00C65190" w:rsidRDefault="001726F0" w:rsidP="001726F0">
      <w:pPr>
        <w:widowControl w:val="0"/>
        <w:tabs>
          <w:tab w:val="left" w:pos="743"/>
          <w:tab w:val="decimal" w:pos="4320"/>
        </w:tabs>
        <w:outlineLvl w:val="0"/>
        <w:rPr>
          <w:rFonts w:ascii="Calibri" w:hAnsi="Calibri"/>
          <w:sz w:val="18"/>
          <w:szCs w:val="18"/>
          <w:lang w:val="en-US"/>
        </w:rPr>
      </w:pPr>
      <w:r w:rsidRPr="000B791B">
        <w:rPr>
          <w:rStyle w:val="FootnoteReference"/>
          <w:sz w:val="20"/>
          <w:szCs w:val="20"/>
        </w:rPr>
        <w:footnoteRef/>
      </w:r>
      <w:r>
        <w:t xml:space="preserve"> </w:t>
      </w:r>
      <w:r w:rsidRPr="00C65190">
        <w:rPr>
          <w:rFonts w:ascii="Calibri" w:hAnsi="Calibri"/>
          <w:sz w:val="18"/>
          <w:szCs w:val="18"/>
          <w:lang w:val="en-US"/>
        </w:rPr>
        <w:t>In line with their responsibilities under the Code, DHBs have increasingly developed good systems to address complaints in a timely and appropriate way. It is often appropriate for HDC to refer a complaint to the provider to resolve, with a requirement that the provider report back to HDC on the outcome of its handling of the complaint.</w:t>
      </w:r>
    </w:p>
  </w:footnote>
  <w:footnote w:id="10">
    <w:p w:rsidR="001726F0" w:rsidRDefault="001726F0" w:rsidP="001726F0">
      <w:pPr>
        <w:pStyle w:val="FootnoteText"/>
      </w:pPr>
      <w:r>
        <w:rPr>
          <w:rStyle w:val="FootnoteReference"/>
        </w:rPr>
        <w:footnoteRef/>
      </w:r>
      <w:r>
        <w:t xml:space="preserve"> </w:t>
      </w:r>
      <w:r w:rsidRPr="00587018">
        <w:rPr>
          <w:sz w:val="18"/>
          <w:szCs w:val="18"/>
        </w:rPr>
        <w:t>The rate for Jan-Jun 12 has been recalculated based on the most recent discharge data.</w:t>
      </w:r>
    </w:p>
  </w:footnote>
  <w:footnote w:id="11">
    <w:p w:rsidR="001726F0" w:rsidRDefault="001726F0" w:rsidP="001726F0">
      <w:pPr>
        <w:pStyle w:val="FootnoteText"/>
      </w:pPr>
      <w:r>
        <w:rPr>
          <w:rStyle w:val="FootnoteReference"/>
        </w:rPr>
        <w:footnoteRef/>
      </w:r>
      <w:r>
        <w:t xml:space="preserve"> </w:t>
      </w:r>
      <w:r w:rsidRPr="001E5667">
        <w:rPr>
          <w:rFonts w:asciiTheme="minorHAnsi" w:hAnsiTheme="minorHAnsi"/>
          <w:lang w:val="en-US"/>
        </w:rPr>
        <w:t>Individual DHBs have not been named in this report given the small sample size and the short period covered (six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F33"/>
    <w:multiLevelType w:val="hybridMultilevel"/>
    <w:tmpl w:val="DBD05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8961EC3"/>
    <w:multiLevelType w:val="hybridMultilevel"/>
    <w:tmpl w:val="3328E29A"/>
    <w:lvl w:ilvl="0" w:tplc="C2025824">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ED140D"/>
    <w:multiLevelType w:val="hybridMultilevel"/>
    <w:tmpl w:val="F8766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7E24F4"/>
    <w:multiLevelType w:val="hybridMultilevel"/>
    <w:tmpl w:val="9ADA48E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4">
    <w:nsid w:val="0B4F78D5"/>
    <w:multiLevelType w:val="hybridMultilevel"/>
    <w:tmpl w:val="932A4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B5E36FF"/>
    <w:multiLevelType w:val="hybridMultilevel"/>
    <w:tmpl w:val="531A9E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2BF5CBE"/>
    <w:multiLevelType w:val="hybridMultilevel"/>
    <w:tmpl w:val="690679B8"/>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nsid w:val="195A366F"/>
    <w:multiLevelType w:val="hybridMultilevel"/>
    <w:tmpl w:val="05D63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072BF6"/>
    <w:multiLevelType w:val="hybridMultilevel"/>
    <w:tmpl w:val="6CD4810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9">
    <w:nsid w:val="24963F78"/>
    <w:multiLevelType w:val="hybridMultilevel"/>
    <w:tmpl w:val="FA7857DA"/>
    <w:lvl w:ilvl="0" w:tplc="76E0F704">
      <w:start w:val="1"/>
      <w:numFmt w:val="decimal"/>
      <w:lvlText w:val="%1."/>
      <w:lvlJc w:val="left"/>
      <w:pPr>
        <w:ind w:left="1670" w:hanging="360"/>
      </w:pPr>
      <w:rPr>
        <w:rFonts w:hint="default"/>
      </w:rPr>
    </w:lvl>
    <w:lvl w:ilvl="1" w:tplc="14090019" w:tentative="1">
      <w:start w:val="1"/>
      <w:numFmt w:val="lowerLetter"/>
      <w:lvlText w:val="%2."/>
      <w:lvlJc w:val="left"/>
      <w:pPr>
        <w:ind w:left="2390" w:hanging="360"/>
      </w:pPr>
    </w:lvl>
    <w:lvl w:ilvl="2" w:tplc="1409001B" w:tentative="1">
      <w:start w:val="1"/>
      <w:numFmt w:val="lowerRoman"/>
      <w:lvlText w:val="%3."/>
      <w:lvlJc w:val="right"/>
      <w:pPr>
        <w:ind w:left="3110" w:hanging="180"/>
      </w:pPr>
    </w:lvl>
    <w:lvl w:ilvl="3" w:tplc="1409000F" w:tentative="1">
      <w:start w:val="1"/>
      <w:numFmt w:val="decimal"/>
      <w:lvlText w:val="%4."/>
      <w:lvlJc w:val="left"/>
      <w:pPr>
        <w:ind w:left="3830" w:hanging="360"/>
      </w:pPr>
    </w:lvl>
    <w:lvl w:ilvl="4" w:tplc="14090019" w:tentative="1">
      <w:start w:val="1"/>
      <w:numFmt w:val="lowerLetter"/>
      <w:lvlText w:val="%5."/>
      <w:lvlJc w:val="left"/>
      <w:pPr>
        <w:ind w:left="4550" w:hanging="360"/>
      </w:pPr>
    </w:lvl>
    <w:lvl w:ilvl="5" w:tplc="1409001B" w:tentative="1">
      <w:start w:val="1"/>
      <w:numFmt w:val="lowerRoman"/>
      <w:lvlText w:val="%6."/>
      <w:lvlJc w:val="right"/>
      <w:pPr>
        <w:ind w:left="5270" w:hanging="180"/>
      </w:pPr>
    </w:lvl>
    <w:lvl w:ilvl="6" w:tplc="1409000F" w:tentative="1">
      <w:start w:val="1"/>
      <w:numFmt w:val="decimal"/>
      <w:lvlText w:val="%7."/>
      <w:lvlJc w:val="left"/>
      <w:pPr>
        <w:ind w:left="5990" w:hanging="360"/>
      </w:pPr>
    </w:lvl>
    <w:lvl w:ilvl="7" w:tplc="14090019" w:tentative="1">
      <w:start w:val="1"/>
      <w:numFmt w:val="lowerLetter"/>
      <w:lvlText w:val="%8."/>
      <w:lvlJc w:val="left"/>
      <w:pPr>
        <w:ind w:left="6710" w:hanging="360"/>
      </w:pPr>
    </w:lvl>
    <w:lvl w:ilvl="8" w:tplc="1409001B" w:tentative="1">
      <w:start w:val="1"/>
      <w:numFmt w:val="lowerRoman"/>
      <w:lvlText w:val="%9."/>
      <w:lvlJc w:val="right"/>
      <w:pPr>
        <w:ind w:left="7430" w:hanging="180"/>
      </w:pPr>
    </w:lvl>
  </w:abstractNum>
  <w:abstractNum w:abstractNumId="10">
    <w:nsid w:val="2923686E"/>
    <w:multiLevelType w:val="hybridMultilevel"/>
    <w:tmpl w:val="A25E6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2511DD7"/>
    <w:multiLevelType w:val="hybridMultilevel"/>
    <w:tmpl w:val="BA980B86"/>
    <w:lvl w:ilvl="0" w:tplc="1409000F">
      <w:start w:val="1"/>
      <w:numFmt w:val="decimal"/>
      <w:lvlText w:val="%1."/>
      <w:lvlJc w:val="left"/>
      <w:pPr>
        <w:ind w:left="928"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364F43A5"/>
    <w:multiLevelType w:val="hybridMultilevel"/>
    <w:tmpl w:val="AA8C722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3">
    <w:nsid w:val="3A7F4D9A"/>
    <w:multiLevelType w:val="hybridMultilevel"/>
    <w:tmpl w:val="BA980B86"/>
    <w:lvl w:ilvl="0" w:tplc="1409000F">
      <w:start w:val="1"/>
      <w:numFmt w:val="decimal"/>
      <w:lvlText w:val="%1."/>
      <w:lvlJc w:val="left"/>
      <w:pPr>
        <w:ind w:left="107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3D773ED9"/>
    <w:multiLevelType w:val="hybridMultilevel"/>
    <w:tmpl w:val="BA980B86"/>
    <w:lvl w:ilvl="0" w:tplc="1409000F">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nsid w:val="3E4654C9"/>
    <w:multiLevelType w:val="hybridMultilevel"/>
    <w:tmpl w:val="E528A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17C6441"/>
    <w:multiLevelType w:val="hybridMultilevel"/>
    <w:tmpl w:val="DF568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7DC7E06"/>
    <w:multiLevelType w:val="hybridMultilevel"/>
    <w:tmpl w:val="1AD4B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A432593"/>
    <w:multiLevelType w:val="hybridMultilevel"/>
    <w:tmpl w:val="70200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EBA04AF"/>
    <w:multiLevelType w:val="hybridMultilevel"/>
    <w:tmpl w:val="BDE46388"/>
    <w:lvl w:ilvl="0" w:tplc="14090001">
      <w:start w:val="1"/>
      <w:numFmt w:val="bullet"/>
      <w:lvlText w:val=""/>
      <w:lvlJc w:val="left"/>
      <w:pPr>
        <w:ind w:left="765"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0">
    <w:nsid w:val="510B6AA0"/>
    <w:multiLevelType w:val="hybridMultilevel"/>
    <w:tmpl w:val="92B21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BCC65FF"/>
    <w:multiLevelType w:val="hybridMultilevel"/>
    <w:tmpl w:val="274293E6"/>
    <w:lvl w:ilvl="0" w:tplc="26608964">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2">
    <w:nsid w:val="5F9220B8"/>
    <w:multiLevelType w:val="hybridMultilevel"/>
    <w:tmpl w:val="ED5A1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BA55523"/>
    <w:multiLevelType w:val="hybridMultilevel"/>
    <w:tmpl w:val="BC6AAD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2E87EE7"/>
    <w:multiLevelType w:val="hybridMultilevel"/>
    <w:tmpl w:val="7A20B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6206DA7"/>
    <w:multiLevelType w:val="hybridMultilevel"/>
    <w:tmpl w:val="02D2AAE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6">
    <w:nsid w:val="7B5706E9"/>
    <w:multiLevelType w:val="hybridMultilevel"/>
    <w:tmpl w:val="74C2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6C3F84"/>
    <w:multiLevelType w:val="hybridMultilevel"/>
    <w:tmpl w:val="D0909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F286F20"/>
    <w:multiLevelType w:val="hybridMultilevel"/>
    <w:tmpl w:val="C84A6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21"/>
  </w:num>
  <w:num w:numId="5">
    <w:abstractNumId w:val="28"/>
  </w:num>
  <w:num w:numId="6">
    <w:abstractNumId w:val="3"/>
  </w:num>
  <w:num w:numId="7">
    <w:abstractNumId w:val="12"/>
  </w:num>
  <w:num w:numId="8">
    <w:abstractNumId w:val="27"/>
  </w:num>
  <w:num w:numId="9">
    <w:abstractNumId w:val="16"/>
  </w:num>
  <w:num w:numId="10">
    <w:abstractNumId w:val="1"/>
  </w:num>
  <w:num w:numId="11">
    <w:abstractNumId w:val="0"/>
  </w:num>
  <w:num w:numId="12">
    <w:abstractNumId w:val="18"/>
  </w:num>
  <w:num w:numId="13">
    <w:abstractNumId w:val="10"/>
  </w:num>
  <w:num w:numId="14">
    <w:abstractNumId w:val="14"/>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11"/>
  </w:num>
  <w:num w:numId="26">
    <w:abstractNumId w:val="24"/>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
  </w:num>
  <w:num w:numId="30">
    <w:abstractNumId w:val="20"/>
  </w:num>
  <w:num w:numId="3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701"/>
  <w:doNotTrackMoves/>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rsids>
    <w:rsidRoot w:val="0069365D"/>
    <w:rsid w:val="00000A82"/>
    <w:rsid w:val="00001003"/>
    <w:rsid w:val="00001A40"/>
    <w:rsid w:val="00001B1B"/>
    <w:rsid w:val="000028E8"/>
    <w:rsid w:val="00002A84"/>
    <w:rsid w:val="00002CEE"/>
    <w:rsid w:val="00002E9F"/>
    <w:rsid w:val="00003B75"/>
    <w:rsid w:val="0000444B"/>
    <w:rsid w:val="000046C5"/>
    <w:rsid w:val="00004B3B"/>
    <w:rsid w:val="00004E0F"/>
    <w:rsid w:val="000051A4"/>
    <w:rsid w:val="0000669A"/>
    <w:rsid w:val="000067BD"/>
    <w:rsid w:val="00006FCF"/>
    <w:rsid w:val="00007796"/>
    <w:rsid w:val="00010FC7"/>
    <w:rsid w:val="00011224"/>
    <w:rsid w:val="00011494"/>
    <w:rsid w:val="000115BC"/>
    <w:rsid w:val="00011652"/>
    <w:rsid w:val="00011D83"/>
    <w:rsid w:val="000123F2"/>
    <w:rsid w:val="0001264B"/>
    <w:rsid w:val="000141AA"/>
    <w:rsid w:val="00014AD9"/>
    <w:rsid w:val="00015EBA"/>
    <w:rsid w:val="0001684E"/>
    <w:rsid w:val="0001744A"/>
    <w:rsid w:val="00017A8D"/>
    <w:rsid w:val="0002017E"/>
    <w:rsid w:val="00021738"/>
    <w:rsid w:val="00021856"/>
    <w:rsid w:val="00022E0E"/>
    <w:rsid w:val="000235FB"/>
    <w:rsid w:val="000238FD"/>
    <w:rsid w:val="00023A56"/>
    <w:rsid w:val="000246A5"/>
    <w:rsid w:val="000249EA"/>
    <w:rsid w:val="000249F1"/>
    <w:rsid w:val="00025272"/>
    <w:rsid w:val="00025BCA"/>
    <w:rsid w:val="0002626E"/>
    <w:rsid w:val="000265B8"/>
    <w:rsid w:val="00026948"/>
    <w:rsid w:val="00027A68"/>
    <w:rsid w:val="00030722"/>
    <w:rsid w:val="000308B4"/>
    <w:rsid w:val="0003102D"/>
    <w:rsid w:val="000311DA"/>
    <w:rsid w:val="0003129A"/>
    <w:rsid w:val="00031901"/>
    <w:rsid w:val="00031D61"/>
    <w:rsid w:val="00032776"/>
    <w:rsid w:val="000337C0"/>
    <w:rsid w:val="00034D18"/>
    <w:rsid w:val="0003538F"/>
    <w:rsid w:val="0003645A"/>
    <w:rsid w:val="000367C1"/>
    <w:rsid w:val="00036995"/>
    <w:rsid w:val="00036CB3"/>
    <w:rsid w:val="00036E3A"/>
    <w:rsid w:val="0003725E"/>
    <w:rsid w:val="000373A9"/>
    <w:rsid w:val="00040C12"/>
    <w:rsid w:val="00041359"/>
    <w:rsid w:val="00041FFF"/>
    <w:rsid w:val="00042551"/>
    <w:rsid w:val="00042B9A"/>
    <w:rsid w:val="000462E4"/>
    <w:rsid w:val="0004631F"/>
    <w:rsid w:val="00046900"/>
    <w:rsid w:val="00046FD4"/>
    <w:rsid w:val="00047495"/>
    <w:rsid w:val="0005026E"/>
    <w:rsid w:val="000503B2"/>
    <w:rsid w:val="00050671"/>
    <w:rsid w:val="00050A60"/>
    <w:rsid w:val="00050B16"/>
    <w:rsid w:val="000518B0"/>
    <w:rsid w:val="00051E67"/>
    <w:rsid w:val="0005266C"/>
    <w:rsid w:val="0005291C"/>
    <w:rsid w:val="0005294D"/>
    <w:rsid w:val="000536A0"/>
    <w:rsid w:val="00053DC7"/>
    <w:rsid w:val="00053F6F"/>
    <w:rsid w:val="00054615"/>
    <w:rsid w:val="00055EB0"/>
    <w:rsid w:val="00056044"/>
    <w:rsid w:val="000568F3"/>
    <w:rsid w:val="00056E5B"/>
    <w:rsid w:val="0006032A"/>
    <w:rsid w:val="0006162E"/>
    <w:rsid w:val="0006183D"/>
    <w:rsid w:val="0006295C"/>
    <w:rsid w:val="00062ED8"/>
    <w:rsid w:val="00062F28"/>
    <w:rsid w:val="00062F34"/>
    <w:rsid w:val="0006349C"/>
    <w:rsid w:val="0006353B"/>
    <w:rsid w:val="000635A1"/>
    <w:rsid w:val="0006531A"/>
    <w:rsid w:val="0006553E"/>
    <w:rsid w:val="000668B9"/>
    <w:rsid w:val="00066B64"/>
    <w:rsid w:val="000677CD"/>
    <w:rsid w:val="00067BB8"/>
    <w:rsid w:val="00070776"/>
    <w:rsid w:val="00071171"/>
    <w:rsid w:val="00072A8C"/>
    <w:rsid w:val="000730B6"/>
    <w:rsid w:val="00073557"/>
    <w:rsid w:val="0007467F"/>
    <w:rsid w:val="00074772"/>
    <w:rsid w:val="00074D9E"/>
    <w:rsid w:val="00075D76"/>
    <w:rsid w:val="00076965"/>
    <w:rsid w:val="00076CD6"/>
    <w:rsid w:val="0007714A"/>
    <w:rsid w:val="00077FA0"/>
    <w:rsid w:val="00080564"/>
    <w:rsid w:val="0008104A"/>
    <w:rsid w:val="00082D18"/>
    <w:rsid w:val="00084421"/>
    <w:rsid w:val="00084F39"/>
    <w:rsid w:val="000854AE"/>
    <w:rsid w:val="000855C3"/>
    <w:rsid w:val="00085D73"/>
    <w:rsid w:val="00086010"/>
    <w:rsid w:val="00086FE8"/>
    <w:rsid w:val="00090868"/>
    <w:rsid w:val="00090A30"/>
    <w:rsid w:val="00091C97"/>
    <w:rsid w:val="00092313"/>
    <w:rsid w:val="0009255E"/>
    <w:rsid w:val="0009284C"/>
    <w:rsid w:val="0009557D"/>
    <w:rsid w:val="0009576A"/>
    <w:rsid w:val="00095820"/>
    <w:rsid w:val="00095BEA"/>
    <w:rsid w:val="000965D1"/>
    <w:rsid w:val="00096A29"/>
    <w:rsid w:val="000972DA"/>
    <w:rsid w:val="00097461"/>
    <w:rsid w:val="00097866"/>
    <w:rsid w:val="00097989"/>
    <w:rsid w:val="00097A0C"/>
    <w:rsid w:val="000A0DE1"/>
    <w:rsid w:val="000A1A8B"/>
    <w:rsid w:val="000A1BEC"/>
    <w:rsid w:val="000A2018"/>
    <w:rsid w:val="000A29A6"/>
    <w:rsid w:val="000A4738"/>
    <w:rsid w:val="000A5B4C"/>
    <w:rsid w:val="000A5D8F"/>
    <w:rsid w:val="000A67C1"/>
    <w:rsid w:val="000A72CC"/>
    <w:rsid w:val="000B0789"/>
    <w:rsid w:val="000B07E5"/>
    <w:rsid w:val="000B0A4D"/>
    <w:rsid w:val="000B0B46"/>
    <w:rsid w:val="000B158B"/>
    <w:rsid w:val="000B34CD"/>
    <w:rsid w:val="000B3A1D"/>
    <w:rsid w:val="000B44DD"/>
    <w:rsid w:val="000B485A"/>
    <w:rsid w:val="000B49EA"/>
    <w:rsid w:val="000B52C6"/>
    <w:rsid w:val="000B5334"/>
    <w:rsid w:val="000B5936"/>
    <w:rsid w:val="000B676C"/>
    <w:rsid w:val="000B6EB6"/>
    <w:rsid w:val="000B74C7"/>
    <w:rsid w:val="000B7877"/>
    <w:rsid w:val="000B791B"/>
    <w:rsid w:val="000C006A"/>
    <w:rsid w:val="000C0577"/>
    <w:rsid w:val="000C126F"/>
    <w:rsid w:val="000C2361"/>
    <w:rsid w:val="000C26FB"/>
    <w:rsid w:val="000C3DFD"/>
    <w:rsid w:val="000C4397"/>
    <w:rsid w:val="000C491C"/>
    <w:rsid w:val="000C4FB8"/>
    <w:rsid w:val="000C52E4"/>
    <w:rsid w:val="000C5545"/>
    <w:rsid w:val="000C5760"/>
    <w:rsid w:val="000C5962"/>
    <w:rsid w:val="000C5B56"/>
    <w:rsid w:val="000C6337"/>
    <w:rsid w:val="000C640E"/>
    <w:rsid w:val="000C7B78"/>
    <w:rsid w:val="000D01D7"/>
    <w:rsid w:val="000D092E"/>
    <w:rsid w:val="000D0D19"/>
    <w:rsid w:val="000D1E68"/>
    <w:rsid w:val="000D21AD"/>
    <w:rsid w:val="000D256D"/>
    <w:rsid w:val="000D29B8"/>
    <w:rsid w:val="000D2D59"/>
    <w:rsid w:val="000D336E"/>
    <w:rsid w:val="000D488E"/>
    <w:rsid w:val="000D49F9"/>
    <w:rsid w:val="000D4DFF"/>
    <w:rsid w:val="000D52E0"/>
    <w:rsid w:val="000D5354"/>
    <w:rsid w:val="000D6FC7"/>
    <w:rsid w:val="000D751E"/>
    <w:rsid w:val="000D77DE"/>
    <w:rsid w:val="000D7F2F"/>
    <w:rsid w:val="000E07E3"/>
    <w:rsid w:val="000E13C5"/>
    <w:rsid w:val="000E1FC0"/>
    <w:rsid w:val="000E25C2"/>
    <w:rsid w:val="000E2BBD"/>
    <w:rsid w:val="000E319C"/>
    <w:rsid w:val="000E38CB"/>
    <w:rsid w:val="000E38F2"/>
    <w:rsid w:val="000E3DE3"/>
    <w:rsid w:val="000E4C6B"/>
    <w:rsid w:val="000E51B5"/>
    <w:rsid w:val="000E555C"/>
    <w:rsid w:val="000E5C41"/>
    <w:rsid w:val="000E6BA4"/>
    <w:rsid w:val="000F01E3"/>
    <w:rsid w:val="000F05AC"/>
    <w:rsid w:val="000F0D2E"/>
    <w:rsid w:val="000F12AB"/>
    <w:rsid w:val="000F17F7"/>
    <w:rsid w:val="000F1DD9"/>
    <w:rsid w:val="000F3150"/>
    <w:rsid w:val="000F3414"/>
    <w:rsid w:val="000F3AAA"/>
    <w:rsid w:val="000F4210"/>
    <w:rsid w:val="000F42C7"/>
    <w:rsid w:val="000F4CF4"/>
    <w:rsid w:val="000F54BC"/>
    <w:rsid w:val="000F5704"/>
    <w:rsid w:val="000F6025"/>
    <w:rsid w:val="000F7F2F"/>
    <w:rsid w:val="00100F66"/>
    <w:rsid w:val="001011A9"/>
    <w:rsid w:val="001015C7"/>
    <w:rsid w:val="0010168B"/>
    <w:rsid w:val="00101CE2"/>
    <w:rsid w:val="0010356A"/>
    <w:rsid w:val="001037C9"/>
    <w:rsid w:val="001040AD"/>
    <w:rsid w:val="00104F8F"/>
    <w:rsid w:val="00104FD6"/>
    <w:rsid w:val="00106047"/>
    <w:rsid w:val="00106141"/>
    <w:rsid w:val="00106795"/>
    <w:rsid w:val="00106E60"/>
    <w:rsid w:val="0010744D"/>
    <w:rsid w:val="00107938"/>
    <w:rsid w:val="001101F1"/>
    <w:rsid w:val="00110D91"/>
    <w:rsid w:val="00111166"/>
    <w:rsid w:val="001116D9"/>
    <w:rsid w:val="00111996"/>
    <w:rsid w:val="00111ACC"/>
    <w:rsid w:val="00112820"/>
    <w:rsid w:val="001130B0"/>
    <w:rsid w:val="0011440E"/>
    <w:rsid w:val="00114785"/>
    <w:rsid w:val="00114786"/>
    <w:rsid w:val="00114B9F"/>
    <w:rsid w:val="00114D38"/>
    <w:rsid w:val="00116458"/>
    <w:rsid w:val="0011685F"/>
    <w:rsid w:val="00117499"/>
    <w:rsid w:val="001200E4"/>
    <w:rsid w:val="001206F6"/>
    <w:rsid w:val="00120701"/>
    <w:rsid w:val="00120DA7"/>
    <w:rsid w:val="00121484"/>
    <w:rsid w:val="00121BB7"/>
    <w:rsid w:val="00122DED"/>
    <w:rsid w:val="00123813"/>
    <w:rsid w:val="001255A9"/>
    <w:rsid w:val="00125F07"/>
    <w:rsid w:val="001263AF"/>
    <w:rsid w:val="001263C5"/>
    <w:rsid w:val="001267F0"/>
    <w:rsid w:val="00126B97"/>
    <w:rsid w:val="001271FC"/>
    <w:rsid w:val="001276D8"/>
    <w:rsid w:val="00130084"/>
    <w:rsid w:val="001304B4"/>
    <w:rsid w:val="00130520"/>
    <w:rsid w:val="00130FFF"/>
    <w:rsid w:val="00131166"/>
    <w:rsid w:val="00132771"/>
    <w:rsid w:val="00132CF1"/>
    <w:rsid w:val="0013333B"/>
    <w:rsid w:val="0013353F"/>
    <w:rsid w:val="001336A6"/>
    <w:rsid w:val="00134696"/>
    <w:rsid w:val="00134D86"/>
    <w:rsid w:val="001357E0"/>
    <w:rsid w:val="0013645D"/>
    <w:rsid w:val="00136A1E"/>
    <w:rsid w:val="00136A29"/>
    <w:rsid w:val="00137337"/>
    <w:rsid w:val="00140097"/>
    <w:rsid w:val="00140227"/>
    <w:rsid w:val="00140552"/>
    <w:rsid w:val="001406B2"/>
    <w:rsid w:val="00140C5F"/>
    <w:rsid w:val="00141A3E"/>
    <w:rsid w:val="0014219E"/>
    <w:rsid w:val="00142B87"/>
    <w:rsid w:val="00143519"/>
    <w:rsid w:val="00143995"/>
    <w:rsid w:val="00144A82"/>
    <w:rsid w:val="00144BD4"/>
    <w:rsid w:val="00145A13"/>
    <w:rsid w:val="001474C0"/>
    <w:rsid w:val="00147682"/>
    <w:rsid w:val="00147838"/>
    <w:rsid w:val="001502A6"/>
    <w:rsid w:val="00150BCE"/>
    <w:rsid w:val="00150C83"/>
    <w:rsid w:val="0015145C"/>
    <w:rsid w:val="001517F7"/>
    <w:rsid w:val="00152132"/>
    <w:rsid w:val="00152208"/>
    <w:rsid w:val="00153061"/>
    <w:rsid w:val="001538B0"/>
    <w:rsid w:val="0015418F"/>
    <w:rsid w:val="0015491B"/>
    <w:rsid w:val="00154AF7"/>
    <w:rsid w:val="00154E0A"/>
    <w:rsid w:val="001553DD"/>
    <w:rsid w:val="00156266"/>
    <w:rsid w:val="00156A3C"/>
    <w:rsid w:val="0015767A"/>
    <w:rsid w:val="001578C6"/>
    <w:rsid w:val="00157EAC"/>
    <w:rsid w:val="001600CC"/>
    <w:rsid w:val="001605FB"/>
    <w:rsid w:val="0016089A"/>
    <w:rsid w:val="00160CC3"/>
    <w:rsid w:val="001610B0"/>
    <w:rsid w:val="00161927"/>
    <w:rsid w:val="00162500"/>
    <w:rsid w:val="00163E95"/>
    <w:rsid w:val="00164814"/>
    <w:rsid w:val="00164949"/>
    <w:rsid w:val="00164E82"/>
    <w:rsid w:val="00164F39"/>
    <w:rsid w:val="00165248"/>
    <w:rsid w:val="001655EC"/>
    <w:rsid w:val="001666B1"/>
    <w:rsid w:val="0016695D"/>
    <w:rsid w:val="00166960"/>
    <w:rsid w:val="001670A5"/>
    <w:rsid w:val="00167438"/>
    <w:rsid w:val="00167457"/>
    <w:rsid w:val="00167F01"/>
    <w:rsid w:val="00170892"/>
    <w:rsid w:val="001710C2"/>
    <w:rsid w:val="001711B9"/>
    <w:rsid w:val="001714F4"/>
    <w:rsid w:val="00171583"/>
    <w:rsid w:val="0017181E"/>
    <w:rsid w:val="00171E9D"/>
    <w:rsid w:val="00171FAE"/>
    <w:rsid w:val="001726F0"/>
    <w:rsid w:val="0017286B"/>
    <w:rsid w:val="00172BF4"/>
    <w:rsid w:val="00173610"/>
    <w:rsid w:val="00173629"/>
    <w:rsid w:val="0017369A"/>
    <w:rsid w:val="00173977"/>
    <w:rsid w:val="001745A6"/>
    <w:rsid w:val="00174824"/>
    <w:rsid w:val="00174C99"/>
    <w:rsid w:val="00175995"/>
    <w:rsid w:val="00175F97"/>
    <w:rsid w:val="001760F5"/>
    <w:rsid w:val="00177169"/>
    <w:rsid w:val="0017720A"/>
    <w:rsid w:val="0017731F"/>
    <w:rsid w:val="001777A8"/>
    <w:rsid w:val="00177F79"/>
    <w:rsid w:val="00180329"/>
    <w:rsid w:val="00180D7A"/>
    <w:rsid w:val="0018108A"/>
    <w:rsid w:val="001818F9"/>
    <w:rsid w:val="001819A2"/>
    <w:rsid w:val="00182513"/>
    <w:rsid w:val="001830D3"/>
    <w:rsid w:val="001831B5"/>
    <w:rsid w:val="00184C29"/>
    <w:rsid w:val="00184D78"/>
    <w:rsid w:val="00185152"/>
    <w:rsid w:val="0018518D"/>
    <w:rsid w:val="001856C9"/>
    <w:rsid w:val="001858CB"/>
    <w:rsid w:val="001859E0"/>
    <w:rsid w:val="00185F65"/>
    <w:rsid w:val="001860D6"/>
    <w:rsid w:val="00186D73"/>
    <w:rsid w:val="00187B74"/>
    <w:rsid w:val="00187BD6"/>
    <w:rsid w:val="00190977"/>
    <w:rsid w:val="00190DD5"/>
    <w:rsid w:val="001918F2"/>
    <w:rsid w:val="00191F5B"/>
    <w:rsid w:val="001934BD"/>
    <w:rsid w:val="00193DAA"/>
    <w:rsid w:val="00195032"/>
    <w:rsid w:val="00196699"/>
    <w:rsid w:val="001966A0"/>
    <w:rsid w:val="00197534"/>
    <w:rsid w:val="00197757"/>
    <w:rsid w:val="00197C11"/>
    <w:rsid w:val="001A028F"/>
    <w:rsid w:val="001A0625"/>
    <w:rsid w:val="001A1478"/>
    <w:rsid w:val="001A1EE7"/>
    <w:rsid w:val="001A2BB2"/>
    <w:rsid w:val="001A2EA9"/>
    <w:rsid w:val="001A3101"/>
    <w:rsid w:val="001A32AF"/>
    <w:rsid w:val="001A3BBE"/>
    <w:rsid w:val="001A3F75"/>
    <w:rsid w:val="001A3FC8"/>
    <w:rsid w:val="001A45B3"/>
    <w:rsid w:val="001A4DC3"/>
    <w:rsid w:val="001A5238"/>
    <w:rsid w:val="001A5C58"/>
    <w:rsid w:val="001A64E6"/>
    <w:rsid w:val="001A6932"/>
    <w:rsid w:val="001A6B49"/>
    <w:rsid w:val="001A6D56"/>
    <w:rsid w:val="001A77EC"/>
    <w:rsid w:val="001A78CB"/>
    <w:rsid w:val="001B0A9C"/>
    <w:rsid w:val="001B0D91"/>
    <w:rsid w:val="001B0FE7"/>
    <w:rsid w:val="001B1DEF"/>
    <w:rsid w:val="001B365E"/>
    <w:rsid w:val="001B3ED3"/>
    <w:rsid w:val="001B3FE9"/>
    <w:rsid w:val="001B4135"/>
    <w:rsid w:val="001B418F"/>
    <w:rsid w:val="001B475A"/>
    <w:rsid w:val="001B5424"/>
    <w:rsid w:val="001B5440"/>
    <w:rsid w:val="001B633C"/>
    <w:rsid w:val="001B66F5"/>
    <w:rsid w:val="001B6B74"/>
    <w:rsid w:val="001B7AA3"/>
    <w:rsid w:val="001B7D57"/>
    <w:rsid w:val="001C05E0"/>
    <w:rsid w:val="001C0ABF"/>
    <w:rsid w:val="001C0CA6"/>
    <w:rsid w:val="001C1976"/>
    <w:rsid w:val="001C1C1E"/>
    <w:rsid w:val="001C1DFA"/>
    <w:rsid w:val="001C211F"/>
    <w:rsid w:val="001C2397"/>
    <w:rsid w:val="001C2515"/>
    <w:rsid w:val="001C2686"/>
    <w:rsid w:val="001C2AB2"/>
    <w:rsid w:val="001C2DE8"/>
    <w:rsid w:val="001C3395"/>
    <w:rsid w:val="001C3637"/>
    <w:rsid w:val="001C3D12"/>
    <w:rsid w:val="001C3ECE"/>
    <w:rsid w:val="001C4482"/>
    <w:rsid w:val="001C4DE1"/>
    <w:rsid w:val="001C4FEF"/>
    <w:rsid w:val="001C57C2"/>
    <w:rsid w:val="001C5A07"/>
    <w:rsid w:val="001C6D27"/>
    <w:rsid w:val="001C73CD"/>
    <w:rsid w:val="001C7B56"/>
    <w:rsid w:val="001C7BDC"/>
    <w:rsid w:val="001D1591"/>
    <w:rsid w:val="001D36E4"/>
    <w:rsid w:val="001D5334"/>
    <w:rsid w:val="001D63BB"/>
    <w:rsid w:val="001D683E"/>
    <w:rsid w:val="001D6DCB"/>
    <w:rsid w:val="001D6E8A"/>
    <w:rsid w:val="001D7735"/>
    <w:rsid w:val="001D7BED"/>
    <w:rsid w:val="001E0020"/>
    <w:rsid w:val="001E012B"/>
    <w:rsid w:val="001E0373"/>
    <w:rsid w:val="001E0F97"/>
    <w:rsid w:val="001E119E"/>
    <w:rsid w:val="001E2282"/>
    <w:rsid w:val="001E25D7"/>
    <w:rsid w:val="001E26F5"/>
    <w:rsid w:val="001E2E5B"/>
    <w:rsid w:val="001E33AC"/>
    <w:rsid w:val="001E3879"/>
    <w:rsid w:val="001E4BFC"/>
    <w:rsid w:val="001E5667"/>
    <w:rsid w:val="001E5E29"/>
    <w:rsid w:val="001E6314"/>
    <w:rsid w:val="001E6451"/>
    <w:rsid w:val="001E68C7"/>
    <w:rsid w:val="001E73B5"/>
    <w:rsid w:val="001F039F"/>
    <w:rsid w:val="001F0402"/>
    <w:rsid w:val="001F1078"/>
    <w:rsid w:val="001F1188"/>
    <w:rsid w:val="001F1475"/>
    <w:rsid w:val="001F1515"/>
    <w:rsid w:val="001F16A6"/>
    <w:rsid w:val="001F18F2"/>
    <w:rsid w:val="001F1EBE"/>
    <w:rsid w:val="001F1EF3"/>
    <w:rsid w:val="001F2505"/>
    <w:rsid w:val="001F2AEC"/>
    <w:rsid w:val="001F2CF7"/>
    <w:rsid w:val="001F4B5F"/>
    <w:rsid w:val="001F52CE"/>
    <w:rsid w:val="001F656E"/>
    <w:rsid w:val="001F6EB5"/>
    <w:rsid w:val="001F771A"/>
    <w:rsid w:val="00200817"/>
    <w:rsid w:val="002018EA"/>
    <w:rsid w:val="00202B2D"/>
    <w:rsid w:val="00203196"/>
    <w:rsid w:val="002037BC"/>
    <w:rsid w:val="002038A8"/>
    <w:rsid w:val="00203F98"/>
    <w:rsid w:val="00203FDA"/>
    <w:rsid w:val="00204301"/>
    <w:rsid w:val="002044FF"/>
    <w:rsid w:val="00204CFE"/>
    <w:rsid w:val="0020507A"/>
    <w:rsid w:val="00205DED"/>
    <w:rsid w:val="0020626C"/>
    <w:rsid w:val="002064F0"/>
    <w:rsid w:val="002066FF"/>
    <w:rsid w:val="00206D8C"/>
    <w:rsid w:val="00207D55"/>
    <w:rsid w:val="00210491"/>
    <w:rsid w:val="00210AF8"/>
    <w:rsid w:val="00211CF1"/>
    <w:rsid w:val="002131B7"/>
    <w:rsid w:val="0021391D"/>
    <w:rsid w:val="00213DD2"/>
    <w:rsid w:val="002146BD"/>
    <w:rsid w:val="00214AB1"/>
    <w:rsid w:val="00214D30"/>
    <w:rsid w:val="00214D5F"/>
    <w:rsid w:val="0021517C"/>
    <w:rsid w:val="00215346"/>
    <w:rsid w:val="0021575E"/>
    <w:rsid w:val="002158C4"/>
    <w:rsid w:val="00215C7E"/>
    <w:rsid w:val="00215CB9"/>
    <w:rsid w:val="0021635B"/>
    <w:rsid w:val="00216B81"/>
    <w:rsid w:val="00216EA3"/>
    <w:rsid w:val="002172C4"/>
    <w:rsid w:val="00217458"/>
    <w:rsid w:val="002200ED"/>
    <w:rsid w:val="00220531"/>
    <w:rsid w:val="0022096F"/>
    <w:rsid w:val="0022181A"/>
    <w:rsid w:val="00222CC1"/>
    <w:rsid w:val="00222F69"/>
    <w:rsid w:val="002239B3"/>
    <w:rsid w:val="00224375"/>
    <w:rsid w:val="00224EA3"/>
    <w:rsid w:val="0022673F"/>
    <w:rsid w:val="00226E4E"/>
    <w:rsid w:val="00226FCE"/>
    <w:rsid w:val="00227376"/>
    <w:rsid w:val="00227446"/>
    <w:rsid w:val="00230769"/>
    <w:rsid w:val="0023189A"/>
    <w:rsid w:val="00231A6A"/>
    <w:rsid w:val="00231A8C"/>
    <w:rsid w:val="00232144"/>
    <w:rsid w:val="002329D2"/>
    <w:rsid w:val="0023342F"/>
    <w:rsid w:val="0023365E"/>
    <w:rsid w:val="00234148"/>
    <w:rsid w:val="002341DC"/>
    <w:rsid w:val="00234497"/>
    <w:rsid w:val="002344B3"/>
    <w:rsid w:val="002358C2"/>
    <w:rsid w:val="00235945"/>
    <w:rsid w:val="00235C87"/>
    <w:rsid w:val="00236E86"/>
    <w:rsid w:val="00236F57"/>
    <w:rsid w:val="0024039E"/>
    <w:rsid w:val="00241170"/>
    <w:rsid w:val="00241765"/>
    <w:rsid w:val="0024178D"/>
    <w:rsid w:val="00241CC6"/>
    <w:rsid w:val="00242A42"/>
    <w:rsid w:val="00242F2E"/>
    <w:rsid w:val="00243045"/>
    <w:rsid w:val="0024331D"/>
    <w:rsid w:val="00243913"/>
    <w:rsid w:val="0024406B"/>
    <w:rsid w:val="002449F1"/>
    <w:rsid w:val="00244A07"/>
    <w:rsid w:val="00244EF5"/>
    <w:rsid w:val="00245666"/>
    <w:rsid w:val="00245F2E"/>
    <w:rsid w:val="0024615D"/>
    <w:rsid w:val="00246839"/>
    <w:rsid w:val="002476FD"/>
    <w:rsid w:val="0024788E"/>
    <w:rsid w:val="0025151D"/>
    <w:rsid w:val="0025161C"/>
    <w:rsid w:val="002517E7"/>
    <w:rsid w:val="00251F28"/>
    <w:rsid w:val="00252669"/>
    <w:rsid w:val="00252FEC"/>
    <w:rsid w:val="00253711"/>
    <w:rsid w:val="00254201"/>
    <w:rsid w:val="00254246"/>
    <w:rsid w:val="002547B4"/>
    <w:rsid w:val="0025497D"/>
    <w:rsid w:val="002549A0"/>
    <w:rsid w:val="002551D5"/>
    <w:rsid w:val="00255572"/>
    <w:rsid w:val="00255573"/>
    <w:rsid w:val="002560F1"/>
    <w:rsid w:val="0025679A"/>
    <w:rsid w:val="002567AC"/>
    <w:rsid w:val="00256E32"/>
    <w:rsid w:val="00257784"/>
    <w:rsid w:val="00257C76"/>
    <w:rsid w:val="002602FF"/>
    <w:rsid w:val="00260DF3"/>
    <w:rsid w:val="00261F1E"/>
    <w:rsid w:val="002625DE"/>
    <w:rsid w:val="00262D3D"/>
    <w:rsid w:val="00264074"/>
    <w:rsid w:val="00264935"/>
    <w:rsid w:val="002656A1"/>
    <w:rsid w:val="00265817"/>
    <w:rsid w:val="00265E4F"/>
    <w:rsid w:val="00270091"/>
    <w:rsid w:val="002700C1"/>
    <w:rsid w:val="002707BF"/>
    <w:rsid w:val="0027097B"/>
    <w:rsid w:val="00271C4E"/>
    <w:rsid w:val="002727CA"/>
    <w:rsid w:val="00272A35"/>
    <w:rsid w:val="002734BC"/>
    <w:rsid w:val="0027370D"/>
    <w:rsid w:val="00273ADE"/>
    <w:rsid w:val="00273C1B"/>
    <w:rsid w:val="00273E23"/>
    <w:rsid w:val="00275CCB"/>
    <w:rsid w:val="002760BD"/>
    <w:rsid w:val="00276CBB"/>
    <w:rsid w:val="00276DA4"/>
    <w:rsid w:val="002772BE"/>
    <w:rsid w:val="00280087"/>
    <w:rsid w:val="002804EE"/>
    <w:rsid w:val="00280DB1"/>
    <w:rsid w:val="00280F32"/>
    <w:rsid w:val="0028192D"/>
    <w:rsid w:val="0028236D"/>
    <w:rsid w:val="0028270D"/>
    <w:rsid w:val="00282B19"/>
    <w:rsid w:val="00283086"/>
    <w:rsid w:val="0028358E"/>
    <w:rsid w:val="00284185"/>
    <w:rsid w:val="00286175"/>
    <w:rsid w:val="002861AC"/>
    <w:rsid w:val="00286AC2"/>
    <w:rsid w:val="00286B68"/>
    <w:rsid w:val="00287727"/>
    <w:rsid w:val="00290B10"/>
    <w:rsid w:val="00290BC4"/>
    <w:rsid w:val="00290F96"/>
    <w:rsid w:val="002927C9"/>
    <w:rsid w:val="002934D2"/>
    <w:rsid w:val="00293CBE"/>
    <w:rsid w:val="00294609"/>
    <w:rsid w:val="00294A32"/>
    <w:rsid w:val="00294B19"/>
    <w:rsid w:val="00295BDD"/>
    <w:rsid w:val="00296A57"/>
    <w:rsid w:val="0029749A"/>
    <w:rsid w:val="002A0644"/>
    <w:rsid w:val="002A11BC"/>
    <w:rsid w:val="002A13DD"/>
    <w:rsid w:val="002A20B1"/>
    <w:rsid w:val="002A23AF"/>
    <w:rsid w:val="002A2D82"/>
    <w:rsid w:val="002A3F0F"/>
    <w:rsid w:val="002A3F6C"/>
    <w:rsid w:val="002A42E2"/>
    <w:rsid w:val="002A471B"/>
    <w:rsid w:val="002A48A7"/>
    <w:rsid w:val="002A4BAF"/>
    <w:rsid w:val="002A4FF1"/>
    <w:rsid w:val="002A50E7"/>
    <w:rsid w:val="002A5C1E"/>
    <w:rsid w:val="002A5D94"/>
    <w:rsid w:val="002A5E14"/>
    <w:rsid w:val="002A6816"/>
    <w:rsid w:val="002A70B4"/>
    <w:rsid w:val="002B0A90"/>
    <w:rsid w:val="002B1034"/>
    <w:rsid w:val="002B2105"/>
    <w:rsid w:val="002B2ADC"/>
    <w:rsid w:val="002B2B90"/>
    <w:rsid w:val="002B2F40"/>
    <w:rsid w:val="002B4124"/>
    <w:rsid w:val="002B4966"/>
    <w:rsid w:val="002B4D86"/>
    <w:rsid w:val="002B4E1D"/>
    <w:rsid w:val="002B5222"/>
    <w:rsid w:val="002B55C6"/>
    <w:rsid w:val="002B5F20"/>
    <w:rsid w:val="002B6450"/>
    <w:rsid w:val="002B646C"/>
    <w:rsid w:val="002C0826"/>
    <w:rsid w:val="002C1EE4"/>
    <w:rsid w:val="002C1F16"/>
    <w:rsid w:val="002C42D2"/>
    <w:rsid w:val="002C4AD7"/>
    <w:rsid w:val="002C58E1"/>
    <w:rsid w:val="002C649E"/>
    <w:rsid w:val="002C7170"/>
    <w:rsid w:val="002C768A"/>
    <w:rsid w:val="002C7A50"/>
    <w:rsid w:val="002C7DAF"/>
    <w:rsid w:val="002C7EAC"/>
    <w:rsid w:val="002D0430"/>
    <w:rsid w:val="002D117B"/>
    <w:rsid w:val="002D1BB5"/>
    <w:rsid w:val="002D1D38"/>
    <w:rsid w:val="002D29EB"/>
    <w:rsid w:val="002D2E7F"/>
    <w:rsid w:val="002D32A2"/>
    <w:rsid w:val="002D3B76"/>
    <w:rsid w:val="002D4E4F"/>
    <w:rsid w:val="002D5507"/>
    <w:rsid w:val="002D5621"/>
    <w:rsid w:val="002D5729"/>
    <w:rsid w:val="002D6C5A"/>
    <w:rsid w:val="002D6F63"/>
    <w:rsid w:val="002D7113"/>
    <w:rsid w:val="002D75EA"/>
    <w:rsid w:val="002D78B8"/>
    <w:rsid w:val="002E07E4"/>
    <w:rsid w:val="002E2073"/>
    <w:rsid w:val="002E2153"/>
    <w:rsid w:val="002E26C9"/>
    <w:rsid w:val="002E2B6D"/>
    <w:rsid w:val="002E2C0A"/>
    <w:rsid w:val="002E3E73"/>
    <w:rsid w:val="002E5252"/>
    <w:rsid w:val="002E5437"/>
    <w:rsid w:val="002E594D"/>
    <w:rsid w:val="002E59FE"/>
    <w:rsid w:val="002E5D15"/>
    <w:rsid w:val="002F01EA"/>
    <w:rsid w:val="002F0780"/>
    <w:rsid w:val="002F1602"/>
    <w:rsid w:val="002F1E79"/>
    <w:rsid w:val="002F2658"/>
    <w:rsid w:val="002F26E5"/>
    <w:rsid w:val="002F2751"/>
    <w:rsid w:val="002F2A7E"/>
    <w:rsid w:val="002F2C4E"/>
    <w:rsid w:val="002F32A7"/>
    <w:rsid w:val="002F37FA"/>
    <w:rsid w:val="002F3863"/>
    <w:rsid w:val="002F3FD5"/>
    <w:rsid w:val="002F5AD2"/>
    <w:rsid w:val="002F6379"/>
    <w:rsid w:val="002F7318"/>
    <w:rsid w:val="002F7F51"/>
    <w:rsid w:val="00301402"/>
    <w:rsid w:val="00301F19"/>
    <w:rsid w:val="003028CA"/>
    <w:rsid w:val="00302EA9"/>
    <w:rsid w:val="003031BE"/>
    <w:rsid w:val="003033A8"/>
    <w:rsid w:val="00303DDD"/>
    <w:rsid w:val="00303FA0"/>
    <w:rsid w:val="00304FE4"/>
    <w:rsid w:val="00305007"/>
    <w:rsid w:val="003051E2"/>
    <w:rsid w:val="00305C5C"/>
    <w:rsid w:val="003064E1"/>
    <w:rsid w:val="003066E5"/>
    <w:rsid w:val="00306823"/>
    <w:rsid w:val="00306C7B"/>
    <w:rsid w:val="00310000"/>
    <w:rsid w:val="003118ED"/>
    <w:rsid w:val="00311FE3"/>
    <w:rsid w:val="00312F29"/>
    <w:rsid w:val="00313449"/>
    <w:rsid w:val="0031366F"/>
    <w:rsid w:val="0031389B"/>
    <w:rsid w:val="00313FE9"/>
    <w:rsid w:val="003146A7"/>
    <w:rsid w:val="00315127"/>
    <w:rsid w:val="00316068"/>
    <w:rsid w:val="00316CDF"/>
    <w:rsid w:val="00321303"/>
    <w:rsid w:val="0032174D"/>
    <w:rsid w:val="003218E2"/>
    <w:rsid w:val="00321B9E"/>
    <w:rsid w:val="00321D16"/>
    <w:rsid w:val="00321E89"/>
    <w:rsid w:val="003221FA"/>
    <w:rsid w:val="0032223F"/>
    <w:rsid w:val="003223F6"/>
    <w:rsid w:val="003227DD"/>
    <w:rsid w:val="00322836"/>
    <w:rsid w:val="00322AAE"/>
    <w:rsid w:val="00322DF3"/>
    <w:rsid w:val="003230CD"/>
    <w:rsid w:val="00323DB3"/>
    <w:rsid w:val="0032451D"/>
    <w:rsid w:val="0032456C"/>
    <w:rsid w:val="00324821"/>
    <w:rsid w:val="00324889"/>
    <w:rsid w:val="00324EFE"/>
    <w:rsid w:val="00325806"/>
    <w:rsid w:val="00326464"/>
    <w:rsid w:val="00326589"/>
    <w:rsid w:val="003265BC"/>
    <w:rsid w:val="00326A06"/>
    <w:rsid w:val="00326AF2"/>
    <w:rsid w:val="00326D37"/>
    <w:rsid w:val="00326E25"/>
    <w:rsid w:val="00327907"/>
    <w:rsid w:val="00330332"/>
    <w:rsid w:val="0033193A"/>
    <w:rsid w:val="0033377D"/>
    <w:rsid w:val="00333962"/>
    <w:rsid w:val="00334269"/>
    <w:rsid w:val="0033498F"/>
    <w:rsid w:val="00334E00"/>
    <w:rsid w:val="00334E25"/>
    <w:rsid w:val="003352E7"/>
    <w:rsid w:val="003357BA"/>
    <w:rsid w:val="00335A29"/>
    <w:rsid w:val="00335F75"/>
    <w:rsid w:val="00337132"/>
    <w:rsid w:val="00337367"/>
    <w:rsid w:val="0034107C"/>
    <w:rsid w:val="003421B4"/>
    <w:rsid w:val="00342FEC"/>
    <w:rsid w:val="003439AE"/>
    <w:rsid w:val="00343AD5"/>
    <w:rsid w:val="003441EC"/>
    <w:rsid w:val="00344459"/>
    <w:rsid w:val="003445D3"/>
    <w:rsid w:val="003452CB"/>
    <w:rsid w:val="0034602A"/>
    <w:rsid w:val="003460A6"/>
    <w:rsid w:val="003465BE"/>
    <w:rsid w:val="00346C00"/>
    <w:rsid w:val="00346D18"/>
    <w:rsid w:val="00347825"/>
    <w:rsid w:val="00347D33"/>
    <w:rsid w:val="0035089F"/>
    <w:rsid w:val="003509C9"/>
    <w:rsid w:val="00350FFD"/>
    <w:rsid w:val="00351234"/>
    <w:rsid w:val="00351447"/>
    <w:rsid w:val="003514F5"/>
    <w:rsid w:val="0035192E"/>
    <w:rsid w:val="00354164"/>
    <w:rsid w:val="00354541"/>
    <w:rsid w:val="00354676"/>
    <w:rsid w:val="00354AFE"/>
    <w:rsid w:val="003563A7"/>
    <w:rsid w:val="00356585"/>
    <w:rsid w:val="00356E93"/>
    <w:rsid w:val="0035706D"/>
    <w:rsid w:val="00360228"/>
    <w:rsid w:val="00360EF9"/>
    <w:rsid w:val="00361869"/>
    <w:rsid w:val="00362199"/>
    <w:rsid w:val="003630FB"/>
    <w:rsid w:val="00364CAE"/>
    <w:rsid w:val="00364CC4"/>
    <w:rsid w:val="003651FD"/>
    <w:rsid w:val="00365457"/>
    <w:rsid w:val="0036569E"/>
    <w:rsid w:val="00366F8E"/>
    <w:rsid w:val="0036711F"/>
    <w:rsid w:val="00367568"/>
    <w:rsid w:val="00367E8C"/>
    <w:rsid w:val="00370559"/>
    <w:rsid w:val="00371BD5"/>
    <w:rsid w:val="0037260B"/>
    <w:rsid w:val="0037260D"/>
    <w:rsid w:val="00372745"/>
    <w:rsid w:val="00372F57"/>
    <w:rsid w:val="00372F8E"/>
    <w:rsid w:val="00372F9E"/>
    <w:rsid w:val="003730A4"/>
    <w:rsid w:val="00373157"/>
    <w:rsid w:val="00374084"/>
    <w:rsid w:val="003744BB"/>
    <w:rsid w:val="00374EE5"/>
    <w:rsid w:val="00375715"/>
    <w:rsid w:val="00375AEC"/>
    <w:rsid w:val="00375FEA"/>
    <w:rsid w:val="003760B6"/>
    <w:rsid w:val="00376F06"/>
    <w:rsid w:val="003779F4"/>
    <w:rsid w:val="00377D5E"/>
    <w:rsid w:val="00380B83"/>
    <w:rsid w:val="00381AFB"/>
    <w:rsid w:val="00381B73"/>
    <w:rsid w:val="00381E85"/>
    <w:rsid w:val="00382257"/>
    <w:rsid w:val="00383B33"/>
    <w:rsid w:val="003842B9"/>
    <w:rsid w:val="003850C9"/>
    <w:rsid w:val="003855D0"/>
    <w:rsid w:val="003856A9"/>
    <w:rsid w:val="003868CB"/>
    <w:rsid w:val="00386A1C"/>
    <w:rsid w:val="003870D5"/>
    <w:rsid w:val="003873A2"/>
    <w:rsid w:val="0039052B"/>
    <w:rsid w:val="00390572"/>
    <w:rsid w:val="00390835"/>
    <w:rsid w:val="0039086F"/>
    <w:rsid w:val="00391821"/>
    <w:rsid w:val="00391A1C"/>
    <w:rsid w:val="003924AA"/>
    <w:rsid w:val="00392B70"/>
    <w:rsid w:val="00392FEB"/>
    <w:rsid w:val="00393148"/>
    <w:rsid w:val="003932C6"/>
    <w:rsid w:val="0039342E"/>
    <w:rsid w:val="00393F4D"/>
    <w:rsid w:val="00394375"/>
    <w:rsid w:val="0039454F"/>
    <w:rsid w:val="00394821"/>
    <w:rsid w:val="00395CFE"/>
    <w:rsid w:val="00396071"/>
    <w:rsid w:val="00396205"/>
    <w:rsid w:val="00396C28"/>
    <w:rsid w:val="00396E50"/>
    <w:rsid w:val="00397D02"/>
    <w:rsid w:val="003A0587"/>
    <w:rsid w:val="003A0FB8"/>
    <w:rsid w:val="003A1207"/>
    <w:rsid w:val="003A18D0"/>
    <w:rsid w:val="003A1CF2"/>
    <w:rsid w:val="003A34A8"/>
    <w:rsid w:val="003A3A01"/>
    <w:rsid w:val="003A4D9B"/>
    <w:rsid w:val="003A56C3"/>
    <w:rsid w:val="003A62E8"/>
    <w:rsid w:val="003A6328"/>
    <w:rsid w:val="003A66DC"/>
    <w:rsid w:val="003A6E41"/>
    <w:rsid w:val="003A74B8"/>
    <w:rsid w:val="003A775D"/>
    <w:rsid w:val="003A79DC"/>
    <w:rsid w:val="003A7C6C"/>
    <w:rsid w:val="003B0391"/>
    <w:rsid w:val="003B0876"/>
    <w:rsid w:val="003B0C3E"/>
    <w:rsid w:val="003B0F93"/>
    <w:rsid w:val="003B12F4"/>
    <w:rsid w:val="003B1642"/>
    <w:rsid w:val="003B2341"/>
    <w:rsid w:val="003B279D"/>
    <w:rsid w:val="003B2E28"/>
    <w:rsid w:val="003B36C0"/>
    <w:rsid w:val="003B4127"/>
    <w:rsid w:val="003B41E5"/>
    <w:rsid w:val="003B463E"/>
    <w:rsid w:val="003B4B1D"/>
    <w:rsid w:val="003B4B6D"/>
    <w:rsid w:val="003B4D67"/>
    <w:rsid w:val="003B51B2"/>
    <w:rsid w:val="003B666B"/>
    <w:rsid w:val="003B70B0"/>
    <w:rsid w:val="003B79B6"/>
    <w:rsid w:val="003C011C"/>
    <w:rsid w:val="003C131F"/>
    <w:rsid w:val="003C1BB2"/>
    <w:rsid w:val="003C2274"/>
    <w:rsid w:val="003C2990"/>
    <w:rsid w:val="003C300A"/>
    <w:rsid w:val="003C32B6"/>
    <w:rsid w:val="003C3A5A"/>
    <w:rsid w:val="003C3DDF"/>
    <w:rsid w:val="003C3E56"/>
    <w:rsid w:val="003C3EC9"/>
    <w:rsid w:val="003C4296"/>
    <w:rsid w:val="003C476E"/>
    <w:rsid w:val="003C610F"/>
    <w:rsid w:val="003C6D38"/>
    <w:rsid w:val="003C6DA9"/>
    <w:rsid w:val="003C743E"/>
    <w:rsid w:val="003C748C"/>
    <w:rsid w:val="003C75F5"/>
    <w:rsid w:val="003C798E"/>
    <w:rsid w:val="003C7A96"/>
    <w:rsid w:val="003D011D"/>
    <w:rsid w:val="003D17D6"/>
    <w:rsid w:val="003D19BE"/>
    <w:rsid w:val="003D1C3E"/>
    <w:rsid w:val="003D1DF4"/>
    <w:rsid w:val="003D1E8B"/>
    <w:rsid w:val="003D2A90"/>
    <w:rsid w:val="003D3580"/>
    <w:rsid w:val="003D37B2"/>
    <w:rsid w:val="003D3BFD"/>
    <w:rsid w:val="003D47FB"/>
    <w:rsid w:val="003D5461"/>
    <w:rsid w:val="003D5627"/>
    <w:rsid w:val="003D6458"/>
    <w:rsid w:val="003D6704"/>
    <w:rsid w:val="003D701C"/>
    <w:rsid w:val="003D7058"/>
    <w:rsid w:val="003D7B04"/>
    <w:rsid w:val="003D7EA3"/>
    <w:rsid w:val="003E0C53"/>
    <w:rsid w:val="003E11BB"/>
    <w:rsid w:val="003E288F"/>
    <w:rsid w:val="003E3963"/>
    <w:rsid w:val="003E4A4D"/>
    <w:rsid w:val="003E4E15"/>
    <w:rsid w:val="003E5019"/>
    <w:rsid w:val="003E5263"/>
    <w:rsid w:val="003E5875"/>
    <w:rsid w:val="003E6353"/>
    <w:rsid w:val="003E645C"/>
    <w:rsid w:val="003E6C93"/>
    <w:rsid w:val="003E6EF4"/>
    <w:rsid w:val="003E7877"/>
    <w:rsid w:val="003F0415"/>
    <w:rsid w:val="003F07FB"/>
    <w:rsid w:val="003F11F2"/>
    <w:rsid w:val="003F1949"/>
    <w:rsid w:val="003F249E"/>
    <w:rsid w:val="003F25C7"/>
    <w:rsid w:val="003F2B5B"/>
    <w:rsid w:val="003F3D87"/>
    <w:rsid w:val="003F3F33"/>
    <w:rsid w:val="003F3F56"/>
    <w:rsid w:val="003F40EE"/>
    <w:rsid w:val="003F4D49"/>
    <w:rsid w:val="003F50F9"/>
    <w:rsid w:val="003F5745"/>
    <w:rsid w:val="003F5828"/>
    <w:rsid w:val="003F65C9"/>
    <w:rsid w:val="003F70A2"/>
    <w:rsid w:val="003F7A33"/>
    <w:rsid w:val="003F7D93"/>
    <w:rsid w:val="004000EA"/>
    <w:rsid w:val="0040164C"/>
    <w:rsid w:val="00401DD6"/>
    <w:rsid w:val="00402109"/>
    <w:rsid w:val="00402C64"/>
    <w:rsid w:val="00403378"/>
    <w:rsid w:val="00403883"/>
    <w:rsid w:val="00404714"/>
    <w:rsid w:val="00404EFC"/>
    <w:rsid w:val="00406247"/>
    <w:rsid w:val="004064DF"/>
    <w:rsid w:val="004064F9"/>
    <w:rsid w:val="004072BB"/>
    <w:rsid w:val="004072EC"/>
    <w:rsid w:val="00410FE9"/>
    <w:rsid w:val="004110EC"/>
    <w:rsid w:val="0041114D"/>
    <w:rsid w:val="00411808"/>
    <w:rsid w:val="004124A3"/>
    <w:rsid w:val="004130D2"/>
    <w:rsid w:val="004131ED"/>
    <w:rsid w:val="00413A99"/>
    <w:rsid w:val="00413B38"/>
    <w:rsid w:val="00413C5E"/>
    <w:rsid w:val="004143D6"/>
    <w:rsid w:val="00414465"/>
    <w:rsid w:val="00414956"/>
    <w:rsid w:val="00414CB1"/>
    <w:rsid w:val="0041599B"/>
    <w:rsid w:val="00415B9E"/>
    <w:rsid w:val="004162EE"/>
    <w:rsid w:val="00417C8A"/>
    <w:rsid w:val="004207BE"/>
    <w:rsid w:val="00420D27"/>
    <w:rsid w:val="00420D50"/>
    <w:rsid w:val="00421D5E"/>
    <w:rsid w:val="0042220C"/>
    <w:rsid w:val="00422B36"/>
    <w:rsid w:val="00422F85"/>
    <w:rsid w:val="00423D91"/>
    <w:rsid w:val="00424392"/>
    <w:rsid w:val="004245F3"/>
    <w:rsid w:val="00424A55"/>
    <w:rsid w:val="004251E1"/>
    <w:rsid w:val="00425A64"/>
    <w:rsid w:val="00425E4A"/>
    <w:rsid w:val="00426ED9"/>
    <w:rsid w:val="00427035"/>
    <w:rsid w:val="00427077"/>
    <w:rsid w:val="004274D1"/>
    <w:rsid w:val="004317F9"/>
    <w:rsid w:val="00431E0F"/>
    <w:rsid w:val="004323F0"/>
    <w:rsid w:val="00433020"/>
    <w:rsid w:val="00433210"/>
    <w:rsid w:val="00433284"/>
    <w:rsid w:val="0043341A"/>
    <w:rsid w:val="0043356D"/>
    <w:rsid w:val="004336B3"/>
    <w:rsid w:val="00433B14"/>
    <w:rsid w:val="00434FC2"/>
    <w:rsid w:val="00435326"/>
    <w:rsid w:val="004357D2"/>
    <w:rsid w:val="0043661D"/>
    <w:rsid w:val="00440739"/>
    <w:rsid w:val="00440D50"/>
    <w:rsid w:val="00441C62"/>
    <w:rsid w:val="00442628"/>
    <w:rsid w:val="00442A50"/>
    <w:rsid w:val="00442B8C"/>
    <w:rsid w:val="00444428"/>
    <w:rsid w:val="00444A5D"/>
    <w:rsid w:val="00444DE2"/>
    <w:rsid w:val="004477ED"/>
    <w:rsid w:val="004477F6"/>
    <w:rsid w:val="004502F7"/>
    <w:rsid w:val="00450611"/>
    <w:rsid w:val="00450B93"/>
    <w:rsid w:val="00451035"/>
    <w:rsid w:val="004510A7"/>
    <w:rsid w:val="004511DD"/>
    <w:rsid w:val="00452621"/>
    <w:rsid w:val="00452A4B"/>
    <w:rsid w:val="00452FED"/>
    <w:rsid w:val="004532F1"/>
    <w:rsid w:val="00454A4D"/>
    <w:rsid w:val="00455201"/>
    <w:rsid w:val="00455619"/>
    <w:rsid w:val="00455B2A"/>
    <w:rsid w:val="004561B7"/>
    <w:rsid w:val="004566C1"/>
    <w:rsid w:val="00456B79"/>
    <w:rsid w:val="00456F09"/>
    <w:rsid w:val="004578F6"/>
    <w:rsid w:val="004614CE"/>
    <w:rsid w:val="00461C98"/>
    <w:rsid w:val="00463231"/>
    <w:rsid w:val="00463A0E"/>
    <w:rsid w:val="004642E9"/>
    <w:rsid w:val="0046474C"/>
    <w:rsid w:val="004648B2"/>
    <w:rsid w:val="004649FF"/>
    <w:rsid w:val="00464CD2"/>
    <w:rsid w:val="0046569C"/>
    <w:rsid w:val="00465CA9"/>
    <w:rsid w:val="004662DE"/>
    <w:rsid w:val="00466345"/>
    <w:rsid w:val="00466759"/>
    <w:rsid w:val="004674F6"/>
    <w:rsid w:val="00467F85"/>
    <w:rsid w:val="00470817"/>
    <w:rsid w:val="0047082D"/>
    <w:rsid w:val="00470998"/>
    <w:rsid w:val="004711CF"/>
    <w:rsid w:val="004713CD"/>
    <w:rsid w:val="00472718"/>
    <w:rsid w:val="00472A8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171"/>
    <w:rsid w:val="00480760"/>
    <w:rsid w:val="00480766"/>
    <w:rsid w:val="00481316"/>
    <w:rsid w:val="00481561"/>
    <w:rsid w:val="004815DD"/>
    <w:rsid w:val="00481972"/>
    <w:rsid w:val="00481EEA"/>
    <w:rsid w:val="00482389"/>
    <w:rsid w:val="004826E0"/>
    <w:rsid w:val="0048331B"/>
    <w:rsid w:val="004835BB"/>
    <w:rsid w:val="00483737"/>
    <w:rsid w:val="004838AB"/>
    <w:rsid w:val="00483C27"/>
    <w:rsid w:val="00484451"/>
    <w:rsid w:val="004844B1"/>
    <w:rsid w:val="00485112"/>
    <w:rsid w:val="0048531B"/>
    <w:rsid w:val="004855C4"/>
    <w:rsid w:val="00486046"/>
    <w:rsid w:val="00486203"/>
    <w:rsid w:val="0048650F"/>
    <w:rsid w:val="004866AB"/>
    <w:rsid w:val="00486E34"/>
    <w:rsid w:val="00490CD7"/>
    <w:rsid w:val="00491603"/>
    <w:rsid w:val="00491BBF"/>
    <w:rsid w:val="004920D3"/>
    <w:rsid w:val="00492930"/>
    <w:rsid w:val="00492B84"/>
    <w:rsid w:val="00493117"/>
    <w:rsid w:val="004934D5"/>
    <w:rsid w:val="0049360B"/>
    <w:rsid w:val="00494706"/>
    <w:rsid w:val="00494C68"/>
    <w:rsid w:val="004959E1"/>
    <w:rsid w:val="00495A64"/>
    <w:rsid w:val="00495F59"/>
    <w:rsid w:val="00496CAA"/>
    <w:rsid w:val="00496FC7"/>
    <w:rsid w:val="004977F9"/>
    <w:rsid w:val="004A03DD"/>
    <w:rsid w:val="004A07C6"/>
    <w:rsid w:val="004A0D18"/>
    <w:rsid w:val="004A1270"/>
    <w:rsid w:val="004A1A42"/>
    <w:rsid w:val="004A20C8"/>
    <w:rsid w:val="004A23AF"/>
    <w:rsid w:val="004A24EE"/>
    <w:rsid w:val="004A2682"/>
    <w:rsid w:val="004A2CD6"/>
    <w:rsid w:val="004A2E34"/>
    <w:rsid w:val="004A4D5E"/>
    <w:rsid w:val="004A5A08"/>
    <w:rsid w:val="004A5A4F"/>
    <w:rsid w:val="004A5BB5"/>
    <w:rsid w:val="004A5F9C"/>
    <w:rsid w:val="004A63FD"/>
    <w:rsid w:val="004A6EC5"/>
    <w:rsid w:val="004A7AD3"/>
    <w:rsid w:val="004A7F74"/>
    <w:rsid w:val="004B03C9"/>
    <w:rsid w:val="004B0439"/>
    <w:rsid w:val="004B1C77"/>
    <w:rsid w:val="004B1EB7"/>
    <w:rsid w:val="004B2F04"/>
    <w:rsid w:val="004B486D"/>
    <w:rsid w:val="004B48E3"/>
    <w:rsid w:val="004B536A"/>
    <w:rsid w:val="004B5407"/>
    <w:rsid w:val="004B59F4"/>
    <w:rsid w:val="004B5C4D"/>
    <w:rsid w:val="004B60CB"/>
    <w:rsid w:val="004B6979"/>
    <w:rsid w:val="004B6A7A"/>
    <w:rsid w:val="004B6F8C"/>
    <w:rsid w:val="004B73D6"/>
    <w:rsid w:val="004C0366"/>
    <w:rsid w:val="004C0B41"/>
    <w:rsid w:val="004C0D40"/>
    <w:rsid w:val="004C18D6"/>
    <w:rsid w:val="004C28A5"/>
    <w:rsid w:val="004C2AE1"/>
    <w:rsid w:val="004C44A4"/>
    <w:rsid w:val="004C4F0F"/>
    <w:rsid w:val="004C59E0"/>
    <w:rsid w:val="004C745A"/>
    <w:rsid w:val="004C755B"/>
    <w:rsid w:val="004C77BE"/>
    <w:rsid w:val="004D0136"/>
    <w:rsid w:val="004D026C"/>
    <w:rsid w:val="004D0609"/>
    <w:rsid w:val="004D1CD1"/>
    <w:rsid w:val="004D315F"/>
    <w:rsid w:val="004D3179"/>
    <w:rsid w:val="004D3640"/>
    <w:rsid w:val="004D3BF8"/>
    <w:rsid w:val="004D4693"/>
    <w:rsid w:val="004D5215"/>
    <w:rsid w:val="004D5852"/>
    <w:rsid w:val="004D5895"/>
    <w:rsid w:val="004D5A3A"/>
    <w:rsid w:val="004D6266"/>
    <w:rsid w:val="004D6456"/>
    <w:rsid w:val="004D6774"/>
    <w:rsid w:val="004D6DC1"/>
    <w:rsid w:val="004D6E16"/>
    <w:rsid w:val="004E014F"/>
    <w:rsid w:val="004E0FA0"/>
    <w:rsid w:val="004E12AA"/>
    <w:rsid w:val="004E1F2B"/>
    <w:rsid w:val="004E220B"/>
    <w:rsid w:val="004E3EE8"/>
    <w:rsid w:val="004E4457"/>
    <w:rsid w:val="004E4B3D"/>
    <w:rsid w:val="004E4E15"/>
    <w:rsid w:val="004E4F96"/>
    <w:rsid w:val="004E5EDE"/>
    <w:rsid w:val="004E691F"/>
    <w:rsid w:val="004E7331"/>
    <w:rsid w:val="004E7CDC"/>
    <w:rsid w:val="004E7DC1"/>
    <w:rsid w:val="004F01E4"/>
    <w:rsid w:val="004F05F9"/>
    <w:rsid w:val="004F0A72"/>
    <w:rsid w:val="004F1916"/>
    <w:rsid w:val="004F2623"/>
    <w:rsid w:val="004F3138"/>
    <w:rsid w:val="004F3846"/>
    <w:rsid w:val="004F3CEE"/>
    <w:rsid w:val="004F401E"/>
    <w:rsid w:val="004F41CB"/>
    <w:rsid w:val="004F5A1E"/>
    <w:rsid w:val="004F7198"/>
    <w:rsid w:val="0050015A"/>
    <w:rsid w:val="00500349"/>
    <w:rsid w:val="00500C30"/>
    <w:rsid w:val="00501163"/>
    <w:rsid w:val="00501866"/>
    <w:rsid w:val="00502249"/>
    <w:rsid w:val="005035E6"/>
    <w:rsid w:val="00503C42"/>
    <w:rsid w:val="00504002"/>
    <w:rsid w:val="00504796"/>
    <w:rsid w:val="00504C35"/>
    <w:rsid w:val="0050559C"/>
    <w:rsid w:val="00506722"/>
    <w:rsid w:val="00506D5E"/>
    <w:rsid w:val="00506D99"/>
    <w:rsid w:val="00506DCC"/>
    <w:rsid w:val="005076ED"/>
    <w:rsid w:val="0050797F"/>
    <w:rsid w:val="00511458"/>
    <w:rsid w:val="005119A4"/>
    <w:rsid w:val="00511F98"/>
    <w:rsid w:val="00512175"/>
    <w:rsid w:val="00512CF2"/>
    <w:rsid w:val="00512DAB"/>
    <w:rsid w:val="00513B20"/>
    <w:rsid w:val="0051474A"/>
    <w:rsid w:val="00515399"/>
    <w:rsid w:val="00515722"/>
    <w:rsid w:val="00515F64"/>
    <w:rsid w:val="00516235"/>
    <w:rsid w:val="0051684F"/>
    <w:rsid w:val="00516D74"/>
    <w:rsid w:val="00517766"/>
    <w:rsid w:val="00520001"/>
    <w:rsid w:val="005209E2"/>
    <w:rsid w:val="00520D65"/>
    <w:rsid w:val="00520E95"/>
    <w:rsid w:val="005219E1"/>
    <w:rsid w:val="00521B2D"/>
    <w:rsid w:val="00521C7A"/>
    <w:rsid w:val="0052247B"/>
    <w:rsid w:val="00522597"/>
    <w:rsid w:val="00522F1C"/>
    <w:rsid w:val="00523EA3"/>
    <w:rsid w:val="005247F0"/>
    <w:rsid w:val="00526113"/>
    <w:rsid w:val="00526F50"/>
    <w:rsid w:val="005304FE"/>
    <w:rsid w:val="005307AF"/>
    <w:rsid w:val="00530C89"/>
    <w:rsid w:val="0053143C"/>
    <w:rsid w:val="0053165E"/>
    <w:rsid w:val="0053198F"/>
    <w:rsid w:val="00531A48"/>
    <w:rsid w:val="00531E6D"/>
    <w:rsid w:val="005338A2"/>
    <w:rsid w:val="005338D4"/>
    <w:rsid w:val="0053448C"/>
    <w:rsid w:val="005356A3"/>
    <w:rsid w:val="00535923"/>
    <w:rsid w:val="00536134"/>
    <w:rsid w:val="005364F0"/>
    <w:rsid w:val="00536AE6"/>
    <w:rsid w:val="00537AC7"/>
    <w:rsid w:val="00540069"/>
    <w:rsid w:val="00540526"/>
    <w:rsid w:val="005408DB"/>
    <w:rsid w:val="00540BC4"/>
    <w:rsid w:val="00540DD5"/>
    <w:rsid w:val="0054112C"/>
    <w:rsid w:val="005412FA"/>
    <w:rsid w:val="005418CB"/>
    <w:rsid w:val="00542487"/>
    <w:rsid w:val="005428C4"/>
    <w:rsid w:val="00542C42"/>
    <w:rsid w:val="00543055"/>
    <w:rsid w:val="005431F3"/>
    <w:rsid w:val="00543A8E"/>
    <w:rsid w:val="0054484A"/>
    <w:rsid w:val="00544A64"/>
    <w:rsid w:val="00544E36"/>
    <w:rsid w:val="00545429"/>
    <w:rsid w:val="005454D4"/>
    <w:rsid w:val="005467DD"/>
    <w:rsid w:val="0054689B"/>
    <w:rsid w:val="00546DA7"/>
    <w:rsid w:val="00546F2A"/>
    <w:rsid w:val="00550866"/>
    <w:rsid w:val="00550ABA"/>
    <w:rsid w:val="005511EB"/>
    <w:rsid w:val="00551A66"/>
    <w:rsid w:val="0055251C"/>
    <w:rsid w:val="005540A0"/>
    <w:rsid w:val="00554D79"/>
    <w:rsid w:val="0055527E"/>
    <w:rsid w:val="00555B00"/>
    <w:rsid w:val="00556167"/>
    <w:rsid w:val="0055651F"/>
    <w:rsid w:val="0055665E"/>
    <w:rsid w:val="00556F8F"/>
    <w:rsid w:val="0055744C"/>
    <w:rsid w:val="0056057C"/>
    <w:rsid w:val="00561838"/>
    <w:rsid w:val="00561D2C"/>
    <w:rsid w:val="00561F4A"/>
    <w:rsid w:val="00562341"/>
    <w:rsid w:val="005638B7"/>
    <w:rsid w:val="0056403A"/>
    <w:rsid w:val="00564D63"/>
    <w:rsid w:val="00565951"/>
    <w:rsid w:val="005662A1"/>
    <w:rsid w:val="00566FA7"/>
    <w:rsid w:val="005674D6"/>
    <w:rsid w:val="00567796"/>
    <w:rsid w:val="00567B33"/>
    <w:rsid w:val="005701A1"/>
    <w:rsid w:val="005704AF"/>
    <w:rsid w:val="005705D1"/>
    <w:rsid w:val="00570B0C"/>
    <w:rsid w:val="005715F9"/>
    <w:rsid w:val="00572502"/>
    <w:rsid w:val="00572F5B"/>
    <w:rsid w:val="0057387C"/>
    <w:rsid w:val="00573FDE"/>
    <w:rsid w:val="0057407A"/>
    <w:rsid w:val="00574765"/>
    <w:rsid w:val="00575578"/>
    <w:rsid w:val="0057571D"/>
    <w:rsid w:val="00575A21"/>
    <w:rsid w:val="00576DE4"/>
    <w:rsid w:val="00577922"/>
    <w:rsid w:val="005802C4"/>
    <w:rsid w:val="00581F5D"/>
    <w:rsid w:val="00583F43"/>
    <w:rsid w:val="00584432"/>
    <w:rsid w:val="0058694D"/>
    <w:rsid w:val="00586C08"/>
    <w:rsid w:val="00587018"/>
    <w:rsid w:val="00587090"/>
    <w:rsid w:val="00587ABE"/>
    <w:rsid w:val="00591E9F"/>
    <w:rsid w:val="005929B9"/>
    <w:rsid w:val="005929EB"/>
    <w:rsid w:val="00592C59"/>
    <w:rsid w:val="0059324A"/>
    <w:rsid w:val="005934A2"/>
    <w:rsid w:val="0059384F"/>
    <w:rsid w:val="00593B20"/>
    <w:rsid w:val="00593DC3"/>
    <w:rsid w:val="00593E66"/>
    <w:rsid w:val="005946F5"/>
    <w:rsid w:val="00594BB2"/>
    <w:rsid w:val="00594CD9"/>
    <w:rsid w:val="00595610"/>
    <w:rsid w:val="00595B60"/>
    <w:rsid w:val="00595CFF"/>
    <w:rsid w:val="00595FC5"/>
    <w:rsid w:val="0059766C"/>
    <w:rsid w:val="00597B4F"/>
    <w:rsid w:val="00597D52"/>
    <w:rsid w:val="00597F65"/>
    <w:rsid w:val="005A031B"/>
    <w:rsid w:val="005A203B"/>
    <w:rsid w:val="005A20C9"/>
    <w:rsid w:val="005A22DC"/>
    <w:rsid w:val="005A2FBB"/>
    <w:rsid w:val="005A307E"/>
    <w:rsid w:val="005A3457"/>
    <w:rsid w:val="005A397A"/>
    <w:rsid w:val="005A39C2"/>
    <w:rsid w:val="005A4DDE"/>
    <w:rsid w:val="005A567D"/>
    <w:rsid w:val="005A5A50"/>
    <w:rsid w:val="005A5BAF"/>
    <w:rsid w:val="005A6063"/>
    <w:rsid w:val="005A644B"/>
    <w:rsid w:val="005A66DA"/>
    <w:rsid w:val="005A7155"/>
    <w:rsid w:val="005A77C3"/>
    <w:rsid w:val="005B0466"/>
    <w:rsid w:val="005B087E"/>
    <w:rsid w:val="005B0C9A"/>
    <w:rsid w:val="005B0E6B"/>
    <w:rsid w:val="005B11D6"/>
    <w:rsid w:val="005B1802"/>
    <w:rsid w:val="005B29D0"/>
    <w:rsid w:val="005B3218"/>
    <w:rsid w:val="005B3C2D"/>
    <w:rsid w:val="005B4C6B"/>
    <w:rsid w:val="005B4D90"/>
    <w:rsid w:val="005B55B9"/>
    <w:rsid w:val="005B5D02"/>
    <w:rsid w:val="005B6A87"/>
    <w:rsid w:val="005B7185"/>
    <w:rsid w:val="005B74D3"/>
    <w:rsid w:val="005B7B3B"/>
    <w:rsid w:val="005C046F"/>
    <w:rsid w:val="005C078A"/>
    <w:rsid w:val="005C0B8D"/>
    <w:rsid w:val="005C1230"/>
    <w:rsid w:val="005C1C6F"/>
    <w:rsid w:val="005C25D4"/>
    <w:rsid w:val="005C2F16"/>
    <w:rsid w:val="005C33FF"/>
    <w:rsid w:val="005C40D7"/>
    <w:rsid w:val="005C46B2"/>
    <w:rsid w:val="005C47E5"/>
    <w:rsid w:val="005C48EA"/>
    <w:rsid w:val="005C545E"/>
    <w:rsid w:val="005C54F0"/>
    <w:rsid w:val="005C5FC6"/>
    <w:rsid w:val="005C6380"/>
    <w:rsid w:val="005C6611"/>
    <w:rsid w:val="005C6B36"/>
    <w:rsid w:val="005C709A"/>
    <w:rsid w:val="005D0474"/>
    <w:rsid w:val="005D0532"/>
    <w:rsid w:val="005D07D4"/>
    <w:rsid w:val="005D0C31"/>
    <w:rsid w:val="005D14ED"/>
    <w:rsid w:val="005D1B71"/>
    <w:rsid w:val="005D23FE"/>
    <w:rsid w:val="005D3117"/>
    <w:rsid w:val="005D371E"/>
    <w:rsid w:val="005D3BC9"/>
    <w:rsid w:val="005D4268"/>
    <w:rsid w:val="005D491B"/>
    <w:rsid w:val="005D5939"/>
    <w:rsid w:val="005D5F4D"/>
    <w:rsid w:val="005D5FE0"/>
    <w:rsid w:val="005D6810"/>
    <w:rsid w:val="005D6F95"/>
    <w:rsid w:val="005D7222"/>
    <w:rsid w:val="005E01F6"/>
    <w:rsid w:val="005E07FC"/>
    <w:rsid w:val="005E14C1"/>
    <w:rsid w:val="005E157E"/>
    <w:rsid w:val="005E1EBC"/>
    <w:rsid w:val="005E265F"/>
    <w:rsid w:val="005E2A82"/>
    <w:rsid w:val="005E2DB7"/>
    <w:rsid w:val="005E3282"/>
    <w:rsid w:val="005E38BE"/>
    <w:rsid w:val="005E4616"/>
    <w:rsid w:val="005E4E34"/>
    <w:rsid w:val="005E4F50"/>
    <w:rsid w:val="005E7181"/>
    <w:rsid w:val="005E7374"/>
    <w:rsid w:val="005F096B"/>
    <w:rsid w:val="005F0F0F"/>
    <w:rsid w:val="005F0F18"/>
    <w:rsid w:val="005F128C"/>
    <w:rsid w:val="005F1CBE"/>
    <w:rsid w:val="005F2C64"/>
    <w:rsid w:val="005F2CFA"/>
    <w:rsid w:val="005F42DA"/>
    <w:rsid w:val="005F459C"/>
    <w:rsid w:val="005F5073"/>
    <w:rsid w:val="005F638B"/>
    <w:rsid w:val="005F697F"/>
    <w:rsid w:val="005F6AF2"/>
    <w:rsid w:val="00600314"/>
    <w:rsid w:val="00601214"/>
    <w:rsid w:val="00601FC3"/>
    <w:rsid w:val="00602876"/>
    <w:rsid w:val="006033A2"/>
    <w:rsid w:val="006037C4"/>
    <w:rsid w:val="00604147"/>
    <w:rsid w:val="0060490E"/>
    <w:rsid w:val="00604CDE"/>
    <w:rsid w:val="00605080"/>
    <w:rsid w:val="0060571F"/>
    <w:rsid w:val="0060588D"/>
    <w:rsid w:val="00605C4B"/>
    <w:rsid w:val="0060608D"/>
    <w:rsid w:val="006065B5"/>
    <w:rsid w:val="00606D0E"/>
    <w:rsid w:val="00610126"/>
    <w:rsid w:val="00610330"/>
    <w:rsid w:val="0061039C"/>
    <w:rsid w:val="00610788"/>
    <w:rsid w:val="00610E83"/>
    <w:rsid w:val="0061105A"/>
    <w:rsid w:val="00611B2E"/>
    <w:rsid w:val="00611C4E"/>
    <w:rsid w:val="00612086"/>
    <w:rsid w:val="0061219A"/>
    <w:rsid w:val="00612832"/>
    <w:rsid w:val="00612D7E"/>
    <w:rsid w:val="006130C0"/>
    <w:rsid w:val="00613B7A"/>
    <w:rsid w:val="00613F5D"/>
    <w:rsid w:val="00614149"/>
    <w:rsid w:val="00614D23"/>
    <w:rsid w:val="00614D29"/>
    <w:rsid w:val="00614D6E"/>
    <w:rsid w:val="00614DA8"/>
    <w:rsid w:val="006153BC"/>
    <w:rsid w:val="006155DE"/>
    <w:rsid w:val="006165DA"/>
    <w:rsid w:val="00616EDA"/>
    <w:rsid w:val="00617F15"/>
    <w:rsid w:val="00617F71"/>
    <w:rsid w:val="0062071D"/>
    <w:rsid w:val="00621151"/>
    <w:rsid w:val="00621717"/>
    <w:rsid w:val="00621F6F"/>
    <w:rsid w:val="00621FFF"/>
    <w:rsid w:val="00622070"/>
    <w:rsid w:val="0062233E"/>
    <w:rsid w:val="00622A3B"/>
    <w:rsid w:val="00622AB0"/>
    <w:rsid w:val="00623E79"/>
    <w:rsid w:val="006242A4"/>
    <w:rsid w:val="00624985"/>
    <w:rsid w:val="0062531C"/>
    <w:rsid w:val="00625BB9"/>
    <w:rsid w:val="00626369"/>
    <w:rsid w:val="00626E76"/>
    <w:rsid w:val="006270A6"/>
    <w:rsid w:val="0062748A"/>
    <w:rsid w:val="00627A9C"/>
    <w:rsid w:val="00627C3B"/>
    <w:rsid w:val="0063004F"/>
    <w:rsid w:val="00630392"/>
    <w:rsid w:val="00630D43"/>
    <w:rsid w:val="00630D52"/>
    <w:rsid w:val="00631139"/>
    <w:rsid w:val="006314B4"/>
    <w:rsid w:val="006315AC"/>
    <w:rsid w:val="00631EFD"/>
    <w:rsid w:val="00633130"/>
    <w:rsid w:val="00633423"/>
    <w:rsid w:val="0063439D"/>
    <w:rsid w:val="00634BFD"/>
    <w:rsid w:val="00634C05"/>
    <w:rsid w:val="00634D29"/>
    <w:rsid w:val="00635B8F"/>
    <w:rsid w:val="00636502"/>
    <w:rsid w:val="00636965"/>
    <w:rsid w:val="00636A02"/>
    <w:rsid w:val="00636CED"/>
    <w:rsid w:val="006374F4"/>
    <w:rsid w:val="006375E2"/>
    <w:rsid w:val="00637A29"/>
    <w:rsid w:val="006406E2"/>
    <w:rsid w:val="00641231"/>
    <w:rsid w:val="006412D4"/>
    <w:rsid w:val="00641544"/>
    <w:rsid w:val="00641583"/>
    <w:rsid w:val="00641BD1"/>
    <w:rsid w:val="006423A9"/>
    <w:rsid w:val="00642AC4"/>
    <w:rsid w:val="0064349D"/>
    <w:rsid w:val="00643C46"/>
    <w:rsid w:val="0064445D"/>
    <w:rsid w:val="00644676"/>
    <w:rsid w:val="0064678C"/>
    <w:rsid w:val="00646998"/>
    <w:rsid w:val="00647281"/>
    <w:rsid w:val="006478B5"/>
    <w:rsid w:val="00647E2A"/>
    <w:rsid w:val="00650CF7"/>
    <w:rsid w:val="0065183A"/>
    <w:rsid w:val="00651D48"/>
    <w:rsid w:val="006527A4"/>
    <w:rsid w:val="00652847"/>
    <w:rsid w:val="00652959"/>
    <w:rsid w:val="006530B6"/>
    <w:rsid w:val="00653399"/>
    <w:rsid w:val="00653817"/>
    <w:rsid w:val="00653DE8"/>
    <w:rsid w:val="00654D31"/>
    <w:rsid w:val="00654ECA"/>
    <w:rsid w:val="00655324"/>
    <w:rsid w:val="00655929"/>
    <w:rsid w:val="00655D37"/>
    <w:rsid w:val="00657278"/>
    <w:rsid w:val="0065777C"/>
    <w:rsid w:val="006577FE"/>
    <w:rsid w:val="00657CA6"/>
    <w:rsid w:val="00660483"/>
    <w:rsid w:val="00660CD0"/>
    <w:rsid w:val="006619DD"/>
    <w:rsid w:val="006629B0"/>
    <w:rsid w:val="00662A09"/>
    <w:rsid w:val="006633D5"/>
    <w:rsid w:val="00663EC6"/>
    <w:rsid w:val="006642E4"/>
    <w:rsid w:val="00664B50"/>
    <w:rsid w:val="00664DE5"/>
    <w:rsid w:val="00664EB6"/>
    <w:rsid w:val="00665A3F"/>
    <w:rsid w:val="00665E13"/>
    <w:rsid w:val="00666905"/>
    <w:rsid w:val="00666C92"/>
    <w:rsid w:val="006670D2"/>
    <w:rsid w:val="0067082E"/>
    <w:rsid w:val="00670B0E"/>
    <w:rsid w:val="0067125B"/>
    <w:rsid w:val="006713A7"/>
    <w:rsid w:val="00671E40"/>
    <w:rsid w:val="00671F10"/>
    <w:rsid w:val="006721F6"/>
    <w:rsid w:val="006738C3"/>
    <w:rsid w:val="00673D32"/>
    <w:rsid w:val="006740CA"/>
    <w:rsid w:val="0067466F"/>
    <w:rsid w:val="0067573D"/>
    <w:rsid w:val="00675B1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455"/>
    <w:rsid w:val="0068453F"/>
    <w:rsid w:val="00684EBF"/>
    <w:rsid w:val="0068554A"/>
    <w:rsid w:val="00685657"/>
    <w:rsid w:val="00687F9F"/>
    <w:rsid w:val="00690553"/>
    <w:rsid w:val="00690ADF"/>
    <w:rsid w:val="00690B19"/>
    <w:rsid w:val="00691EAE"/>
    <w:rsid w:val="00691F30"/>
    <w:rsid w:val="0069268A"/>
    <w:rsid w:val="0069365D"/>
    <w:rsid w:val="00693C1D"/>
    <w:rsid w:val="006944A6"/>
    <w:rsid w:val="0069492F"/>
    <w:rsid w:val="00694D5F"/>
    <w:rsid w:val="006957AC"/>
    <w:rsid w:val="00695872"/>
    <w:rsid w:val="00695FBC"/>
    <w:rsid w:val="00696576"/>
    <w:rsid w:val="00696A44"/>
    <w:rsid w:val="006A0559"/>
    <w:rsid w:val="006A084E"/>
    <w:rsid w:val="006A0974"/>
    <w:rsid w:val="006A14A8"/>
    <w:rsid w:val="006A1EC0"/>
    <w:rsid w:val="006A1F40"/>
    <w:rsid w:val="006A300B"/>
    <w:rsid w:val="006A3159"/>
    <w:rsid w:val="006A3B36"/>
    <w:rsid w:val="006A40F7"/>
    <w:rsid w:val="006A4501"/>
    <w:rsid w:val="006A55F7"/>
    <w:rsid w:val="006A6965"/>
    <w:rsid w:val="006A6BA7"/>
    <w:rsid w:val="006A6ED3"/>
    <w:rsid w:val="006A6EED"/>
    <w:rsid w:val="006A6F49"/>
    <w:rsid w:val="006A738F"/>
    <w:rsid w:val="006B0546"/>
    <w:rsid w:val="006B0558"/>
    <w:rsid w:val="006B19E7"/>
    <w:rsid w:val="006B1D45"/>
    <w:rsid w:val="006B1F38"/>
    <w:rsid w:val="006B3263"/>
    <w:rsid w:val="006B3A57"/>
    <w:rsid w:val="006B3CF5"/>
    <w:rsid w:val="006B3D53"/>
    <w:rsid w:val="006B3D90"/>
    <w:rsid w:val="006B3DDF"/>
    <w:rsid w:val="006B4228"/>
    <w:rsid w:val="006B44F8"/>
    <w:rsid w:val="006B5B97"/>
    <w:rsid w:val="006B600A"/>
    <w:rsid w:val="006B652C"/>
    <w:rsid w:val="006B6CE5"/>
    <w:rsid w:val="006B7AAA"/>
    <w:rsid w:val="006B7BFA"/>
    <w:rsid w:val="006B7F78"/>
    <w:rsid w:val="006C00E7"/>
    <w:rsid w:val="006C01A8"/>
    <w:rsid w:val="006C177C"/>
    <w:rsid w:val="006C20EE"/>
    <w:rsid w:val="006C212C"/>
    <w:rsid w:val="006C21BD"/>
    <w:rsid w:val="006C2F26"/>
    <w:rsid w:val="006C39F6"/>
    <w:rsid w:val="006C4034"/>
    <w:rsid w:val="006C4794"/>
    <w:rsid w:val="006C53CB"/>
    <w:rsid w:val="006C559E"/>
    <w:rsid w:val="006C5C96"/>
    <w:rsid w:val="006C696C"/>
    <w:rsid w:val="006C6EB4"/>
    <w:rsid w:val="006C6ED0"/>
    <w:rsid w:val="006C7C41"/>
    <w:rsid w:val="006D099B"/>
    <w:rsid w:val="006D129D"/>
    <w:rsid w:val="006D1753"/>
    <w:rsid w:val="006D1E46"/>
    <w:rsid w:val="006D2232"/>
    <w:rsid w:val="006D29ED"/>
    <w:rsid w:val="006D2AAA"/>
    <w:rsid w:val="006D352B"/>
    <w:rsid w:val="006D3F5B"/>
    <w:rsid w:val="006D4184"/>
    <w:rsid w:val="006D450A"/>
    <w:rsid w:val="006D4871"/>
    <w:rsid w:val="006D4EDB"/>
    <w:rsid w:val="006D55F6"/>
    <w:rsid w:val="006D590C"/>
    <w:rsid w:val="006D59BD"/>
    <w:rsid w:val="006D6955"/>
    <w:rsid w:val="006D73BA"/>
    <w:rsid w:val="006D7582"/>
    <w:rsid w:val="006D75A5"/>
    <w:rsid w:val="006E0889"/>
    <w:rsid w:val="006E09DE"/>
    <w:rsid w:val="006E0C11"/>
    <w:rsid w:val="006E0EA0"/>
    <w:rsid w:val="006E1BD1"/>
    <w:rsid w:val="006E1F4D"/>
    <w:rsid w:val="006E22D9"/>
    <w:rsid w:val="006E315A"/>
    <w:rsid w:val="006E39D2"/>
    <w:rsid w:val="006E3A45"/>
    <w:rsid w:val="006E433B"/>
    <w:rsid w:val="006E4427"/>
    <w:rsid w:val="006E4C11"/>
    <w:rsid w:val="006E4D31"/>
    <w:rsid w:val="006E52D4"/>
    <w:rsid w:val="006E5A43"/>
    <w:rsid w:val="006E6111"/>
    <w:rsid w:val="006E7328"/>
    <w:rsid w:val="006E7CF2"/>
    <w:rsid w:val="006F0002"/>
    <w:rsid w:val="006F302A"/>
    <w:rsid w:val="006F31C4"/>
    <w:rsid w:val="006F325A"/>
    <w:rsid w:val="006F3C38"/>
    <w:rsid w:val="006F4886"/>
    <w:rsid w:val="006F48BF"/>
    <w:rsid w:val="006F514E"/>
    <w:rsid w:val="006F5739"/>
    <w:rsid w:val="006F7FA0"/>
    <w:rsid w:val="007004DC"/>
    <w:rsid w:val="00701295"/>
    <w:rsid w:val="0070135E"/>
    <w:rsid w:val="00701427"/>
    <w:rsid w:val="007016CF"/>
    <w:rsid w:val="0070212A"/>
    <w:rsid w:val="00703499"/>
    <w:rsid w:val="0070378F"/>
    <w:rsid w:val="00704179"/>
    <w:rsid w:val="00704294"/>
    <w:rsid w:val="0070513B"/>
    <w:rsid w:val="00705900"/>
    <w:rsid w:val="0070627C"/>
    <w:rsid w:val="0070735A"/>
    <w:rsid w:val="00707521"/>
    <w:rsid w:val="0070752B"/>
    <w:rsid w:val="00707578"/>
    <w:rsid w:val="00707D6A"/>
    <w:rsid w:val="007120D2"/>
    <w:rsid w:val="00712B86"/>
    <w:rsid w:val="007132CE"/>
    <w:rsid w:val="0071333E"/>
    <w:rsid w:val="00713444"/>
    <w:rsid w:val="0071369D"/>
    <w:rsid w:val="00713900"/>
    <w:rsid w:val="00714E1E"/>
    <w:rsid w:val="00714F7E"/>
    <w:rsid w:val="00715B17"/>
    <w:rsid w:val="00716E86"/>
    <w:rsid w:val="00716EAE"/>
    <w:rsid w:val="007171F7"/>
    <w:rsid w:val="00717996"/>
    <w:rsid w:val="00717CD2"/>
    <w:rsid w:val="00717FD5"/>
    <w:rsid w:val="00720D99"/>
    <w:rsid w:val="00721AE1"/>
    <w:rsid w:val="00721DF6"/>
    <w:rsid w:val="007224AF"/>
    <w:rsid w:val="0072270E"/>
    <w:rsid w:val="00722D68"/>
    <w:rsid w:val="007234DE"/>
    <w:rsid w:val="00724F10"/>
    <w:rsid w:val="0072580C"/>
    <w:rsid w:val="0072739F"/>
    <w:rsid w:val="00727AC2"/>
    <w:rsid w:val="00727EF2"/>
    <w:rsid w:val="00731ED0"/>
    <w:rsid w:val="00732243"/>
    <w:rsid w:val="0073317F"/>
    <w:rsid w:val="007339A8"/>
    <w:rsid w:val="00734309"/>
    <w:rsid w:val="00734DF1"/>
    <w:rsid w:val="0073539D"/>
    <w:rsid w:val="00735BE9"/>
    <w:rsid w:val="00735DAD"/>
    <w:rsid w:val="00736435"/>
    <w:rsid w:val="0073690F"/>
    <w:rsid w:val="00736C87"/>
    <w:rsid w:val="00736FAC"/>
    <w:rsid w:val="00737174"/>
    <w:rsid w:val="00737724"/>
    <w:rsid w:val="00737A47"/>
    <w:rsid w:val="00737DDB"/>
    <w:rsid w:val="00737F69"/>
    <w:rsid w:val="00740072"/>
    <w:rsid w:val="00741414"/>
    <w:rsid w:val="00741B6C"/>
    <w:rsid w:val="00741C33"/>
    <w:rsid w:val="00742CBD"/>
    <w:rsid w:val="00742E2E"/>
    <w:rsid w:val="00742E42"/>
    <w:rsid w:val="00743030"/>
    <w:rsid w:val="00743B33"/>
    <w:rsid w:val="007442DF"/>
    <w:rsid w:val="007452AB"/>
    <w:rsid w:val="00745BAE"/>
    <w:rsid w:val="007469B3"/>
    <w:rsid w:val="00747161"/>
    <w:rsid w:val="007478FB"/>
    <w:rsid w:val="007479AD"/>
    <w:rsid w:val="00747A73"/>
    <w:rsid w:val="00747EF4"/>
    <w:rsid w:val="00750DB2"/>
    <w:rsid w:val="00750F4B"/>
    <w:rsid w:val="00751672"/>
    <w:rsid w:val="00753238"/>
    <w:rsid w:val="00753611"/>
    <w:rsid w:val="0075373D"/>
    <w:rsid w:val="00753BB7"/>
    <w:rsid w:val="00753CA0"/>
    <w:rsid w:val="00753EEE"/>
    <w:rsid w:val="00754234"/>
    <w:rsid w:val="0075462A"/>
    <w:rsid w:val="00754CA6"/>
    <w:rsid w:val="00755F32"/>
    <w:rsid w:val="007565CE"/>
    <w:rsid w:val="0075760C"/>
    <w:rsid w:val="0076099E"/>
    <w:rsid w:val="007610F3"/>
    <w:rsid w:val="00761560"/>
    <w:rsid w:val="0076187B"/>
    <w:rsid w:val="00762CBC"/>
    <w:rsid w:val="00764221"/>
    <w:rsid w:val="007652B8"/>
    <w:rsid w:val="00765331"/>
    <w:rsid w:val="00765CC9"/>
    <w:rsid w:val="00767260"/>
    <w:rsid w:val="00767F1E"/>
    <w:rsid w:val="007706C3"/>
    <w:rsid w:val="00770D90"/>
    <w:rsid w:val="00772567"/>
    <w:rsid w:val="007729D1"/>
    <w:rsid w:val="00772E21"/>
    <w:rsid w:val="00773AE6"/>
    <w:rsid w:val="00773E14"/>
    <w:rsid w:val="00774236"/>
    <w:rsid w:val="00775AD7"/>
    <w:rsid w:val="00775BDB"/>
    <w:rsid w:val="007761EA"/>
    <w:rsid w:val="0077644F"/>
    <w:rsid w:val="00776ADA"/>
    <w:rsid w:val="00777606"/>
    <w:rsid w:val="007779F7"/>
    <w:rsid w:val="007810A3"/>
    <w:rsid w:val="0078165C"/>
    <w:rsid w:val="007819A9"/>
    <w:rsid w:val="0078237B"/>
    <w:rsid w:val="007825F7"/>
    <w:rsid w:val="00782927"/>
    <w:rsid w:val="00782A09"/>
    <w:rsid w:val="007834F6"/>
    <w:rsid w:val="007838FB"/>
    <w:rsid w:val="0078438B"/>
    <w:rsid w:val="00784486"/>
    <w:rsid w:val="007849A6"/>
    <w:rsid w:val="00784E4F"/>
    <w:rsid w:val="00785C94"/>
    <w:rsid w:val="00785C9F"/>
    <w:rsid w:val="00786469"/>
    <w:rsid w:val="0078658D"/>
    <w:rsid w:val="0078667F"/>
    <w:rsid w:val="007867AC"/>
    <w:rsid w:val="007871C6"/>
    <w:rsid w:val="00787D5B"/>
    <w:rsid w:val="00790BCC"/>
    <w:rsid w:val="00791076"/>
    <w:rsid w:val="0079123A"/>
    <w:rsid w:val="0079162D"/>
    <w:rsid w:val="00792672"/>
    <w:rsid w:val="00792792"/>
    <w:rsid w:val="00792DF2"/>
    <w:rsid w:val="00793359"/>
    <w:rsid w:val="0079429C"/>
    <w:rsid w:val="0079532A"/>
    <w:rsid w:val="00795BA3"/>
    <w:rsid w:val="00795DE4"/>
    <w:rsid w:val="00795ED5"/>
    <w:rsid w:val="00796CD2"/>
    <w:rsid w:val="0079790F"/>
    <w:rsid w:val="00797F0C"/>
    <w:rsid w:val="007A0068"/>
    <w:rsid w:val="007A097D"/>
    <w:rsid w:val="007A255B"/>
    <w:rsid w:val="007A2590"/>
    <w:rsid w:val="007A28CE"/>
    <w:rsid w:val="007A2E1C"/>
    <w:rsid w:val="007A30B2"/>
    <w:rsid w:val="007A4223"/>
    <w:rsid w:val="007A4231"/>
    <w:rsid w:val="007A599C"/>
    <w:rsid w:val="007A61DD"/>
    <w:rsid w:val="007A64CB"/>
    <w:rsid w:val="007A6952"/>
    <w:rsid w:val="007A6E21"/>
    <w:rsid w:val="007B1226"/>
    <w:rsid w:val="007B138D"/>
    <w:rsid w:val="007B165C"/>
    <w:rsid w:val="007B1F15"/>
    <w:rsid w:val="007B2B80"/>
    <w:rsid w:val="007B2F4D"/>
    <w:rsid w:val="007B3132"/>
    <w:rsid w:val="007B31CC"/>
    <w:rsid w:val="007B4C59"/>
    <w:rsid w:val="007B5ACB"/>
    <w:rsid w:val="007C0414"/>
    <w:rsid w:val="007C0914"/>
    <w:rsid w:val="007C0B6B"/>
    <w:rsid w:val="007C1391"/>
    <w:rsid w:val="007C185D"/>
    <w:rsid w:val="007C1D68"/>
    <w:rsid w:val="007C1E1D"/>
    <w:rsid w:val="007C248D"/>
    <w:rsid w:val="007C26DD"/>
    <w:rsid w:val="007C276C"/>
    <w:rsid w:val="007C278F"/>
    <w:rsid w:val="007C2C76"/>
    <w:rsid w:val="007C3576"/>
    <w:rsid w:val="007C4231"/>
    <w:rsid w:val="007C45C3"/>
    <w:rsid w:val="007C491B"/>
    <w:rsid w:val="007C51CF"/>
    <w:rsid w:val="007C5357"/>
    <w:rsid w:val="007C5A02"/>
    <w:rsid w:val="007C5A3D"/>
    <w:rsid w:val="007C6289"/>
    <w:rsid w:val="007D00B9"/>
    <w:rsid w:val="007D074D"/>
    <w:rsid w:val="007D1F1E"/>
    <w:rsid w:val="007D398D"/>
    <w:rsid w:val="007D3EB4"/>
    <w:rsid w:val="007D3EBA"/>
    <w:rsid w:val="007D425A"/>
    <w:rsid w:val="007D4366"/>
    <w:rsid w:val="007D5DC7"/>
    <w:rsid w:val="007D64CC"/>
    <w:rsid w:val="007D67AD"/>
    <w:rsid w:val="007D72C3"/>
    <w:rsid w:val="007D79CC"/>
    <w:rsid w:val="007D7BF9"/>
    <w:rsid w:val="007E0B90"/>
    <w:rsid w:val="007E0EA4"/>
    <w:rsid w:val="007E0EE7"/>
    <w:rsid w:val="007E145F"/>
    <w:rsid w:val="007E2E68"/>
    <w:rsid w:val="007E3A61"/>
    <w:rsid w:val="007E438A"/>
    <w:rsid w:val="007E4537"/>
    <w:rsid w:val="007E4D65"/>
    <w:rsid w:val="007E4FC2"/>
    <w:rsid w:val="007E5049"/>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3D8"/>
    <w:rsid w:val="007F6FE0"/>
    <w:rsid w:val="007F7163"/>
    <w:rsid w:val="007F761B"/>
    <w:rsid w:val="007F7944"/>
    <w:rsid w:val="007F7C2C"/>
    <w:rsid w:val="007F7E71"/>
    <w:rsid w:val="008001A6"/>
    <w:rsid w:val="0080045A"/>
    <w:rsid w:val="00800F05"/>
    <w:rsid w:val="00800F8C"/>
    <w:rsid w:val="00801049"/>
    <w:rsid w:val="008015E1"/>
    <w:rsid w:val="008019CF"/>
    <w:rsid w:val="00801B8A"/>
    <w:rsid w:val="00802F9A"/>
    <w:rsid w:val="008051A6"/>
    <w:rsid w:val="00805452"/>
    <w:rsid w:val="00805CEB"/>
    <w:rsid w:val="008060F2"/>
    <w:rsid w:val="008072A8"/>
    <w:rsid w:val="00807BA4"/>
    <w:rsid w:val="00810F3C"/>
    <w:rsid w:val="0081101B"/>
    <w:rsid w:val="00813072"/>
    <w:rsid w:val="00814DBB"/>
    <w:rsid w:val="00815413"/>
    <w:rsid w:val="00815687"/>
    <w:rsid w:val="00815EB1"/>
    <w:rsid w:val="00815FCA"/>
    <w:rsid w:val="008160FB"/>
    <w:rsid w:val="008166E2"/>
    <w:rsid w:val="008167C9"/>
    <w:rsid w:val="008168D9"/>
    <w:rsid w:val="0081754C"/>
    <w:rsid w:val="00817CA8"/>
    <w:rsid w:val="00820220"/>
    <w:rsid w:val="0082064E"/>
    <w:rsid w:val="0082172C"/>
    <w:rsid w:val="0082266F"/>
    <w:rsid w:val="00823783"/>
    <w:rsid w:val="00823A9D"/>
    <w:rsid w:val="00823EDF"/>
    <w:rsid w:val="0082447D"/>
    <w:rsid w:val="00824704"/>
    <w:rsid w:val="0082547D"/>
    <w:rsid w:val="00825490"/>
    <w:rsid w:val="0082764B"/>
    <w:rsid w:val="00830590"/>
    <w:rsid w:val="0083134A"/>
    <w:rsid w:val="00831456"/>
    <w:rsid w:val="008322F1"/>
    <w:rsid w:val="008329CC"/>
    <w:rsid w:val="00832AB4"/>
    <w:rsid w:val="00832FC0"/>
    <w:rsid w:val="00833907"/>
    <w:rsid w:val="00833A8E"/>
    <w:rsid w:val="00834446"/>
    <w:rsid w:val="0083473E"/>
    <w:rsid w:val="00835069"/>
    <w:rsid w:val="00835145"/>
    <w:rsid w:val="0083550C"/>
    <w:rsid w:val="00835BA1"/>
    <w:rsid w:val="008361B2"/>
    <w:rsid w:val="00836260"/>
    <w:rsid w:val="00836457"/>
    <w:rsid w:val="008368BB"/>
    <w:rsid w:val="0083779B"/>
    <w:rsid w:val="00837AB6"/>
    <w:rsid w:val="00837CCB"/>
    <w:rsid w:val="0084032E"/>
    <w:rsid w:val="00840A95"/>
    <w:rsid w:val="0084258C"/>
    <w:rsid w:val="00842715"/>
    <w:rsid w:val="00842BEE"/>
    <w:rsid w:val="00842E05"/>
    <w:rsid w:val="00842E21"/>
    <w:rsid w:val="0084346F"/>
    <w:rsid w:val="00843B82"/>
    <w:rsid w:val="00843C69"/>
    <w:rsid w:val="0084421B"/>
    <w:rsid w:val="00844569"/>
    <w:rsid w:val="00844E81"/>
    <w:rsid w:val="00845169"/>
    <w:rsid w:val="00845245"/>
    <w:rsid w:val="008455A6"/>
    <w:rsid w:val="00845A8B"/>
    <w:rsid w:val="00846A55"/>
    <w:rsid w:val="0084702D"/>
    <w:rsid w:val="00850933"/>
    <w:rsid w:val="00850C97"/>
    <w:rsid w:val="00853237"/>
    <w:rsid w:val="00853EAA"/>
    <w:rsid w:val="00854CEB"/>
    <w:rsid w:val="00855C31"/>
    <w:rsid w:val="00856D3C"/>
    <w:rsid w:val="00856EC5"/>
    <w:rsid w:val="00857E4A"/>
    <w:rsid w:val="00857F8F"/>
    <w:rsid w:val="00860288"/>
    <w:rsid w:val="00860358"/>
    <w:rsid w:val="00861165"/>
    <w:rsid w:val="008612F7"/>
    <w:rsid w:val="008613D0"/>
    <w:rsid w:val="0086275F"/>
    <w:rsid w:val="008627CD"/>
    <w:rsid w:val="00862B84"/>
    <w:rsid w:val="00862BF6"/>
    <w:rsid w:val="00863376"/>
    <w:rsid w:val="008633AE"/>
    <w:rsid w:val="008636BB"/>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700C9"/>
    <w:rsid w:val="00870291"/>
    <w:rsid w:val="00870EB9"/>
    <w:rsid w:val="0087129C"/>
    <w:rsid w:val="008712FA"/>
    <w:rsid w:val="00871BEB"/>
    <w:rsid w:val="00871C13"/>
    <w:rsid w:val="00872D37"/>
    <w:rsid w:val="00873568"/>
    <w:rsid w:val="00873C2E"/>
    <w:rsid w:val="008752FB"/>
    <w:rsid w:val="00875C65"/>
    <w:rsid w:val="00875F52"/>
    <w:rsid w:val="008765B0"/>
    <w:rsid w:val="008765D1"/>
    <w:rsid w:val="00876D3B"/>
    <w:rsid w:val="00876EC4"/>
    <w:rsid w:val="008777F4"/>
    <w:rsid w:val="00877BFE"/>
    <w:rsid w:val="00880153"/>
    <w:rsid w:val="00880932"/>
    <w:rsid w:val="008819B1"/>
    <w:rsid w:val="00881B9E"/>
    <w:rsid w:val="00883008"/>
    <w:rsid w:val="0088300E"/>
    <w:rsid w:val="00883815"/>
    <w:rsid w:val="00883A8A"/>
    <w:rsid w:val="00883D46"/>
    <w:rsid w:val="00883D7F"/>
    <w:rsid w:val="00883ECE"/>
    <w:rsid w:val="00884068"/>
    <w:rsid w:val="0088499F"/>
    <w:rsid w:val="00884E99"/>
    <w:rsid w:val="00886F35"/>
    <w:rsid w:val="0088713B"/>
    <w:rsid w:val="00887458"/>
    <w:rsid w:val="00890F29"/>
    <w:rsid w:val="00891550"/>
    <w:rsid w:val="00891E2F"/>
    <w:rsid w:val="008923C7"/>
    <w:rsid w:val="00892452"/>
    <w:rsid w:val="00892944"/>
    <w:rsid w:val="00892C22"/>
    <w:rsid w:val="00893180"/>
    <w:rsid w:val="00893573"/>
    <w:rsid w:val="008935EB"/>
    <w:rsid w:val="00893E7A"/>
    <w:rsid w:val="00894CA4"/>
    <w:rsid w:val="00895A1B"/>
    <w:rsid w:val="00895A9F"/>
    <w:rsid w:val="00896A4F"/>
    <w:rsid w:val="00897CE0"/>
    <w:rsid w:val="008A0953"/>
    <w:rsid w:val="008A102D"/>
    <w:rsid w:val="008A2DD7"/>
    <w:rsid w:val="008A337E"/>
    <w:rsid w:val="008A3637"/>
    <w:rsid w:val="008A3CD3"/>
    <w:rsid w:val="008A43E5"/>
    <w:rsid w:val="008A57DF"/>
    <w:rsid w:val="008A5A78"/>
    <w:rsid w:val="008A65A3"/>
    <w:rsid w:val="008A673B"/>
    <w:rsid w:val="008A67AE"/>
    <w:rsid w:val="008A6AB6"/>
    <w:rsid w:val="008A6B63"/>
    <w:rsid w:val="008A6E01"/>
    <w:rsid w:val="008A6F4C"/>
    <w:rsid w:val="008A704F"/>
    <w:rsid w:val="008A7362"/>
    <w:rsid w:val="008A7B6A"/>
    <w:rsid w:val="008A7CD0"/>
    <w:rsid w:val="008A7E35"/>
    <w:rsid w:val="008B0581"/>
    <w:rsid w:val="008B10F0"/>
    <w:rsid w:val="008B1D95"/>
    <w:rsid w:val="008B22C0"/>
    <w:rsid w:val="008B243A"/>
    <w:rsid w:val="008B2870"/>
    <w:rsid w:val="008B2ACD"/>
    <w:rsid w:val="008B2F38"/>
    <w:rsid w:val="008B354E"/>
    <w:rsid w:val="008B3C2C"/>
    <w:rsid w:val="008B3E27"/>
    <w:rsid w:val="008B43D0"/>
    <w:rsid w:val="008B581B"/>
    <w:rsid w:val="008B5AB9"/>
    <w:rsid w:val="008B70AE"/>
    <w:rsid w:val="008B71A7"/>
    <w:rsid w:val="008B747B"/>
    <w:rsid w:val="008B7CCF"/>
    <w:rsid w:val="008C063F"/>
    <w:rsid w:val="008C099E"/>
    <w:rsid w:val="008C1101"/>
    <w:rsid w:val="008C13B0"/>
    <w:rsid w:val="008C1578"/>
    <w:rsid w:val="008C16B8"/>
    <w:rsid w:val="008C23DF"/>
    <w:rsid w:val="008C2902"/>
    <w:rsid w:val="008C31DC"/>
    <w:rsid w:val="008C6AE2"/>
    <w:rsid w:val="008C77D0"/>
    <w:rsid w:val="008D00FC"/>
    <w:rsid w:val="008D0916"/>
    <w:rsid w:val="008D0940"/>
    <w:rsid w:val="008D0C37"/>
    <w:rsid w:val="008D0D4E"/>
    <w:rsid w:val="008D0E4E"/>
    <w:rsid w:val="008D10F4"/>
    <w:rsid w:val="008D3142"/>
    <w:rsid w:val="008D31D1"/>
    <w:rsid w:val="008D3734"/>
    <w:rsid w:val="008D38D6"/>
    <w:rsid w:val="008D3EB6"/>
    <w:rsid w:val="008D411D"/>
    <w:rsid w:val="008D4169"/>
    <w:rsid w:val="008D443C"/>
    <w:rsid w:val="008D4E65"/>
    <w:rsid w:val="008D6821"/>
    <w:rsid w:val="008D73DA"/>
    <w:rsid w:val="008E051D"/>
    <w:rsid w:val="008E07C0"/>
    <w:rsid w:val="008E0842"/>
    <w:rsid w:val="008E159E"/>
    <w:rsid w:val="008E1751"/>
    <w:rsid w:val="008E1DF2"/>
    <w:rsid w:val="008E2BD8"/>
    <w:rsid w:val="008E340E"/>
    <w:rsid w:val="008E354C"/>
    <w:rsid w:val="008E35FD"/>
    <w:rsid w:val="008E3CA1"/>
    <w:rsid w:val="008E3D09"/>
    <w:rsid w:val="008E4896"/>
    <w:rsid w:val="008E536F"/>
    <w:rsid w:val="008E61EC"/>
    <w:rsid w:val="008E65FA"/>
    <w:rsid w:val="008E6DA1"/>
    <w:rsid w:val="008E7820"/>
    <w:rsid w:val="008F127C"/>
    <w:rsid w:val="008F17CF"/>
    <w:rsid w:val="008F1B62"/>
    <w:rsid w:val="008F2A35"/>
    <w:rsid w:val="008F323A"/>
    <w:rsid w:val="008F3AB2"/>
    <w:rsid w:val="008F41C8"/>
    <w:rsid w:val="008F4743"/>
    <w:rsid w:val="008F47D5"/>
    <w:rsid w:val="008F50D7"/>
    <w:rsid w:val="008F52B6"/>
    <w:rsid w:val="008F6273"/>
    <w:rsid w:val="008F6A9D"/>
    <w:rsid w:val="008F6AB2"/>
    <w:rsid w:val="008F6D4E"/>
    <w:rsid w:val="008F7254"/>
    <w:rsid w:val="008F7ABC"/>
    <w:rsid w:val="008F7DDC"/>
    <w:rsid w:val="008F7E31"/>
    <w:rsid w:val="008F7FA8"/>
    <w:rsid w:val="00900E7C"/>
    <w:rsid w:val="00901811"/>
    <w:rsid w:val="00901D9C"/>
    <w:rsid w:val="009033FA"/>
    <w:rsid w:val="009042AD"/>
    <w:rsid w:val="009044AD"/>
    <w:rsid w:val="00904A27"/>
    <w:rsid w:val="00904A7E"/>
    <w:rsid w:val="009052D1"/>
    <w:rsid w:val="009059B6"/>
    <w:rsid w:val="00906C44"/>
    <w:rsid w:val="00906EAB"/>
    <w:rsid w:val="009071FE"/>
    <w:rsid w:val="00907C53"/>
    <w:rsid w:val="00907D28"/>
    <w:rsid w:val="00907FC1"/>
    <w:rsid w:val="009104AC"/>
    <w:rsid w:val="00910689"/>
    <w:rsid w:val="00910A55"/>
    <w:rsid w:val="009111D5"/>
    <w:rsid w:val="00911675"/>
    <w:rsid w:val="0091181D"/>
    <w:rsid w:val="009119B3"/>
    <w:rsid w:val="0091218F"/>
    <w:rsid w:val="00912CE1"/>
    <w:rsid w:val="00913562"/>
    <w:rsid w:val="00913816"/>
    <w:rsid w:val="00913979"/>
    <w:rsid w:val="00914F33"/>
    <w:rsid w:val="00915248"/>
    <w:rsid w:val="00915323"/>
    <w:rsid w:val="00917138"/>
    <w:rsid w:val="00917467"/>
    <w:rsid w:val="0091757E"/>
    <w:rsid w:val="00917C20"/>
    <w:rsid w:val="009205A1"/>
    <w:rsid w:val="00920F09"/>
    <w:rsid w:val="00921671"/>
    <w:rsid w:val="0092183C"/>
    <w:rsid w:val="009226DD"/>
    <w:rsid w:val="00923500"/>
    <w:rsid w:val="00923C8E"/>
    <w:rsid w:val="00923ED7"/>
    <w:rsid w:val="009240E4"/>
    <w:rsid w:val="009241AD"/>
    <w:rsid w:val="00925C7E"/>
    <w:rsid w:val="00926548"/>
    <w:rsid w:val="009268EA"/>
    <w:rsid w:val="00927B2D"/>
    <w:rsid w:val="00930D5A"/>
    <w:rsid w:val="00930FF9"/>
    <w:rsid w:val="00931836"/>
    <w:rsid w:val="00931DB2"/>
    <w:rsid w:val="00931FE4"/>
    <w:rsid w:val="009321E3"/>
    <w:rsid w:val="0093274D"/>
    <w:rsid w:val="00932AEC"/>
    <w:rsid w:val="00933B7C"/>
    <w:rsid w:val="00934124"/>
    <w:rsid w:val="009343E8"/>
    <w:rsid w:val="009351FC"/>
    <w:rsid w:val="00935A2C"/>
    <w:rsid w:val="00935D02"/>
    <w:rsid w:val="00936181"/>
    <w:rsid w:val="009363E0"/>
    <w:rsid w:val="00936B18"/>
    <w:rsid w:val="009377EE"/>
    <w:rsid w:val="00937EF6"/>
    <w:rsid w:val="00940AD3"/>
    <w:rsid w:val="009416E5"/>
    <w:rsid w:val="00941F09"/>
    <w:rsid w:val="00942E12"/>
    <w:rsid w:val="00942EC5"/>
    <w:rsid w:val="00944E17"/>
    <w:rsid w:val="00945253"/>
    <w:rsid w:val="00945529"/>
    <w:rsid w:val="00946409"/>
    <w:rsid w:val="00946624"/>
    <w:rsid w:val="00947433"/>
    <w:rsid w:val="009477B2"/>
    <w:rsid w:val="00950FAA"/>
    <w:rsid w:val="0095189E"/>
    <w:rsid w:val="00952F92"/>
    <w:rsid w:val="00953433"/>
    <w:rsid w:val="00953883"/>
    <w:rsid w:val="009543FF"/>
    <w:rsid w:val="0095445F"/>
    <w:rsid w:val="00954E7E"/>
    <w:rsid w:val="00955B96"/>
    <w:rsid w:val="0095618D"/>
    <w:rsid w:val="00956B12"/>
    <w:rsid w:val="009577F0"/>
    <w:rsid w:val="0096050D"/>
    <w:rsid w:val="0096103F"/>
    <w:rsid w:val="00961D41"/>
    <w:rsid w:val="00962484"/>
    <w:rsid w:val="00962AC2"/>
    <w:rsid w:val="00963798"/>
    <w:rsid w:val="00963F69"/>
    <w:rsid w:val="009643B2"/>
    <w:rsid w:val="00964F2F"/>
    <w:rsid w:val="009650CD"/>
    <w:rsid w:val="00965336"/>
    <w:rsid w:val="00965E72"/>
    <w:rsid w:val="00966224"/>
    <w:rsid w:val="009672F3"/>
    <w:rsid w:val="009711A6"/>
    <w:rsid w:val="00971562"/>
    <w:rsid w:val="00971A32"/>
    <w:rsid w:val="00971B01"/>
    <w:rsid w:val="00971B32"/>
    <w:rsid w:val="0097222B"/>
    <w:rsid w:val="009730E7"/>
    <w:rsid w:val="00974CD9"/>
    <w:rsid w:val="00974E2B"/>
    <w:rsid w:val="00975459"/>
    <w:rsid w:val="00975644"/>
    <w:rsid w:val="0097597A"/>
    <w:rsid w:val="00975CBF"/>
    <w:rsid w:val="00975E54"/>
    <w:rsid w:val="009768AA"/>
    <w:rsid w:val="00977AA0"/>
    <w:rsid w:val="00980246"/>
    <w:rsid w:val="009804C7"/>
    <w:rsid w:val="00982527"/>
    <w:rsid w:val="00982C56"/>
    <w:rsid w:val="00984229"/>
    <w:rsid w:val="00984888"/>
    <w:rsid w:val="00984CD8"/>
    <w:rsid w:val="00986A3C"/>
    <w:rsid w:val="00986DB7"/>
    <w:rsid w:val="00987453"/>
    <w:rsid w:val="00987BF6"/>
    <w:rsid w:val="00990065"/>
    <w:rsid w:val="009906AF"/>
    <w:rsid w:val="009920EB"/>
    <w:rsid w:val="00992410"/>
    <w:rsid w:val="00992577"/>
    <w:rsid w:val="0099289C"/>
    <w:rsid w:val="00993307"/>
    <w:rsid w:val="0099399D"/>
    <w:rsid w:val="00993C05"/>
    <w:rsid w:val="00994432"/>
    <w:rsid w:val="00994A42"/>
    <w:rsid w:val="00994D41"/>
    <w:rsid w:val="00995648"/>
    <w:rsid w:val="00995EBF"/>
    <w:rsid w:val="00995F44"/>
    <w:rsid w:val="009961D1"/>
    <w:rsid w:val="0099643A"/>
    <w:rsid w:val="00996F2C"/>
    <w:rsid w:val="00997073"/>
    <w:rsid w:val="009977A8"/>
    <w:rsid w:val="009A0E2C"/>
    <w:rsid w:val="009A1230"/>
    <w:rsid w:val="009A160B"/>
    <w:rsid w:val="009A1CE7"/>
    <w:rsid w:val="009A1E02"/>
    <w:rsid w:val="009A24A7"/>
    <w:rsid w:val="009A2F54"/>
    <w:rsid w:val="009A3789"/>
    <w:rsid w:val="009A37CC"/>
    <w:rsid w:val="009A3CCB"/>
    <w:rsid w:val="009A479C"/>
    <w:rsid w:val="009A544B"/>
    <w:rsid w:val="009A6661"/>
    <w:rsid w:val="009A70AC"/>
    <w:rsid w:val="009A7A48"/>
    <w:rsid w:val="009B093B"/>
    <w:rsid w:val="009B1607"/>
    <w:rsid w:val="009B1D06"/>
    <w:rsid w:val="009B1F16"/>
    <w:rsid w:val="009B2CD9"/>
    <w:rsid w:val="009B3BFA"/>
    <w:rsid w:val="009B3F96"/>
    <w:rsid w:val="009B41F6"/>
    <w:rsid w:val="009B4A69"/>
    <w:rsid w:val="009B56D6"/>
    <w:rsid w:val="009B5964"/>
    <w:rsid w:val="009B59D6"/>
    <w:rsid w:val="009B6522"/>
    <w:rsid w:val="009B6693"/>
    <w:rsid w:val="009B6B8C"/>
    <w:rsid w:val="009B7D12"/>
    <w:rsid w:val="009B7EBF"/>
    <w:rsid w:val="009C091F"/>
    <w:rsid w:val="009C1112"/>
    <w:rsid w:val="009C2886"/>
    <w:rsid w:val="009C2E8C"/>
    <w:rsid w:val="009C2EEC"/>
    <w:rsid w:val="009C2F64"/>
    <w:rsid w:val="009C3E5C"/>
    <w:rsid w:val="009C429A"/>
    <w:rsid w:val="009C469F"/>
    <w:rsid w:val="009C4D79"/>
    <w:rsid w:val="009C5310"/>
    <w:rsid w:val="009C6430"/>
    <w:rsid w:val="009C7DB7"/>
    <w:rsid w:val="009D0E70"/>
    <w:rsid w:val="009D0F51"/>
    <w:rsid w:val="009D1382"/>
    <w:rsid w:val="009D163A"/>
    <w:rsid w:val="009D19DF"/>
    <w:rsid w:val="009D1B28"/>
    <w:rsid w:val="009D1DC0"/>
    <w:rsid w:val="009D1F21"/>
    <w:rsid w:val="009D305E"/>
    <w:rsid w:val="009D33C4"/>
    <w:rsid w:val="009D4392"/>
    <w:rsid w:val="009D51DB"/>
    <w:rsid w:val="009D5718"/>
    <w:rsid w:val="009D57C5"/>
    <w:rsid w:val="009D6C01"/>
    <w:rsid w:val="009D71A9"/>
    <w:rsid w:val="009E020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7E3B"/>
    <w:rsid w:val="009E7F6E"/>
    <w:rsid w:val="009F0427"/>
    <w:rsid w:val="009F0538"/>
    <w:rsid w:val="009F0770"/>
    <w:rsid w:val="009F08EA"/>
    <w:rsid w:val="009F16BE"/>
    <w:rsid w:val="009F1EF6"/>
    <w:rsid w:val="009F4657"/>
    <w:rsid w:val="009F47EE"/>
    <w:rsid w:val="009F52F8"/>
    <w:rsid w:val="009F65AA"/>
    <w:rsid w:val="009F6689"/>
    <w:rsid w:val="009F6CF0"/>
    <w:rsid w:val="009F6E1C"/>
    <w:rsid w:val="009F786D"/>
    <w:rsid w:val="009F7911"/>
    <w:rsid w:val="009F7969"/>
    <w:rsid w:val="009F7975"/>
    <w:rsid w:val="00A000F7"/>
    <w:rsid w:val="00A01A83"/>
    <w:rsid w:val="00A03400"/>
    <w:rsid w:val="00A036B7"/>
    <w:rsid w:val="00A0419E"/>
    <w:rsid w:val="00A04598"/>
    <w:rsid w:val="00A048D3"/>
    <w:rsid w:val="00A04B28"/>
    <w:rsid w:val="00A0524F"/>
    <w:rsid w:val="00A05323"/>
    <w:rsid w:val="00A063BA"/>
    <w:rsid w:val="00A06D84"/>
    <w:rsid w:val="00A074DA"/>
    <w:rsid w:val="00A07827"/>
    <w:rsid w:val="00A100EE"/>
    <w:rsid w:val="00A10853"/>
    <w:rsid w:val="00A10898"/>
    <w:rsid w:val="00A11081"/>
    <w:rsid w:val="00A11A79"/>
    <w:rsid w:val="00A11CF3"/>
    <w:rsid w:val="00A11FE5"/>
    <w:rsid w:val="00A1204E"/>
    <w:rsid w:val="00A121B0"/>
    <w:rsid w:val="00A123C0"/>
    <w:rsid w:val="00A1323D"/>
    <w:rsid w:val="00A13B27"/>
    <w:rsid w:val="00A1568B"/>
    <w:rsid w:val="00A16714"/>
    <w:rsid w:val="00A16AD0"/>
    <w:rsid w:val="00A17306"/>
    <w:rsid w:val="00A2002E"/>
    <w:rsid w:val="00A20470"/>
    <w:rsid w:val="00A206FD"/>
    <w:rsid w:val="00A20FD7"/>
    <w:rsid w:val="00A210D9"/>
    <w:rsid w:val="00A21D9A"/>
    <w:rsid w:val="00A22950"/>
    <w:rsid w:val="00A229C8"/>
    <w:rsid w:val="00A2370B"/>
    <w:rsid w:val="00A2472D"/>
    <w:rsid w:val="00A268E3"/>
    <w:rsid w:val="00A26A4F"/>
    <w:rsid w:val="00A26BEB"/>
    <w:rsid w:val="00A270A2"/>
    <w:rsid w:val="00A27391"/>
    <w:rsid w:val="00A2768A"/>
    <w:rsid w:val="00A279AE"/>
    <w:rsid w:val="00A27C79"/>
    <w:rsid w:val="00A27EE9"/>
    <w:rsid w:val="00A307C0"/>
    <w:rsid w:val="00A311B3"/>
    <w:rsid w:val="00A324D6"/>
    <w:rsid w:val="00A32761"/>
    <w:rsid w:val="00A32F0E"/>
    <w:rsid w:val="00A335F2"/>
    <w:rsid w:val="00A336DF"/>
    <w:rsid w:val="00A33D55"/>
    <w:rsid w:val="00A36A24"/>
    <w:rsid w:val="00A36C2B"/>
    <w:rsid w:val="00A3790E"/>
    <w:rsid w:val="00A40718"/>
    <w:rsid w:val="00A40C28"/>
    <w:rsid w:val="00A40FC0"/>
    <w:rsid w:val="00A41195"/>
    <w:rsid w:val="00A41365"/>
    <w:rsid w:val="00A416CA"/>
    <w:rsid w:val="00A419C1"/>
    <w:rsid w:val="00A42BB1"/>
    <w:rsid w:val="00A43B64"/>
    <w:rsid w:val="00A454F0"/>
    <w:rsid w:val="00A4563E"/>
    <w:rsid w:val="00A46E29"/>
    <w:rsid w:val="00A47390"/>
    <w:rsid w:val="00A47766"/>
    <w:rsid w:val="00A47F1C"/>
    <w:rsid w:val="00A50246"/>
    <w:rsid w:val="00A50F1F"/>
    <w:rsid w:val="00A51A11"/>
    <w:rsid w:val="00A51D80"/>
    <w:rsid w:val="00A52266"/>
    <w:rsid w:val="00A53277"/>
    <w:rsid w:val="00A53813"/>
    <w:rsid w:val="00A53932"/>
    <w:rsid w:val="00A53B77"/>
    <w:rsid w:val="00A542BE"/>
    <w:rsid w:val="00A54F9B"/>
    <w:rsid w:val="00A55EA8"/>
    <w:rsid w:val="00A561AC"/>
    <w:rsid w:val="00A57727"/>
    <w:rsid w:val="00A57987"/>
    <w:rsid w:val="00A60164"/>
    <w:rsid w:val="00A6036B"/>
    <w:rsid w:val="00A61040"/>
    <w:rsid w:val="00A61C60"/>
    <w:rsid w:val="00A61C79"/>
    <w:rsid w:val="00A61CD7"/>
    <w:rsid w:val="00A61E0F"/>
    <w:rsid w:val="00A61F69"/>
    <w:rsid w:val="00A62A7F"/>
    <w:rsid w:val="00A63011"/>
    <w:rsid w:val="00A63A8C"/>
    <w:rsid w:val="00A63BEA"/>
    <w:rsid w:val="00A646E0"/>
    <w:rsid w:val="00A65757"/>
    <w:rsid w:val="00A6633D"/>
    <w:rsid w:val="00A66726"/>
    <w:rsid w:val="00A66BD4"/>
    <w:rsid w:val="00A67BEE"/>
    <w:rsid w:val="00A70FC2"/>
    <w:rsid w:val="00A71339"/>
    <w:rsid w:val="00A72031"/>
    <w:rsid w:val="00A72A13"/>
    <w:rsid w:val="00A73A57"/>
    <w:rsid w:val="00A74E13"/>
    <w:rsid w:val="00A755D8"/>
    <w:rsid w:val="00A75A80"/>
    <w:rsid w:val="00A764F2"/>
    <w:rsid w:val="00A76FEF"/>
    <w:rsid w:val="00A774FF"/>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518"/>
    <w:rsid w:val="00A84B87"/>
    <w:rsid w:val="00A85DBC"/>
    <w:rsid w:val="00A8600F"/>
    <w:rsid w:val="00A86065"/>
    <w:rsid w:val="00A86D04"/>
    <w:rsid w:val="00A9097A"/>
    <w:rsid w:val="00A90CDA"/>
    <w:rsid w:val="00A92DDB"/>
    <w:rsid w:val="00A92E42"/>
    <w:rsid w:val="00A92F13"/>
    <w:rsid w:val="00A935C9"/>
    <w:rsid w:val="00A9396B"/>
    <w:rsid w:val="00A93C60"/>
    <w:rsid w:val="00A9454A"/>
    <w:rsid w:val="00A94FC0"/>
    <w:rsid w:val="00A94FFD"/>
    <w:rsid w:val="00A95692"/>
    <w:rsid w:val="00A978E5"/>
    <w:rsid w:val="00A97A51"/>
    <w:rsid w:val="00AA14D2"/>
    <w:rsid w:val="00AA164E"/>
    <w:rsid w:val="00AA181B"/>
    <w:rsid w:val="00AA23D0"/>
    <w:rsid w:val="00AA24BF"/>
    <w:rsid w:val="00AA3777"/>
    <w:rsid w:val="00AA4E7D"/>
    <w:rsid w:val="00AA4EA3"/>
    <w:rsid w:val="00AA6B6E"/>
    <w:rsid w:val="00AA6D00"/>
    <w:rsid w:val="00AA7E3D"/>
    <w:rsid w:val="00AB1649"/>
    <w:rsid w:val="00AB2893"/>
    <w:rsid w:val="00AB3025"/>
    <w:rsid w:val="00AB4218"/>
    <w:rsid w:val="00AB4D7C"/>
    <w:rsid w:val="00AB6B98"/>
    <w:rsid w:val="00AB739E"/>
    <w:rsid w:val="00AB751A"/>
    <w:rsid w:val="00AB7F89"/>
    <w:rsid w:val="00AC18F6"/>
    <w:rsid w:val="00AC1F3C"/>
    <w:rsid w:val="00AC28D3"/>
    <w:rsid w:val="00AC2B6D"/>
    <w:rsid w:val="00AC30A5"/>
    <w:rsid w:val="00AC315C"/>
    <w:rsid w:val="00AC3408"/>
    <w:rsid w:val="00AC44C1"/>
    <w:rsid w:val="00AC5A9F"/>
    <w:rsid w:val="00AC5D32"/>
    <w:rsid w:val="00AC5F79"/>
    <w:rsid w:val="00AC6139"/>
    <w:rsid w:val="00AC6AD7"/>
    <w:rsid w:val="00AC6AD9"/>
    <w:rsid w:val="00AC73A5"/>
    <w:rsid w:val="00AC7C8E"/>
    <w:rsid w:val="00AD0355"/>
    <w:rsid w:val="00AD0D14"/>
    <w:rsid w:val="00AD1426"/>
    <w:rsid w:val="00AD1623"/>
    <w:rsid w:val="00AD2E18"/>
    <w:rsid w:val="00AD3D8F"/>
    <w:rsid w:val="00AD3E91"/>
    <w:rsid w:val="00AD4148"/>
    <w:rsid w:val="00AD489B"/>
    <w:rsid w:val="00AD4B4A"/>
    <w:rsid w:val="00AD4C39"/>
    <w:rsid w:val="00AD5407"/>
    <w:rsid w:val="00AD5AFA"/>
    <w:rsid w:val="00AD5CCC"/>
    <w:rsid w:val="00AD6EA1"/>
    <w:rsid w:val="00AD6F97"/>
    <w:rsid w:val="00AE0176"/>
    <w:rsid w:val="00AE0E06"/>
    <w:rsid w:val="00AE1989"/>
    <w:rsid w:val="00AE1DDE"/>
    <w:rsid w:val="00AE3219"/>
    <w:rsid w:val="00AE3A80"/>
    <w:rsid w:val="00AE3C09"/>
    <w:rsid w:val="00AE479D"/>
    <w:rsid w:val="00AE4A18"/>
    <w:rsid w:val="00AE4BCE"/>
    <w:rsid w:val="00AE4D1B"/>
    <w:rsid w:val="00AE4D73"/>
    <w:rsid w:val="00AE6DEB"/>
    <w:rsid w:val="00AE6FD8"/>
    <w:rsid w:val="00AE76BA"/>
    <w:rsid w:val="00AE76EA"/>
    <w:rsid w:val="00AF04B2"/>
    <w:rsid w:val="00AF1205"/>
    <w:rsid w:val="00AF123C"/>
    <w:rsid w:val="00AF1A22"/>
    <w:rsid w:val="00AF397A"/>
    <w:rsid w:val="00AF4215"/>
    <w:rsid w:val="00AF42FB"/>
    <w:rsid w:val="00AF4B3C"/>
    <w:rsid w:val="00AF67D0"/>
    <w:rsid w:val="00AF6822"/>
    <w:rsid w:val="00AF6A5D"/>
    <w:rsid w:val="00AF796E"/>
    <w:rsid w:val="00AF7D64"/>
    <w:rsid w:val="00B000C0"/>
    <w:rsid w:val="00B00B0B"/>
    <w:rsid w:val="00B00F58"/>
    <w:rsid w:val="00B010D7"/>
    <w:rsid w:val="00B01176"/>
    <w:rsid w:val="00B01C43"/>
    <w:rsid w:val="00B023E7"/>
    <w:rsid w:val="00B0258D"/>
    <w:rsid w:val="00B025C3"/>
    <w:rsid w:val="00B026C4"/>
    <w:rsid w:val="00B02A0B"/>
    <w:rsid w:val="00B0407F"/>
    <w:rsid w:val="00B048F0"/>
    <w:rsid w:val="00B04D29"/>
    <w:rsid w:val="00B05677"/>
    <w:rsid w:val="00B057B2"/>
    <w:rsid w:val="00B05A3C"/>
    <w:rsid w:val="00B05F81"/>
    <w:rsid w:val="00B06221"/>
    <w:rsid w:val="00B06323"/>
    <w:rsid w:val="00B065E1"/>
    <w:rsid w:val="00B06735"/>
    <w:rsid w:val="00B06AEF"/>
    <w:rsid w:val="00B070A3"/>
    <w:rsid w:val="00B1021D"/>
    <w:rsid w:val="00B106E4"/>
    <w:rsid w:val="00B10D1A"/>
    <w:rsid w:val="00B1126B"/>
    <w:rsid w:val="00B1218A"/>
    <w:rsid w:val="00B125EA"/>
    <w:rsid w:val="00B1295D"/>
    <w:rsid w:val="00B136AF"/>
    <w:rsid w:val="00B140F6"/>
    <w:rsid w:val="00B141EF"/>
    <w:rsid w:val="00B14849"/>
    <w:rsid w:val="00B1484E"/>
    <w:rsid w:val="00B1632B"/>
    <w:rsid w:val="00B16C7E"/>
    <w:rsid w:val="00B17850"/>
    <w:rsid w:val="00B20315"/>
    <w:rsid w:val="00B2077F"/>
    <w:rsid w:val="00B207E8"/>
    <w:rsid w:val="00B20BE6"/>
    <w:rsid w:val="00B2166D"/>
    <w:rsid w:val="00B22F6A"/>
    <w:rsid w:val="00B233B7"/>
    <w:rsid w:val="00B24AEB"/>
    <w:rsid w:val="00B2545D"/>
    <w:rsid w:val="00B25569"/>
    <w:rsid w:val="00B25DE2"/>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EBF"/>
    <w:rsid w:val="00B33FBB"/>
    <w:rsid w:val="00B3434C"/>
    <w:rsid w:val="00B34B95"/>
    <w:rsid w:val="00B34DD4"/>
    <w:rsid w:val="00B35336"/>
    <w:rsid w:val="00B36DCD"/>
    <w:rsid w:val="00B3715B"/>
    <w:rsid w:val="00B37169"/>
    <w:rsid w:val="00B37CAA"/>
    <w:rsid w:val="00B37E7D"/>
    <w:rsid w:val="00B410BE"/>
    <w:rsid w:val="00B410D5"/>
    <w:rsid w:val="00B41856"/>
    <w:rsid w:val="00B41AA1"/>
    <w:rsid w:val="00B41C40"/>
    <w:rsid w:val="00B431D1"/>
    <w:rsid w:val="00B43AAC"/>
    <w:rsid w:val="00B4468A"/>
    <w:rsid w:val="00B455DD"/>
    <w:rsid w:val="00B46718"/>
    <w:rsid w:val="00B46D60"/>
    <w:rsid w:val="00B46DE6"/>
    <w:rsid w:val="00B47D93"/>
    <w:rsid w:val="00B505CC"/>
    <w:rsid w:val="00B50E42"/>
    <w:rsid w:val="00B514AB"/>
    <w:rsid w:val="00B528AE"/>
    <w:rsid w:val="00B53972"/>
    <w:rsid w:val="00B54862"/>
    <w:rsid w:val="00B55A82"/>
    <w:rsid w:val="00B55F8D"/>
    <w:rsid w:val="00B566E7"/>
    <w:rsid w:val="00B577C3"/>
    <w:rsid w:val="00B603FF"/>
    <w:rsid w:val="00B606A8"/>
    <w:rsid w:val="00B61757"/>
    <w:rsid w:val="00B61E88"/>
    <w:rsid w:val="00B6201D"/>
    <w:rsid w:val="00B6269D"/>
    <w:rsid w:val="00B62B83"/>
    <w:rsid w:val="00B63007"/>
    <w:rsid w:val="00B64139"/>
    <w:rsid w:val="00B64C12"/>
    <w:rsid w:val="00B654AD"/>
    <w:rsid w:val="00B65DA5"/>
    <w:rsid w:val="00B667CA"/>
    <w:rsid w:val="00B66B72"/>
    <w:rsid w:val="00B66B85"/>
    <w:rsid w:val="00B670AC"/>
    <w:rsid w:val="00B676AF"/>
    <w:rsid w:val="00B67832"/>
    <w:rsid w:val="00B679D4"/>
    <w:rsid w:val="00B67D56"/>
    <w:rsid w:val="00B70DAF"/>
    <w:rsid w:val="00B71F5D"/>
    <w:rsid w:val="00B72530"/>
    <w:rsid w:val="00B7253A"/>
    <w:rsid w:val="00B7306F"/>
    <w:rsid w:val="00B73779"/>
    <w:rsid w:val="00B73FF0"/>
    <w:rsid w:val="00B74D0A"/>
    <w:rsid w:val="00B74DD0"/>
    <w:rsid w:val="00B75D43"/>
    <w:rsid w:val="00B76FA5"/>
    <w:rsid w:val="00B76FEE"/>
    <w:rsid w:val="00B77215"/>
    <w:rsid w:val="00B7765F"/>
    <w:rsid w:val="00B809FD"/>
    <w:rsid w:val="00B80CCB"/>
    <w:rsid w:val="00B80FCA"/>
    <w:rsid w:val="00B81562"/>
    <w:rsid w:val="00B81889"/>
    <w:rsid w:val="00B81AEA"/>
    <w:rsid w:val="00B81FA3"/>
    <w:rsid w:val="00B828F6"/>
    <w:rsid w:val="00B82C47"/>
    <w:rsid w:val="00B8360A"/>
    <w:rsid w:val="00B840B2"/>
    <w:rsid w:val="00B8460A"/>
    <w:rsid w:val="00B84921"/>
    <w:rsid w:val="00B84AB9"/>
    <w:rsid w:val="00B84D06"/>
    <w:rsid w:val="00B85C9B"/>
    <w:rsid w:val="00B8647D"/>
    <w:rsid w:val="00B86F7F"/>
    <w:rsid w:val="00B86FB3"/>
    <w:rsid w:val="00B8711C"/>
    <w:rsid w:val="00B87568"/>
    <w:rsid w:val="00B878DD"/>
    <w:rsid w:val="00B87B79"/>
    <w:rsid w:val="00B87BC8"/>
    <w:rsid w:val="00B90337"/>
    <w:rsid w:val="00B90779"/>
    <w:rsid w:val="00B90CD6"/>
    <w:rsid w:val="00B90F4B"/>
    <w:rsid w:val="00B934BA"/>
    <w:rsid w:val="00B93F30"/>
    <w:rsid w:val="00B943BE"/>
    <w:rsid w:val="00B94621"/>
    <w:rsid w:val="00B950CC"/>
    <w:rsid w:val="00B95830"/>
    <w:rsid w:val="00B9594E"/>
    <w:rsid w:val="00B95F9C"/>
    <w:rsid w:val="00B96082"/>
    <w:rsid w:val="00B967A5"/>
    <w:rsid w:val="00B9705C"/>
    <w:rsid w:val="00B971A2"/>
    <w:rsid w:val="00B9744E"/>
    <w:rsid w:val="00B979C3"/>
    <w:rsid w:val="00B97D95"/>
    <w:rsid w:val="00BA013F"/>
    <w:rsid w:val="00BA040B"/>
    <w:rsid w:val="00BA09B8"/>
    <w:rsid w:val="00BA1E04"/>
    <w:rsid w:val="00BA31B7"/>
    <w:rsid w:val="00BA4839"/>
    <w:rsid w:val="00BA4CE5"/>
    <w:rsid w:val="00BA5B80"/>
    <w:rsid w:val="00BA5CC5"/>
    <w:rsid w:val="00BA6440"/>
    <w:rsid w:val="00BA7234"/>
    <w:rsid w:val="00BB0C17"/>
    <w:rsid w:val="00BB15DF"/>
    <w:rsid w:val="00BB17B6"/>
    <w:rsid w:val="00BB1922"/>
    <w:rsid w:val="00BB1F11"/>
    <w:rsid w:val="00BB2961"/>
    <w:rsid w:val="00BB296B"/>
    <w:rsid w:val="00BB2AF5"/>
    <w:rsid w:val="00BB3129"/>
    <w:rsid w:val="00BB3850"/>
    <w:rsid w:val="00BB3C9C"/>
    <w:rsid w:val="00BB3E7C"/>
    <w:rsid w:val="00BB41F3"/>
    <w:rsid w:val="00BB55D4"/>
    <w:rsid w:val="00BB628C"/>
    <w:rsid w:val="00BB66D7"/>
    <w:rsid w:val="00BB7133"/>
    <w:rsid w:val="00BB7574"/>
    <w:rsid w:val="00BC0662"/>
    <w:rsid w:val="00BC29D7"/>
    <w:rsid w:val="00BC32A0"/>
    <w:rsid w:val="00BC33EB"/>
    <w:rsid w:val="00BC3677"/>
    <w:rsid w:val="00BC6F43"/>
    <w:rsid w:val="00BC7E61"/>
    <w:rsid w:val="00BD08ED"/>
    <w:rsid w:val="00BD15A1"/>
    <w:rsid w:val="00BD1B91"/>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D71"/>
    <w:rsid w:val="00BD7346"/>
    <w:rsid w:val="00BE0A46"/>
    <w:rsid w:val="00BE0C61"/>
    <w:rsid w:val="00BE1B19"/>
    <w:rsid w:val="00BE2D14"/>
    <w:rsid w:val="00BE2F7B"/>
    <w:rsid w:val="00BE359F"/>
    <w:rsid w:val="00BE4311"/>
    <w:rsid w:val="00BE43DD"/>
    <w:rsid w:val="00BE4AC0"/>
    <w:rsid w:val="00BE4B82"/>
    <w:rsid w:val="00BE50D5"/>
    <w:rsid w:val="00BE6885"/>
    <w:rsid w:val="00BE74A1"/>
    <w:rsid w:val="00BF0498"/>
    <w:rsid w:val="00BF0AA1"/>
    <w:rsid w:val="00BF0C73"/>
    <w:rsid w:val="00BF17C6"/>
    <w:rsid w:val="00BF2136"/>
    <w:rsid w:val="00BF22AF"/>
    <w:rsid w:val="00BF3BEE"/>
    <w:rsid w:val="00BF43D6"/>
    <w:rsid w:val="00BF49B6"/>
    <w:rsid w:val="00BF7027"/>
    <w:rsid w:val="00BF7C30"/>
    <w:rsid w:val="00BF7D32"/>
    <w:rsid w:val="00C0035D"/>
    <w:rsid w:val="00C00911"/>
    <w:rsid w:val="00C00C29"/>
    <w:rsid w:val="00C011F4"/>
    <w:rsid w:val="00C01B67"/>
    <w:rsid w:val="00C01D00"/>
    <w:rsid w:val="00C025FA"/>
    <w:rsid w:val="00C026D4"/>
    <w:rsid w:val="00C02EAF"/>
    <w:rsid w:val="00C0348C"/>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23DD"/>
    <w:rsid w:val="00C13279"/>
    <w:rsid w:val="00C134D6"/>
    <w:rsid w:val="00C141BF"/>
    <w:rsid w:val="00C14F31"/>
    <w:rsid w:val="00C16243"/>
    <w:rsid w:val="00C167A4"/>
    <w:rsid w:val="00C17353"/>
    <w:rsid w:val="00C17A19"/>
    <w:rsid w:val="00C2050B"/>
    <w:rsid w:val="00C2051A"/>
    <w:rsid w:val="00C20780"/>
    <w:rsid w:val="00C20832"/>
    <w:rsid w:val="00C2100A"/>
    <w:rsid w:val="00C212B1"/>
    <w:rsid w:val="00C21BD6"/>
    <w:rsid w:val="00C21DA5"/>
    <w:rsid w:val="00C2287B"/>
    <w:rsid w:val="00C230A7"/>
    <w:rsid w:val="00C23229"/>
    <w:rsid w:val="00C23B9A"/>
    <w:rsid w:val="00C23EC2"/>
    <w:rsid w:val="00C24394"/>
    <w:rsid w:val="00C2496E"/>
    <w:rsid w:val="00C24E85"/>
    <w:rsid w:val="00C25C36"/>
    <w:rsid w:val="00C25CCA"/>
    <w:rsid w:val="00C25FAF"/>
    <w:rsid w:val="00C270D7"/>
    <w:rsid w:val="00C27137"/>
    <w:rsid w:val="00C27564"/>
    <w:rsid w:val="00C30C8F"/>
    <w:rsid w:val="00C318CA"/>
    <w:rsid w:val="00C31D8E"/>
    <w:rsid w:val="00C31E6F"/>
    <w:rsid w:val="00C328C2"/>
    <w:rsid w:val="00C33105"/>
    <w:rsid w:val="00C33CC1"/>
    <w:rsid w:val="00C33E5A"/>
    <w:rsid w:val="00C33FD7"/>
    <w:rsid w:val="00C34689"/>
    <w:rsid w:val="00C3497F"/>
    <w:rsid w:val="00C34A6D"/>
    <w:rsid w:val="00C34C85"/>
    <w:rsid w:val="00C35AE5"/>
    <w:rsid w:val="00C35D78"/>
    <w:rsid w:val="00C3697A"/>
    <w:rsid w:val="00C3749E"/>
    <w:rsid w:val="00C3790D"/>
    <w:rsid w:val="00C37B3C"/>
    <w:rsid w:val="00C37F52"/>
    <w:rsid w:val="00C41230"/>
    <w:rsid w:val="00C415C8"/>
    <w:rsid w:val="00C41601"/>
    <w:rsid w:val="00C41D22"/>
    <w:rsid w:val="00C438F5"/>
    <w:rsid w:val="00C43A50"/>
    <w:rsid w:val="00C44144"/>
    <w:rsid w:val="00C4499B"/>
    <w:rsid w:val="00C4499F"/>
    <w:rsid w:val="00C44C9E"/>
    <w:rsid w:val="00C44CC6"/>
    <w:rsid w:val="00C44D28"/>
    <w:rsid w:val="00C455F5"/>
    <w:rsid w:val="00C45C38"/>
    <w:rsid w:val="00C46436"/>
    <w:rsid w:val="00C46C30"/>
    <w:rsid w:val="00C47623"/>
    <w:rsid w:val="00C47852"/>
    <w:rsid w:val="00C50175"/>
    <w:rsid w:val="00C50944"/>
    <w:rsid w:val="00C50C67"/>
    <w:rsid w:val="00C51048"/>
    <w:rsid w:val="00C5237C"/>
    <w:rsid w:val="00C53D34"/>
    <w:rsid w:val="00C53F2A"/>
    <w:rsid w:val="00C5524B"/>
    <w:rsid w:val="00C55C93"/>
    <w:rsid w:val="00C55FA2"/>
    <w:rsid w:val="00C560CB"/>
    <w:rsid w:val="00C57958"/>
    <w:rsid w:val="00C60E05"/>
    <w:rsid w:val="00C61DD9"/>
    <w:rsid w:val="00C626AE"/>
    <w:rsid w:val="00C62E45"/>
    <w:rsid w:val="00C635ED"/>
    <w:rsid w:val="00C63B36"/>
    <w:rsid w:val="00C64400"/>
    <w:rsid w:val="00C65190"/>
    <w:rsid w:val="00C6564D"/>
    <w:rsid w:val="00C65FBE"/>
    <w:rsid w:val="00C660DD"/>
    <w:rsid w:val="00C66780"/>
    <w:rsid w:val="00C66921"/>
    <w:rsid w:val="00C66C7E"/>
    <w:rsid w:val="00C6726A"/>
    <w:rsid w:val="00C67A48"/>
    <w:rsid w:val="00C707D1"/>
    <w:rsid w:val="00C71753"/>
    <w:rsid w:val="00C72202"/>
    <w:rsid w:val="00C723B7"/>
    <w:rsid w:val="00C72709"/>
    <w:rsid w:val="00C74319"/>
    <w:rsid w:val="00C7537F"/>
    <w:rsid w:val="00C753CB"/>
    <w:rsid w:val="00C75C2B"/>
    <w:rsid w:val="00C75DA2"/>
    <w:rsid w:val="00C770BE"/>
    <w:rsid w:val="00C771F3"/>
    <w:rsid w:val="00C7758B"/>
    <w:rsid w:val="00C776BD"/>
    <w:rsid w:val="00C778B7"/>
    <w:rsid w:val="00C77D03"/>
    <w:rsid w:val="00C77E86"/>
    <w:rsid w:val="00C803BE"/>
    <w:rsid w:val="00C803D7"/>
    <w:rsid w:val="00C805E4"/>
    <w:rsid w:val="00C81240"/>
    <w:rsid w:val="00C81613"/>
    <w:rsid w:val="00C81FBF"/>
    <w:rsid w:val="00C82109"/>
    <w:rsid w:val="00C827D4"/>
    <w:rsid w:val="00C82C32"/>
    <w:rsid w:val="00C839DE"/>
    <w:rsid w:val="00C83BE6"/>
    <w:rsid w:val="00C83CE5"/>
    <w:rsid w:val="00C84D1F"/>
    <w:rsid w:val="00C858ED"/>
    <w:rsid w:val="00C86FD6"/>
    <w:rsid w:val="00C8764E"/>
    <w:rsid w:val="00C87DB4"/>
    <w:rsid w:val="00C87FF3"/>
    <w:rsid w:val="00C904FD"/>
    <w:rsid w:val="00C90AA5"/>
    <w:rsid w:val="00C92251"/>
    <w:rsid w:val="00C929C1"/>
    <w:rsid w:val="00C93076"/>
    <w:rsid w:val="00C9467E"/>
    <w:rsid w:val="00C94BFC"/>
    <w:rsid w:val="00C94FF6"/>
    <w:rsid w:val="00C9508B"/>
    <w:rsid w:val="00C95A55"/>
    <w:rsid w:val="00C968DB"/>
    <w:rsid w:val="00C97809"/>
    <w:rsid w:val="00CA19ED"/>
    <w:rsid w:val="00CA1A00"/>
    <w:rsid w:val="00CA1BF7"/>
    <w:rsid w:val="00CA1C7F"/>
    <w:rsid w:val="00CA2B5A"/>
    <w:rsid w:val="00CA30B0"/>
    <w:rsid w:val="00CA31AF"/>
    <w:rsid w:val="00CA3E06"/>
    <w:rsid w:val="00CA43FB"/>
    <w:rsid w:val="00CA4595"/>
    <w:rsid w:val="00CA65AD"/>
    <w:rsid w:val="00CA75B8"/>
    <w:rsid w:val="00CA7EB8"/>
    <w:rsid w:val="00CB0316"/>
    <w:rsid w:val="00CB0578"/>
    <w:rsid w:val="00CB1877"/>
    <w:rsid w:val="00CB1EC5"/>
    <w:rsid w:val="00CB253E"/>
    <w:rsid w:val="00CB2EE5"/>
    <w:rsid w:val="00CB4188"/>
    <w:rsid w:val="00CB52B8"/>
    <w:rsid w:val="00CB5381"/>
    <w:rsid w:val="00CB5A0E"/>
    <w:rsid w:val="00CB5FC7"/>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DD3"/>
    <w:rsid w:val="00CC664D"/>
    <w:rsid w:val="00CC735B"/>
    <w:rsid w:val="00CC7DA5"/>
    <w:rsid w:val="00CC7EB6"/>
    <w:rsid w:val="00CD0D27"/>
    <w:rsid w:val="00CD0E85"/>
    <w:rsid w:val="00CD181F"/>
    <w:rsid w:val="00CD211A"/>
    <w:rsid w:val="00CD25E6"/>
    <w:rsid w:val="00CD27E8"/>
    <w:rsid w:val="00CD2BF8"/>
    <w:rsid w:val="00CD2CE6"/>
    <w:rsid w:val="00CD2D2A"/>
    <w:rsid w:val="00CD34E4"/>
    <w:rsid w:val="00CD387E"/>
    <w:rsid w:val="00CD4AFC"/>
    <w:rsid w:val="00CD4B98"/>
    <w:rsid w:val="00CD561C"/>
    <w:rsid w:val="00CD5BC4"/>
    <w:rsid w:val="00CD5E0C"/>
    <w:rsid w:val="00CD6060"/>
    <w:rsid w:val="00CD60D2"/>
    <w:rsid w:val="00CD63B5"/>
    <w:rsid w:val="00CD7CFF"/>
    <w:rsid w:val="00CD7D25"/>
    <w:rsid w:val="00CD7F02"/>
    <w:rsid w:val="00CE048F"/>
    <w:rsid w:val="00CE0B5C"/>
    <w:rsid w:val="00CE1A2A"/>
    <w:rsid w:val="00CE1B2A"/>
    <w:rsid w:val="00CE4737"/>
    <w:rsid w:val="00CE4885"/>
    <w:rsid w:val="00CE4E51"/>
    <w:rsid w:val="00CE5354"/>
    <w:rsid w:val="00CE67D2"/>
    <w:rsid w:val="00CE6AC0"/>
    <w:rsid w:val="00CE6E78"/>
    <w:rsid w:val="00CE79A9"/>
    <w:rsid w:val="00CE7FD3"/>
    <w:rsid w:val="00CF02A2"/>
    <w:rsid w:val="00CF0D1A"/>
    <w:rsid w:val="00CF0D59"/>
    <w:rsid w:val="00CF0F60"/>
    <w:rsid w:val="00CF241F"/>
    <w:rsid w:val="00CF2858"/>
    <w:rsid w:val="00CF318C"/>
    <w:rsid w:val="00CF34DA"/>
    <w:rsid w:val="00CF35A0"/>
    <w:rsid w:val="00CF38FD"/>
    <w:rsid w:val="00CF3E8E"/>
    <w:rsid w:val="00CF3EA6"/>
    <w:rsid w:val="00CF3FF0"/>
    <w:rsid w:val="00CF46D3"/>
    <w:rsid w:val="00CF48C0"/>
    <w:rsid w:val="00CF4929"/>
    <w:rsid w:val="00CF5700"/>
    <w:rsid w:val="00CF5A41"/>
    <w:rsid w:val="00CF5EEC"/>
    <w:rsid w:val="00CF67E8"/>
    <w:rsid w:val="00CF6E69"/>
    <w:rsid w:val="00CF7790"/>
    <w:rsid w:val="00D0106B"/>
    <w:rsid w:val="00D0110D"/>
    <w:rsid w:val="00D017CC"/>
    <w:rsid w:val="00D01CB6"/>
    <w:rsid w:val="00D02162"/>
    <w:rsid w:val="00D025C9"/>
    <w:rsid w:val="00D028A2"/>
    <w:rsid w:val="00D03172"/>
    <w:rsid w:val="00D031C6"/>
    <w:rsid w:val="00D0350A"/>
    <w:rsid w:val="00D042F1"/>
    <w:rsid w:val="00D04335"/>
    <w:rsid w:val="00D0535C"/>
    <w:rsid w:val="00D058AB"/>
    <w:rsid w:val="00D06597"/>
    <w:rsid w:val="00D07445"/>
    <w:rsid w:val="00D1171A"/>
    <w:rsid w:val="00D11D13"/>
    <w:rsid w:val="00D12741"/>
    <w:rsid w:val="00D12BF9"/>
    <w:rsid w:val="00D14122"/>
    <w:rsid w:val="00D15BB5"/>
    <w:rsid w:val="00D1613F"/>
    <w:rsid w:val="00D16C15"/>
    <w:rsid w:val="00D230D9"/>
    <w:rsid w:val="00D23353"/>
    <w:rsid w:val="00D235A7"/>
    <w:rsid w:val="00D241D9"/>
    <w:rsid w:val="00D247D7"/>
    <w:rsid w:val="00D247DF"/>
    <w:rsid w:val="00D2510B"/>
    <w:rsid w:val="00D251E6"/>
    <w:rsid w:val="00D25CFB"/>
    <w:rsid w:val="00D26324"/>
    <w:rsid w:val="00D2667C"/>
    <w:rsid w:val="00D26E40"/>
    <w:rsid w:val="00D27591"/>
    <w:rsid w:val="00D2785F"/>
    <w:rsid w:val="00D278BC"/>
    <w:rsid w:val="00D300BB"/>
    <w:rsid w:val="00D306D1"/>
    <w:rsid w:val="00D308D6"/>
    <w:rsid w:val="00D30E6D"/>
    <w:rsid w:val="00D31421"/>
    <w:rsid w:val="00D317D0"/>
    <w:rsid w:val="00D325C7"/>
    <w:rsid w:val="00D32C4E"/>
    <w:rsid w:val="00D35614"/>
    <w:rsid w:val="00D358D2"/>
    <w:rsid w:val="00D35A29"/>
    <w:rsid w:val="00D36C79"/>
    <w:rsid w:val="00D36DD6"/>
    <w:rsid w:val="00D36E6F"/>
    <w:rsid w:val="00D36EA1"/>
    <w:rsid w:val="00D37234"/>
    <w:rsid w:val="00D377A2"/>
    <w:rsid w:val="00D37A5A"/>
    <w:rsid w:val="00D400F3"/>
    <w:rsid w:val="00D411E4"/>
    <w:rsid w:val="00D412A8"/>
    <w:rsid w:val="00D4197E"/>
    <w:rsid w:val="00D42347"/>
    <w:rsid w:val="00D4295A"/>
    <w:rsid w:val="00D42D96"/>
    <w:rsid w:val="00D43045"/>
    <w:rsid w:val="00D46170"/>
    <w:rsid w:val="00D47BAD"/>
    <w:rsid w:val="00D506AA"/>
    <w:rsid w:val="00D50900"/>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60099"/>
    <w:rsid w:val="00D60A7A"/>
    <w:rsid w:val="00D6208A"/>
    <w:rsid w:val="00D62193"/>
    <w:rsid w:val="00D62257"/>
    <w:rsid w:val="00D62442"/>
    <w:rsid w:val="00D62ADB"/>
    <w:rsid w:val="00D6300B"/>
    <w:rsid w:val="00D6405C"/>
    <w:rsid w:val="00D65C51"/>
    <w:rsid w:val="00D6634D"/>
    <w:rsid w:val="00D67FA8"/>
    <w:rsid w:val="00D70026"/>
    <w:rsid w:val="00D700E9"/>
    <w:rsid w:val="00D714EB"/>
    <w:rsid w:val="00D71CC7"/>
    <w:rsid w:val="00D71FB2"/>
    <w:rsid w:val="00D7226D"/>
    <w:rsid w:val="00D7261B"/>
    <w:rsid w:val="00D73AB0"/>
    <w:rsid w:val="00D74391"/>
    <w:rsid w:val="00D74516"/>
    <w:rsid w:val="00D74A7A"/>
    <w:rsid w:val="00D74DE6"/>
    <w:rsid w:val="00D75154"/>
    <w:rsid w:val="00D751CE"/>
    <w:rsid w:val="00D753E1"/>
    <w:rsid w:val="00D76089"/>
    <w:rsid w:val="00D7684C"/>
    <w:rsid w:val="00D76C15"/>
    <w:rsid w:val="00D81199"/>
    <w:rsid w:val="00D81759"/>
    <w:rsid w:val="00D81D6A"/>
    <w:rsid w:val="00D82213"/>
    <w:rsid w:val="00D82BDA"/>
    <w:rsid w:val="00D83B79"/>
    <w:rsid w:val="00D841BA"/>
    <w:rsid w:val="00D8772F"/>
    <w:rsid w:val="00D877FE"/>
    <w:rsid w:val="00D904DD"/>
    <w:rsid w:val="00D90C0E"/>
    <w:rsid w:val="00D911CA"/>
    <w:rsid w:val="00D9156B"/>
    <w:rsid w:val="00D91CA0"/>
    <w:rsid w:val="00D91D2E"/>
    <w:rsid w:val="00D92177"/>
    <w:rsid w:val="00D922BA"/>
    <w:rsid w:val="00D924D7"/>
    <w:rsid w:val="00D9306B"/>
    <w:rsid w:val="00D94577"/>
    <w:rsid w:val="00D94725"/>
    <w:rsid w:val="00D95B2E"/>
    <w:rsid w:val="00D96237"/>
    <w:rsid w:val="00D96AAE"/>
    <w:rsid w:val="00D96B0F"/>
    <w:rsid w:val="00D96BE8"/>
    <w:rsid w:val="00D96E07"/>
    <w:rsid w:val="00DA039D"/>
    <w:rsid w:val="00DA03F5"/>
    <w:rsid w:val="00DA1448"/>
    <w:rsid w:val="00DA23A2"/>
    <w:rsid w:val="00DA27D1"/>
    <w:rsid w:val="00DA288A"/>
    <w:rsid w:val="00DA3916"/>
    <w:rsid w:val="00DA3CE3"/>
    <w:rsid w:val="00DA3EDE"/>
    <w:rsid w:val="00DA4725"/>
    <w:rsid w:val="00DA5214"/>
    <w:rsid w:val="00DA55D7"/>
    <w:rsid w:val="00DB1747"/>
    <w:rsid w:val="00DB1C70"/>
    <w:rsid w:val="00DB2F0A"/>
    <w:rsid w:val="00DB3046"/>
    <w:rsid w:val="00DB3C29"/>
    <w:rsid w:val="00DB414A"/>
    <w:rsid w:val="00DB4D5B"/>
    <w:rsid w:val="00DB6622"/>
    <w:rsid w:val="00DB676B"/>
    <w:rsid w:val="00DB694B"/>
    <w:rsid w:val="00DB7286"/>
    <w:rsid w:val="00DB7539"/>
    <w:rsid w:val="00DB7628"/>
    <w:rsid w:val="00DB7A5E"/>
    <w:rsid w:val="00DB7EFC"/>
    <w:rsid w:val="00DC075C"/>
    <w:rsid w:val="00DC1798"/>
    <w:rsid w:val="00DC2C88"/>
    <w:rsid w:val="00DC2FCA"/>
    <w:rsid w:val="00DC3108"/>
    <w:rsid w:val="00DC3561"/>
    <w:rsid w:val="00DC3E59"/>
    <w:rsid w:val="00DC427C"/>
    <w:rsid w:val="00DC4C7A"/>
    <w:rsid w:val="00DC4EB6"/>
    <w:rsid w:val="00DC5EC6"/>
    <w:rsid w:val="00DC6A51"/>
    <w:rsid w:val="00DC6B5B"/>
    <w:rsid w:val="00DC6E43"/>
    <w:rsid w:val="00DC7762"/>
    <w:rsid w:val="00DC7C58"/>
    <w:rsid w:val="00DD0856"/>
    <w:rsid w:val="00DD1A67"/>
    <w:rsid w:val="00DD2991"/>
    <w:rsid w:val="00DD4816"/>
    <w:rsid w:val="00DD4C3D"/>
    <w:rsid w:val="00DD5B20"/>
    <w:rsid w:val="00DD6DB1"/>
    <w:rsid w:val="00DD6EF2"/>
    <w:rsid w:val="00DD70D1"/>
    <w:rsid w:val="00DD7F89"/>
    <w:rsid w:val="00DE0AAA"/>
    <w:rsid w:val="00DE1B78"/>
    <w:rsid w:val="00DE1FC0"/>
    <w:rsid w:val="00DE28C9"/>
    <w:rsid w:val="00DE2F6D"/>
    <w:rsid w:val="00DE36E2"/>
    <w:rsid w:val="00DE3863"/>
    <w:rsid w:val="00DE39BC"/>
    <w:rsid w:val="00DE3FF3"/>
    <w:rsid w:val="00DE4214"/>
    <w:rsid w:val="00DE433B"/>
    <w:rsid w:val="00DE4849"/>
    <w:rsid w:val="00DE5753"/>
    <w:rsid w:val="00DE5969"/>
    <w:rsid w:val="00DE5EDD"/>
    <w:rsid w:val="00DE64D3"/>
    <w:rsid w:val="00DE6738"/>
    <w:rsid w:val="00DE697D"/>
    <w:rsid w:val="00DE6EC8"/>
    <w:rsid w:val="00DE6F01"/>
    <w:rsid w:val="00DE740F"/>
    <w:rsid w:val="00DF0553"/>
    <w:rsid w:val="00DF0908"/>
    <w:rsid w:val="00DF0991"/>
    <w:rsid w:val="00DF0D95"/>
    <w:rsid w:val="00DF19A7"/>
    <w:rsid w:val="00DF2CBC"/>
    <w:rsid w:val="00DF32CA"/>
    <w:rsid w:val="00DF3402"/>
    <w:rsid w:val="00DF470E"/>
    <w:rsid w:val="00DF4FD8"/>
    <w:rsid w:val="00DF50B2"/>
    <w:rsid w:val="00DF5D3C"/>
    <w:rsid w:val="00DF5FAD"/>
    <w:rsid w:val="00DF5FE5"/>
    <w:rsid w:val="00DF6729"/>
    <w:rsid w:val="00DF7E08"/>
    <w:rsid w:val="00DF7E59"/>
    <w:rsid w:val="00E0114C"/>
    <w:rsid w:val="00E018C3"/>
    <w:rsid w:val="00E02A5D"/>
    <w:rsid w:val="00E02B44"/>
    <w:rsid w:val="00E0349F"/>
    <w:rsid w:val="00E0397A"/>
    <w:rsid w:val="00E03DB3"/>
    <w:rsid w:val="00E04DFF"/>
    <w:rsid w:val="00E05865"/>
    <w:rsid w:val="00E0615B"/>
    <w:rsid w:val="00E06BC6"/>
    <w:rsid w:val="00E06CFF"/>
    <w:rsid w:val="00E06D81"/>
    <w:rsid w:val="00E0713A"/>
    <w:rsid w:val="00E07540"/>
    <w:rsid w:val="00E07C6B"/>
    <w:rsid w:val="00E10627"/>
    <w:rsid w:val="00E10C5A"/>
    <w:rsid w:val="00E10DCE"/>
    <w:rsid w:val="00E113B6"/>
    <w:rsid w:val="00E12536"/>
    <w:rsid w:val="00E12F28"/>
    <w:rsid w:val="00E13582"/>
    <w:rsid w:val="00E13C6E"/>
    <w:rsid w:val="00E13D12"/>
    <w:rsid w:val="00E1450F"/>
    <w:rsid w:val="00E1457B"/>
    <w:rsid w:val="00E14592"/>
    <w:rsid w:val="00E1467B"/>
    <w:rsid w:val="00E14705"/>
    <w:rsid w:val="00E1493C"/>
    <w:rsid w:val="00E1511F"/>
    <w:rsid w:val="00E1663D"/>
    <w:rsid w:val="00E1670D"/>
    <w:rsid w:val="00E1752D"/>
    <w:rsid w:val="00E1796E"/>
    <w:rsid w:val="00E17C26"/>
    <w:rsid w:val="00E202C9"/>
    <w:rsid w:val="00E20417"/>
    <w:rsid w:val="00E2119A"/>
    <w:rsid w:val="00E218F4"/>
    <w:rsid w:val="00E21BBA"/>
    <w:rsid w:val="00E21F2E"/>
    <w:rsid w:val="00E21FDD"/>
    <w:rsid w:val="00E22E6C"/>
    <w:rsid w:val="00E23140"/>
    <w:rsid w:val="00E23680"/>
    <w:rsid w:val="00E241A4"/>
    <w:rsid w:val="00E24DCE"/>
    <w:rsid w:val="00E25021"/>
    <w:rsid w:val="00E250C2"/>
    <w:rsid w:val="00E252BC"/>
    <w:rsid w:val="00E25D36"/>
    <w:rsid w:val="00E264BC"/>
    <w:rsid w:val="00E26783"/>
    <w:rsid w:val="00E268E5"/>
    <w:rsid w:val="00E27071"/>
    <w:rsid w:val="00E30D01"/>
    <w:rsid w:val="00E31CA7"/>
    <w:rsid w:val="00E31D49"/>
    <w:rsid w:val="00E32078"/>
    <w:rsid w:val="00E3258B"/>
    <w:rsid w:val="00E327B0"/>
    <w:rsid w:val="00E328FB"/>
    <w:rsid w:val="00E32B26"/>
    <w:rsid w:val="00E33343"/>
    <w:rsid w:val="00E33D78"/>
    <w:rsid w:val="00E3699F"/>
    <w:rsid w:val="00E36CC5"/>
    <w:rsid w:val="00E3723D"/>
    <w:rsid w:val="00E40780"/>
    <w:rsid w:val="00E412F6"/>
    <w:rsid w:val="00E4132C"/>
    <w:rsid w:val="00E41B95"/>
    <w:rsid w:val="00E42004"/>
    <w:rsid w:val="00E42221"/>
    <w:rsid w:val="00E4253A"/>
    <w:rsid w:val="00E42D59"/>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2B0"/>
    <w:rsid w:val="00E5241C"/>
    <w:rsid w:val="00E53062"/>
    <w:rsid w:val="00E530B6"/>
    <w:rsid w:val="00E53AB5"/>
    <w:rsid w:val="00E55161"/>
    <w:rsid w:val="00E5558C"/>
    <w:rsid w:val="00E55A79"/>
    <w:rsid w:val="00E561CF"/>
    <w:rsid w:val="00E562C7"/>
    <w:rsid w:val="00E566DE"/>
    <w:rsid w:val="00E575FE"/>
    <w:rsid w:val="00E57F7D"/>
    <w:rsid w:val="00E60560"/>
    <w:rsid w:val="00E62648"/>
    <w:rsid w:val="00E62D38"/>
    <w:rsid w:val="00E6320F"/>
    <w:rsid w:val="00E6335B"/>
    <w:rsid w:val="00E633B4"/>
    <w:rsid w:val="00E6340F"/>
    <w:rsid w:val="00E639C5"/>
    <w:rsid w:val="00E64823"/>
    <w:rsid w:val="00E64959"/>
    <w:rsid w:val="00E654F3"/>
    <w:rsid w:val="00E660BD"/>
    <w:rsid w:val="00E66620"/>
    <w:rsid w:val="00E66703"/>
    <w:rsid w:val="00E66782"/>
    <w:rsid w:val="00E679F7"/>
    <w:rsid w:val="00E70017"/>
    <w:rsid w:val="00E7036F"/>
    <w:rsid w:val="00E70E55"/>
    <w:rsid w:val="00E71795"/>
    <w:rsid w:val="00E72EED"/>
    <w:rsid w:val="00E731FD"/>
    <w:rsid w:val="00E736A1"/>
    <w:rsid w:val="00E73E15"/>
    <w:rsid w:val="00E73EDC"/>
    <w:rsid w:val="00E744A5"/>
    <w:rsid w:val="00E74D58"/>
    <w:rsid w:val="00E74FB8"/>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4D6"/>
    <w:rsid w:val="00E82765"/>
    <w:rsid w:val="00E84183"/>
    <w:rsid w:val="00E84916"/>
    <w:rsid w:val="00E86033"/>
    <w:rsid w:val="00E860FB"/>
    <w:rsid w:val="00E86325"/>
    <w:rsid w:val="00E86489"/>
    <w:rsid w:val="00E868E9"/>
    <w:rsid w:val="00E87AF3"/>
    <w:rsid w:val="00E87DF6"/>
    <w:rsid w:val="00E87E06"/>
    <w:rsid w:val="00E90D55"/>
    <w:rsid w:val="00E91D5D"/>
    <w:rsid w:val="00E91DBE"/>
    <w:rsid w:val="00E922B1"/>
    <w:rsid w:val="00E92BC1"/>
    <w:rsid w:val="00E93D79"/>
    <w:rsid w:val="00E941DA"/>
    <w:rsid w:val="00E94437"/>
    <w:rsid w:val="00E944BF"/>
    <w:rsid w:val="00E948F1"/>
    <w:rsid w:val="00E963D2"/>
    <w:rsid w:val="00E9685D"/>
    <w:rsid w:val="00E97864"/>
    <w:rsid w:val="00E97B78"/>
    <w:rsid w:val="00EA03B7"/>
    <w:rsid w:val="00EA059C"/>
    <w:rsid w:val="00EA0B59"/>
    <w:rsid w:val="00EA153E"/>
    <w:rsid w:val="00EA1B16"/>
    <w:rsid w:val="00EA1E30"/>
    <w:rsid w:val="00EA1EC8"/>
    <w:rsid w:val="00EA2767"/>
    <w:rsid w:val="00EA2CC1"/>
    <w:rsid w:val="00EA41DE"/>
    <w:rsid w:val="00EA43C2"/>
    <w:rsid w:val="00EA44DD"/>
    <w:rsid w:val="00EA48C7"/>
    <w:rsid w:val="00EA646F"/>
    <w:rsid w:val="00EA69A7"/>
    <w:rsid w:val="00EA6A68"/>
    <w:rsid w:val="00EA75B5"/>
    <w:rsid w:val="00EB040B"/>
    <w:rsid w:val="00EB0A9F"/>
    <w:rsid w:val="00EB0EC6"/>
    <w:rsid w:val="00EB0F13"/>
    <w:rsid w:val="00EB13DD"/>
    <w:rsid w:val="00EB1A3F"/>
    <w:rsid w:val="00EB1A5E"/>
    <w:rsid w:val="00EB1DBC"/>
    <w:rsid w:val="00EB2601"/>
    <w:rsid w:val="00EB343C"/>
    <w:rsid w:val="00EB37EF"/>
    <w:rsid w:val="00EB409E"/>
    <w:rsid w:val="00EB561A"/>
    <w:rsid w:val="00EB5773"/>
    <w:rsid w:val="00EB61BB"/>
    <w:rsid w:val="00EB6B93"/>
    <w:rsid w:val="00EB7361"/>
    <w:rsid w:val="00EB7E9E"/>
    <w:rsid w:val="00EB7F8B"/>
    <w:rsid w:val="00EC0142"/>
    <w:rsid w:val="00EC0252"/>
    <w:rsid w:val="00EC0D03"/>
    <w:rsid w:val="00EC106F"/>
    <w:rsid w:val="00EC2961"/>
    <w:rsid w:val="00EC2F09"/>
    <w:rsid w:val="00EC33D8"/>
    <w:rsid w:val="00EC363D"/>
    <w:rsid w:val="00EC402C"/>
    <w:rsid w:val="00EC4079"/>
    <w:rsid w:val="00EC4421"/>
    <w:rsid w:val="00EC4A20"/>
    <w:rsid w:val="00EC4D0B"/>
    <w:rsid w:val="00EC4E45"/>
    <w:rsid w:val="00EC4E62"/>
    <w:rsid w:val="00EC585B"/>
    <w:rsid w:val="00EC641B"/>
    <w:rsid w:val="00EC68C1"/>
    <w:rsid w:val="00EC6A5B"/>
    <w:rsid w:val="00EC6EB2"/>
    <w:rsid w:val="00EC6F5C"/>
    <w:rsid w:val="00EC7944"/>
    <w:rsid w:val="00ED0B35"/>
    <w:rsid w:val="00ED0D4A"/>
    <w:rsid w:val="00ED1212"/>
    <w:rsid w:val="00ED169B"/>
    <w:rsid w:val="00ED1D21"/>
    <w:rsid w:val="00ED2B5D"/>
    <w:rsid w:val="00ED3C00"/>
    <w:rsid w:val="00ED49EB"/>
    <w:rsid w:val="00ED4B24"/>
    <w:rsid w:val="00ED4DA5"/>
    <w:rsid w:val="00ED5E5C"/>
    <w:rsid w:val="00ED748C"/>
    <w:rsid w:val="00ED7955"/>
    <w:rsid w:val="00ED7993"/>
    <w:rsid w:val="00ED7D25"/>
    <w:rsid w:val="00ED7E92"/>
    <w:rsid w:val="00ED7FB9"/>
    <w:rsid w:val="00EE0BD5"/>
    <w:rsid w:val="00EE1369"/>
    <w:rsid w:val="00EE1802"/>
    <w:rsid w:val="00EE1B13"/>
    <w:rsid w:val="00EE1FB9"/>
    <w:rsid w:val="00EE222E"/>
    <w:rsid w:val="00EE243E"/>
    <w:rsid w:val="00EE2E60"/>
    <w:rsid w:val="00EE354D"/>
    <w:rsid w:val="00EE3B5C"/>
    <w:rsid w:val="00EE54F4"/>
    <w:rsid w:val="00EE5985"/>
    <w:rsid w:val="00EE5C54"/>
    <w:rsid w:val="00EE6C2D"/>
    <w:rsid w:val="00EE762F"/>
    <w:rsid w:val="00EE79BA"/>
    <w:rsid w:val="00EE7A9A"/>
    <w:rsid w:val="00EF01C4"/>
    <w:rsid w:val="00EF05FF"/>
    <w:rsid w:val="00EF0D21"/>
    <w:rsid w:val="00EF0FF3"/>
    <w:rsid w:val="00EF1143"/>
    <w:rsid w:val="00EF1341"/>
    <w:rsid w:val="00EF1793"/>
    <w:rsid w:val="00EF1D62"/>
    <w:rsid w:val="00EF20D9"/>
    <w:rsid w:val="00EF33C3"/>
    <w:rsid w:val="00EF3C5A"/>
    <w:rsid w:val="00EF3CE4"/>
    <w:rsid w:val="00EF4489"/>
    <w:rsid w:val="00EF455F"/>
    <w:rsid w:val="00EF4676"/>
    <w:rsid w:val="00EF4ABB"/>
    <w:rsid w:val="00EF4CC1"/>
    <w:rsid w:val="00EF4F4B"/>
    <w:rsid w:val="00EF5054"/>
    <w:rsid w:val="00EF6482"/>
    <w:rsid w:val="00EF6CAD"/>
    <w:rsid w:val="00EF76C7"/>
    <w:rsid w:val="00EF7EF1"/>
    <w:rsid w:val="00F00928"/>
    <w:rsid w:val="00F00E7C"/>
    <w:rsid w:val="00F01467"/>
    <w:rsid w:val="00F01D65"/>
    <w:rsid w:val="00F023E8"/>
    <w:rsid w:val="00F02632"/>
    <w:rsid w:val="00F02B2D"/>
    <w:rsid w:val="00F02D3A"/>
    <w:rsid w:val="00F02E5F"/>
    <w:rsid w:val="00F04677"/>
    <w:rsid w:val="00F048E7"/>
    <w:rsid w:val="00F04B3A"/>
    <w:rsid w:val="00F050A0"/>
    <w:rsid w:val="00F06360"/>
    <w:rsid w:val="00F06B17"/>
    <w:rsid w:val="00F06B41"/>
    <w:rsid w:val="00F07267"/>
    <w:rsid w:val="00F10D43"/>
    <w:rsid w:val="00F117FC"/>
    <w:rsid w:val="00F1248A"/>
    <w:rsid w:val="00F13DD3"/>
    <w:rsid w:val="00F147E3"/>
    <w:rsid w:val="00F149EA"/>
    <w:rsid w:val="00F14BDE"/>
    <w:rsid w:val="00F15814"/>
    <w:rsid w:val="00F158E2"/>
    <w:rsid w:val="00F15A30"/>
    <w:rsid w:val="00F16248"/>
    <w:rsid w:val="00F16BEF"/>
    <w:rsid w:val="00F1743D"/>
    <w:rsid w:val="00F175A6"/>
    <w:rsid w:val="00F176E7"/>
    <w:rsid w:val="00F17F1B"/>
    <w:rsid w:val="00F20F49"/>
    <w:rsid w:val="00F2187F"/>
    <w:rsid w:val="00F2207E"/>
    <w:rsid w:val="00F22A21"/>
    <w:rsid w:val="00F22E3C"/>
    <w:rsid w:val="00F22E5D"/>
    <w:rsid w:val="00F23588"/>
    <w:rsid w:val="00F237C2"/>
    <w:rsid w:val="00F23808"/>
    <w:rsid w:val="00F23D7E"/>
    <w:rsid w:val="00F23F31"/>
    <w:rsid w:val="00F254EB"/>
    <w:rsid w:val="00F25857"/>
    <w:rsid w:val="00F25C8C"/>
    <w:rsid w:val="00F27C7C"/>
    <w:rsid w:val="00F30731"/>
    <w:rsid w:val="00F30997"/>
    <w:rsid w:val="00F30CF4"/>
    <w:rsid w:val="00F31641"/>
    <w:rsid w:val="00F32216"/>
    <w:rsid w:val="00F3227A"/>
    <w:rsid w:val="00F32E31"/>
    <w:rsid w:val="00F337FE"/>
    <w:rsid w:val="00F33DE2"/>
    <w:rsid w:val="00F33E60"/>
    <w:rsid w:val="00F3456C"/>
    <w:rsid w:val="00F3461D"/>
    <w:rsid w:val="00F346CC"/>
    <w:rsid w:val="00F35391"/>
    <w:rsid w:val="00F35472"/>
    <w:rsid w:val="00F3729E"/>
    <w:rsid w:val="00F37AB3"/>
    <w:rsid w:val="00F37EB9"/>
    <w:rsid w:val="00F40088"/>
    <w:rsid w:val="00F410A3"/>
    <w:rsid w:val="00F410E1"/>
    <w:rsid w:val="00F4158C"/>
    <w:rsid w:val="00F4242E"/>
    <w:rsid w:val="00F42519"/>
    <w:rsid w:val="00F43861"/>
    <w:rsid w:val="00F4395C"/>
    <w:rsid w:val="00F43BC7"/>
    <w:rsid w:val="00F454CF"/>
    <w:rsid w:val="00F45E54"/>
    <w:rsid w:val="00F4611C"/>
    <w:rsid w:val="00F46BBA"/>
    <w:rsid w:val="00F47ECC"/>
    <w:rsid w:val="00F50151"/>
    <w:rsid w:val="00F50AE2"/>
    <w:rsid w:val="00F51020"/>
    <w:rsid w:val="00F51378"/>
    <w:rsid w:val="00F51B78"/>
    <w:rsid w:val="00F52974"/>
    <w:rsid w:val="00F53AD4"/>
    <w:rsid w:val="00F54965"/>
    <w:rsid w:val="00F54B1C"/>
    <w:rsid w:val="00F5551D"/>
    <w:rsid w:val="00F56971"/>
    <w:rsid w:val="00F574B6"/>
    <w:rsid w:val="00F57775"/>
    <w:rsid w:val="00F578E0"/>
    <w:rsid w:val="00F579E6"/>
    <w:rsid w:val="00F57EE7"/>
    <w:rsid w:val="00F60E8B"/>
    <w:rsid w:val="00F6108E"/>
    <w:rsid w:val="00F61472"/>
    <w:rsid w:val="00F61C9F"/>
    <w:rsid w:val="00F61CC9"/>
    <w:rsid w:val="00F622F8"/>
    <w:rsid w:val="00F632A5"/>
    <w:rsid w:val="00F634F8"/>
    <w:rsid w:val="00F6369B"/>
    <w:rsid w:val="00F637B8"/>
    <w:rsid w:val="00F64843"/>
    <w:rsid w:val="00F65353"/>
    <w:rsid w:val="00F65648"/>
    <w:rsid w:val="00F65A38"/>
    <w:rsid w:val="00F66115"/>
    <w:rsid w:val="00F66B6E"/>
    <w:rsid w:val="00F67172"/>
    <w:rsid w:val="00F6757B"/>
    <w:rsid w:val="00F67D79"/>
    <w:rsid w:val="00F70007"/>
    <w:rsid w:val="00F70C04"/>
    <w:rsid w:val="00F70FCE"/>
    <w:rsid w:val="00F71398"/>
    <w:rsid w:val="00F71BE6"/>
    <w:rsid w:val="00F7239B"/>
    <w:rsid w:val="00F724B9"/>
    <w:rsid w:val="00F73C5A"/>
    <w:rsid w:val="00F740DE"/>
    <w:rsid w:val="00F74406"/>
    <w:rsid w:val="00F7474E"/>
    <w:rsid w:val="00F75362"/>
    <w:rsid w:val="00F763BD"/>
    <w:rsid w:val="00F76899"/>
    <w:rsid w:val="00F77939"/>
    <w:rsid w:val="00F77B8F"/>
    <w:rsid w:val="00F80515"/>
    <w:rsid w:val="00F80954"/>
    <w:rsid w:val="00F8215E"/>
    <w:rsid w:val="00F8256E"/>
    <w:rsid w:val="00F828E9"/>
    <w:rsid w:val="00F82A23"/>
    <w:rsid w:val="00F82CAE"/>
    <w:rsid w:val="00F82FB3"/>
    <w:rsid w:val="00F83300"/>
    <w:rsid w:val="00F84058"/>
    <w:rsid w:val="00F8406F"/>
    <w:rsid w:val="00F84542"/>
    <w:rsid w:val="00F84BC1"/>
    <w:rsid w:val="00F851F3"/>
    <w:rsid w:val="00F85DCC"/>
    <w:rsid w:val="00F865F8"/>
    <w:rsid w:val="00F86820"/>
    <w:rsid w:val="00F86EE3"/>
    <w:rsid w:val="00F87055"/>
    <w:rsid w:val="00F8730A"/>
    <w:rsid w:val="00F9014E"/>
    <w:rsid w:val="00F90359"/>
    <w:rsid w:val="00F907B3"/>
    <w:rsid w:val="00F908A2"/>
    <w:rsid w:val="00F9094A"/>
    <w:rsid w:val="00F90BDB"/>
    <w:rsid w:val="00F91435"/>
    <w:rsid w:val="00F91509"/>
    <w:rsid w:val="00F91885"/>
    <w:rsid w:val="00F92025"/>
    <w:rsid w:val="00F93FB2"/>
    <w:rsid w:val="00F9418C"/>
    <w:rsid w:val="00F94464"/>
    <w:rsid w:val="00F94697"/>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35BE"/>
    <w:rsid w:val="00FA36EF"/>
    <w:rsid w:val="00FA3F84"/>
    <w:rsid w:val="00FA4C6E"/>
    <w:rsid w:val="00FA550B"/>
    <w:rsid w:val="00FA5928"/>
    <w:rsid w:val="00FA623F"/>
    <w:rsid w:val="00FA79CE"/>
    <w:rsid w:val="00FA7B46"/>
    <w:rsid w:val="00FB02CC"/>
    <w:rsid w:val="00FB22E5"/>
    <w:rsid w:val="00FB3AC4"/>
    <w:rsid w:val="00FB3CDB"/>
    <w:rsid w:val="00FB4279"/>
    <w:rsid w:val="00FB4330"/>
    <w:rsid w:val="00FB45C5"/>
    <w:rsid w:val="00FB4F38"/>
    <w:rsid w:val="00FB5381"/>
    <w:rsid w:val="00FB552D"/>
    <w:rsid w:val="00FB6A7D"/>
    <w:rsid w:val="00FC0159"/>
    <w:rsid w:val="00FC03C5"/>
    <w:rsid w:val="00FC0A77"/>
    <w:rsid w:val="00FC101B"/>
    <w:rsid w:val="00FC18D0"/>
    <w:rsid w:val="00FC2324"/>
    <w:rsid w:val="00FC2B8E"/>
    <w:rsid w:val="00FC3779"/>
    <w:rsid w:val="00FC384C"/>
    <w:rsid w:val="00FC3A77"/>
    <w:rsid w:val="00FC3C23"/>
    <w:rsid w:val="00FC42C9"/>
    <w:rsid w:val="00FC4550"/>
    <w:rsid w:val="00FC4EEF"/>
    <w:rsid w:val="00FC4F80"/>
    <w:rsid w:val="00FC5125"/>
    <w:rsid w:val="00FC51FF"/>
    <w:rsid w:val="00FC5E52"/>
    <w:rsid w:val="00FC5FB4"/>
    <w:rsid w:val="00FC6544"/>
    <w:rsid w:val="00FC6EB7"/>
    <w:rsid w:val="00FC7D61"/>
    <w:rsid w:val="00FD0264"/>
    <w:rsid w:val="00FD0D02"/>
    <w:rsid w:val="00FD109E"/>
    <w:rsid w:val="00FD1524"/>
    <w:rsid w:val="00FD2443"/>
    <w:rsid w:val="00FD3B6B"/>
    <w:rsid w:val="00FD479E"/>
    <w:rsid w:val="00FD47D1"/>
    <w:rsid w:val="00FD4D08"/>
    <w:rsid w:val="00FD57F3"/>
    <w:rsid w:val="00FD5ADC"/>
    <w:rsid w:val="00FD5FB3"/>
    <w:rsid w:val="00FD79E2"/>
    <w:rsid w:val="00FD7A43"/>
    <w:rsid w:val="00FD7DDA"/>
    <w:rsid w:val="00FE01BF"/>
    <w:rsid w:val="00FE1E9F"/>
    <w:rsid w:val="00FE3134"/>
    <w:rsid w:val="00FE45A3"/>
    <w:rsid w:val="00FE6D74"/>
    <w:rsid w:val="00FE790F"/>
    <w:rsid w:val="00FF0833"/>
    <w:rsid w:val="00FF0CE8"/>
    <w:rsid w:val="00FF129C"/>
    <w:rsid w:val="00FF1EC8"/>
    <w:rsid w:val="00FF23F0"/>
    <w:rsid w:val="00FF2C74"/>
    <w:rsid w:val="00FF2FA1"/>
    <w:rsid w:val="00FF48BE"/>
    <w:rsid w:val="00FF50AE"/>
    <w:rsid w:val="00FF50CA"/>
    <w:rsid w:val="00FF51DF"/>
    <w:rsid w:val="00FF5E97"/>
    <w:rsid w:val="00FF61B0"/>
    <w:rsid w:val="00FF61FF"/>
    <w:rsid w:val="00FF6F65"/>
    <w:rsid w:val="00FF720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CEE"/>
    <w:rPr>
      <w:sz w:val="24"/>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rFonts w:asciiTheme="minorHAnsi" w:hAnsiTheme="minorHAnsi"/>
      <w:b/>
      <w:bCs/>
      <w:sz w:val="32"/>
      <w:lang w:val="en-AU" w:bidi="ar-SA"/>
    </w:rPr>
  </w:style>
  <w:style w:type="paragraph" w:styleId="Heading2">
    <w:name w:val="heading 2"/>
    <w:basedOn w:val="Normal"/>
    <w:next w:val="Normal"/>
    <w:link w:val="Heading2Char"/>
    <w:qFormat/>
    <w:rsid w:val="00660CD0"/>
    <w:pPr>
      <w:keepNext/>
      <w:tabs>
        <w:tab w:val="left" w:pos="425"/>
      </w:tabs>
      <w:spacing w:before="240" w:after="120"/>
      <w:outlineLvl w:val="1"/>
    </w:pPr>
    <w:rPr>
      <w:rFonts w:asciiTheme="minorHAnsi" w:hAnsiTheme="minorHAnsi"/>
      <w:b/>
      <w:iCs/>
      <w:lang w:val="en-AU" w:bidi="ar-SA"/>
    </w:rPr>
  </w:style>
  <w:style w:type="paragraph" w:styleId="Heading3">
    <w:name w:val="heading 3"/>
    <w:basedOn w:val="Normal"/>
    <w:next w:val="Normal"/>
    <w:link w:val="Heading3Char"/>
    <w:qFormat/>
    <w:rsid w:val="00660CD0"/>
    <w:pPr>
      <w:keepNext/>
      <w:tabs>
        <w:tab w:val="left" w:pos="425"/>
        <w:tab w:val="left" w:pos="567"/>
      </w:tabs>
      <w:spacing w:before="120"/>
      <w:outlineLvl w:val="2"/>
    </w:pPr>
    <w:rPr>
      <w:rFonts w:asciiTheme="minorHAnsi" w:hAnsiTheme="minorHAnsi" w:cs="Arial"/>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 w:val="22"/>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660CD0"/>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980246"/>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data$\Education\DHB%20Reports\2012%20Jul%20to%20Dec\Graphs%20for%20all%20reports%20-%20July%20to%20Dec%202012%20(with%20only%205%20year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data$\Education\DHB%20Reports\2012%20Jul%20to%20Dec\Other%20supporting%20documents\Graphs%20for%20all%20reports%20-%20July%20to%20Dec%202012%20(with%20only%205%20year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data$\Education\DHB%20Reports\2012%20Jul%20to%20Dec\Graphs%20for%20all%20reports%20-%20July%20to%20Dec%202012%20(with%20only%205%20year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NZ"/>
  <c:style val="7"/>
  <c:chart>
    <c:title>
      <c:tx>
        <c:rich>
          <a:bodyPr/>
          <a:lstStyle/>
          <a:p>
            <a:pPr algn="ctr">
              <a:defRPr lang="en-NZ" sz="1200"/>
            </a:pPr>
            <a:r>
              <a:rPr lang="en-US" sz="1200"/>
              <a:t>All District Health Boards</a:t>
            </a:r>
            <a:endParaRPr lang="en-NZ" sz="1200"/>
          </a:p>
          <a:p>
            <a:pPr algn="ctr">
              <a:defRPr lang="en-NZ" sz="1200"/>
            </a:pPr>
            <a:r>
              <a:rPr lang="en-NZ" sz="1200"/>
              <a:t>Rate of complaints received (per 100,000 discharges)</a:t>
            </a:r>
          </a:p>
          <a:p>
            <a:pPr algn="ctr">
              <a:defRPr lang="en-NZ" sz="1200"/>
            </a:pPr>
            <a:r>
              <a:rPr lang="en-NZ" sz="1200"/>
              <a:t> by time period</a:t>
            </a:r>
          </a:p>
        </c:rich>
      </c:tx>
      <c:layout>
        <c:manualLayout>
          <c:xMode val="edge"/>
          <c:yMode val="edge"/>
          <c:x val="0.28724968256887001"/>
          <c:y val="2.0693075219458661E-3"/>
        </c:manualLayout>
      </c:layout>
    </c:title>
    <c:plotArea>
      <c:layout/>
      <c:lineChart>
        <c:grouping val="standard"/>
        <c:ser>
          <c:idx val="0"/>
          <c:order val="0"/>
          <c:tx>
            <c:strRef>
              <c:f>'Rate of compls rece-Fig 1(USE)'!$A$6</c:f>
              <c:strCache>
                <c:ptCount val="1"/>
                <c:pt idx="0">
                  <c:v>Rate per 100,000 discharges</c:v>
                </c:pt>
              </c:strCache>
            </c:strRef>
          </c:tx>
          <c:spPr>
            <a:ln w="25400" cap="flat" cmpd="sng" algn="ctr">
              <a:solidFill>
                <a:schemeClr val="accent5">
                  <a:shade val="50000"/>
                </a:schemeClr>
              </a:solidFill>
              <a:prstDash val="solid"/>
            </a:ln>
            <a:effectLst/>
          </c:spPr>
          <c:marker>
            <c:spPr>
              <a:solidFill>
                <a:schemeClr val="accent5"/>
              </a:solidFill>
              <a:ln w="25400" cap="flat" cmpd="sng" algn="ctr">
                <a:solidFill>
                  <a:schemeClr val="accent5">
                    <a:shade val="50000"/>
                  </a:schemeClr>
                </a:solidFill>
                <a:prstDash val="solid"/>
              </a:ln>
              <a:effectLst/>
            </c:spPr>
          </c:marker>
          <c:cat>
            <c:strRef>
              <c:f>'Rate of compls rece-Fig 1(USE)'!$B$5:$K$5</c:f>
              <c:strCache>
                <c:ptCount val="10"/>
                <c:pt idx="0">
                  <c:v>Jan–Jun 08</c:v>
                </c:pt>
                <c:pt idx="1">
                  <c:v>Jul–Dec 08</c:v>
                </c:pt>
                <c:pt idx="2">
                  <c:v>Jan–Jun 09</c:v>
                </c:pt>
                <c:pt idx="3">
                  <c:v>Jul–Dec 09</c:v>
                </c:pt>
                <c:pt idx="4">
                  <c:v>Jan–Jun 10</c:v>
                </c:pt>
                <c:pt idx="5">
                  <c:v>Jul–Dec 10</c:v>
                </c:pt>
                <c:pt idx="6">
                  <c:v>Jan-Jun 11</c:v>
                </c:pt>
                <c:pt idx="7">
                  <c:v>Jul-Dec 11</c:v>
                </c:pt>
                <c:pt idx="8">
                  <c:v>Jan-Jun 12</c:v>
                </c:pt>
                <c:pt idx="9">
                  <c:v>Jul-Dec 12</c:v>
                </c:pt>
              </c:strCache>
            </c:strRef>
          </c:cat>
          <c:val>
            <c:numRef>
              <c:f>'Rate of compls rece-Fig 1(USE)'!$B$6:$K$6</c:f>
              <c:numCache>
                <c:formatCode>0.00</c:formatCode>
                <c:ptCount val="10"/>
                <c:pt idx="0">
                  <c:v>65.39</c:v>
                </c:pt>
                <c:pt idx="1">
                  <c:v>55.86</c:v>
                </c:pt>
                <c:pt idx="2">
                  <c:v>55.99</c:v>
                </c:pt>
                <c:pt idx="3">
                  <c:v>61.63</c:v>
                </c:pt>
                <c:pt idx="4">
                  <c:v>60.190000000000012</c:v>
                </c:pt>
                <c:pt idx="5">
                  <c:v>57.160000000000011</c:v>
                </c:pt>
                <c:pt idx="6">
                  <c:v>62.48</c:v>
                </c:pt>
                <c:pt idx="7">
                  <c:v>55.86</c:v>
                </c:pt>
                <c:pt idx="8">
                  <c:v>80.22</c:v>
                </c:pt>
                <c:pt idx="9">
                  <c:v>63.07</c:v>
                </c:pt>
              </c:numCache>
            </c:numRef>
          </c:val>
        </c:ser>
        <c:marker val="1"/>
        <c:axId val="63349504"/>
        <c:axId val="63351424"/>
      </c:lineChart>
      <c:catAx>
        <c:axId val="63349504"/>
        <c:scaling>
          <c:orientation val="minMax"/>
        </c:scaling>
        <c:axPos val="b"/>
        <c:numFmt formatCode="General" sourceLinked="1"/>
        <c:majorTickMark val="none"/>
        <c:tickLblPos val="nextTo"/>
        <c:txPr>
          <a:bodyPr/>
          <a:lstStyle/>
          <a:p>
            <a:pPr>
              <a:defRPr lang="en-NZ"/>
            </a:pPr>
            <a:endParaRPr lang="en-US"/>
          </a:p>
        </c:txPr>
        <c:crossAx val="63351424"/>
        <c:crosses val="autoZero"/>
        <c:auto val="1"/>
        <c:lblAlgn val="ctr"/>
        <c:lblOffset val="100"/>
      </c:catAx>
      <c:valAx>
        <c:axId val="63351424"/>
        <c:scaling>
          <c:orientation val="minMax"/>
        </c:scaling>
        <c:axPos val="l"/>
        <c:majorGridlines/>
        <c:numFmt formatCode="0.00" sourceLinked="1"/>
        <c:majorTickMark val="none"/>
        <c:tickLblPos val="nextTo"/>
        <c:txPr>
          <a:bodyPr/>
          <a:lstStyle/>
          <a:p>
            <a:pPr>
              <a:defRPr lang="en-NZ"/>
            </a:pPr>
            <a:endParaRPr lang="en-US"/>
          </a:p>
        </c:txPr>
        <c:crossAx val="63349504"/>
        <c:crosses val="autoZero"/>
        <c:crossBetween val="between"/>
      </c:valAx>
      <c:dTable>
        <c:showHorzBorder val="1"/>
        <c:showVertBorder val="1"/>
        <c:showOutline val="1"/>
        <c:showKeys val="1"/>
        <c:spPr>
          <a:ln>
            <a:solidFill>
              <a:srgbClr val="000000">
                <a:alpha val="46667"/>
              </a:srgbClr>
            </a:solidFill>
            <a:prstDash val="solid"/>
          </a:ln>
        </c:spPr>
        <c:txPr>
          <a:bodyPr/>
          <a:lstStyle/>
          <a:p>
            <a:pPr rtl="0">
              <a:defRPr lang="en-NZ" sz="900"/>
            </a:pPr>
            <a:endParaRPr lang="en-US"/>
          </a:p>
        </c:txPr>
      </c:dTable>
    </c:plotArea>
    <c:plotVisOnly val="1"/>
  </c:chart>
  <c:spPr>
    <a:ln>
      <a:solidFill>
        <a:schemeClr val="bg1">
          <a:lumMod val="7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NZ"/>
  <c:style val="26"/>
  <c:chart>
    <c:title>
      <c:tx>
        <c:rich>
          <a:bodyPr/>
          <a:lstStyle/>
          <a:p>
            <a:pPr>
              <a:defRPr sz="1200"/>
            </a:pPr>
            <a:r>
              <a:rPr lang="en-NZ" sz="1200"/>
              <a:t>All District Health Boards</a:t>
            </a:r>
          </a:p>
          <a:p>
            <a:pPr>
              <a:defRPr sz="1200"/>
            </a:pPr>
            <a:r>
              <a:rPr lang="en-NZ" sz="1200"/>
              <a:t>Outcome of Complaints (%)</a:t>
            </a:r>
          </a:p>
        </c:rich>
      </c:tx>
    </c:title>
    <c:plotArea>
      <c:layout/>
      <c:barChart>
        <c:barDir val="col"/>
        <c:grouping val="clustered"/>
        <c:ser>
          <c:idx val="0"/>
          <c:order val="0"/>
          <c:dLbls>
            <c:txPr>
              <a:bodyPr anchor="ctr" anchorCtr="0"/>
              <a:lstStyle/>
              <a:p>
                <a:pPr>
                  <a:defRPr sz="1000" b="1">
                    <a:solidFill>
                      <a:schemeClr val="tx1"/>
                    </a:solidFill>
                  </a:defRPr>
                </a:pPr>
                <a:endParaRPr lang="en-US"/>
              </a:p>
            </c:txPr>
            <c:showVal val="1"/>
          </c:dLbls>
          <c:cat>
            <c:multiLvlStrRef>
              <c:f>'Outcome of Comp(Fig2)(Use)(%)'!$B$5:$C$18</c:f>
              <c:multiLvlStrCache>
                <c:ptCount val="14"/>
                <c:lvl>
                  <c:pt idx="0">
                    <c:v>Breach </c:v>
                  </c:pt>
                  <c:pt idx="1">
                    <c:v>No breach</c:v>
                  </c:pt>
                  <c:pt idx="2">
                    <c:v>Investigation discontinued</c:v>
                  </c:pt>
                  <c:pt idx="3">
                    <c:v>Referred to Advocacy</c:v>
                  </c:pt>
                  <c:pt idx="4">
                    <c:v>No further action — s 38(1)</c:v>
                  </c:pt>
                  <c:pt idx="5">
                    <c:v>Referred to DG of Health</c:v>
                  </c:pt>
                  <c:pt idx="6">
                    <c:v>Referred to District Inspector</c:v>
                  </c:pt>
                  <c:pt idx="7">
                    <c:v>Referred to Medical Council</c:v>
                  </c:pt>
                  <c:pt idx="8">
                    <c:v>Referred to Midwifery Council</c:v>
                  </c:pt>
                  <c:pt idx="9">
                    <c:v>Referred to Nursing Council</c:v>
                  </c:pt>
                  <c:pt idx="10">
                    <c:v>Referred to Provider</c:v>
                  </c:pt>
                  <c:pt idx="11">
                    <c:v>Resolved by Parties </c:v>
                  </c:pt>
                  <c:pt idx="12">
                    <c:v>Withdrawn </c:v>
                  </c:pt>
                  <c:pt idx="13">
                    <c:v>Outside jurisdiction</c:v>
                  </c:pt>
                </c:lvl>
                <c:lvl>
                  <c:pt idx="0">
                    <c:v>Investigation</c:v>
                  </c:pt>
                  <c:pt idx="3">
                    <c:v>Non-investigation</c:v>
                  </c:pt>
                </c:lvl>
              </c:multiLvlStrCache>
            </c:multiLvlStrRef>
          </c:cat>
          <c:val>
            <c:numRef>
              <c:f>'Outcome of Comp(Fig2)(Use)(%)'!$D$5:$D$18</c:f>
              <c:numCache>
                <c:formatCode>0.0</c:formatCode>
                <c:ptCount val="14"/>
                <c:pt idx="0">
                  <c:v>2</c:v>
                </c:pt>
                <c:pt idx="1">
                  <c:v>0.4</c:v>
                </c:pt>
                <c:pt idx="2">
                  <c:v>0.8</c:v>
                </c:pt>
                <c:pt idx="3">
                  <c:v>7.1</c:v>
                </c:pt>
                <c:pt idx="4">
                  <c:v>55.9</c:v>
                </c:pt>
                <c:pt idx="5">
                  <c:v>0.4</c:v>
                </c:pt>
                <c:pt idx="6">
                  <c:v>3.1</c:v>
                </c:pt>
                <c:pt idx="7">
                  <c:v>1.2</c:v>
                </c:pt>
                <c:pt idx="8">
                  <c:v>0.4</c:v>
                </c:pt>
                <c:pt idx="9">
                  <c:v>0.4</c:v>
                </c:pt>
                <c:pt idx="10">
                  <c:v>18.5</c:v>
                </c:pt>
                <c:pt idx="11">
                  <c:v>1.2</c:v>
                </c:pt>
                <c:pt idx="12">
                  <c:v>5.0999999999999996</c:v>
                </c:pt>
                <c:pt idx="13">
                  <c:v>3.5</c:v>
                </c:pt>
              </c:numCache>
            </c:numRef>
          </c:val>
        </c:ser>
        <c:gapWidth val="103"/>
        <c:overlap val="-1"/>
        <c:axId val="83681280"/>
        <c:axId val="83682816"/>
      </c:barChart>
      <c:catAx>
        <c:axId val="83681280"/>
        <c:scaling>
          <c:orientation val="minMax"/>
        </c:scaling>
        <c:axPos val="b"/>
        <c:tickLblPos val="nextTo"/>
        <c:txPr>
          <a:bodyPr/>
          <a:lstStyle/>
          <a:p>
            <a:pPr>
              <a:defRPr sz="900"/>
            </a:pPr>
            <a:endParaRPr lang="en-US"/>
          </a:p>
        </c:txPr>
        <c:crossAx val="83682816"/>
        <c:crosses val="autoZero"/>
        <c:auto val="1"/>
        <c:lblAlgn val="ctr"/>
        <c:lblOffset val="100"/>
      </c:catAx>
      <c:valAx>
        <c:axId val="83682816"/>
        <c:scaling>
          <c:orientation val="minMax"/>
        </c:scaling>
        <c:axPos val="l"/>
        <c:majorGridlines/>
        <c:numFmt formatCode="#,##0.0" sourceLinked="0"/>
        <c:tickLblPos val="nextTo"/>
        <c:crossAx val="83681280"/>
        <c:crosses val="autoZero"/>
        <c:crossBetween val="between"/>
      </c:valAx>
    </c:plotArea>
    <c:plotVisOnly val="1"/>
  </c:chart>
  <c:spPr>
    <a:ln w="6350">
      <a:solidFill>
        <a:schemeClr val="bg1">
          <a:lumMod val="75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NZ"/>
  <c:style val="4"/>
  <c:chart>
    <c:title>
      <c:tx>
        <c:rich>
          <a:bodyPr/>
          <a:lstStyle/>
          <a:p>
            <a:pPr>
              <a:defRPr lang="en-NZ" sz="1200" b="1"/>
            </a:pPr>
            <a:r>
              <a:rPr lang="en-NZ" sz="1200" b="1"/>
              <a:t>All District Health Boards  
Rate of complaints investigated (per 100,000</a:t>
            </a:r>
            <a:r>
              <a:rPr lang="en-NZ" sz="1200" b="1" baseline="0"/>
              <a:t> discharged) </a:t>
            </a:r>
          </a:p>
          <a:p>
            <a:pPr>
              <a:defRPr lang="en-NZ" sz="1200" b="1"/>
            </a:pPr>
            <a:r>
              <a:rPr lang="en-NZ" sz="1200" b="1"/>
              <a:t>by time period </a:t>
            </a:r>
          </a:p>
        </c:rich>
      </c:tx>
    </c:title>
    <c:plotArea>
      <c:layout/>
      <c:lineChart>
        <c:grouping val="standard"/>
        <c:ser>
          <c:idx val="0"/>
          <c:order val="0"/>
          <c:tx>
            <c:strRef>
              <c:f>'Rate of Complts Investiga (USE)'!$A$12</c:f>
              <c:strCache>
                <c:ptCount val="1"/>
                <c:pt idx="0">
                  <c:v>Rate investigated</c:v>
                </c:pt>
              </c:strCache>
            </c:strRef>
          </c:tx>
          <c:cat>
            <c:strRef>
              <c:f>'Rate of Complts Investiga (USE)'!$B$11:$K$11</c:f>
              <c:strCache>
                <c:ptCount val="10"/>
                <c:pt idx="0">
                  <c:v>Jan–Jun 08</c:v>
                </c:pt>
                <c:pt idx="1">
                  <c:v>Jul–Dec 08</c:v>
                </c:pt>
                <c:pt idx="2">
                  <c:v>Jan–Jun 09</c:v>
                </c:pt>
                <c:pt idx="3">
                  <c:v>Jul–Dec 09</c:v>
                </c:pt>
                <c:pt idx="4">
                  <c:v>Jan–Jun 10</c:v>
                </c:pt>
                <c:pt idx="5">
                  <c:v>Jul–Dec 10</c:v>
                </c:pt>
                <c:pt idx="6">
                  <c:v>Jan-Jun 11</c:v>
                </c:pt>
                <c:pt idx="7">
                  <c:v>Jul-Dec 11</c:v>
                </c:pt>
                <c:pt idx="8">
                  <c:v>Jan-Jun 12</c:v>
                </c:pt>
                <c:pt idx="9">
                  <c:v>Jul-Dec 12</c:v>
                </c:pt>
              </c:strCache>
            </c:strRef>
          </c:cat>
          <c:val>
            <c:numRef>
              <c:f>'Rate of Complts Investiga (USE)'!$B$12:$K$12</c:f>
              <c:numCache>
                <c:formatCode>0.00</c:formatCode>
                <c:ptCount val="10"/>
                <c:pt idx="0">
                  <c:v>4.5599999999999996</c:v>
                </c:pt>
                <c:pt idx="1">
                  <c:v>6.63</c:v>
                </c:pt>
                <c:pt idx="2">
                  <c:v>5.35</c:v>
                </c:pt>
                <c:pt idx="3">
                  <c:v>2.5099999999999998</c:v>
                </c:pt>
                <c:pt idx="4">
                  <c:v>1.8800000000000001</c:v>
                </c:pt>
                <c:pt idx="5">
                  <c:v>0.68</c:v>
                </c:pt>
                <c:pt idx="6">
                  <c:v>1.86</c:v>
                </c:pt>
                <c:pt idx="7">
                  <c:v>0.66000000000000336</c:v>
                </c:pt>
                <c:pt idx="8">
                  <c:v>2.94</c:v>
                </c:pt>
                <c:pt idx="9">
                  <c:v>1.73</c:v>
                </c:pt>
              </c:numCache>
            </c:numRef>
          </c:val>
        </c:ser>
        <c:marker val="1"/>
        <c:axId val="97035776"/>
        <c:axId val="97037312"/>
      </c:lineChart>
      <c:catAx>
        <c:axId val="97035776"/>
        <c:scaling>
          <c:orientation val="minMax"/>
        </c:scaling>
        <c:axPos val="b"/>
        <c:numFmt formatCode="General" sourceLinked="1"/>
        <c:majorTickMark val="none"/>
        <c:tickLblPos val="nextTo"/>
        <c:txPr>
          <a:bodyPr/>
          <a:lstStyle/>
          <a:p>
            <a:pPr>
              <a:defRPr lang="en-NZ"/>
            </a:pPr>
            <a:endParaRPr lang="en-US"/>
          </a:p>
        </c:txPr>
        <c:crossAx val="97037312"/>
        <c:crosses val="autoZero"/>
        <c:auto val="1"/>
        <c:lblAlgn val="ctr"/>
        <c:lblOffset val="100"/>
      </c:catAx>
      <c:valAx>
        <c:axId val="97037312"/>
        <c:scaling>
          <c:orientation val="minMax"/>
        </c:scaling>
        <c:axPos val="l"/>
        <c:majorGridlines/>
        <c:title>
          <c:tx>
            <c:rich>
              <a:bodyPr rot="0" vert="horz"/>
              <a:lstStyle/>
              <a:p>
                <a:pPr>
                  <a:defRPr lang="en-NZ"/>
                </a:pPr>
                <a:r>
                  <a:rPr lang="en-NZ"/>
                  <a:t> Rate </a:t>
                </a:r>
              </a:p>
              <a:p>
                <a:pPr>
                  <a:defRPr lang="en-NZ"/>
                </a:pPr>
                <a:r>
                  <a:rPr lang="en-NZ"/>
                  <a:t>investigated</a:t>
                </a:r>
              </a:p>
            </c:rich>
          </c:tx>
        </c:title>
        <c:numFmt formatCode="#,##0.00" sourceLinked="0"/>
        <c:majorTickMark val="none"/>
        <c:tickLblPos val="nextTo"/>
        <c:txPr>
          <a:bodyPr/>
          <a:lstStyle/>
          <a:p>
            <a:pPr>
              <a:defRPr lang="en-NZ"/>
            </a:pPr>
            <a:endParaRPr lang="en-US"/>
          </a:p>
        </c:txPr>
        <c:crossAx val="97035776"/>
        <c:crosses val="autoZero"/>
        <c:crossBetween val="between"/>
      </c:valAx>
      <c:dTable>
        <c:showHorzBorder val="1"/>
        <c:showVertBorder val="1"/>
        <c:showOutline val="1"/>
        <c:showKeys val="1"/>
        <c:txPr>
          <a:bodyPr/>
          <a:lstStyle/>
          <a:p>
            <a:pPr rtl="0">
              <a:defRPr lang="en-NZ"/>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E149-EA50-4C6D-93FB-2257356F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HelenC</cp:lastModifiedBy>
  <cp:revision>5</cp:revision>
  <cp:lastPrinted>2013-04-03T22:53:00Z</cp:lastPrinted>
  <dcterms:created xsi:type="dcterms:W3CDTF">2013-04-17T04:48:00Z</dcterms:created>
  <dcterms:modified xsi:type="dcterms:W3CDTF">2013-04-21T20:57:00Z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